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3211C">
      <w:pPr>
        <w:pStyle w:val="5"/>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48C5BD7C">
      <w:pPr>
        <w:pStyle w:val="54"/>
        <w:wordWrap w:val="0"/>
        <w:adjustRightInd w:val="0"/>
        <w:snapToGrid w:val="0"/>
        <w:spacing w:line="360" w:lineRule="auto"/>
        <w:jc w:val="center"/>
        <w:rPr>
          <w:rFonts w:hint="eastAsia" w:eastAsia="宋体"/>
          <w:b/>
          <w:bCs/>
          <w:snapToGrid w:val="0"/>
          <w:color w:val="000000"/>
          <w:kern w:val="0"/>
          <w:sz w:val="72"/>
          <w:szCs w:val="72"/>
          <w:highlight w:val="none"/>
          <w:lang w:eastAsia="zh-CN"/>
          <w14:shadow w14:blurRad="50800" w14:dist="38100" w14:dir="2700000" w14:sx="100000" w14:sy="100000" w14:kx="0" w14:ky="0" w14:algn="tl">
            <w14:srgbClr w14:val="000000">
              <w14:alpha w14:val="60000"/>
            </w14:srgbClr>
          </w14:shadow>
        </w:rPr>
      </w:pPr>
      <w:r>
        <w:rPr>
          <w:rFonts w:hint="eastAsia" w:eastAsia="宋体"/>
          <w:b/>
          <w:snapToGrid w:val="0"/>
          <w:color w:val="000000"/>
          <w:kern w:val="0"/>
          <w:sz w:val="52"/>
          <w:szCs w:val="52"/>
          <w:highlight w:val="none"/>
          <w:lang w:eastAsia="zh-CN"/>
        </w:rPr>
        <w:t>2025年曲江区老旧小区基础设施提质升级工程施工</w:t>
      </w:r>
    </w:p>
    <w:p w14:paraId="370424D6">
      <w:pPr>
        <w:pStyle w:val="5"/>
        <w:keepNext w:val="0"/>
        <w:keepLines w:val="0"/>
        <w:pageBreakBefore w:val="0"/>
        <w:wordWrap w:val="0"/>
        <w:overflowPunct/>
        <w:topLinePunct w:val="0"/>
        <w:bidi w:val="0"/>
        <w:spacing w:line="355" w:lineRule="auto"/>
        <w:rPr>
          <w:rFonts w:hint="eastAsia" w:ascii="宋体" w:hAnsi="宋体" w:eastAsia="宋体" w:cs="宋体"/>
          <w:color w:val="auto"/>
          <w:spacing w:val="0"/>
          <w:highlight w:val="none"/>
        </w:rPr>
      </w:pPr>
    </w:p>
    <w:p w14:paraId="57CC86D8">
      <w:pPr>
        <w:pStyle w:val="5"/>
        <w:keepNext w:val="0"/>
        <w:keepLines w:val="0"/>
        <w:pageBreakBefore w:val="0"/>
        <w:wordWrap w:val="0"/>
        <w:overflowPunct/>
        <w:topLinePunct w:val="0"/>
        <w:bidi w:val="0"/>
        <w:spacing w:line="355" w:lineRule="auto"/>
        <w:rPr>
          <w:rFonts w:hint="eastAsia" w:ascii="宋体" w:hAnsi="宋体" w:eastAsia="宋体" w:cs="宋体"/>
          <w:color w:val="auto"/>
          <w:spacing w:val="0"/>
          <w:highlight w:val="none"/>
        </w:rPr>
      </w:pPr>
    </w:p>
    <w:p w14:paraId="5D0AF82C">
      <w:pPr>
        <w:pStyle w:val="5"/>
        <w:keepNext w:val="0"/>
        <w:keepLines w:val="0"/>
        <w:pageBreakBefore w:val="0"/>
        <w:wordWrap w:val="0"/>
        <w:overflowPunct/>
        <w:topLinePunct w:val="0"/>
        <w:bidi w:val="0"/>
        <w:spacing w:line="355" w:lineRule="auto"/>
        <w:rPr>
          <w:rFonts w:hint="eastAsia" w:ascii="宋体" w:hAnsi="宋体" w:eastAsia="宋体" w:cs="宋体"/>
          <w:color w:val="auto"/>
          <w:spacing w:val="0"/>
          <w:highlight w:val="none"/>
        </w:rPr>
      </w:pPr>
    </w:p>
    <w:p w14:paraId="7BF55247">
      <w:pPr>
        <w:pStyle w:val="5"/>
        <w:keepNext w:val="0"/>
        <w:keepLines w:val="0"/>
        <w:pageBreakBefore w:val="0"/>
        <w:wordWrap w:val="0"/>
        <w:overflowPunct/>
        <w:topLinePunct w:val="0"/>
        <w:bidi w:val="0"/>
        <w:spacing w:line="355" w:lineRule="auto"/>
        <w:rPr>
          <w:rFonts w:hint="eastAsia" w:ascii="宋体" w:hAnsi="宋体" w:eastAsia="宋体" w:cs="宋体"/>
          <w:color w:val="auto"/>
          <w:spacing w:val="0"/>
          <w:highlight w:val="none"/>
        </w:rPr>
      </w:pPr>
    </w:p>
    <w:p w14:paraId="5006F2F5">
      <w:pPr>
        <w:keepNext w:val="0"/>
        <w:keepLines w:val="0"/>
        <w:pageBreakBefore w:val="0"/>
        <w:wordWrap w:val="0"/>
        <w:overflowPunct/>
        <w:topLinePunct w:val="0"/>
        <w:bidi w:val="0"/>
        <w:spacing w:before="231" w:line="223" w:lineRule="auto"/>
        <w:jc w:val="center"/>
        <w:outlineLvl w:val="9"/>
        <w:rPr>
          <w:rFonts w:hint="eastAsia" w:ascii="宋体" w:hAnsi="宋体" w:eastAsia="宋体" w:cs="宋体"/>
          <w:color w:val="auto"/>
          <w:spacing w:val="0"/>
          <w:sz w:val="71"/>
          <w:szCs w:val="71"/>
          <w:highlight w:val="none"/>
        </w:rPr>
      </w:pPr>
      <w:bookmarkStart w:id="0" w:name="_Toc15837"/>
      <w:bookmarkStart w:id="1" w:name="_Toc7958"/>
      <w:bookmarkStart w:id="2" w:name="_Toc1688"/>
      <w:bookmarkStart w:id="3" w:name="_Toc15274"/>
      <w:r>
        <w:rPr>
          <w:rFonts w:hint="eastAsia" w:ascii="宋体" w:hAnsi="宋体" w:eastAsia="宋体" w:cs="宋体"/>
          <w:b/>
          <w:bCs/>
          <w:color w:val="auto"/>
          <w:spacing w:val="0"/>
          <w:sz w:val="71"/>
          <w:szCs w:val="71"/>
          <w:highlight w:val="none"/>
        </w:rPr>
        <w:t>招标文件</w:t>
      </w:r>
      <w:bookmarkEnd w:id="0"/>
      <w:bookmarkEnd w:id="1"/>
      <w:bookmarkEnd w:id="2"/>
      <w:bookmarkEnd w:id="3"/>
    </w:p>
    <w:p w14:paraId="6F362943">
      <w:pPr>
        <w:pStyle w:val="5"/>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1D76C7F4">
      <w:pPr>
        <w:pStyle w:val="5"/>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66262B75">
      <w:pPr>
        <w:pStyle w:val="5"/>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0AAAB0E2">
      <w:pPr>
        <w:pStyle w:val="5"/>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06048DC0">
      <w:pPr>
        <w:pStyle w:val="5"/>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5E7089F7">
      <w:pPr>
        <w:pStyle w:val="5"/>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tbl>
      <w:tblPr>
        <w:tblStyle w:val="15"/>
        <w:tblW w:w="9714" w:type="dxa"/>
        <w:jc w:val="center"/>
        <w:tblLayout w:type="fixed"/>
        <w:tblCellMar>
          <w:top w:w="0" w:type="dxa"/>
          <w:left w:w="0" w:type="dxa"/>
          <w:bottom w:w="0" w:type="dxa"/>
          <w:right w:w="0" w:type="dxa"/>
        </w:tblCellMar>
      </w:tblPr>
      <w:tblGrid>
        <w:gridCol w:w="5013"/>
        <w:gridCol w:w="4701"/>
      </w:tblGrid>
      <w:tr w14:paraId="6D7A418C">
        <w:tblPrEx>
          <w:tblCellMar>
            <w:top w:w="0" w:type="dxa"/>
            <w:left w:w="0" w:type="dxa"/>
            <w:bottom w:w="0" w:type="dxa"/>
            <w:right w:w="0" w:type="dxa"/>
          </w:tblCellMar>
        </w:tblPrEx>
        <w:trPr>
          <w:trHeight w:val="1030" w:hRule="atLeast"/>
          <w:jc w:val="center"/>
        </w:trPr>
        <w:tc>
          <w:tcPr>
            <w:tcW w:w="5013" w:type="dxa"/>
            <w:vAlign w:val="center"/>
          </w:tcPr>
          <w:p w14:paraId="01EBA404">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  标  人（盖单位章）：</w:t>
            </w:r>
          </w:p>
        </w:tc>
        <w:tc>
          <w:tcPr>
            <w:tcW w:w="4701" w:type="dxa"/>
            <w:vAlign w:val="center"/>
          </w:tcPr>
          <w:p w14:paraId="0FE9907A">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lang w:eastAsia="zh-CN"/>
              </w:rPr>
            </w:pPr>
            <w:r>
              <w:rPr>
                <w:rStyle w:val="27"/>
                <w:rFonts w:hint="eastAsia" w:hAnsi="宋体" w:cs="宋体"/>
                <w:color w:val="auto"/>
                <w:spacing w:val="0"/>
                <w:kern w:val="0"/>
                <w:sz w:val="28"/>
                <w:szCs w:val="28"/>
                <w:highlight w:val="none"/>
                <w:lang w:eastAsia="zh-CN"/>
              </w:rPr>
              <w:t>韶关市曲江区马坝镇人民政府</w:t>
            </w:r>
          </w:p>
        </w:tc>
      </w:tr>
      <w:tr w14:paraId="5269A9A7">
        <w:tblPrEx>
          <w:tblCellMar>
            <w:top w:w="0" w:type="dxa"/>
            <w:left w:w="0" w:type="dxa"/>
            <w:bottom w:w="0" w:type="dxa"/>
            <w:right w:w="0" w:type="dxa"/>
          </w:tblCellMar>
        </w:tblPrEx>
        <w:trPr>
          <w:trHeight w:val="844" w:hRule="atLeast"/>
          <w:jc w:val="center"/>
        </w:trPr>
        <w:tc>
          <w:tcPr>
            <w:tcW w:w="5013" w:type="dxa"/>
            <w:vAlign w:val="center"/>
          </w:tcPr>
          <w:p w14:paraId="157BAB42">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招标人工作领导小组负责人（签字）：</w:t>
            </w:r>
          </w:p>
        </w:tc>
        <w:tc>
          <w:tcPr>
            <w:tcW w:w="4701" w:type="dxa"/>
            <w:vAlign w:val="center"/>
          </w:tcPr>
          <w:p w14:paraId="7C089BE2">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rPr>
            </w:pPr>
          </w:p>
        </w:tc>
      </w:tr>
      <w:tr w14:paraId="553A92B6">
        <w:tblPrEx>
          <w:tblCellMar>
            <w:top w:w="0" w:type="dxa"/>
            <w:left w:w="0" w:type="dxa"/>
            <w:bottom w:w="0" w:type="dxa"/>
            <w:right w:w="0" w:type="dxa"/>
          </w:tblCellMar>
        </w:tblPrEx>
        <w:trPr>
          <w:trHeight w:val="840" w:hRule="atLeast"/>
          <w:jc w:val="center"/>
        </w:trPr>
        <w:tc>
          <w:tcPr>
            <w:tcW w:w="5013" w:type="dxa"/>
            <w:vAlign w:val="center"/>
          </w:tcPr>
          <w:p w14:paraId="7F8A41C1">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 标 代 理 机 构 （盖单位章）：</w:t>
            </w:r>
          </w:p>
        </w:tc>
        <w:tc>
          <w:tcPr>
            <w:tcW w:w="4701" w:type="dxa"/>
            <w:vAlign w:val="center"/>
          </w:tcPr>
          <w:p w14:paraId="281759D2">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lang w:eastAsia="zh-CN"/>
              </w:rPr>
            </w:pPr>
            <w:r>
              <w:rPr>
                <w:rStyle w:val="27"/>
                <w:rFonts w:hint="eastAsia" w:hAnsi="宋体" w:cs="宋体"/>
                <w:color w:val="auto"/>
                <w:spacing w:val="0"/>
                <w:kern w:val="0"/>
                <w:sz w:val="28"/>
                <w:szCs w:val="28"/>
                <w:highlight w:val="none"/>
                <w:lang w:eastAsia="zh-CN"/>
              </w:rPr>
              <w:t>深圳市祺骏建设工程顾问有限公司</w:t>
            </w:r>
          </w:p>
        </w:tc>
      </w:tr>
      <w:tr w14:paraId="178B4239">
        <w:tblPrEx>
          <w:tblCellMar>
            <w:top w:w="0" w:type="dxa"/>
            <w:left w:w="0" w:type="dxa"/>
            <w:bottom w:w="0" w:type="dxa"/>
            <w:right w:w="0" w:type="dxa"/>
          </w:tblCellMar>
        </w:tblPrEx>
        <w:trPr>
          <w:trHeight w:val="968" w:hRule="atLeast"/>
          <w:jc w:val="center"/>
        </w:trPr>
        <w:tc>
          <w:tcPr>
            <w:tcW w:w="5013" w:type="dxa"/>
            <w:vAlign w:val="center"/>
          </w:tcPr>
          <w:p w14:paraId="4BC1BCB1">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招标文件编制人（签字）：</w:t>
            </w:r>
          </w:p>
        </w:tc>
        <w:tc>
          <w:tcPr>
            <w:tcW w:w="4701" w:type="dxa"/>
            <w:vAlign w:val="center"/>
          </w:tcPr>
          <w:p w14:paraId="41C866A5">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lang w:eastAsia="zh-CN"/>
              </w:rPr>
            </w:pPr>
          </w:p>
        </w:tc>
      </w:tr>
      <w:tr w14:paraId="74588FC0">
        <w:tblPrEx>
          <w:tblCellMar>
            <w:top w:w="0" w:type="dxa"/>
            <w:left w:w="0" w:type="dxa"/>
            <w:bottom w:w="0" w:type="dxa"/>
            <w:right w:w="0" w:type="dxa"/>
          </w:tblCellMar>
        </w:tblPrEx>
        <w:trPr>
          <w:trHeight w:val="937" w:hRule="atLeast"/>
          <w:jc w:val="center"/>
        </w:trPr>
        <w:tc>
          <w:tcPr>
            <w:tcW w:w="5013" w:type="dxa"/>
            <w:vAlign w:val="center"/>
          </w:tcPr>
          <w:p w14:paraId="75ED9A8F">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招标代理机构项目负责人（签字）：</w:t>
            </w:r>
          </w:p>
        </w:tc>
        <w:tc>
          <w:tcPr>
            <w:tcW w:w="4701" w:type="dxa"/>
            <w:vAlign w:val="center"/>
          </w:tcPr>
          <w:p w14:paraId="389DF790">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lang w:eastAsia="zh-CN"/>
              </w:rPr>
            </w:pPr>
          </w:p>
        </w:tc>
      </w:tr>
      <w:tr w14:paraId="2949E6F3">
        <w:tblPrEx>
          <w:tblCellMar>
            <w:top w:w="0" w:type="dxa"/>
            <w:left w:w="0" w:type="dxa"/>
            <w:bottom w:w="0" w:type="dxa"/>
            <w:right w:w="0" w:type="dxa"/>
          </w:tblCellMar>
        </w:tblPrEx>
        <w:trPr>
          <w:trHeight w:val="832" w:hRule="atLeast"/>
          <w:jc w:val="center"/>
        </w:trPr>
        <w:tc>
          <w:tcPr>
            <w:tcW w:w="5013" w:type="dxa"/>
            <w:vAlign w:val="center"/>
          </w:tcPr>
          <w:p w14:paraId="68EBF2D8">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招标文件编制日期：</w:t>
            </w:r>
          </w:p>
        </w:tc>
        <w:tc>
          <w:tcPr>
            <w:tcW w:w="4701" w:type="dxa"/>
            <w:vAlign w:val="center"/>
          </w:tcPr>
          <w:p w14:paraId="5C0239B0">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w:t>
            </w:r>
            <w:r>
              <w:rPr>
                <w:rStyle w:val="27"/>
                <w:rFonts w:hint="eastAsia" w:hAnsi="宋体" w:cs="宋体"/>
                <w:color w:val="auto"/>
                <w:spacing w:val="0"/>
                <w:kern w:val="0"/>
                <w:sz w:val="28"/>
                <w:szCs w:val="28"/>
                <w:highlight w:val="none"/>
                <w:lang w:val="en-US" w:eastAsia="zh-CN"/>
              </w:rPr>
              <w:t xml:space="preserve"> 2025 </w:t>
            </w:r>
            <w:r>
              <w:rPr>
                <w:rStyle w:val="27"/>
                <w:rFonts w:hint="eastAsia" w:ascii="宋体" w:hAnsi="宋体" w:eastAsia="宋体" w:cs="宋体"/>
                <w:color w:val="auto"/>
                <w:spacing w:val="0"/>
                <w:kern w:val="0"/>
                <w:sz w:val="28"/>
                <w:szCs w:val="28"/>
                <w:highlight w:val="none"/>
              </w:rPr>
              <w:t>年</w:t>
            </w:r>
            <w:r>
              <w:rPr>
                <w:rStyle w:val="27"/>
                <w:rFonts w:hint="eastAsia" w:ascii="宋体" w:hAnsi="宋体" w:eastAsia="宋体" w:cs="宋体"/>
                <w:color w:val="auto"/>
                <w:spacing w:val="0"/>
                <w:kern w:val="0"/>
                <w:sz w:val="28"/>
                <w:szCs w:val="28"/>
                <w:highlight w:val="none"/>
                <w:lang w:val="en-US" w:eastAsia="zh-CN"/>
              </w:rPr>
              <w:t xml:space="preserve"> </w:t>
            </w:r>
            <w:r>
              <w:rPr>
                <w:rStyle w:val="27"/>
                <w:rFonts w:hint="eastAsia" w:hAnsi="宋体" w:cs="宋体"/>
                <w:color w:val="auto"/>
                <w:spacing w:val="0"/>
                <w:kern w:val="0"/>
                <w:sz w:val="28"/>
                <w:szCs w:val="28"/>
                <w:highlight w:val="none"/>
                <w:lang w:val="en-US" w:eastAsia="zh-CN"/>
              </w:rPr>
              <w:t xml:space="preserve">11 </w:t>
            </w:r>
            <w:r>
              <w:rPr>
                <w:rStyle w:val="27"/>
                <w:rFonts w:hint="eastAsia" w:ascii="宋体" w:hAnsi="宋体" w:eastAsia="宋体" w:cs="宋体"/>
                <w:color w:val="auto"/>
                <w:spacing w:val="0"/>
                <w:kern w:val="0"/>
                <w:sz w:val="28"/>
                <w:szCs w:val="28"/>
                <w:highlight w:val="none"/>
              </w:rPr>
              <w:t>月</w:t>
            </w:r>
          </w:p>
        </w:tc>
      </w:tr>
    </w:tbl>
    <w:p w14:paraId="7A951943">
      <w:pPr>
        <w:keepNext w:val="0"/>
        <w:keepLines w:val="0"/>
        <w:pageBreakBefore w:val="0"/>
        <w:wordWrap w:val="0"/>
        <w:overflowPunct/>
        <w:topLinePunct w:val="0"/>
        <w:bidi w:val="0"/>
        <w:rPr>
          <w:rFonts w:hint="eastAsia" w:ascii="宋体" w:hAnsi="宋体" w:eastAsia="宋体" w:cs="宋体"/>
          <w:color w:val="auto"/>
          <w:spacing w:val="0"/>
          <w:highlight w:val="none"/>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66D801DB">
      <w:pPr>
        <w:keepNext w:val="0"/>
        <w:keepLines w:val="0"/>
        <w:pageBreakBefore w:val="0"/>
        <w:wordWrap w:val="0"/>
        <w:overflowPunct/>
        <w:topLinePunct w:val="0"/>
        <w:bidi w:val="0"/>
        <w:rPr>
          <w:rFonts w:hint="eastAsia" w:ascii="宋体" w:hAnsi="宋体" w:eastAsia="宋体" w:cs="宋体"/>
          <w:color w:val="auto"/>
          <w:spacing w:val="0"/>
          <w:highlight w:val="none"/>
        </w:rPr>
      </w:pPr>
    </w:p>
    <w:p w14:paraId="1967F500">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50FBE671">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58C08D79">
      <w:pPr>
        <w:pStyle w:val="10"/>
        <w:tabs>
          <w:tab w:val="right" w:leader="dot" w:pos="9746"/>
        </w:tabs>
        <w:rPr>
          <w:color w:val="auto"/>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_Toc23700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第一章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_Toc23700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pacing w:val="0"/>
          <w:szCs w:val="24"/>
          <w:highlight w:val="none"/>
        </w:rPr>
        <w:fldChar w:fldCharType="end"/>
      </w:r>
    </w:p>
    <w:p w14:paraId="5E84E77C">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_Toc14046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第一节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_Toc14046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pacing w:val="0"/>
          <w:szCs w:val="24"/>
          <w:highlight w:val="none"/>
        </w:rPr>
        <w:fldChar w:fldCharType="end"/>
      </w:r>
    </w:p>
    <w:p w14:paraId="77DE2920">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_Toc1712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_Toc1712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eastAsia="宋体" w:cs="宋体"/>
          <w:color w:val="auto"/>
          <w:spacing w:val="0"/>
          <w:szCs w:val="24"/>
          <w:highlight w:val="none"/>
        </w:rPr>
        <w:fldChar w:fldCharType="end"/>
      </w:r>
    </w:p>
    <w:p w14:paraId="3CEE73AF">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_Toc23836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第三节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_Toc23836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pacing w:val="0"/>
          <w:szCs w:val="24"/>
          <w:highlight w:val="none"/>
        </w:rPr>
        <w:fldChar w:fldCharType="end"/>
      </w:r>
    </w:p>
    <w:p w14:paraId="22E89DD2">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_Toc8805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_Toc8805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spacing w:val="0"/>
          <w:szCs w:val="24"/>
          <w:highlight w:val="none"/>
        </w:rPr>
        <w:fldChar w:fldCharType="end"/>
      </w:r>
    </w:p>
    <w:p w14:paraId="3432A7A7">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_Toc27217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_Toc27217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pacing w:val="0"/>
          <w:szCs w:val="24"/>
          <w:highlight w:val="none"/>
        </w:rPr>
        <w:fldChar w:fldCharType="end"/>
      </w:r>
    </w:p>
    <w:p w14:paraId="44899520">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_Toc14055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5</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4"/>
          <w:highlight w:val="none"/>
        </w:rPr>
        <w:t>．质量标准和材料、机械要求</w:t>
      </w:r>
      <w:r>
        <w:rPr>
          <w:color w:val="auto"/>
          <w:highlight w:val="none"/>
        </w:rPr>
        <w:tab/>
      </w:r>
      <w:r>
        <w:rPr>
          <w:color w:val="auto"/>
          <w:highlight w:val="none"/>
        </w:rPr>
        <w:fldChar w:fldCharType="begin"/>
      </w:r>
      <w:r>
        <w:rPr>
          <w:color w:val="auto"/>
          <w:highlight w:val="none"/>
        </w:rPr>
        <w:instrText xml:space="preserve"> PAGEREF _Toc14055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pacing w:val="0"/>
          <w:szCs w:val="24"/>
          <w:highlight w:val="none"/>
        </w:rPr>
        <w:fldChar w:fldCharType="end"/>
      </w:r>
    </w:p>
    <w:p w14:paraId="34F8DA7F">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_Toc24836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6 ．施工条件及现场踏勘</w:t>
      </w:r>
      <w:r>
        <w:rPr>
          <w:color w:val="auto"/>
          <w:highlight w:val="none"/>
        </w:rPr>
        <w:tab/>
      </w:r>
      <w:r>
        <w:rPr>
          <w:color w:val="auto"/>
          <w:highlight w:val="none"/>
        </w:rPr>
        <w:fldChar w:fldCharType="begin"/>
      </w:r>
      <w:r>
        <w:rPr>
          <w:color w:val="auto"/>
          <w:highlight w:val="none"/>
        </w:rPr>
        <w:instrText xml:space="preserve"> PAGEREF _Toc24836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pacing w:val="0"/>
          <w:szCs w:val="24"/>
          <w:highlight w:val="none"/>
        </w:rPr>
        <w:fldChar w:fldCharType="end"/>
      </w:r>
    </w:p>
    <w:p w14:paraId="63DAEB2E">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_Toc31804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7 ．招标文件的提问和答疑</w:t>
      </w:r>
      <w:r>
        <w:rPr>
          <w:color w:val="auto"/>
          <w:highlight w:val="none"/>
        </w:rPr>
        <w:tab/>
      </w:r>
      <w:r>
        <w:rPr>
          <w:color w:val="auto"/>
          <w:highlight w:val="none"/>
        </w:rPr>
        <w:fldChar w:fldCharType="begin"/>
      </w:r>
      <w:r>
        <w:rPr>
          <w:color w:val="auto"/>
          <w:highlight w:val="none"/>
        </w:rPr>
        <w:instrText xml:space="preserve"> PAGEREF _Toc31804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pacing w:val="0"/>
          <w:szCs w:val="24"/>
          <w:highlight w:val="none"/>
        </w:rPr>
        <w:fldChar w:fldCharType="end"/>
      </w:r>
    </w:p>
    <w:p w14:paraId="6C2405C8">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_Toc16986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8 ．</w:t>
      </w:r>
      <w:r>
        <w:rPr>
          <w:rFonts w:hint="eastAsia" w:ascii="宋体" w:hAnsi="宋体" w:eastAsia="宋体" w:cs="宋体"/>
          <w:bCs/>
          <w:color w:val="auto"/>
          <w:spacing w:val="0"/>
          <w:szCs w:val="24"/>
          <w:highlight w:val="none"/>
          <w:lang w:eastAsia="zh-CN"/>
        </w:rPr>
        <w:t>最高投标限价</w:t>
      </w:r>
      <w:r>
        <w:rPr>
          <w:color w:val="auto"/>
          <w:highlight w:val="none"/>
        </w:rPr>
        <w:tab/>
      </w:r>
      <w:r>
        <w:rPr>
          <w:color w:val="auto"/>
          <w:highlight w:val="none"/>
        </w:rPr>
        <w:fldChar w:fldCharType="begin"/>
      </w:r>
      <w:r>
        <w:rPr>
          <w:color w:val="auto"/>
          <w:highlight w:val="none"/>
        </w:rPr>
        <w:instrText xml:space="preserve"> PAGEREF _Toc16986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pacing w:val="0"/>
          <w:szCs w:val="24"/>
          <w:highlight w:val="none"/>
        </w:rPr>
        <w:fldChar w:fldCharType="end"/>
      </w:r>
    </w:p>
    <w:p w14:paraId="14201204">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_Toc15200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9 ．投标报价</w:t>
      </w:r>
      <w:r>
        <w:rPr>
          <w:color w:val="auto"/>
          <w:highlight w:val="none"/>
        </w:rPr>
        <w:tab/>
      </w:r>
      <w:r>
        <w:rPr>
          <w:color w:val="auto"/>
          <w:highlight w:val="none"/>
        </w:rPr>
        <w:fldChar w:fldCharType="begin"/>
      </w:r>
      <w:r>
        <w:rPr>
          <w:color w:val="auto"/>
          <w:highlight w:val="none"/>
        </w:rPr>
        <w:instrText xml:space="preserve"> PAGEREF _Toc15200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pacing w:val="0"/>
          <w:szCs w:val="24"/>
          <w:highlight w:val="none"/>
        </w:rPr>
        <w:fldChar w:fldCharType="end"/>
      </w:r>
    </w:p>
    <w:p w14:paraId="789D04F1">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_Toc30235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10 ．投标文件的编制要求</w:t>
      </w:r>
      <w:r>
        <w:rPr>
          <w:color w:val="auto"/>
          <w:highlight w:val="none"/>
        </w:rPr>
        <w:tab/>
      </w:r>
      <w:r>
        <w:rPr>
          <w:color w:val="auto"/>
          <w:highlight w:val="none"/>
        </w:rPr>
        <w:fldChar w:fldCharType="begin"/>
      </w:r>
      <w:r>
        <w:rPr>
          <w:color w:val="auto"/>
          <w:highlight w:val="none"/>
        </w:rPr>
        <w:instrText xml:space="preserve"> PAGEREF _Toc30235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pacing w:val="0"/>
          <w:szCs w:val="24"/>
          <w:highlight w:val="none"/>
        </w:rPr>
        <w:fldChar w:fldCharType="end"/>
      </w:r>
    </w:p>
    <w:p w14:paraId="4783FB15">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_Toc31924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 xml:space="preserve">11. </w:t>
      </w:r>
      <w:r>
        <w:rPr>
          <w:rFonts w:hint="eastAsia" w:ascii="宋体" w:hAnsi="宋体" w:eastAsia="宋体" w:cs="宋体"/>
          <w:color w:val="auto"/>
          <w:spacing w:val="0"/>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_Toc31924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pacing w:val="0"/>
          <w:szCs w:val="24"/>
          <w:highlight w:val="none"/>
        </w:rPr>
        <w:fldChar w:fldCharType="end"/>
      </w:r>
    </w:p>
    <w:p w14:paraId="2AA511D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_Toc3066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lang w:val="en-US" w:eastAsia="zh-CN"/>
        </w:rPr>
        <w:t>12.</w:t>
      </w:r>
      <w:r>
        <w:rPr>
          <w:rFonts w:hint="eastAsia" w:ascii="宋体" w:hAnsi="宋体" w:eastAsia="宋体" w:cs="宋体"/>
          <w:bCs/>
          <w:color w:val="auto"/>
          <w:spacing w:val="0"/>
          <w:w w:val="101"/>
          <w:szCs w:val="24"/>
          <w:highlight w:val="none"/>
        </w:rPr>
        <w:t xml:space="preserve"> </w:t>
      </w:r>
      <w:r>
        <w:rPr>
          <w:rFonts w:hint="eastAsia" w:ascii="宋体" w:hAnsi="宋体" w:eastAsia="宋体" w:cs="宋体"/>
          <w:bCs/>
          <w:color w:val="auto"/>
          <w:spacing w:val="0"/>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_Toc3066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pacing w:val="0"/>
          <w:szCs w:val="24"/>
          <w:highlight w:val="none"/>
        </w:rPr>
        <w:fldChar w:fldCharType="end"/>
      </w:r>
    </w:p>
    <w:p w14:paraId="26C2279D">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_Toc24236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13 ．投标文件的提交</w:t>
      </w:r>
      <w:r>
        <w:rPr>
          <w:color w:val="auto"/>
          <w:highlight w:val="none"/>
        </w:rPr>
        <w:tab/>
      </w:r>
      <w:r>
        <w:rPr>
          <w:color w:val="auto"/>
          <w:highlight w:val="none"/>
        </w:rPr>
        <w:fldChar w:fldCharType="begin"/>
      </w:r>
      <w:r>
        <w:rPr>
          <w:color w:val="auto"/>
          <w:highlight w:val="none"/>
        </w:rPr>
        <w:instrText xml:space="preserve"> PAGEREF _Toc24236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pacing w:val="0"/>
          <w:szCs w:val="24"/>
          <w:highlight w:val="none"/>
        </w:rPr>
        <w:fldChar w:fldCharType="end"/>
      </w:r>
    </w:p>
    <w:p w14:paraId="78C38BD5">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_Toc26618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14 ．开标</w:t>
      </w:r>
      <w:r>
        <w:rPr>
          <w:color w:val="auto"/>
          <w:highlight w:val="none"/>
        </w:rPr>
        <w:tab/>
      </w:r>
      <w:r>
        <w:rPr>
          <w:color w:val="auto"/>
          <w:highlight w:val="none"/>
        </w:rPr>
        <w:fldChar w:fldCharType="begin"/>
      </w:r>
      <w:r>
        <w:rPr>
          <w:color w:val="auto"/>
          <w:highlight w:val="none"/>
        </w:rPr>
        <w:instrText xml:space="preserve"> PAGEREF _Toc26618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pacing w:val="0"/>
          <w:szCs w:val="24"/>
          <w:highlight w:val="none"/>
        </w:rPr>
        <w:fldChar w:fldCharType="end"/>
      </w:r>
    </w:p>
    <w:p w14:paraId="4210115B">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_Toc32532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15 ．评标</w:t>
      </w:r>
      <w:r>
        <w:rPr>
          <w:color w:val="auto"/>
          <w:highlight w:val="none"/>
        </w:rPr>
        <w:tab/>
      </w:r>
      <w:r>
        <w:rPr>
          <w:color w:val="auto"/>
          <w:highlight w:val="none"/>
        </w:rPr>
        <w:fldChar w:fldCharType="begin"/>
      </w:r>
      <w:r>
        <w:rPr>
          <w:color w:val="auto"/>
          <w:highlight w:val="none"/>
        </w:rPr>
        <w:instrText xml:space="preserve"> PAGEREF _Toc32532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color w:val="auto"/>
          <w:spacing w:val="0"/>
          <w:szCs w:val="24"/>
          <w:highlight w:val="none"/>
        </w:rPr>
        <w:fldChar w:fldCharType="end"/>
      </w:r>
    </w:p>
    <w:p w14:paraId="068C07FD">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_Toc15145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16 ．中标候选人公示</w:t>
      </w:r>
      <w:r>
        <w:rPr>
          <w:color w:val="auto"/>
          <w:highlight w:val="none"/>
        </w:rPr>
        <w:tab/>
      </w:r>
      <w:r>
        <w:rPr>
          <w:color w:val="auto"/>
          <w:highlight w:val="none"/>
        </w:rPr>
        <w:fldChar w:fldCharType="begin"/>
      </w:r>
      <w:r>
        <w:rPr>
          <w:color w:val="auto"/>
          <w:highlight w:val="none"/>
        </w:rPr>
        <w:instrText xml:space="preserve"> PAGEREF _Toc15145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eastAsia="宋体" w:cs="宋体"/>
          <w:color w:val="auto"/>
          <w:spacing w:val="0"/>
          <w:szCs w:val="24"/>
          <w:highlight w:val="none"/>
        </w:rPr>
        <w:fldChar w:fldCharType="end"/>
      </w:r>
    </w:p>
    <w:p w14:paraId="70AE0149">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_Toc29548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第四节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_Toc29548 \h </w:instrText>
      </w:r>
      <w:r>
        <w:rPr>
          <w:color w:val="auto"/>
          <w:highlight w:val="none"/>
        </w:rPr>
        <w:fldChar w:fldCharType="separate"/>
      </w:r>
      <w:r>
        <w:rPr>
          <w:color w:val="auto"/>
          <w:highlight w:val="none"/>
        </w:rPr>
        <w:t>34</w:t>
      </w:r>
      <w:r>
        <w:rPr>
          <w:color w:val="auto"/>
          <w:highlight w:val="none"/>
        </w:rPr>
        <w:fldChar w:fldCharType="end"/>
      </w:r>
      <w:r>
        <w:rPr>
          <w:rFonts w:hint="eastAsia" w:ascii="宋体" w:hAnsi="宋体" w:eastAsia="宋体" w:cs="宋体"/>
          <w:color w:val="auto"/>
          <w:spacing w:val="0"/>
          <w:szCs w:val="24"/>
          <w:highlight w:val="none"/>
        </w:rPr>
        <w:fldChar w:fldCharType="end"/>
      </w:r>
    </w:p>
    <w:p w14:paraId="71B8C6B3">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_Toc29452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．资格评审环节</w:t>
      </w:r>
      <w:r>
        <w:rPr>
          <w:color w:val="auto"/>
          <w:highlight w:val="none"/>
        </w:rPr>
        <w:tab/>
      </w:r>
      <w:r>
        <w:rPr>
          <w:color w:val="auto"/>
          <w:highlight w:val="none"/>
        </w:rPr>
        <w:fldChar w:fldCharType="begin"/>
      </w:r>
      <w:r>
        <w:rPr>
          <w:color w:val="auto"/>
          <w:highlight w:val="none"/>
        </w:rPr>
        <w:instrText xml:space="preserve"> PAGEREF _Toc29452 \h </w:instrText>
      </w:r>
      <w:r>
        <w:rPr>
          <w:color w:val="auto"/>
          <w:highlight w:val="none"/>
        </w:rPr>
        <w:fldChar w:fldCharType="separate"/>
      </w:r>
      <w:r>
        <w:rPr>
          <w:color w:val="auto"/>
          <w:highlight w:val="none"/>
        </w:rPr>
        <w:t>34</w:t>
      </w:r>
      <w:r>
        <w:rPr>
          <w:color w:val="auto"/>
          <w:highlight w:val="none"/>
        </w:rPr>
        <w:fldChar w:fldCharType="end"/>
      </w:r>
      <w:r>
        <w:rPr>
          <w:rFonts w:hint="eastAsia" w:ascii="宋体" w:hAnsi="宋体" w:eastAsia="宋体" w:cs="宋体"/>
          <w:color w:val="auto"/>
          <w:spacing w:val="0"/>
          <w:szCs w:val="24"/>
          <w:highlight w:val="none"/>
        </w:rPr>
        <w:fldChar w:fldCharType="end"/>
      </w:r>
    </w:p>
    <w:p w14:paraId="280DEFB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_Toc28964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．形式评审环节</w:t>
      </w:r>
      <w:r>
        <w:rPr>
          <w:color w:val="auto"/>
          <w:highlight w:val="none"/>
        </w:rPr>
        <w:tab/>
      </w:r>
      <w:r>
        <w:rPr>
          <w:color w:val="auto"/>
          <w:highlight w:val="none"/>
        </w:rPr>
        <w:fldChar w:fldCharType="begin"/>
      </w:r>
      <w:r>
        <w:rPr>
          <w:color w:val="auto"/>
          <w:highlight w:val="none"/>
        </w:rPr>
        <w:instrText xml:space="preserve"> PAGEREF _Toc28964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color w:val="auto"/>
          <w:spacing w:val="0"/>
          <w:szCs w:val="24"/>
          <w:highlight w:val="none"/>
        </w:rPr>
        <w:fldChar w:fldCharType="end"/>
      </w:r>
    </w:p>
    <w:p w14:paraId="50E82D03">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_Toc23907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．响应性评审环节</w:t>
      </w:r>
      <w:r>
        <w:rPr>
          <w:color w:val="auto"/>
          <w:highlight w:val="none"/>
        </w:rPr>
        <w:tab/>
      </w:r>
      <w:r>
        <w:rPr>
          <w:color w:val="auto"/>
          <w:highlight w:val="none"/>
        </w:rPr>
        <w:fldChar w:fldCharType="begin"/>
      </w:r>
      <w:r>
        <w:rPr>
          <w:color w:val="auto"/>
          <w:highlight w:val="none"/>
        </w:rPr>
        <w:instrText xml:space="preserve"> PAGEREF _Toc23907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color w:val="auto"/>
          <w:spacing w:val="0"/>
          <w:szCs w:val="24"/>
          <w:highlight w:val="none"/>
        </w:rPr>
        <w:fldChar w:fldCharType="end"/>
      </w:r>
    </w:p>
    <w:p w14:paraId="60B76D25">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_Toc3267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．其他</w:t>
      </w:r>
      <w:r>
        <w:rPr>
          <w:color w:val="auto"/>
          <w:highlight w:val="none"/>
        </w:rPr>
        <w:tab/>
      </w:r>
      <w:r>
        <w:rPr>
          <w:color w:val="auto"/>
          <w:highlight w:val="none"/>
        </w:rPr>
        <w:fldChar w:fldCharType="begin"/>
      </w:r>
      <w:r>
        <w:rPr>
          <w:color w:val="auto"/>
          <w:highlight w:val="none"/>
        </w:rPr>
        <w:instrText xml:space="preserve"> PAGEREF _Toc3267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spacing w:val="0"/>
          <w:szCs w:val="24"/>
          <w:highlight w:val="none"/>
        </w:rPr>
        <w:fldChar w:fldCharType="end"/>
      </w:r>
    </w:p>
    <w:p w14:paraId="05D48CA2">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_Toc27450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第二章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_Toc27450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pacing w:val="0"/>
          <w:szCs w:val="24"/>
          <w:highlight w:val="none"/>
        </w:rPr>
        <w:fldChar w:fldCharType="end"/>
      </w:r>
    </w:p>
    <w:p w14:paraId="64EE55E8">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_Toc28479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．中标通知书</w:t>
      </w:r>
      <w:r>
        <w:rPr>
          <w:color w:val="auto"/>
          <w:highlight w:val="none"/>
        </w:rPr>
        <w:tab/>
      </w:r>
      <w:r>
        <w:rPr>
          <w:color w:val="auto"/>
          <w:highlight w:val="none"/>
        </w:rPr>
        <w:fldChar w:fldCharType="begin"/>
      </w:r>
      <w:r>
        <w:rPr>
          <w:color w:val="auto"/>
          <w:highlight w:val="none"/>
        </w:rPr>
        <w:instrText xml:space="preserve"> PAGEREF _Toc28479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pacing w:val="0"/>
          <w:szCs w:val="24"/>
          <w:highlight w:val="none"/>
        </w:rPr>
        <w:fldChar w:fldCharType="end"/>
      </w:r>
    </w:p>
    <w:p w14:paraId="1BDF002F">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_Toc5475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．中标结果公示</w:t>
      </w:r>
      <w:r>
        <w:rPr>
          <w:color w:val="auto"/>
          <w:highlight w:val="none"/>
        </w:rPr>
        <w:tab/>
      </w:r>
      <w:r>
        <w:rPr>
          <w:color w:val="auto"/>
          <w:highlight w:val="none"/>
        </w:rPr>
        <w:fldChar w:fldCharType="begin"/>
      </w:r>
      <w:r>
        <w:rPr>
          <w:color w:val="auto"/>
          <w:highlight w:val="none"/>
        </w:rPr>
        <w:instrText xml:space="preserve"> PAGEREF _Toc5475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pacing w:val="0"/>
          <w:szCs w:val="24"/>
          <w:highlight w:val="none"/>
        </w:rPr>
        <w:fldChar w:fldCharType="end"/>
      </w:r>
    </w:p>
    <w:p w14:paraId="125A544E">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_Toc6923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．履约保证</w:t>
      </w:r>
      <w:r>
        <w:rPr>
          <w:color w:val="auto"/>
          <w:highlight w:val="none"/>
        </w:rPr>
        <w:tab/>
      </w:r>
      <w:r>
        <w:rPr>
          <w:color w:val="auto"/>
          <w:highlight w:val="none"/>
        </w:rPr>
        <w:fldChar w:fldCharType="begin"/>
      </w:r>
      <w:r>
        <w:rPr>
          <w:color w:val="auto"/>
          <w:highlight w:val="none"/>
        </w:rPr>
        <w:instrText xml:space="preserve"> PAGEREF _Toc6923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pacing w:val="0"/>
          <w:szCs w:val="24"/>
          <w:highlight w:val="none"/>
        </w:rPr>
        <w:fldChar w:fldCharType="end"/>
      </w:r>
    </w:p>
    <w:p w14:paraId="0DCA145A">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_Toc13767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．合同订立</w:t>
      </w:r>
      <w:r>
        <w:rPr>
          <w:color w:val="auto"/>
          <w:highlight w:val="none"/>
        </w:rPr>
        <w:tab/>
      </w:r>
      <w:r>
        <w:rPr>
          <w:color w:val="auto"/>
          <w:highlight w:val="none"/>
        </w:rPr>
        <w:fldChar w:fldCharType="begin"/>
      </w:r>
      <w:r>
        <w:rPr>
          <w:color w:val="auto"/>
          <w:highlight w:val="none"/>
        </w:rPr>
        <w:instrText xml:space="preserve"> PAGEREF _Toc13767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pacing w:val="0"/>
          <w:szCs w:val="24"/>
          <w:highlight w:val="none"/>
        </w:rPr>
        <w:fldChar w:fldCharType="end"/>
      </w:r>
    </w:p>
    <w:p w14:paraId="008C739D">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_Toc26282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5 ．放弃中标的处理</w:t>
      </w:r>
      <w:r>
        <w:rPr>
          <w:color w:val="auto"/>
          <w:highlight w:val="none"/>
        </w:rPr>
        <w:tab/>
      </w:r>
      <w:r>
        <w:rPr>
          <w:color w:val="auto"/>
          <w:highlight w:val="none"/>
        </w:rPr>
        <w:fldChar w:fldCharType="begin"/>
      </w:r>
      <w:r>
        <w:rPr>
          <w:color w:val="auto"/>
          <w:highlight w:val="none"/>
        </w:rPr>
        <w:instrText xml:space="preserve"> PAGEREF _Toc26282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pacing w:val="0"/>
          <w:szCs w:val="24"/>
          <w:highlight w:val="none"/>
        </w:rPr>
        <w:fldChar w:fldCharType="end"/>
      </w:r>
    </w:p>
    <w:p w14:paraId="2B4A57DE">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_Toc1071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第三章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_Toc1071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pacing w:val="0"/>
          <w:szCs w:val="24"/>
          <w:highlight w:val="none"/>
        </w:rPr>
        <w:fldChar w:fldCharType="end"/>
      </w:r>
    </w:p>
    <w:p w14:paraId="6E309663">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_Toc16583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．工程承包方式</w:t>
      </w:r>
      <w:r>
        <w:rPr>
          <w:color w:val="auto"/>
          <w:highlight w:val="none"/>
        </w:rPr>
        <w:tab/>
      </w:r>
      <w:r>
        <w:rPr>
          <w:color w:val="auto"/>
          <w:highlight w:val="none"/>
        </w:rPr>
        <w:fldChar w:fldCharType="begin"/>
      </w:r>
      <w:r>
        <w:rPr>
          <w:color w:val="auto"/>
          <w:highlight w:val="none"/>
        </w:rPr>
        <w:instrText xml:space="preserve"> PAGEREF _Toc16583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pacing w:val="0"/>
          <w:szCs w:val="24"/>
          <w:highlight w:val="none"/>
        </w:rPr>
        <w:fldChar w:fldCharType="end"/>
      </w:r>
    </w:p>
    <w:p w14:paraId="1145B4BA">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_Toc6776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．工程结算原则</w:t>
      </w:r>
      <w:r>
        <w:rPr>
          <w:color w:val="auto"/>
          <w:highlight w:val="none"/>
        </w:rPr>
        <w:tab/>
      </w:r>
      <w:r>
        <w:rPr>
          <w:color w:val="auto"/>
          <w:highlight w:val="none"/>
        </w:rPr>
        <w:fldChar w:fldCharType="begin"/>
      </w:r>
      <w:r>
        <w:rPr>
          <w:color w:val="auto"/>
          <w:highlight w:val="none"/>
        </w:rPr>
        <w:instrText xml:space="preserve"> PAGEREF _Toc6776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pacing w:val="0"/>
          <w:szCs w:val="24"/>
          <w:highlight w:val="none"/>
        </w:rPr>
        <w:fldChar w:fldCharType="end"/>
      </w:r>
    </w:p>
    <w:p w14:paraId="212B9BA1">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_Toc12836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工程付款办法</w:t>
      </w:r>
      <w:r>
        <w:rPr>
          <w:color w:val="auto"/>
          <w:highlight w:val="none"/>
        </w:rPr>
        <w:tab/>
      </w:r>
      <w:r>
        <w:rPr>
          <w:color w:val="auto"/>
          <w:highlight w:val="none"/>
        </w:rPr>
        <w:fldChar w:fldCharType="begin"/>
      </w:r>
      <w:r>
        <w:rPr>
          <w:color w:val="auto"/>
          <w:highlight w:val="none"/>
        </w:rPr>
        <w:instrText xml:space="preserve"> PAGEREF _Toc12836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spacing w:val="0"/>
          <w:szCs w:val="24"/>
          <w:highlight w:val="none"/>
        </w:rPr>
        <w:fldChar w:fldCharType="end"/>
      </w:r>
    </w:p>
    <w:p w14:paraId="313C6D6E">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_Toc17236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．其他专用合同条款</w:t>
      </w:r>
      <w:r>
        <w:rPr>
          <w:color w:val="auto"/>
          <w:highlight w:val="none"/>
        </w:rPr>
        <w:tab/>
      </w:r>
      <w:r>
        <w:rPr>
          <w:color w:val="auto"/>
          <w:highlight w:val="none"/>
        </w:rPr>
        <w:fldChar w:fldCharType="begin"/>
      </w:r>
      <w:r>
        <w:rPr>
          <w:color w:val="auto"/>
          <w:highlight w:val="none"/>
        </w:rPr>
        <w:instrText xml:space="preserve"> PAGEREF _Toc17236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color w:val="auto"/>
          <w:spacing w:val="0"/>
          <w:szCs w:val="24"/>
          <w:highlight w:val="none"/>
        </w:rPr>
        <w:fldChar w:fldCharType="end"/>
      </w:r>
    </w:p>
    <w:p w14:paraId="67662DC1">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_Toc29657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第四章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_Toc29657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pacing w:val="0"/>
          <w:szCs w:val="24"/>
          <w:highlight w:val="none"/>
        </w:rPr>
        <w:fldChar w:fldCharType="end"/>
      </w:r>
    </w:p>
    <w:p w14:paraId="5ED849FD">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_Toc12281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．房屋建筑工程建设项目</w:t>
      </w:r>
      <w:r>
        <w:rPr>
          <w:color w:val="auto"/>
          <w:highlight w:val="none"/>
        </w:rPr>
        <w:tab/>
      </w:r>
      <w:r>
        <w:rPr>
          <w:color w:val="auto"/>
          <w:highlight w:val="none"/>
        </w:rPr>
        <w:fldChar w:fldCharType="begin"/>
      </w:r>
      <w:r>
        <w:rPr>
          <w:color w:val="auto"/>
          <w:highlight w:val="none"/>
        </w:rPr>
        <w:instrText xml:space="preserve"> PAGEREF _Toc12281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pacing w:val="0"/>
          <w:szCs w:val="24"/>
          <w:highlight w:val="none"/>
        </w:rPr>
        <w:fldChar w:fldCharType="end"/>
      </w:r>
    </w:p>
    <w:p w14:paraId="36BE01CB">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_Toc25790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．市政基础设施工程建设项目</w:t>
      </w:r>
      <w:r>
        <w:rPr>
          <w:color w:val="auto"/>
          <w:highlight w:val="none"/>
        </w:rPr>
        <w:tab/>
      </w:r>
      <w:r>
        <w:rPr>
          <w:color w:val="auto"/>
          <w:highlight w:val="none"/>
        </w:rPr>
        <w:fldChar w:fldCharType="begin"/>
      </w:r>
      <w:r>
        <w:rPr>
          <w:color w:val="auto"/>
          <w:highlight w:val="none"/>
        </w:rPr>
        <w:instrText xml:space="preserve"> PAGEREF _Toc25790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pacing w:val="0"/>
          <w:szCs w:val="24"/>
          <w:highlight w:val="none"/>
        </w:rPr>
        <w:fldChar w:fldCharType="end"/>
      </w:r>
    </w:p>
    <w:p w14:paraId="65BACB4A">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_Toc21619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．备查要求</w:t>
      </w:r>
      <w:r>
        <w:rPr>
          <w:color w:val="auto"/>
          <w:highlight w:val="none"/>
        </w:rPr>
        <w:tab/>
      </w:r>
      <w:r>
        <w:rPr>
          <w:color w:val="auto"/>
          <w:highlight w:val="none"/>
        </w:rPr>
        <w:fldChar w:fldCharType="begin"/>
      </w:r>
      <w:r>
        <w:rPr>
          <w:color w:val="auto"/>
          <w:highlight w:val="none"/>
        </w:rPr>
        <w:instrText xml:space="preserve"> PAGEREF _Toc21619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eastAsia="宋体" w:cs="宋体"/>
          <w:color w:val="auto"/>
          <w:spacing w:val="0"/>
          <w:szCs w:val="24"/>
          <w:highlight w:val="none"/>
        </w:rPr>
        <w:fldChar w:fldCharType="end"/>
      </w:r>
    </w:p>
    <w:p w14:paraId="45805995">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_Toc16118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第五章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_Toc16118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eastAsia="宋体" w:cs="宋体"/>
          <w:color w:val="auto"/>
          <w:spacing w:val="0"/>
          <w:szCs w:val="24"/>
          <w:highlight w:val="none"/>
        </w:rPr>
        <w:fldChar w:fldCharType="end"/>
      </w:r>
    </w:p>
    <w:p w14:paraId="0233E092">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_Toc26492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．图纸</w:t>
      </w:r>
      <w:r>
        <w:rPr>
          <w:color w:val="auto"/>
          <w:highlight w:val="none"/>
        </w:rPr>
        <w:tab/>
      </w:r>
      <w:r>
        <w:rPr>
          <w:color w:val="auto"/>
          <w:highlight w:val="none"/>
        </w:rPr>
        <w:fldChar w:fldCharType="begin"/>
      </w:r>
      <w:r>
        <w:rPr>
          <w:color w:val="auto"/>
          <w:highlight w:val="none"/>
        </w:rPr>
        <w:instrText xml:space="preserve"> PAGEREF _Toc26492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eastAsia="宋体" w:cs="宋体"/>
          <w:color w:val="auto"/>
          <w:spacing w:val="0"/>
          <w:szCs w:val="24"/>
          <w:highlight w:val="none"/>
        </w:rPr>
        <w:fldChar w:fldCharType="end"/>
      </w:r>
    </w:p>
    <w:p w14:paraId="3C2A8448">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_Toc14061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．招标工程量清单</w:t>
      </w:r>
      <w:r>
        <w:rPr>
          <w:color w:val="auto"/>
          <w:highlight w:val="none"/>
        </w:rPr>
        <w:tab/>
      </w:r>
      <w:r>
        <w:rPr>
          <w:color w:val="auto"/>
          <w:highlight w:val="none"/>
        </w:rPr>
        <w:fldChar w:fldCharType="begin"/>
      </w:r>
      <w:r>
        <w:rPr>
          <w:color w:val="auto"/>
          <w:highlight w:val="none"/>
        </w:rPr>
        <w:instrText xml:space="preserve"> PAGEREF _Toc14061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eastAsia="宋体" w:cs="宋体"/>
          <w:color w:val="auto"/>
          <w:spacing w:val="0"/>
          <w:szCs w:val="24"/>
          <w:highlight w:val="none"/>
        </w:rPr>
        <w:fldChar w:fldCharType="end"/>
      </w:r>
    </w:p>
    <w:p w14:paraId="7185FBBE">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_Toc10748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第六章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_Toc10748 \h </w:instrText>
      </w:r>
      <w:r>
        <w:rPr>
          <w:color w:val="auto"/>
          <w:highlight w:val="none"/>
        </w:rPr>
        <w:fldChar w:fldCharType="separate"/>
      </w:r>
      <w:r>
        <w:rPr>
          <w:color w:val="auto"/>
          <w:highlight w:val="none"/>
        </w:rPr>
        <w:t>58</w:t>
      </w:r>
      <w:r>
        <w:rPr>
          <w:color w:val="auto"/>
          <w:highlight w:val="none"/>
        </w:rPr>
        <w:fldChar w:fldCharType="end"/>
      </w:r>
      <w:r>
        <w:rPr>
          <w:rFonts w:hint="eastAsia" w:ascii="宋体" w:hAnsi="宋体" w:eastAsia="宋体" w:cs="宋体"/>
          <w:color w:val="auto"/>
          <w:spacing w:val="0"/>
          <w:szCs w:val="24"/>
          <w:highlight w:val="none"/>
        </w:rPr>
        <w:fldChar w:fldCharType="end"/>
      </w:r>
    </w:p>
    <w:p w14:paraId="1C4561D0">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_Toc14166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格式一</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封面</w:t>
      </w:r>
      <w:r>
        <w:rPr>
          <w:color w:val="auto"/>
          <w:highlight w:val="none"/>
        </w:rPr>
        <w:tab/>
      </w:r>
      <w:r>
        <w:rPr>
          <w:color w:val="auto"/>
          <w:highlight w:val="none"/>
        </w:rPr>
        <w:fldChar w:fldCharType="begin"/>
      </w:r>
      <w:r>
        <w:rPr>
          <w:color w:val="auto"/>
          <w:highlight w:val="none"/>
        </w:rPr>
        <w:instrText xml:space="preserve"> PAGEREF _Toc14166 \h </w:instrText>
      </w:r>
      <w:r>
        <w:rPr>
          <w:color w:val="auto"/>
          <w:highlight w:val="none"/>
        </w:rPr>
        <w:fldChar w:fldCharType="separate"/>
      </w:r>
      <w:r>
        <w:rPr>
          <w:color w:val="auto"/>
          <w:highlight w:val="none"/>
        </w:rPr>
        <w:t>58</w:t>
      </w:r>
      <w:r>
        <w:rPr>
          <w:color w:val="auto"/>
          <w:highlight w:val="none"/>
        </w:rPr>
        <w:fldChar w:fldCharType="end"/>
      </w:r>
      <w:r>
        <w:rPr>
          <w:rFonts w:hint="eastAsia" w:ascii="宋体" w:hAnsi="宋体" w:eastAsia="宋体" w:cs="宋体"/>
          <w:color w:val="auto"/>
          <w:spacing w:val="0"/>
          <w:szCs w:val="24"/>
          <w:highlight w:val="none"/>
        </w:rPr>
        <w:fldChar w:fldCharType="end"/>
      </w:r>
    </w:p>
    <w:p w14:paraId="7508810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_Toc31651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_Toc31651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pacing w:val="0"/>
          <w:szCs w:val="24"/>
          <w:highlight w:val="none"/>
        </w:rPr>
        <w:fldChar w:fldCharType="end"/>
      </w:r>
    </w:p>
    <w:p w14:paraId="02E96039">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_Toc18910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_Toc18910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color w:val="auto"/>
          <w:spacing w:val="0"/>
          <w:szCs w:val="24"/>
          <w:highlight w:val="none"/>
        </w:rPr>
        <w:fldChar w:fldCharType="end"/>
      </w:r>
    </w:p>
    <w:p w14:paraId="686FFB7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_Toc11578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_Toc11578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pacing w:val="0"/>
          <w:szCs w:val="24"/>
          <w:highlight w:val="none"/>
        </w:rPr>
        <w:fldChar w:fldCharType="end"/>
      </w:r>
    </w:p>
    <w:p w14:paraId="736404F0">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_Toc31408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_Toc31408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pacing w:val="0"/>
          <w:szCs w:val="24"/>
          <w:highlight w:val="none"/>
        </w:rPr>
        <w:fldChar w:fldCharType="end"/>
      </w:r>
    </w:p>
    <w:p w14:paraId="76799EA1">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_Toc18080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_Toc18080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pacing w:val="0"/>
          <w:szCs w:val="24"/>
          <w:highlight w:val="none"/>
        </w:rPr>
        <w:fldChar w:fldCharType="end"/>
      </w:r>
    </w:p>
    <w:p w14:paraId="1404129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_Toc13577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_Toc13577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color w:val="auto"/>
          <w:spacing w:val="0"/>
          <w:szCs w:val="24"/>
          <w:highlight w:val="none"/>
        </w:rPr>
        <w:fldChar w:fldCharType="end"/>
      </w:r>
    </w:p>
    <w:p w14:paraId="09F79C74">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_Toc26000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_Toc26000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eastAsia="宋体" w:cs="宋体"/>
          <w:color w:val="auto"/>
          <w:spacing w:val="0"/>
          <w:szCs w:val="24"/>
          <w:highlight w:val="none"/>
        </w:rPr>
        <w:fldChar w:fldCharType="end"/>
      </w:r>
    </w:p>
    <w:p w14:paraId="0311F7FA">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_Toc18789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_Toc18789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eastAsia="宋体" w:cs="宋体"/>
          <w:color w:val="auto"/>
          <w:spacing w:val="0"/>
          <w:szCs w:val="24"/>
          <w:highlight w:val="none"/>
        </w:rPr>
        <w:fldChar w:fldCharType="end"/>
      </w:r>
    </w:p>
    <w:p w14:paraId="6E53784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_Toc17307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_Toc17307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color w:val="auto"/>
          <w:spacing w:val="0"/>
          <w:szCs w:val="24"/>
          <w:highlight w:val="none"/>
        </w:rPr>
        <w:fldChar w:fldCharType="end"/>
      </w:r>
    </w:p>
    <w:p w14:paraId="3749D653">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_Toc4617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_Toc4617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pacing w:val="0"/>
          <w:szCs w:val="24"/>
          <w:highlight w:val="none"/>
        </w:rPr>
        <w:fldChar w:fldCharType="end"/>
      </w:r>
    </w:p>
    <w:p w14:paraId="194E6904">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_Toc9474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_Toc9474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color w:val="auto"/>
          <w:spacing w:val="0"/>
          <w:szCs w:val="24"/>
          <w:highlight w:val="none"/>
        </w:rPr>
        <w:fldChar w:fldCharType="end"/>
      </w:r>
    </w:p>
    <w:p w14:paraId="17CD42EA">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_Toc4348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格式十三</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2"/>
          <w:highlight w:val="none"/>
        </w:rPr>
        <w:t>危险性较大的分部分项工程清单及超过一定规模的危险性较大的分部分项工程清单</w:t>
      </w:r>
      <w:r>
        <w:rPr>
          <w:color w:val="auto"/>
          <w:highlight w:val="none"/>
        </w:rPr>
        <w:tab/>
      </w:r>
      <w:r>
        <w:rPr>
          <w:color w:val="auto"/>
          <w:highlight w:val="none"/>
        </w:rPr>
        <w:fldChar w:fldCharType="begin"/>
      </w:r>
      <w:r>
        <w:rPr>
          <w:color w:val="auto"/>
          <w:highlight w:val="none"/>
        </w:rPr>
        <w:instrText xml:space="preserve"> PAGEREF _Toc4348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pacing w:val="0"/>
          <w:szCs w:val="24"/>
          <w:highlight w:val="none"/>
        </w:rPr>
        <w:fldChar w:fldCharType="end"/>
      </w:r>
    </w:p>
    <w:p w14:paraId="03EC6450">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_Toc16211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格式十四</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position w:val="3"/>
          <w:szCs w:val="21"/>
          <w:highlight w:val="none"/>
        </w:rPr>
        <w:t>投标保证金信用承诺函</w:t>
      </w:r>
      <w:r>
        <w:rPr>
          <w:color w:val="auto"/>
          <w:highlight w:val="none"/>
        </w:rPr>
        <w:tab/>
      </w:r>
      <w:r>
        <w:rPr>
          <w:color w:val="auto"/>
          <w:highlight w:val="none"/>
        </w:rPr>
        <w:fldChar w:fldCharType="begin"/>
      </w:r>
      <w:r>
        <w:rPr>
          <w:color w:val="auto"/>
          <w:highlight w:val="none"/>
        </w:rPr>
        <w:instrText xml:space="preserve"> PAGEREF _Toc16211 \h </w:instrText>
      </w:r>
      <w:r>
        <w:rPr>
          <w:color w:val="auto"/>
          <w:highlight w:val="none"/>
        </w:rPr>
        <w:fldChar w:fldCharType="separate"/>
      </w:r>
      <w:r>
        <w:rPr>
          <w:color w:val="auto"/>
          <w:highlight w:val="none"/>
        </w:rPr>
        <w:t>77</w:t>
      </w:r>
      <w:r>
        <w:rPr>
          <w:color w:val="auto"/>
          <w:highlight w:val="none"/>
        </w:rPr>
        <w:fldChar w:fldCharType="end"/>
      </w:r>
      <w:r>
        <w:rPr>
          <w:rFonts w:hint="eastAsia" w:ascii="宋体" w:hAnsi="宋体" w:eastAsia="宋体" w:cs="宋体"/>
          <w:color w:val="auto"/>
          <w:spacing w:val="0"/>
          <w:szCs w:val="24"/>
          <w:highlight w:val="none"/>
        </w:rPr>
        <w:fldChar w:fldCharType="end"/>
      </w:r>
    </w:p>
    <w:p w14:paraId="39E7ED20">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_Toc31403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w:t>
      </w:r>
      <w:r>
        <w:rPr>
          <w:rFonts w:hint="eastAsia" w:ascii="宋体" w:hAnsi="宋体" w:eastAsia="宋体" w:cs="宋体"/>
          <w:bCs/>
          <w:color w:val="auto"/>
          <w:spacing w:val="0"/>
          <w:szCs w:val="24"/>
          <w:highlight w:val="none"/>
          <w:lang w:eastAsia="zh-CN"/>
        </w:rPr>
        <w:t>五</w:t>
      </w:r>
      <w:r>
        <w:rPr>
          <w:rFonts w:hint="eastAsia" w:ascii="宋体" w:hAnsi="宋体" w:eastAsia="宋体" w:cs="宋体"/>
          <w:bCs/>
          <w:color w:val="auto"/>
          <w:spacing w:val="0"/>
          <w:szCs w:val="24"/>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_Toc31403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eastAsia="宋体" w:cs="宋体"/>
          <w:color w:val="auto"/>
          <w:spacing w:val="0"/>
          <w:szCs w:val="24"/>
          <w:highlight w:val="none"/>
        </w:rPr>
        <w:fldChar w:fldCharType="end"/>
      </w:r>
    </w:p>
    <w:p w14:paraId="7FE716AA">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_Toc24054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第七章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_Toc24054 \h </w:instrText>
      </w:r>
      <w:r>
        <w:rPr>
          <w:color w:val="auto"/>
          <w:highlight w:val="none"/>
        </w:rPr>
        <w:fldChar w:fldCharType="separate"/>
      </w:r>
      <w:r>
        <w:rPr>
          <w:color w:val="auto"/>
          <w:highlight w:val="none"/>
        </w:rPr>
        <w:t>79</w:t>
      </w:r>
      <w:r>
        <w:rPr>
          <w:color w:val="auto"/>
          <w:highlight w:val="none"/>
        </w:rPr>
        <w:fldChar w:fldCharType="end"/>
      </w:r>
      <w:r>
        <w:rPr>
          <w:rFonts w:hint="eastAsia" w:ascii="宋体" w:hAnsi="宋体" w:eastAsia="宋体" w:cs="宋体"/>
          <w:color w:val="auto"/>
          <w:spacing w:val="0"/>
          <w:szCs w:val="24"/>
          <w:highlight w:val="none"/>
        </w:rPr>
        <w:fldChar w:fldCharType="end"/>
      </w:r>
    </w:p>
    <w:p w14:paraId="27FCFAE2">
      <w:pPr>
        <w:keepNext w:val="0"/>
        <w:keepLines w:val="0"/>
        <w:pageBreakBefore w:val="0"/>
        <w:wordWrap w:val="0"/>
        <w:overflowPunct/>
        <w:topLinePunct w:val="0"/>
        <w:bidi w:val="0"/>
        <w:spacing w:line="220" w:lineRule="auto"/>
        <w:jc w:val="center"/>
        <w:rPr>
          <w:rFonts w:hint="eastAsia" w:ascii="宋体" w:hAnsi="宋体" w:eastAsia="宋体" w:cs="宋体"/>
          <w:color w:val="auto"/>
          <w:spacing w:val="0"/>
          <w:sz w:val="24"/>
          <w:szCs w:val="24"/>
          <w:highlight w:val="none"/>
        </w:rPr>
        <w:sectPr>
          <w:footerReference r:id="rId6"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3E7F6199">
      <w:pPr>
        <w:pStyle w:val="5"/>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19D58121">
      <w:pPr>
        <w:keepNext w:val="0"/>
        <w:keepLines w:val="0"/>
        <w:pageBreakBefore w:val="0"/>
        <w:wordWrap w:val="0"/>
        <w:overflowPunct/>
        <w:topLinePunct w:val="0"/>
        <w:bidi w:val="0"/>
        <w:spacing w:before="78" w:line="219" w:lineRule="auto"/>
        <w:ind w:left="3416"/>
        <w:outlineLvl w:val="0"/>
        <w:rPr>
          <w:rFonts w:hint="eastAsia" w:ascii="宋体" w:hAnsi="宋体" w:eastAsia="宋体" w:cs="宋体"/>
          <w:color w:val="auto"/>
          <w:spacing w:val="0"/>
          <w:sz w:val="24"/>
          <w:szCs w:val="24"/>
          <w:highlight w:val="none"/>
        </w:rPr>
      </w:pPr>
      <w:bookmarkStart w:id="4" w:name="bookmark1"/>
      <w:bookmarkEnd w:id="4"/>
      <w:bookmarkStart w:id="5" w:name="_Toc23700"/>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5"/>
    </w:p>
    <w:p w14:paraId="1D9D1C5E">
      <w:pPr>
        <w:keepNext w:val="0"/>
        <w:keepLines w:val="0"/>
        <w:pageBreakBefore w:val="0"/>
        <w:wordWrap w:val="0"/>
        <w:overflowPunct/>
        <w:topLinePunct w:val="0"/>
        <w:bidi w:val="0"/>
        <w:spacing w:before="156" w:line="219" w:lineRule="auto"/>
        <w:ind w:left="17"/>
        <w:outlineLvl w:val="1"/>
        <w:rPr>
          <w:rFonts w:hint="eastAsia" w:ascii="宋体" w:hAnsi="宋体" w:eastAsia="宋体" w:cs="宋体"/>
          <w:color w:val="auto"/>
          <w:spacing w:val="0"/>
          <w:sz w:val="24"/>
          <w:szCs w:val="24"/>
          <w:highlight w:val="none"/>
        </w:rPr>
      </w:pPr>
      <w:bookmarkStart w:id="6" w:name="bookmark3"/>
      <w:bookmarkEnd w:id="6"/>
      <w:bookmarkStart w:id="7" w:name="_Toc14046"/>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7"/>
    </w:p>
    <w:p w14:paraId="328DCE00">
      <w:pPr>
        <w:keepNext w:val="0"/>
        <w:keepLines w:val="0"/>
        <w:pageBreakBefore w:val="0"/>
        <w:wordWrap w:val="0"/>
        <w:overflowPunct/>
        <w:topLinePunct w:val="0"/>
        <w:bidi w:val="0"/>
        <w:spacing w:before="25"/>
        <w:rPr>
          <w:rFonts w:hint="eastAsia" w:ascii="宋体" w:hAnsi="宋体" w:eastAsia="宋体" w:cs="宋体"/>
          <w:color w:val="auto"/>
          <w:spacing w:val="0"/>
          <w:highlight w:val="none"/>
        </w:rPr>
      </w:pPr>
    </w:p>
    <w:tbl>
      <w:tblPr>
        <w:tblStyle w:val="15"/>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656"/>
      </w:tblGrid>
      <w:tr w14:paraId="72D4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0B3B9697">
            <w:pPr>
              <w:keepNext w:val="0"/>
              <w:keepLines w:val="0"/>
              <w:pageBreakBefore w:val="0"/>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序号</w:t>
            </w:r>
          </w:p>
        </w:tc>
        <w:tc>
          <w:tcPr>
            <w:tcW w:w="1860" w:type="dxa"/>
            <w:vAlign w:val="center"/>
          </w:tcPr>
          <w:p w14:paraId="19ED7D5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内容</w:t>
            </w:r>
          </w:p>
        </w:tc>
        <w:tc>
          <w:tcPr>
            <w:tcW w:w="7656" w:type="dxa"/>
            <w:vAlign w:val="center"/>
          </w:tcPr>
          <w:p w14:paraId="69AAEBD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说明与要求</w:t>
            </w:r>
          </w:p>
        </w:tc>
      </w:tr>
      <w:tr w14:paraId="475A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74E0D7C9">
            <w:pPr>
              <w:keepNext w:val="0"/>
              <w:keepLines w:val="0"/>
              <w:pageBreakBefore w:val="0"/>
              <w:wordWrap w:val="0"/>
              <w:overflowPunct/>
              <w:topLinePunct w:val="0"/>
              <w:bidi w:val="0"/>
              <w:spacing w:before="223" w:line="195" w:lineRule="auto"/>
              <w:jc w:val="center"/>
              <w:rPr>
                <w:rFonts w:hint="eastAsia" w:asciiTheme="minorEastAsia" w:hAnsiTheme="minorEastAsia" w:eastAsiaTheme="minorEastAsia" w:cstheme="minorEastAsia"/>
                <w:color w:val="auto"/>
                <w:spacing w:val="0"/>
                <w:sz w:val="21"/>
                <w:szCs w:val="21"/>
                <w:highlight w:val="none"/>
              </w:rPr>
            </w:pPr>
            <w:bookmarkStart w:id="8" w:name="OLE_LINK2" w:colFirst="2" w:colLast="2"/>
            <w:r>
              <w:rPr>
                <w:rFonts w:hint="eastAsia" w:asciiTheme="minorEastAsia" w:hAnsiTheme="minorEastAsia" w:eastAsiaTheme="minorEastAsia" w:cstheme="minorEastAsia"/>
                <w:color w:val="auto"/>
                <w:spacing w:val="0"/>
                <w:sz w:val="21"/>
                <w:szCs w:val="21"/>
                <w:highlight w:val="none"/>
              </w:rPr>
              <w:t>1</w:t>
            </w:r>
          </w:p>
        </w:tc>
        <w:tc>
          <w:tcPr>
            <w:tcW w:w="1860" w:type="dxa"/>
            <w:vAlign w:val="center"/>
          </w:tcPr>
          <w:p w14:paraId="77F6BBD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项目名称</w:t>
            </w:r>
          </w:p>
        </w:tc>
        <w:tc>
          <w:tcPr>
            <w:tcW w:w="7656" w:type="dxa"/>
            <w:vAlign w:val="center"/>
          </w:tcPr>
          <w:p w14:paraId="532B993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2025年曲江区老旧小区基础设施提质升级工程施工</w:t>
            </w:r>
          </w:p>
        </w:tc>
      </w:tr>
      <w:tr w14:paraId="4289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17BA0D05">
            <w:pPr>
              <w:keepNext w:val="0"/>
              <w:keepLines w:val="0"/>
              <w:pageBreakBefore w:val="0"/>
              <w:wordWrap w:val="0"/>
              <w:overflowPunct/>
              <w:topLinePunct w:val="0"/>
              <w:bidi w:val="0"/>
              <w:spacing w:before="22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w:t>
            </w:r>
          </w:p>
        </w:tc>
        <w:tc>
          <w:tcPr>
            <w:tcW w:w="1860" w:type="dxa"/>
            <w:vAlign w:val="center"/>
          </w:tcPr>
          <w:p w14:paraId="7037B07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项目业主</w:t>
            </w:r>
          </w:p>
        </w:tc>
        <w:tc>
          <w:tcPr>
            <w:tcW w:w="7656" w:type="dxa"/>
            <w:vAlign w:val="center"/>
          </w:tcPr>
          <w:p w14:paraId="668CFFD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hAnsi="宋体"/>
                <w:bCs/>
                <w:snapToGrid w:val="0"/>
                <w:color w:val="000000"/>
                <w:kern w:val="0"/>
                <w:szCs w:val="24"/>
                <w:highlight w:val="none"/>
                <w:lang w:eastAsia="zh-CN"/>
              </w:rPr>
              <w:t>韶关市曲江区马坝镇人民政府</w:t>
            </w:r>
          </w:p>
        </w:tc>
      </w:tr>
      <w:tr w14:paraId="3CC4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7CFC6834">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w:t>
            </w:r>
          </w:p>
        </w:tc>
        <w:tc>
          <w:tcPr>
            <w:tcW w:w="1860" w:type="dxa"/>
            <w:vAlign w:val="center"/>
          </w:tcPr>
          <w:p w14:paraId="1D8C731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项目批准部门及项目批准文号</w:t>
            </w:r>
          </w:p>
        </w:tc>
        <w:tc>
          <w:tcPr>
            <w:tcW w:w="7656" w:type="dxa"/>
            <w:vAlign w:val="center"/>
          </w:tcPr>
          <w:p w14:paraId="227B5B7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韶关市曲江区发展和改革局/曲发改投审〔2025】73号</w:t>
            </w:r>
          </w:p>
        </w:tc>
      </w:tr>
      <w:tr w14:paraId="0466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051FA886">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w:t>
            </w:r>
          </w:p>
        </w:tc>
        <w:tc>
          <w:tcPr>
            <w:tcW w:w="1860" w:type="dxa"/>
            <w:vAlign w:val="center"/>
          </w:tcPr>
          <w:p w14:paraId="173D534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建设地点</w:t>
            </w:r>
          </w:p>
        </w:tc>
        <w:tc>
          <w:tcPr>
            <w:tcW w:w="7656" w:type="dxa"/>
            <w:tcMar>
              <w:top w:w="0" w:type="dxa"/>
              <w:left w:w="0" w:type="dxa"/>
              <w:bottom w:w="0" w:type="dxa"/>
              <w:right w:w="0" w:type="dxa"/>
            </w:tcMar>
            <w:vAlign w:val="center"/>
          </w:tcPr>
          <w:p w14:paraId="4F6374F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韶关市曲江区马坝镇城区</w:t>
            </w:r>
          </w:p>
        </w:tc>
      </w:tr>
      <w:tr w14:paraId="3A81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450FC760">
            <w:pPr>
              <w:keepNext w:val="0"/>
              <w:keepLines w:val="0"/>
              <w:pageBreakBefore w:val="0"/>
              <w:wordWrap w:val="0"/>
              <w:overflowPunct/>
              <w:topLinePunct w:val="0"/>
              <w:bidi w:val="0"/>
              <w:spacing w:before="226"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w:t>
            </w:r>
          </w:p>
        </w:tc>
        <w:tc>
          <w:tcPr>
            <w:tcW w:w="1860" w:type="dxa"/>
            <w:vAlign w:val="center"/>
          </w:tcPr>
          <w:p w14:paraId="2FA1A06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项目代码</w:t>
            </w:r>
          </w:p>
        </w:tc>
        <w:tc>
          <w:tcPr>
            <w:tcW w:w="7656" w:type="dxa"/>
            <w:vAlign w:val="center"/>
          </w:tcPr>
          <w:p w14:paraId="6C1B10A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2505-440205-04-01-398621 </w:t>
            </w:r>
          </w:p>
        </w:tc>
      </w:tr>
      <w:tr w14:paraId="3B28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70F7E675">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w:t>
            </w:r>
          </w:p>
        </w:tc>
        <w:tc>
          <w:tcPr>
            <w:tcW w:w="1860" w:type="dxa"/>
            <w:vAlign w:val="center"/>
          </w:tcPr>
          <w:p w14:paraId="076C571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资金来源及落实情况</w:t>
            </w:r>
          </w:p>
        </w:tc>
        <w:tc>
          <w:tcPr>
            <w:tcW w:w="7656" w:type="dxa"/>
            <w:vAlign w:val="center"/>
          </w:tcPr>
          <w:p w14:paraId="396A755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default" w:hAnsi="宋体" w:eastAsia="宋体"/>
                <w:bCs/>
                <w:snapToGrid w:val="0"/>
                <w:color w:val="000000"/>
                <w:kern w:val="0"/>
                <w:szCs w:val="24"/>
                <w:highlight w:val="none"/>
                <w:lang w:val="en-US" w:eastAsia="zh-CN"/>
              </w:rPr>
              <w:t>地方政府专项资金、和区财政统筹；100%</w:t>
            </w:r>
          </w:p>
        </w:tc>
      </w:tr>
      <w:tr w14:paraId="74F1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366162C8">
            <w:pPr>
              <w:keepNext w:val="0"/>
              <w:keepLines w:val="0"/>
              <w:pageBreakBefore w:val="0"/>
              <w:wordWrap w:val="0"/>
              <w:overflowPunct/>
              <w:topLinePunct w:val="0"/>
              <w:bidi w:val="0"/>
              <w:spacing w:before="228"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w:t>
            </w:r>
          </w:p>
        </w:tc>
        <w:tc>
          <w:tcPr>
            <w:tcW w:w="1860" w:type="dxa"/>
            <w:vAlign w:val="center"/>
          </w:tcPr>
          <w:p w14:paraId="6571BB3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招标人</w:t>
            </w:r>
          </w:p>
        </w:tc>
        <w:tc>
          <w:tcPr>
            <w:tcW w:w="7656" w:type="dxa"/>
            <w:vAlign w:val="center"/>
          </w:tcPr>
          <w:p w14:paraId="5A51AAB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韶关市曲江区马坝镇人民政府</w:t>
            </w:r>
          </w:p>
        </w:tc>
      </w:tr>
      <w:tr w14:paraId="5AC8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2CA8EC53">
            <w:pPr>
              <w:keepNext w:val="0"/>
              <w:keepLines w:val="0"/>
              <w:pageBreakBefore w:val="0"/>
              <w:wordWrap w:val="0"/>
              <w:overflowPunct/>
              <w:topLinePunct w:val="0"/>
              <w:bidi w:val="0"/>
              <w:spacing w:before="224"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w:t>
            </w:r>
          </w:p>
        </w:tc>
        <w:tc>
          <w:tcPr>
            <w:tcW w:w="1860" w:type="dxa"/>
            <w:vAlign w:val="center"/>
          </w:tcPr>
          <w:p w14:paraId="26315F1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招标代理机构</w:t>
            </w:r>
          </w:p>
        </w:tc>
        <w:tc>
          <w:tcPr>
            <w:tcW w:w="7656" w:type="dxa"/>
            <w:vAlign w:val="center"/>
          </w:tcPr>
          <w:p w14:paraId="5671F1C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深圳市祺骏建设工程顾问有限公司</w:t>
            </w:r>
          </w:p>
        </w:tc>
      </w:tr>
      <w:tr w14:paraId="5241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CCF4160">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w:t>
            </w:r>
          </w:p>
        </w:tc>
        <w:tc>
          <w:tcPr>
            <w:tcW w:w="1860" w:type="dxa"/>
            <w:vAlign w:val="center"/>
          </w:tcPr>
          <w:p w14:paraId="282F243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设计单位</w:t>
            </w:r>
          </w:p>
        </w:tc>
        <w:tc>
          <w:tcPr>
            <w:tcW w:w="7656" w:type="dxa"/>
            <w:vAlign w:val="center"/>
          </w:tcPr>
          <w:p w14:paraId="64DCF5B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中启信项目咨询有限公司/福建省邮电工程有限公司</w:t>
            </w:r>
          </w:p>
        </w:tc>
      </w:tr>
      <w:bookmarkEnd w:id="8"/>
      <w:tr w14:paraId="09A9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344CFF93">
            <w:pPr>
              <w:keepNext w:val="0"/>
              <w:keepLines w:val="0"/>
              <w:pageBreakBefore w:val="0"/>
              <w:wordWrap w:val="0"/>
              <w:overflowPunct/>
              <w:topLinePunct w:val="0"/>
              <w:bidi w:val="0"/>
              <w:spacing w:before="24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w:t>
            </w:r>
          </w:p>
        </w:tc>
        <w:tc>
          <w:tcPr>
            <w:tcW w:w="1860" w:type="dxa"/>
            <w:vAlign w:val="center"/>
          </w:tcPr>
          <w:p w14:paraId="4FA0A8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造价咨询单位</w:t>
            </w:r>
          </w:p>
        </w:tc>
        <w:tc>
          <w:tcPr>
            <w:tcW w:w="7656" w:type="dxa"/>
            <w:vAlign w:val="center"/>
          </w:tcPr>
          <w:p w14:paraId="0BCD7A4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☑非全过程造价咨询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p>
        </w:tc>
      </w:tr>
      <w:tr w14:paraId="5294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14195DA">
            <w:pPr>
              <w:keepNext w:val="0"/>
              <w:keepLines w:val="0"/>
              <w:pageBreakBefore w:val="0"/>
              <w:wordWrap w:val="0"/>
              <w:overflowPunct/>
              <w:topLinePunct w:val="0"/>
              <w:bidi w:val="0"/>
              <w:spacing w:before="24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w:t>
            </w:r>
          </w:p>
        </w:tc>
        <w:tc>
          <w:tcPr>
            <w:tcW w:w="1860" w:type="dxa"/>
            <w:vAlign w:val="center"/>
          </w:tcPr>
          <w:p w14:paraId="1DA3D72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监理单位</w:t>
            </w:r>
          </w:p>
        </w:tc>
        <w:tc>
          <w:tcPr>
            <w:tcW w:w="7656" w:type="dxa"/>
            <w:vAlign w:val="center"/>
          </w:tcPr>
          <w:p w14:paraId="63E12C9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☑已确定监理单位</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□未确定监理单位</w:t>
            </w:r>
          </w:p>
        </w:tc>
      </w:tr>
      <w:tr w14:paraId="0997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1A236413">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w:t>
            </w:r>
            <w:r>
              <w:rPr>
                <w:rFonts w:hint="eastAsia" w:asciiTheme="minorEastAsia" w:hAnsiTheme="minorEastAsia" w:eastAsiaTheme="minorEastAsia" w:cstheme="minorEastAsia"/>
                <w:color w:val="auto"/>
                <w:spacing w:val="0"/>
                <w:sz w:val="21"/>
                <w:szCs w:val="21"/>
                <w:highlight w:val="none"/>
              </w:rPr>
              <w:t>2</w:t>
            </w:r>
          </w:p>
        </w:tc>
        <w:tc>
          <w:tcPr>
            <w:tcW w:w="1860" w:type="dxa"/>
            <w:vAlign w:val="center"/>
          </w:tcPr>
          <w:p w14:paraId="238F963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建设内容和规模</w:t>
            </w:r>
          </w:p>
        </w:tc>
        <w:tc>
          <w:tcPr>
            <w:tcW w:w="7656" w:type="dxa"/>
            <w:vAlign w:val="center"/>
          </w:tcPr>
          <w:p w14:paraId="108E2112">
            <w:pPr>
              <w:spacing w:before="78" w:line="220" w:lineRule="auto"/>
              <w:ind w:left="273"/>
              <w:rPr>
                <w:rFonts w:hint="eastAsia" w:ascii="宋体" w:hAnsi="宋体" w:eastAsia="宋体" w:cs="宋体"/>
                <w:color w:val="auto"/>
                <w:sz w:val="24"/>
                <w:szCs w:val="24"/>
                <w:lang w:val="en-US" w:eastAsia="zh-CN"/>
              </w:rPr>
            </w:pPr>
            <w:r>
              <w:rPr>
                <w:rFonts w:hint="eastAsia" w:ascii="宋体" w:hAnsi="宋体" w:eastAsia="宋体" w:cs="宋体"/>
                <w:color w:val="auto"/>
                <w:spacing w:val="-6"/>
                <w:sz w:val="24"/>
                <w:szCs w:val="24"/>
                <w:lang w:eastAsia="zh-CN"/>
              </w:rPr>
              <w:t>□</w:t>
            </w:r>
            <w:r>
              <w:rPr>
                <w:rFonts w:ascii="宋体" w:hAnsi="宋体" w:eastAsia="宋体" w:cs="宋体"/>
                <w:color w:val="auto"/>
                <w:spacing w:val="-6"/>
                <w:sz w:val="24"/>
                <w:szCs w:val="24"/>
              </w:rPr>
              <w:t>建设规模：</w:t>
            </w:r>
            <w:r>
              <w:rPr>
                <w:rFonts w:hint="eastAsia" w:ascii="宋体" w:hAnsi="宋体" w:eastAsia="宋体" w:cs="宋体"/>
                <w:color w:val="auto"/>
                <w:spacing w:val="-6"/>
                <w:sz w:val="24"/>
                <w:szCs w:val="24"/>
                <w:lang w:val="en-US" w:eastAsia="zh-CN"/>
              </w:rPr>
              <w:t>/</w:t>
            </w:r>
          </w:p>
          <w:p w14:paraId="7C49A259">
            <w:pPr>
              <w:numPr>
                <w:ilvl w:val="0"/>
                <w:numId w:val="0"/>
              </w:numPr>
              <w:wordWrap w:val="0"/>
              <w:adjustRightInd w:val="0"/>
              <w:snapToGrid w:val="0"/>
              <w:spacing w:line="400" w:lineRule="exact"/>
              <w:jc w:val="left"/>
              <w:rPr>
                <w:rFonts w:ascii="宋体" w:hAnsi="宋体" w:eastAsia="宋体" w:cs="宋体"/>
                <w:color w:val="auto"/>
                <w:spacing w:val="-7"/>
                <w:sz w:val="24"/>
                <w:szCs w:val="24"/>
              </w:rPr>
            </w:pPr>
            <w:r>
              <w:rPr>
                <w:rFonts w:hint="eastAsia" w:hAnsi="宋体" w:eastAsia="宋体"/>
                <w:bCs/>
                <w:snapToGrid w:val="0"/>
                <w:color w:val="auto"/>
                <w:kern w:val="0"/>
                <w:szCs w:val="24"/>
                <w:highlight w:val="none"/>
                <w:lang w:val="en-US" w:eastAsia="zh-CN"/>
              </w:rPr>
              <w:t xml:space="preserve">   </w:t>
            </w:r>
            <w:r>
              <w:rPr>
                <w:rFonts w:hint="eastAsia" w:ascii="宋体" w:hAnsi="宋体" w:eastAsia="宋体" w:cs="宋体"/>
                <w:color w:val="auto"/>
                <w:spacing w:val="-7"/>
                <w:sz w:val="24"/>
                <w:szCs w:val="24"/>
                <w:lang w:eastAsia="zh-CN"/>
              </w:rPr>
              <w:t>☑</w:t>
            </w:r>
            <w:r>
              <w:rPr>
                <w:rFonts w:ascii="宋体" w:hAnsi="宋体" w:eastAsia="宋体" w:cs="宋体"/>
                <w:color w:val="auto"/>
                <w:spacing w:val="-7"/>
                <w:sz w:val="24"/>
                <w:szCs w:val="24"/>
              </w:rPr>
              <w:t>建设内容</w:t>
            </w:r>
          </w:p>
          <w:p w14:paraId="26E13A81">
            <w:pPr>
              <w:numPr>
                <w:ilvl w:val="0"/>
                <w:numId w:val="0"/>
              </w:numPr>
              <w:wordWrap w:val="0"/>
              <w:adjustRightInd w:val="0"/>
              <w:snapToGrid w:val="0"/>
              <w:spacing w:line="400" w:lineRule="exact"/>
              <w:jc w:val="left"/>
              <w:rPr>
                <w:rFonts w:hint="eastAsia" w:hAnsi="宋体" w:eastAsia="宋体"/>
                <w:bCs/>
                <w:snapToGrid w:val="0"/>
                <w:color w:val="auto"/>
                <w:kern w:val="0"/>
                <w:szCs w:val="24"/>
                <w:highlight w:val="none"/>
                <w:lang w:eastAsia="zh-CN"/>
              </w:rPr>
            </w:pPr>
            <w:r>
              <w:rPr>
                <w:rFonts w:hint="eastAsia" w:ascii="宋体" w:hAnsi="宋体" w:eastAsia="宋体"/>
                <w:bCs/>
                <w:snapToGrid w:val="0"/>
                <w:color w:val="auto"/>
                <w:kern w:val="0"/>
                <w:sz w:val="24"/>
                <w:szCs w:val="24"/>
                <w:lang w:val="en-US" w:eastAsia="zh-CN" w:bidi="ar-SA"/>
              </w:rPr>
              <w:t>1.</w:t>
            </w:r>
            <w:r>
              <w:rPr>
                <w:rFonts w:hint="eastAsia" w:hAnsi="宋体" w:eastAsia="宋体"/>
                <w:bCs/>
                <w:snapToGrid w:val="0"/>
                <w:color w:val="auto"/>
                <w:kern w:val="0"/>
                <w:szCs w:val="24"/>
                <w:highlight w:val="none"/>
                <w:lang w:eastAsia="zh-CN"/>
              </w:rPr>
              <w:t>新建DN200-300管网长度约3245米;2.同步实施8700平方米沥青道路新建及5750平方米道路硬化改造;3.配套建设910米排水沟及10个非机动车停车棚等附属设施。</w:t>
            </w:r>
          </w:p>
          <w:p w14:paraId="36525292">
            <w:pPr>
              <w:numPr>
                <w:ilvl w:val="0"/>
                <w:numId w:val="0"/>
              </w:numPr>
              <w:wordWrap w:val="0"/>
              <w:adjustRightInd w:val="0"/>
              <w:snapToGrid w:val="0"/>
              <w:spacing w:line="400" w:lineRule="exact"/>
              <w:jc w:val="left"/>
              <w:rPr>
                <w:rFonts w:hint="eastAsia" w:asciiTheme="minorEastAsia" w:hAnsiTheme="minorEastAsia" w:eastAsiaTheme="minorEastAsia" w:cstheme="minorEastAsia"/>
                <w:snapToGrid w:val="0"/>
                <w:color w:val="auto"/>
                <w:spacing w:val="0"/>
                <w:kern w:val="0"/>
                <w:sz w:val="21"/>
                <w:szCs w:val="21"/>
                <w:highlight w:val="none"/>
                <w:lang w:eastAsia="zh-CN"/>
              </w:rPr>
            </w:pPr>
          </w:p>
        </w:tc>
      </w:tr>
      <w:tr w14:paraId="644D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42A6983">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w:t>
            </w:r>
          </w:p>
        </w:tc>
        <w:tc>
          <w:tcPr>
            <w:tcW w:w="1860" w:type="dxa"/>
            <w:vAlign w:val="center"/>
          </w:tcPr>
          <w:p w14:paraId="1021C78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项目总投资</w:t>
            </w:r>
          </w:p>
        </w:tc>
        <w:tc>
          <w:tcPr>
            <w:tcW w:w="7656" w:type="dxa"/>
            <w:vAlign w:val="center"/>
          </w:tcPr>
          <w:p w14:paraId="6D8B6EF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项目概算总投资742.17万元，其中工程费用649.47万元。工程建设其他费用57.36万元。预备费用35.34万元。</w:t>
            </w:r>
          </w:p>
        </w:tc>
      </w:tr>
      <w:tr w14:paraId="0950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2AA02770">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w:t>
            </w:r>
          </w:p>
        </w:tc>
        <w:tc>
          <w:tcPr>
            <w:tcW w:w="1860" w:type="dxa"/>
            <w:vAlign w:val="center"/>
          </w:tcPr>
          <w:p w14:paraId="07E980E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招标范围</w:t>
            </w:r>
          </w:p>
        </w:tc>
        <w:tc>
          <w:tcPr>
            <w:tcW w:w="7656" w:type="dxa"/>
            <w:vAlign w:val="center"/>
          </w:tcPr>
          <w:p w14:paraId="1C157EC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按审查合格的施工图纸及工程量清单内容施工</w:t>
            </w:r>
          </w:p>
        </w:tc>
      </w:tr>
      <w:tr w14:paraId="381E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54A4B3D7">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p>
        </w:tc>
        <w:tc>
          <w:tcPr>
            <w:tcW w:w="1860" w:type="dxa"/>
            <w:vAlign w:val="center"/>
          </w:tcPr>
          <w:p w14:paraId="008F7D2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标段划分</w:t>
            </w:r>
          </w:p>
        </w:tc>
        <w:tc>
          <w:tcPr>
            <w:tcW w:w="7656" w:type="dxa"/>
            <w:vAlign w:val="center"/>
          </w:tcPr>
          <w:p w14:paraId="399708B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本招标项目不划分标段。 </w:t>
            </w:r>
          </w:p>
        </w:tc>
      </w:tr>
      <w:tr w14:paraId="363F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5770D8C8">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16</w:t>
            </w:r>
          </w:p>
        </w:tc>
        <w:tc>
          <w:tcPr>
            <w:tcW w:w="1860" w:type="dxa"/>
            <w:vAlign w:val="center"/>
          </w:tcPr>
          <w:p w14:paraId="137EF6D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工期</w:t>
            </w:r>
          </w:p>
        </w:tc>
        <w:tc>
          <w:tcPr>
            <w:tcW w:w="7656" w:type="dxa"/>
            <w:vAlign w:val="top"/>
          </w:tcPr>
          <w:p w14:paraId="60942BF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90个日历天</w:t>
            </w:r>
            <w:r>
              <w:rPr>
                <w:rFonts w:hint="eastAsia" w:asciiTheme="minorEastAsia" w:hAnsiTheme="minorEastAsia" w:eastAsiaTheme="minorEastAsia" w:cstheme="minorEastAsia"/>
                <w:snapToGrid w:val="0"/>
                <w:color w:val="auto"/>
                <w:spacing w:val="0"/>
                <w:kern w:val="0"/>
                <w:sz w:val="21"/>
                <w:szCs w:val="21"/>
                <w:highlight w:val="none"/>
                <w:lang w:eastAsia="zh-CN"/>
              </w:rPr>
              <w:t>。具体如下：</w:t>
            </w:r>
          </w:p>
          <w:p w14:paraId="1F718CC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☑总工期：</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天 （日历天）。</w:t>
            </w:r>
          </w:p>
          <w:p w14:paraId="327EB7D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□计划开工日期：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日（具体开工日期以合同为准）</w:t>
            </w:r>
          </w:p>
          <w:p w14:paraId="311790F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□计划竣工日期：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w:t>
            </w:r>
          </w:p>
          <w:p w14:paraId="0556B03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p>
        </w:tc>
      </w:tr>
      <w:tr w14:paraId="7F79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5" w:hRule="atLeast"/>
        </w:trPr>
        <w:tc>
          <w:tcPr>
            <w:tcW w:w="582" w:type="dxa"/>
            <w:vAlign w:val="center"/>
          </w:tcPr>
          <w:p w14:paraId="56267ED2">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17</w:t>
            </w:r>
          </w:p>
        </w:tc>
        <w:tc>
          <w:tcPr>
            <w:tcW w:w="1860" w:type="dxa"/>
            <w:vAlign w:val="center"/>
          </w:tcPr>
          <w:p w14:paraId="01C4252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p>
        </w:tc>
        <w:tc>
          <w:tcPr>
            <w:tcW w:w="7656" w:type="dxa"/>
            <w:vAlign w:val="top"/>
          </w:tcPr>
          <w:p w14:paraId="728C8EF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r>
              <w:rPr>
                <w:rFonts w:hint="eastAsia" w:asciiTheme="minorEastAsia" w:hAnsiTheme="minorEastAsia" w:eastAsiaTheme="minorEastAsia" w:cstheme="minorEastAsia"/>
                <w:snapToGrid w:val="0"/>
                <w:color w:val="auto"/>
                <w:spacing w:val="0"/>
                <w:kern w:val="0"/>
                <w:sz w:val="21"/>
                <w:szCs w:val="21"/>
                <w:highlight w:val="none"/>
                <w:lang w:val="en-US" w:eastAsia="zh-CN"/>
              </w:rPr>
              <w:t>与质量目标</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符合现行国家有关工程施工质量验收规范和标准的要求，达到验收合格。</w:t>
            </w:r>
          </w:p>
          <w:p w14:paraId="07D4BF0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□优质工程要求：</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无</w:t>
            </w:r>
            <w:r>
              <w:rPr>
                <w:rFonts w:hint="eastAsia" w:asciiTheme="minorEastAsia" w:hAnsiTheme="minorEastAsia" w:eastAsiaTheme="minorEastAsia" w:cstheme="minorEastAsia"/>
                <w:snapToGrid w:val="0"/>
                <w:color w:val="auto"/>
                <w:spacing w:val="0"/>
                <w:kern w:val="0"/>
                <w:sz w:val="21"/>
                <w:szCs w:val="21"/>
                <w:highlight w:val="none"/>
                <w:lang w:eastAsia="zh-CN"/>
              </w:rPr>
              <w:t>....</w:t>
            </w:r>
          </w:p>
          <w:p w14:paraId="0774398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工程优质费：☑无</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3511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5AB239EA">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18</w:t>
            </w:r>
          </w:p>
        </w:tc>
        <w:tc>
          <w:tcPr>
            <w:tcW w:w="1860" w:type="dxa"/>
            <w:vMerge w:val="restart"/>
            <w:vAlign w:val="center"/>
          </w:tcPr>
          <w:p w14:paraId="622B96A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合同类型</w:t>
            </w:r>
          </w:p>
        </w:tc>
        <w:tc>
          <w:tcPr>
            <w:tcW w:w="7656" w:type="dxa"/>
            <w:vAlign w:val="top"/>
          </w:tcPr>
          <w:p w14:paraId="53CC1F5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532EACA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60E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408CEF7F">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p>
        </w:tc>
        <w:tc>
          <w:tcPr>
            <w:tcW w:w="1860" w:type="dxa"/>
            <w:vMerge w:val="continue"/>
            <w:vAlign w:val="center"/>
          </w:tcPr>
          <w:p w14:paraId="2E3DAA8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c>
          <w:tcPr>
            <w:tcW w:w="7656" w:type="dxa"/>
            <w:vAlign w:val="top"/>
          </w:tcPr>
          <w:p w14:paraId="1E4954C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1A40AEF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0040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2E4921D9">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w:t>
            </w:r>
          </w:p>
        </w:tc>
        <w:tc>
          <w:tcPr>
            <w:tcW w:w="1860" w:type="dxa"/>
            <w:vAlign w:val="center"/>
          </w:tcPr>
          <w:p w14:paraId="26A78BB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房屋建筑工程绿色建筑标准</w:t>
            </w:r>
          </w:p>
        </w:tc>
        <w:tc>
          <w:tcPr>
            <w:tcW w:w="7656" w:type="dxa"/>
            <w:vAlign w:val="center"/>
          </w:tcPr>
          <w:p w14:paraId="78E2A8C0">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b/>
                <w:bCs/>
                <w:snapToGrid w:val="0"/>
                <w:color w:val="auto"/>
                <w:spacing w:val="0"/>
                <w:kern w:val="0"/>
                <w:sz w:val="21"/>
                <w:szCs w:val="21"/>
                <w:highlight w:val="none"/>
                <w:lang w:val="en-US" w:eastAsia="zh-CN"/>
              </w:rPr>
              <w:t>不</w:t>
            </w:r>
            <w:r>
              <w:rPr>
                <w:rFonts w:hint="eastAsia" w:asciiTheme="minorEastAsia" w:hAnsiTheme="minorEastAsia" w:eastAsiaTheme="minorEastAsia" w:cstheme="minorEastAsia"/>
                <w:b/>
                <w:bCs/>
                <w:snapToGrid w:val="0"/>
                <w:color w:val="auto"/>
                <w:spacing w:val="0"/>
                <w:kern w:val="0"/>
                <w:sz w:val="21"/>
                <w:szCs w:val="21"/>
                <w:highlight w:val="none"/>
                <w:lang w:eastAsia="zh-CN"/>
              </w:rPr>
              <w:t>纳入</w:t>
            </w:r>
            <w:r>
              <w:rPr>
                <w:rFonts w:hint="eastAsia" w:asciiTheme="minorEastAsia" w:hAnsiTheme="minorEastAsia" w:eastAsiaTheme="minorEastAsia" w:cstheme="minorEastAsia"/>
                <w:snapToGrid w:val="0"/>
                <w:color w:val="auto"/>
                <w:spacing w:val="0"/>
                <w:kern w:val="0"/>
                <w:sz w:val="21"/>
                <w:szCs w:val="21"/>
                <w:highlight w:val="none"/>
                <w:lang w:eastAsia="zh-CN"/>
              </w:rPr>
              <w:t>绿色建设实施范围。</w:t>
            </w:r>
          </w:p>
        </w:tc>
      </w:tr>
      <w:tr w14:paraId="6FA6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FCAF339">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19. 1</w:t>
            </w:r>
          </w:p>
        </w:tc>
        <w:tc>
          <w:tcPr>
            <w:tcW w:w="1860" w:type="dxa"/>
            <w:vAlign w:val="center"/>
          </w:tcPr>
          <w:p w14:paraId="138E19B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装配式建筑标准</w:t>
            </w:r>
          </w:p>
        </w:tc>
        <w:tc>
          <w:tcPr>
            <w:tcW w:w="7656" w:type="dxa"/>
            <w:vAlign w:val="center"/>
          </w:tcPr>
          <w:p w14:paraId="058811A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b/>
                <w:bCs/>
                <w:snapToGrid w:val="0"/>
                <w:color w:val="auto"/>
                <w:spacing w:val="0"/>
                <w:kern w:val="0"/>
                <w:sz w:val="21"/>
                <w:szCs w:val="21"/>
                <w:highlight w:val="none"/>
                <w:u w:val="none"/>
                <w:lang w:val="en-US" w:eastAsia="zh-CN"/>
              </w:rPr>
              <w:t>不</w:t>
            </w:r>
            <w:r>
              <w:rPr>
                <w:rFonts w:hint="eastAsia" w:asciiTheme="minorEastAsia" w:hAnsiTheme="minorEastAsia" w:eastAsiaTheme="minorEastAsia" w:cstheme="minorEastAsia"/>
                <w:b/>
                <w:bCs/>
                <w:snapToGrid w:val="0"/>
                <w:color w:val="auto"/>
                <w:spacing w:val="0"/>
                <w:kern w:val="0"/>
                <w:sz w:val="21"/>
                <w:szCs w:val="21"/>
                <w:highlight w:val="none"/>
                <w:u w:val="none"/>
                <w:lang w:eastAsia="zh-CN"/>
              </w:rPr>
              <w:t>纳入</w:t>
            </w:r>
            <w:r>
              <w:rPr>
                <w:rFonts w:hint="eastAsia" w:asciiTheme="minorEastAsia" w:hAnsiTheme="minorEastAsia" w:eastAsiaTheme="minorEastAsia" w:cstheme="minorEastAsia"/>
                <w:snapToGrid w:val="0"/>
                <w:color w:val="auto"/>
                <w:spacing w:val="0"/>
                <w:kern w:val="0"/>
                <w:sz w:val="21"/>
                <w:szCs w:val="21"/>
                <w:highlight w:val="none"/>
                <w:lang w:eastAsia="zh-CN"/>
              </w:rPr>
              <w:t>装配式建造建设实施范围。</w:t>
            </w:r>
          </w:p>
        </w:tc>
      </w:tr>
      <w:tr w14:paraId="350D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37AC4012">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20</w:t>
            </w:r>
          </w:p>
        </w:tc>
        <w:tc>
          <w:tcPr>
            <w:tcW w:w="1860" w:type="dxa"/>
            <w:vAlign w:val="center"/>
          </w:tcPr>
          <w:p w14:paraId="3F1A6E5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w:t>
            </w:r>
          </w:p>
        </w:tc>
        <w:tc>
          <w:tcPr>
            <w:tcW w:w="7656" w:type="dxa"/>
            <w:vAlign w:val="center"/>
          </w:tcPr>
          <w:p w14:paraId="6F377130">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u w:val="singl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7B0A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B03B97C">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21</w:t>
            </w:r>
          </w:p>
        </w:tc>
        <w:tc>
          <w:tcPr>
            <w:tcW w:w="1860" w:type="dxa"/>
            <w:vAlign w:val="center"/>
          </w:tcPr>
          <w:p w14:paraId="16DCAF8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承包人提供材料和工程设备</w:t>
            </w:r>
          </w:p>
        </w:tc>
        <w:tc>
          <w:tcPr>
            <w:tcW w:w="7656" w:type="dxa"/>
            <w:vAlign w:val="top"/>
          </w:tcPr>
          <w:p w14:paraId="1D86016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7A5517F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□其它说明：鼓励承包人积极采购环保产品进行施工。</w:t>
            </w:r>
          </w:p>
        </w:tc>
      </w:tr>
      <w:tr w14:paraId="6D7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582" w:type="dxa"/>
            <w:vAlign w:val="center"/>
          </w:tcPr>
          <w:p w14:paraId="1D87E405">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w:t>
            </w:r>
          </w:p>
        </w:tc>
        <w:tc>
          <w:tcPr>
            <w:tcW w:w="1860" w:type="dxa"/>
            <w:vAlign w:val="center"/>
          </w:tcPr>
          <w:p w14:paraId="5287367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最高投标限价</w:t>
            </w:r>
          </w:p>
        </w:tc>
        <w:tc>
          <w:tcPr>
            <w:tcW w:w="7656" w:type="dxa"/>
            <w:vAlign w:val="center"/>
          </w:tcPr>
          <w:p w14:paraId="7F10E67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本招标项目的最高投标限价、工程量清单、</w:t>
            </w:r>
            <w:r>
              <w:rPr>
                <w:rFonts w:hint="eastAsia" w:asciiTheme="minorEastAsia" w:hAnsiTheme="minorEastAsia" w:eastAsiaTheme="minorEastAsia" w:cstheme="minorEastAsia"/>
                <w:snapToGrid w:val="0"/>
                <w:color w:val="auto"/>
                <w:spacing w:val="0"/>
                <w:kern w:val="0"/>
                <w:sz w:val="21"/>
                <w:szCs w:val="21"/>
                <w:highlight w:val="none"/>
                <w:lang w:val="en-US" w:eastAsia="zh-CN"/>
              </w:rPr>
              <w:t>施工图纸</w:t>
            </w:r>
            <w:r>
              <w:rPr>
                <w:rFonts w:hint="eastAsia" w:asciiTheme="minorEastAsia" w:hAnsiTheme="minorEastAsia" w:eastAsiaTheme="minorEastAsia" w:cstheme="minorEastAsia"/>
                <w:snapToGrid w:val="0"/>
                <w:color w:val="auto"/>
                <w:spacing w:val="0"/>
                <w:kern w:val="0"/>
                <w:sz w:val="21"/>
                <w:szCs w:val="21"/>
                <w:highlight w:val="none"/>
                <w:lang w:eastAsia="zh-CN"/>
              </w:rPr>
              <w:t>在投标截止时间15天前以补充公告的形式在广东省招标投标监管网（http://zbtb.gd.gov.cn）、全国公共资源交易平台（广东省·韶关市）（https://ygp.gdzwfw.gov.cn/ggzy-portal/#/440200/index）网站公布。</w:t>
            </w:r>
          </w:p>
        </w:tc>
      </w:tr>
      <w:tr w14:paraId="7B2D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0" w:hRule="atLeast"/>
        </w:trPr>
        <w:tc>
          <w:tcPr>
            <w:tcW w:w="582" w:type="dxa"/>
            <w:vAlign w:val="center"/>
          </w:tcPr>
          <w:p w14:paraId="56A97F9E">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w:t>
            </w:r>
          </w:p>
        </w:tc>
        <w:tc>
          <w:tcPr>
            <w:tcW w:w="1860" w:type="dxa"/>
            <w:vAlign w:val="center"/>
          </w:tcPr>
          <w:p w14:paraId="1B810CB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投标人的投标报价</w:t>
            </w:r>
          </w:p>
        </w:tc>
        <w:tc>
          <w:tcPr>
            <w:tcW w:w="7656" w:type="dxa"/>
            <w:vAlign w:val="center"/>
          </w:tcPr>
          <w:p w14:paraId="336A7B7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D0A050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□其他：</w:t>
            </w:r>
          </w:p>
          <w:p w14:paraId="3027C25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64F6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549488CB">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w:t>
            </w:r>
          </w:p>
        </w:tc>
        <w:tc>
          <w:tcPr>
            <w:tcW w:w="1860" w:type="dxa"/>
            <w:vAlign w:val="center"/>
          </w:tcPr>
          <w:p w14:paraId="0D89F13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投标报价风险</w:t>
            </w:r>
          </w:p>
        </w:tc>
        <w:tc>
          <w:tcPr>
            <w:tcW w:w="7656" w:type="dxa"/>
            <w:vAlign w:val="center"/>
          </w:tcPr>
          <w:p w14:paraId="6D97436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7C54C6B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1048065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☑人工费、材料费、机具费、管理费、利润、措施项目费（不含安全生产措施费）投标人漏报或不报，招标人视为有关费用 已包括在工程量清单项目的其它单价及合价中不予另外增加。</w:t>
            </w:r>
          </w:p>
          <w:p w14:paraId="7709D9C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☑措施项目中的安全生产措施费，必须按国家、省级、市级（即工程所在地）行业建设主管部门的规定计算，不得作为竞争性费用。</w:t>
            </w:r>
          </w:p>
          <w:p w14:paraId="6B5443E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3441017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233EC73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7269FB8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1DE6EF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45F9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7CF41204">
            <w:pPr>
              <w:keepNext w:val="0"/>
              <w:keepLines w:val="0"/>
              <w:pageBreakBefore w:val="0"/>
              <w:wordWrap w:val="0"/>
              <w:overflowPunct/>
              <w:topLinePunct w:val="0"/>
              <w:bidi w:val="0"/>
              <w:spacing w:before="284"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w:t>
            </w:r>
          </w:p>
        </w:tc>
        <w:tc>
          <w:tcPr>
            <w:tcW w:w="1860" w:type="dxa"/>
            <w:vAlign w:val="center"/>
          </w:tcPr>
          <w:p w14:paraId="7F34D84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投标费用</w:t>
            </w:r>
          </w:p>
        </w:tc>
        <w:tc>
          <w:tcPr>
            <w:tcW w:w="7656" w:type="dxa"/>
            <w:vAlign w:val="center"/>
          </w:tcPr>
          <w:p w14:paraId="245C35A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投标人自行承担编制与递交投标文件的一切费用。</w:t>
            </w:r>
          </w:p>
        </w:tc>
      </w:tr>
      <w:tr w14:paraId="3BD4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2E4D401F">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26</w:t>
            </w:r>
          </w:p>
        </w:tc>
        <w:tc>
          <w:tcPr>
            <w:tcW w:w="1860" w:type="dxa"/>
            <w:vAlign w:val="center"/>
          </w:tcPr>
          <w:p w14:paraId="02950C3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投标人资格要求</w:t>
            </w:r>
          </w:p>
        </w:tc>
        <w:tc>
          <w:tcPr>
            <w:tcW w:w="7656" w:type="dxa"/>
            <w:vAlign w:val="center"/>
          </w:tcPr>
          <w:p w14:paraId="33A4EC8E">
            <w:pPr>
              <w:wordWrap w:val="0"/>
              <w:adjustRightInd w:val="0"/>
              <w:snapToGrid w:val="0"/>
              <w:spacing w:line="400" w:lineRule="exact"/>
              <w:ind w:firstLine="210" w:firstLineChars="10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1．本次招标</w:t>
            </w:r>
            <w:r>
              <w:rPr>
                <w:rFonts w:hint="eastAsia" w:asciiTheme="minorEastAsia" w:hAnsiTheme="minorEastAsia" w:eastAsiaTheme="minorEastAsia" w:cstheme="minorEastAsia"/>
                <w:b/>
                <w:bCs/>
                <w:snapToGrid w:val="0"/>
                <w:color w:val="auto"/>
                <w:kern w:val="0"/>
                <w:sz w:val="21"/>
                <w:szCs w:val="21"/>
                <w:highlight w:val="none"/>
                <w:u w:val="single"/>
              </w:rPr>
              <w:t>不接受</w:t>
            </w:r>
            <w:r>
              <w:rPr>
                <w:rFonts w:hint="eastAsia" w:asciiTheme="minorEastAsia" w:hAnsiTheme="minorEastAsia" w:eastAsiaTheme="minorEastAsia" w:cstheme="minorEastAsia"/>
                <w:snapToGrid w:val="0"/>
                <w:color w:val="auto"/>
                <w:kern w:val="0"/>
                <w:sz w:val="21"/>
                <w:szCs w:val="21"/>
                <w:highlight w:val="none"/>
              </w:rPr>
              <w:t>联合体投标。</w:t>
            </w:r>
          </w:p>
          <w:p w14:paraId="4CA8BCF4">
            <w:pPr>
              <w:wordWrap w:val="0"/>
              <w:adjustRightInd w:val="0"/>
              <w:snapToGrid w:val="0"/>
              <w:spacing w:line="400" w:lineRule="exact"/>
              <w:ind w:firstLine="211" w:firstLineChars="100"/>
              <w:jc w:val="left"/>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2．资质要求</w:t>
            </w:r>
          </w:p>
          <w:p w14:paraId="192CE201">
            <w:pPr>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2.1 投标人须具备独立法人资格，按国家法律经营。</w:t>
            </w:r>
          </w:p>
          <w:p w14:paraId="0E457504">
            <w:pPr>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2.2 投标人须持有建设行政主管部门颁发的企业资质证书及安全生产许可证。</w:t>
            </w:r>
          </w:p>
          <w:p w14:paraId="794C463F">
            <w:pPr>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2.3 投标人须具备以下资质：</w:t>
            </w:r>
            <w:r>
              <w:rPr>
                <w:rFonts w:hint="eastAsia" w:asciiTheme="minorEastAsia" w:hAnsiTheme="minorEastAsia" w:eastAsiaTheme="minorEastAsia" w:cstheme="minorEastAsia"/>
                <w:snapToGrid w:val="0"/>
                <w:color w:val="auto"/>
                <w:kern w:val="0"/>
                <w:sz w:val="21"/>
                <w:szCs w:val="21"/>
                <w:highlight w:val="none"/>
                <w:lang w:eastAsia="zh-CN"/>
              </w:rPr>
              <w:t>具有建设行政主管部门颁发的市政公用工程施工总承包三级以上（含三级）资质。</w:t>
            </w:r>
          </w:p>
          <w:p w14:paraId="2C72C46A">
            <w:pPr>
              <w:wordWrap w:val="0"/>
              <w:adjustRightInd w:val="0"/>
              <w:snapToGrid w:val="0"/>
              <w:spacing w:line="400" w:lineRule="exact"/>
              <w:ind w:firstLine="210" w:firstLineChars="100"/>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67F22B66">
            <w:pPr>
              <w:wordWrap w:val="0"/>
              <w:adjustRightInd w:val="0"/>
              <w:snapToGrid w:val="0"/>
              <w:spacing w:line="400" w:lineRule="exact"/>
              <w:ind w:firstLine="211" w:firstLineChars="100"/>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3．相关人员要求</w:t>
            </w:r>
          </w:p>
          <w:p w14:paraId="69B1A1B0">
            <w:pPr>
              <w:wordWrap w:val="0"/>
              <w:adjustRightInd w:val="0"/>
              <w:snapToGrid w:val="0"/>
              <w:spacing w:line="400" w:lineRule="exact"/>
              <w:ind w:firstLine="210" w:firstLineChars="10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3.1 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市政公用工程</w:t>
            </w:r>
            <w:r>
              <w:rPr>
                <w:rFonts w:hint="eastAsia" w:asciiTheme="minorEastAsia" w:hAnsiTheme="minorEastAsia" w:eastAsiaTheme="minorEastAsia" w:cstheme="minorEastAsia"/>
                <w:snapToGrid w:val="0"/>
                <w:color w:val="auto"/>
                <w:kern w:val="0"/>
                <w:sz w:val="21"/>
                <w:szCs w:val="21"/>
                <w:highlight w:val="none"/>
              </w:rPr>
              <w:t>专业一级注册建造师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0F1BF7E7">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 xml:space="preserve">   3.2 </w:t>
            </w:r>
            <w:r>
              <w:rPr>
                <w:rFonts w:hint="eastAsia" w:asciiTheme="minorEastAsia" w:hAnsiTheme="minorEastAsia" w:eastAsiaTheme="minorEastAsia" w:cstheme="minorEastAsia"/>
                <w:snapToGrid w:val="0"/>
                <w:color w:val="auto"/>
                <w:kern w:val="0"/>
                <w:sz w:val="21"/>
                <w:szCs w:val="21"/>
                <w:highlight w:val="none"/>
                <w:lang w:eastAsia="zh-CN"/>
              </w:rPr>
              <w:t>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市政工程 </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u w:val="single"/>
                <w:lang w:eastAsia="zh-CN"/>
              </w:rPr>
              <w:t>中级</w:t>
            </w:r>
            <w:r>
              <w:rPr>
                <w:rFonts w:hint="eastAsia" w:asciiTheme="minorEastAsia" w:hAnsiTheme="minorEastAsia" w:eastAsiaTheme="minorEastAsia" w:cstheme="minorEastAsia"/>
                <w:snapToGrid w:val="0"/>
                <w:color w:val="auto"/>
                <w:kern w:val="0"/>
                <w:sz w:val="21"/>
                <w:szCs w:val="21"/>
                <w:highlight w:val="none"/>
                <w:lang w:eastAsia="zh-CN"/>
              </w:rPr>
              <w:t>以上（含中级）技术职称。</w:t>
            </w:r>
          </w:p>
          <w:p w14:paraId="1FFA74C8">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   3.3 拟派专职安全生产管理人员须具备有效安全生产考核合格证明（C证，安全生产考核合格证书或“广东省建筑施工企业管理人员安全生产考核信息系统”考核合格信息打印页），且不少于</w:t>
            </w:r>
            <w:r>
              <w:rPr>
                <w:rFonts w:hint="eastAsia" w:asciiTheme="minorEastAsia" w:hAnsiTheme="minorEastAsia" w:eastAsiaTheme="minorEastAsia" w:cstheme="minorEastAsia"/>
                <w:snapToGrid w:val="0"/>
                <w:color w:val="auto"/>
                <w:kern w:val="0"/>
                <w:sz w:val="21"/>
                <w:szCs w:val="21"/>
                <w:highlight w:val="none"/>
                <w:u w:val="single"/>
                <w:lang w:val="en-US" w:eastAsia="zh-CN"/>
              </w:rPr>
              <w:t>1</w:t>
            </w:r>
            <w:r>
              <w:rPr>
                <w:rFonts w:hint="eastAsia" w:asciiTheme="minorEastAsia" w:hAnsiTheme="minorEastAsia" w:eastAsiaTheme="minorEastAsia" w:cstheme="minorEastAsia"/>
                <w:snapToGrid w:val="0"/>
                <w:color w:val="auto"/>
                <w:kern w:val="0"/>
                <w:sz w:val="21"/>
                <w:szCs w:val="21"/>
                <w:highlight w:val="none"/>
              </w:rPr>
              <w:t xml:space="preserve">人。 </w:t>
            </w:r>
          </w:p>
          <w:p w14:paraId="236B338B">
            <w:pPr>
              <w:wordWrap w:val="0"/>
              <w:adjustRightInd w:val="0"/>
              <w:snapToGrid w:val="0"/>
              <w:spacing w:line="400" w:lineRule="exact"/>
              <w:ind w:firstLine="210" w:firstLineChars="10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3.4 投标人与其拟派往本项目管理机构的所有人员之间必须具备合法、唯一的劳动聘用关系。拟派人员中具备注册执业资格的，其注册单位须与投标人保持一致。</w:t>
            </w:r>
          </w:p>
          <w:p w14:paraId="7C93DB1D">
            <w:pPr>
              <w:wordWrap w:val="0"/>
              <w:adjustRightInd w:val="0"/>
              <w:snapToGrid w:val="0"/>
              <w:spacing w:line="400" w:lineRule="exact"/>
              <w:ind w:firstLine="422" w:firstLineChars="200"/>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4．禁止投标条款：</w:t>
            </w:r>
          </w:p>
          <w:p w14:paraId="04E95F9B">
            <w:pPr>
              <w:wordWrap w:val="0"/>
              <w:adjustRightInd w:val="0"/>
              <w:snapToGrid w:val="0"/>
              <w:spacing w:line="400" w:lineRule="exact"/>
              <w:ind w:firstLine="420" w:firstLineChars="20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4.1 投标人不得存在下列情形之一：    </w:t>
            </w:r>
          </w:p>
          <w:p w14:paraId="3AF4D04D">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（1）为招标人不具有独立法人资格的附属机构（单位）；</w:t>
            </w:r>
          </w:p>
          <w:p w14:paraId="290C7B56">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（2）为本招标项目前期准备提供设计或咨询服务的；</w:t>
            </w:r>
          </w:p>
          <w:p w14:paraId="364F1F69">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（3）与本招标项目的其他投标人为同一个单位负责人；</w:t>
            </w:r>
          </w:p>
          <w:p w14:paraId="66CCFFE0">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（4）与本招标项目的其他投标人存在控股、管理关系；</w:t>
            </w:r>
          </w:p>
          <w:p w14:paraId="3B86DEBA">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（5）为本招标项目的监理人；</w:t>
            </w:r>
          </w:p>
          <w:p w14:paraId="488B1108">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（6）为本招标项目的代建人；</w:t>
            </w:r>
          </w:p>
          <w:p w14:paraId="00BCFB35">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（7）为本招标项目的招标代理机构；</w:t>
            </w:r>
          </w:p>
          <w:p w14:paraId="690AED54">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（8）与本招标项目的监理人或代建人或招标代理机构同为一个法定代表人；</w:t>
            </w:r>
          </w:p>
          <w:p w14:paraId="42E43580">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（9）与本招标项目的监理人或代建人或招标代理机构存在控股或参股关系；</w:t>
            </w:r>
          </w:p>
          <w:p w14:paraId="704D7857">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（10）与本招标项目的监理人或代建人或招标代理机构存在相互任职或工作关系；</w:t>
            </w:r>
          </w:p>
          <w:p w14:paraId="2716CC16">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（11）被依法暂停或者取消投标资格；</w:t>
            </w:r>
          </w:p>
          <w:p w14:paraId="3F946D58">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（12）被责令停产停业、暂扣或者吊销许可证、暂扣或者吊销执照；</w:t>
            </w:r>
          </w:p>
          <w:p w14:paraId="23A22973">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（13）进入清算程序，或被宣告破产，或其他丧失履约能力的情形；</w:t>
            </w:r>
          </w:p>
          <w:p w14:paraId="355F279F">
            <w:pPr>
              <w:wordWrap w:val="0"/>
              <w:adjustRightInd w:val="0"/>
              <w:snapToGrid w:val="0"/>
              <w:spacing w:line="400" w:lineRule="exact"/>
              <w:ind w:firstLine="420" w:firstLineChars="20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（14）在最近三年内发生重大工程质量或安全问题（以相关行业主管部门的行政处罚决定或司法机关出具的有关法律文书为准）；</w:t>
            </w:r>
          </w:p>
          <w:p w14:paraId="37B74112">
            <w:pPr>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 </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rPr>
              <w:t>（15）</w:t>
            </w:r>
            <w:r>
              <w:rPr>
                <w:rFonts w:hint="eastAsia" w:asciiTheme="minorEastAsia" w:hAnsiTheme="minorEastAsia" w:eastAsiaTheme="minorEastAsia" w:cstheme="minorEastAsia"/>
                <w:snapToGrid w:val="0"/>
                <w:color w:val="auto"/>
                <w:kern w:val="0"/>
                <w:sz w:val="21"/>
                <w:szCs w:val="21"/>
                <w:highlight w:val="none"/>
                <w:lang w:eastAsia="zh-CN"/>
              </w:rPr>
              <w:t>被“信用中国”网站（https://www.creditchina.gov.cn）发布的《法人和非法人组织公共信用信息报告》列为严重失信主体名单的</w:t>
            </w:r>
            <w:r>
              <w:rPr>
                <w:rFonts w:hint="eastAsia" w:asciiTheme="minorEastAsia" w:hAnsiTheme="minorEastAsia" w:eastAsiaTheme="minorEastAsia" w:cstheme="minorEastAsia"/>
                <w:snapToGrid w:val="0"/>
                <w:color w:val="auto"/>
                <w:kern w:val="0"/>
                <w:sz w:val="21"/>
                <w:szCs w:val="21"/>
                <w:highlight w:val="none"/>
              </w:rPr>
              <w:t>。</w:t>
            </w:r>
          </w:p>
          <w:p w14:paraId="47FEBF08">
            <w:pPr>
              <w:wordWrap w:val="0"/>
              <w:adjustRightInd w:val="0"/>
              <w:snapToGrid w:val="0"/>
              <w:spacing w:line="400" w:lineRule="exact"/>
              <w:ind w:firstLine="420" w:firstLineChars="20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4.2 招标人拒绝以下名单中的单位参加本次投标：</w:t>
            </w:r>
          </w:p>
          <w:tbl>
            <w:tblPr>
              <w:tblStyle w:val="15"/>
              <w:tblW w:w="7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3047"/>
              <w:gridCol w:w="3429"/>
            </w:tblGrid>
            <w:tr w14:paraId="1CEB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82" w:type="dxa"/>
                  <w:noWrap w:val="0"/>
                  <w:vAlign w:val="center"/>
                </w:tcPr>
                <w:p w14:paraId="55E0C677">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序号</w:t>
                  </w:r>
                </w:p>
              </w:tc>
              <w:tc>
                <w:tcPr>
                  <w:tcW w:w="3047" w:type="dxa"/>
                  <w:noWrap w:val="0"/>
                  <w:vAlign w:val="center"/>
                </w:tcPr>
                <w:p w14:paraId="123A810A">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单位名称</w:t>
                  </w:r>
                </w:p>
              </w:tc>
              <w:tc>
                <w:tcPr>
                  <w:tcW w:w="3429" w:type="dxa"/>
                  <w:noWrap w:val="0"/>
                  <w:vAlign w:val="center"/>
                </w:tcPr>
                <w:p w14:paraId="67C62997">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拒绝原因</w:t>
                  </w:r>
                </w:p>
              </w:tc>
            </w:tr>
            <w:tr w14:paraId="13A6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82" w:type="dxa"/>
                  <w:noWrap w:val="0"/>
                  <w:vAlign w:val="center"/>
                </w:tcPr>
                <w:p w14:paraId="2BC55540">
                  <w:pPr>
                    <w:pStyle w:val="29"/>
                    <w:wordWrap w:val="0"/>
                    <w:adjustRightInd w:val="0"/>
                    <w:snapToGrid w:val="0"/>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w:t>
                  </w:r>
                </w:p>
              </w:tc>
              <w:tc>
                <w:tcPr>
                  <w:tcW w:w="3047" w:type="dxa"/>
                  <w:noWrap w:val="0"/>
                  <w:vAlign w:val="center"/>
                </w:tcPr>
                <w:p w14:paraId="3A8038AF">
                  <w:pPr>
                    <w:pStyle w:val="29"/>
                    <w:wordWrap w:val="0"/>
                    <w:adjustRightInd w:val="0"/>
                    <w:snapToGrid w:val="0"/>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韶关市曲江区马坝镇人民政府</w:t>
                  </w:r>
                </w:p>
              </w:tc>
              <w:tc>
                <w:tcPr>
                  <w:tcW w:w="3429" w:type="dxa"/>
                  <w:noWrap w:val="0"/>
                  <w:vAlign w:val="center"/>
                </w:tcPr>
                <w:p w14:paraId="2DBF6E40">
                  <w:pPr>
                    <w:pStyle w:val="29"/>
                    <w:wordWrap w:val="0"/>
                    <w:adjustRightInd w:val="0"/>
                    <w:snapToGrid w:val="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为本招标项目的招标人</w:t>
                  </w:r>
                </w:p>
              </w:tc>
            </w:tr>
            <w:tr w14:paraId="5AFF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82" w:type="dxa"/>
                  <w:noWrap w:val="0"/>
                  <w:vAlign w:val="center"/>
                </w:tcPr>
                <w:p w14:paraId="503C4133">
                  <w:pPr>
                    <w:pStyle w:val="29"/>
                    <w:wordWrap w:val="0"/>
                    <w:adjustRightInd w:val="0"/>
                    <w:snapToGrid w:val="0"/>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2</w:t>
                  </w:r>
                </w:p>
              </w:tc>
              <w:tc>
                <w:tcPr>
                  <w:tcW w:w="3047" w:type="dxa"/>
                  <w:noWrap w:val="0"/>
                  <w:vAlign w:val="center"/>
                </w:tcPr>
                <w:p w14:paraId="630E05AC">
                  <w:pPr>
                    <w:wordWrap w:val="0"/>
                    <w:adjustRightInd w:val="0"/>
                    <w:snapToGrid w:val="0"/>
                    <w:spacing w:line="240" w:lineRule="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rPr>
                    <w:t>四川良友建设咨询有限公司</w:t>
                  </w:r>
                </w:p>
              </w:tc>
              <w:tc>
                <w:tcPr>
                  <w:tcW w:w="3429" w:type="dxa"/>
                  <w:noWrap w:val="0"/>
                  <w:vAlign w:val="center"/>
                </w:tcPr>
                <w:p w14:paraId="29EA9CA6">
                  <w:pPr>
                    <w:pStyle w:val="29"/>
                    <w:wordWrap w:val="0"/>
                    <w:adjustRightInd w:val="0"/>
                    <w:snapToGrid w:val="0"/>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eastAsia="zh-CN"/>
                    </w:rPr>
                    <w:t>为本招标项目的监理单位</w:t>
                  </w:r>
                </w:p>
              </w:tc>
            </w:tr>
            <w:tr w14:paraId="2758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82" w:type="dxa"/>
                  <w:noWrap w:val="0"/>
                  <w:vAlign w:val="center"/>
                </w:tcPr>
                <w:p w14:paraId="74CBC586">
                  <w:pPr>
                    <w:pStyle w:val="29"/>
                    <w:wordWrap w:val="0"/>
                    <w:adjustRightInd w:val="0"/>
                    <w:snapToGrid w:val="0"/>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rPr>
                    <w:t>3</w:t>
                  </w:r>
                </w:p>
              </w:tc>
              <w:tc>
                <w:tcPr>
                  <w:tcW w:w="3047" w:type="dxa"/>
                  <w:noWrap w:val="0"/>
                  <w:vAlign w:val="center"/>
                </w:tcPr>
                <w:p w14:paraId="29575D81">
                  <w:pPr>
                    <w:wordWrap w:val="0"/>
                    <w:adjustRightInd w:val="0"/>
                    <w:snapToGrid w:val="0"/>
                    <w:spacing w:line="240" w:lineRule="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Cs w:val="0"/>
                      <w:iCs/>
                      <w:snapToGrid w:val="0"/>
                      <w:color w:val="000000"/>
                      <w:kern w:val="0"/>
                      <w:sz w:val="21"/>
                      <w:szCs w:val="21"/>
                      <w:highlight w:val="none"/>
                      <w:lang w:eastAsia="zh-CN"/>
                    </w:rPr>
                    <w:t>中启信项目咨询有限公司</w:t>
                  </w:r>
                  <w:r>
                    <w:rPr>
                      <w:rFonts w:hint="eastAsia" w:asciiTheme="minorEastAsia" w:hAnsiTheme="minorEastAsia" w:eastAsiaTheme="minorEastAsia" w:cstheme="minorEastAsia"/>
                      <w:bCs w:val="0"/>
                      <w:iCs/>
                      <w:snapToGrid w:val="0"/>
                      <w:color w:val="000000"/>
                      <w:kern w:val="0"/>
                      <w:sz w:val="21"/>
                      <w:szCs w:val="21"/>
                      <w:highlight w:val="none"/>
                      <w:lang w:val="en-US" w:eastAsia="zh-CN"/>
                    </w:rPr>
                    <w:t>/福建省邮电工程有限公司</w:t>
                  </w:r>
                </w:p>
              </w:tc>
              <w:tc>
                <w:tcPr>
                  <w:tcW w:w="3429" w:type="dxa"/>
                  <w:noWrap w:val="0"/>
                  <w:vAlign w:val="center"/>
                </w:tcPr>
                <w:p w14:paraId="4FEDB67E">
                  <w:pPr>
                    <w:pStyle w:val="29"/>
                    <w:wordWrap w:val="0"/>
                    <w:adjustRightInd w:val="0"/>
                    <w:snapToGrid w:val="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为本招标项目的</w:t>
                  </w:r>
                  <w:r>
                    <w:rPr>
                      <w:rFonts w:hint="eastAsia" w:asciiTheme="minorEastAsia" w:hAnsiTheme="minorEastAsia" w:eastAsiaTheme="minorEastAsia" w:cstheme="minorEastAsia"/>
                      <w:snapToGrid w:val="0"/>
                      <w:color w:val="auto"/>
                      <w:kern w:val="0"/>
                      <w:sz w:val="21"/>
                      <w:szCs w:val="21"/>
                      <w:highlight w:val="none"/>
                      <w:lang w:val="en-US" w:eastAsia="zh-CN"/>
                    </w:rPr>
                    <w:t>设计</w:t>
                  </w:r>
                  <w:r>
                    <w:rPr>
                      <w:rFonts w:hint="eastAsia" w:asciiTheme="minorEastAsia" w:hAnsiTheme="minorEastAsia" w:eastAsiaTheme="minorEastAsia" w:cstheme="minorEastAsia"/>
                      <w:snapToGrid w:val="0"/>
                      <w:color w:val="auto"/>
                      <w:kern w:val="0"/>
                      <w:sz w:val="21"/>
                      <w:szCs w:val="21"/>
                      <w:highlight w:val="none"/>
                    </w:rPr>
                    <w:t>单位</w:t>
                  </w:r>
                </w:p>
              </w:tc>
            </w:tr>
            <w:tr w14:paraId="5F6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82" w:type="dxa"/>
                  <w:noWrap w:val="0"/>
                  <w:vAlign w:val="center"/>
                </w:tcPr>
                <w:p w14:paraId="303473E4">
                  <w:pPr>
                    <w:pStyle w:val="29"/>
                    <w:wordWrap w:val="0"/>
                    <w:adjustRightInd w:val="0"/>
                    <w:snapToGrid w:val="0"/>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rPr>
                    <w:t>4</w:t>
                  </w:r>
                </w:p>
              </w:tc>
              <w:tc>
                <w:tcPr>
                  <w:tcW w:w="3047" w:type="dxa"/>
                  <w:noWrap w:val="0"/>
                  <w:vAlign w:val="center"/>
                </w:tcPr>
                <w:p w14:paraId="461CA1BC">
                  <w:pPr>
                    <w:wordWrap w:val="0"/>
                    <w:adjustRightInd w:val="0"/>
                    <w:snapToGrid w:val="0"/>
                    <w:spacing w:line="240" w:lineRule="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江门市安厦建设监理有限公司</w:t>
                  </w:r>
                </w:p>
              </w:tc>
              <w:tc>
                <w:tcPr>
                  <w:tcW w:w="3429" w:type="dxa"/>
                  <w:noWrap w:val="0"/>
                  <w:vAlign w:val="center"/>
                </w:tcPr>
                <w:p w14:paraId="0FA4C989">
                  <w:pPr>
                    <w:pStyle w:val="29"/>
                    <w:wordWrap w:val="0"/>
                    <w:adjustRightInd w:val="0"/>
                    <w:snapToGrid w:val="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为本招标项目的造价咨询单位</w:t>
                  </w:r>
                </w:p>
              </w:tc>
            </w:tr>
            <w:tr w14:paraId="1009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82" w:type="dxa"/>
                  <w:noWrap w:val="0"/>
                  <w:vAlign w:val="center"/>
                </w:tcPr>
                <w:p w14:paraId="7629D377">
                  <w:pPr>
                    <w:pStyle w:val="29"/>
                    <w:wordWrap w:val="0"/>
                    <w:adjustRightInd w:val="0"/>
                    <w:snapToGrid w:val="0"/>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rPr>
                    <w:t>5</w:t>
                  </w:r>
                </w:p>
              </w:tc>
              <w:tc>
                <w:tcPr>
                  <w:tcW w:w="3047" w:type="dxa"/>
                  <w:noWrap w:val="0"/>
                  <w:vAlign w:val="center"/>
                </w:tcPr>
                <w:p w14:paraId="2DE754E7">
                  <w:pPr>
                    <w:wordWrap w:val="0"/>
                    <w:adjustRightInd w:val="0"/>
                    <w:snapToGrid w:val="0"/>
                    <w:spacing w:line="240" w:lineRule="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eastAsia="zh-CN"/>
                    </w:rPr>
                    <w:t>深圳市祺骏建设工程顾问有限公司</w:t>
                  </w:r>
                </w:p>
              </w:tc>
              <w:tc>
                <w:tcPr>
                  <w:tcW w:w="3429" w:type="dxa"/>
                  <w:noWrap w:val="0"/>
                  <w:vAlign w:val="center"/>
                </w:tcPr>
                <w:p w14:paraId="31C09F9C">
                  <w:pPr>
                    <w:pStyle w:val="29"/>
                    <w:wordWrap w:val="0"/>
                    <w:adjustRightInd w:val="0"/>
                    <w:snapToGrid w:val="0"/>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为本招标项目的招标代理机构</w:t>
                  </w:r>
                </w:p>
              </w:tc>
            </w:tr>
          </w:tbl>
          <w:p w14:paraId="3052E3AB">
            <w:pPr>
              <w:wordWrap w:val="0"/>
              <w:adjustRightInd w:val="0"/>
              <w:snapToGrid w:val="0"/>
              <w:spacing w:line="400" w:lineRule="exact"/>
              <w:ind w:firstLine="211" w:firstLineChars="100"/>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5．其他要求</w:t>
            </w:r>
          </w:p>
          <w:p w14:paraId="2E32D3E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省外企业须按照《广东省住房和城乡建设厅关于取消省外建筑企业和人员进粤信息备案有关工作的通知》（粤建市﹝2015﹞52号）规定在“进粤企业和人员诚信信息登记平台”录入相关信息并通过数据规范检查。</w:t>
            </w:r>
          </w:p>
        </w:tc>
      </w:tr>
      <w:tr w14:paraId="58B7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07E78D96">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27</w:t>
            </w:r>
          </w:p>
        </w:tc>
        <w:tc>
          <w:tcPr>
            <w:tcW w:w="1860" w:type="dxa"/>
            <w:vAlign w:val="center"/>
          </w:tcPr>
          <w:p w14:paraId="0508CA6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投标有效期</w:t>
            </w:r>
          </w:p>
        </w:tc>
        <w:tc>
          <w:tcPr>
            <w:tcW w:w="7656" w:type="dxa"/>
            <w:vAlign w:val="center"/>
          </w:tcPr>
          <w:p w14:paraId="4D64735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 个日历天。</w:t>
            </w:r>
          </w:p>
        </w:tc>
      </w:tr>
      <w:tr w14:paraId="08E8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54445B20">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28</w:t>
            </w:r>
          </w:p>
        </w:tc>
        <w:tc>
          <w:tcPr>
            <w:tcW w:w="1860" w:type="dxa"/>
            <w:vAlign w:val="center"/>
          </w:tcPr>
          <w:p w14:paraId="57C3C2F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投标文件组成</w:t>
            </w:r>
          </w:p>
        </w:tc>
        <w:tc>
          <w:tcPr>
            <w:tcW w:w="7656" w:type="dxa"/>
            <w:vAlign w:val="center"/>
          </w:tcPr>
          <w:p w14:paraId="1916105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投标文件包括商务标书、经济标书、施工组织设计三个分册。</w:t>
            </w:r>
          </w:p>
        </w:tc>
      </w:tr>
      <w:tr w14:paraId="60B2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7F5AA7FC">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29</w:t>
            </w:r>
          </w:p>
        </w:tc>
        <w:tc>
          <w:tcPr>
            <w:tcW w:w="1860" w:type="dxa"/>
            <w:vAlign w:val="center"/>
          </w:tcPr>
          <w:p w14:paraId="02CB095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施工组织设计评审方式</w:t>
            </w:r>
          </w:p>
        </w:tc>
        <w:tc>
          <w:tcPr>
            <w:tcW w:w="7656" w:type="dxa"/>
            <w:vAlign w:val="center"/>
          </w:tcPr>
          <w:p w14:paraId="4F877DE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1"/>
                <w:szCs w:val="21"/>
                <w:highlight w:val="none"/>
                <w:lang w:eastAsia="zh-CN"/>
              </w:rPr>
              <w:t>“暗标 ”方式进行评审。</w:t>
            </w:r>
          </w:p>
        </w:tc>
      </w:tr>
      <w:tr w14:paraId="51F2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trPr>
        <w:tc>
          <w:tcPr>
            <w:tcW w:w="582" w:type="dxa"/>
            <w:vAlign w:val="center"/>
          </w:tcPr>
          <w:p w14:paraId="43F60A35">
            <w:pPr>
              <w:keepNext w:val="0"/>
              <w:keepLines w:val="0"/>
              <w:pageBreakBefore w:val="0"/>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30</w:t>
            </w:r>
          </w:p>
        </w:tc>
        <w:tc>
          <w:tcPr>
            <w:tcW w:w="1860" w:type="dxa"/>
            <w:vAlign w:val="center"/>
          </w:tcPr>
          <w:p w14:paraId="70C17F9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w:t>
            </w:r>
          </w:p>
        </w:tc>
        <w:tc>
          <w:tcPr>
            <w:tcW w:w="7656" w:type="dxa"/>
            <w:vAlign w:val="top"/>
          </w:tcPr>
          <w:p w14:paraId="5D1995C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评标委员会由 5 人组成，其中招标人代表 0 人，专家 5 人。专家从广东省综合评标评审专家库</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（韶关区域）</w:t>
            </w:r>
            <w:r>
              <w:rPr>
                <w:rFonts w:hint="eastAsia" w:asciiTheme="minorEastAsia" w:hAnsiTheme="minorEastAsia" w:eastAsiaTheme="minorEastAsia" w:cstheme="minorEastAsia"/>
                <w:snapToGrid w:val="0"/>
                <w:color w:val="auto"/>
                <w:spacing w:val="0"/>
                <w:kern w:val="0"/>
                <w:sz w:val="21"/>
                <w:szCs w:val="21"/>
                <w:highlight w:val="none"/>
                <w:lang w:eastAsia="zh-CN"/>
              </w:rPr>
              <w:t>中随机抽取，其中技术类专家 3 人，经济类专家 2 人。</w:t>
            </w:r>
          </w:p>
        </w:tc>
      </w:tr>
      <w:tr w14:paraId="5E28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13C21C8E">
            <w:pPr>
              <w:keepNext w:val="0"/>
              <w:keepLines w:val="0"/>
              <w:pageBreakBefore w:val="0"/>
              <w:wordWrap w:val="0"/>
              <w:overflowPunct/>
              <w:topLinePunct w:val="0"/>
              <w:bidi w:val="0"/>
              <w:spacing w:before="258"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31</w:t>
            </w:r>
          </w:p>
        </w:tc>
        <w:tc>
          <w:tcPr>
            <w:tcW w:w="1860" w:type="dxa"/>
            <w:vAlign w:val="center"/>
          </w:tcPr>
          <w:p w14:paraId="01A67FE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评标方法</w:t>
            </w:r>
          </w:p>
        </w:tc>
        <w:tc>
          <w:tcPr>
            <w:tcW w:w="7656" w:type="dxa"/>
            <w:vAlign w:val="center"/>
          </w:tcPr>
          <w:p w14:paraId="441B83E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A＋B 值评标法  □经评审的最低投标价法   ☑综合评估法</w:t>
            </w:r>
          </w:p>
        </w:tc>
      </w:tr>
      <w:tr w14:paraId="30F1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5" w:hRule="atLeast"/>
        </w:trPr>
        <w:tc>
          <w:tcPr>
            <w:tcW w:w="582" w:type="dxa"/>
            <w:vAlign w:val="center"/>
          </w:tcPr>
          <w:p w14:paraId="42E09CF2">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32</w:t>
            </w:r>
          </w:p>
        </w:tc>
        <w:tc>
          <w:tcPr>
            <w:tcW w:w="1860" w:type="dxa"/>
            <w:vAlign w:val="center"/>
          </w:tcPr>
          <w:p w14:paraId="7C0853E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招标文件要求提交的用于评审的证书、证件、证明原件</w:t>
            </w:r>
          </w:p>
        </w:tc>
        <w:tc>
          <w:tcPr>
            <w:tcW w:w="7656" w:type="dxa"/>
            <w:vAlign w:val="top"/>
          </w:tcPr>
          <w:p w14:paraId="53B9D1F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08D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3BD0C36B">
            <w:pPr>
              <w:keepNext w:val="0"/>
              <w:keepLines w:val="0"/>
              <w:pageBreakBefore w:val="0"/>
              <w:wordWrap w:val="0"/>
              <w:overflowPunct/>
              <w:topLinePunct w:val="0"/>
              <w:bidi w:val="0"/>
              <w:spacing w:before="69" w:line="188" w:lineRule="auto"/>
              <w:ind w:left="20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33</w:t>
            </w:r>
          </w:p>
        </w:tc>
        <w:tc>
          <w:tcPr>
            <w:tcW w:w="1860" w:type="dxa"/>
            <w:vAlign w:val="center"/>
          </w:tcPr>
          <w:p w14:paraId="3E9C4E2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招标代理费</w:t>
            </w:r>
          </w:p>
        </w:tc>
        <w:tc>
          <w:tcPr>
            <w:tcW w:w="7656" w:type="dxa"/>
            <w:vAlign w:val="center"/>
          </w:tcPr>
          <w:p w14:paraId="6ECDA4BD">
            <w:pPr>
              <w:pStyle w:val="13"/>
              <w:keepNext w:val="0"/>
              <w:keepLines w:val="0"/>
              <w:widowControl w:val="0"/>
              <w:suppressLineNumbers w:val="0"/>
              <w:wordWrap w:val="0"/>
              <w:adjustRightInd w:val="0"/>
              <w:snapToGrid w:val="0"/>
              <w:spacing w:before="0" w:beforeAutospacing="0" w:after="0" w:afterAutospacing="0" w:line="480" w:lineRule="exact"/>
              <w:ind w:left="0" w:right="0" w:firstLine="560"/>
              <w:jc w:val="both"/>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服务费以中标金额为计价基数，参照《招标代理服务收费管理暂行办法》计价格〔2002〕1980号、《关于降低部分建设项目收费标准规范收费行为等有关问题的通知》(发改价格[2011]534号)相关规定计算招标代理服务费，该招标代理服务费由中标人支付。</w:t>
            </w:r>
            <w:r>
              <w:rPr>
                <w:rFonts w:hint="eastAsia" w:ascii="宋体" w:hAnsi="宋体" w:eastAsia="宋体" w:cs="宋体"/>
                <w:color w:val="auto"/>
                <w:kern w:val="2"/>
                <w:sz w:val="24"/>
                <w:szCs w:val="24"/>
                <w:highlight w:val="none"/>
                <w:lang w:val="en-US" w:eastAsia="zh-CN" w:bidi="ar"/>
              </w:rPr>
              <w:t>中标人在领取中标通知书前须向招标代理机构一次性支付（评标专家酬劳先由招标代理垫付，评标专家酬劳以评标结束当日的评标专家酬劳签收表总额为准）。</w:t>
            </w:r>
          </w:p>
        </w:tc>
      </w:tr>
      <w:tr w14:paraId="73BB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3A65B281">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34</w:t>
            </w:r>
          </w:p>
        </w:tc>
        <w:tc>
          <w:tcPr>
            <w:tcW w:w="1860" w:type="dxa"/>
            <w:vAlign w:val="center"/>
          </w:tcPr>
          <w:p w14:paraId="36B4E4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w:t>
            </w:r>
          </w:p>
          <w:p w14:paraId="4DE27F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656" w:type="dxa"/>
            <w:vAlign w:val="center"/>
          </w:tcPr>
          <w:p w14:paraId="0F8EB46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eastAsia="zh-CN"/>
              </w:rPr>
            </w:pPr>
            <w:r>
              <w:rPr>
                <w:rFonts w:hint="eastAsia" w:ascii="宋体" w:hAnsi="宋体" w:eastAsia="宋体" w:cs="宋体"/>
                <w:snapToGrid w:val="0"/>
                <w:color w:val="auto"/>
                <w:spacing w:val="0"/>
                <w:kern w:val="0"/>
                <w:sz w:val="21"/>
                <w:highlight w:val="none"/>
              </w:rPr>
              <w:t>单位名称：</w:t>
            </w:r>
            <w:r>
              <w:rPr>
                <w:rFonts w:hint="eastAsia" w:ascii="宋体" w:hAnsi="宋体" w:eastAsia="宋体" w:cs="宋体"/>
                <w:snapToGrid w:val="0"/>
                <w:color w:val="auto"/>
                <w:spacing w:val="0"/>
                <w:kern w:val="0"/>
                <w:sz w:val="21"/>
                <w:highlight w:val="none"/>
                <w:lang w:eastAsia="zh-CN"/>
              </w:rPr>
              <w:t>韶关市曲江区马坝镇人民政府</w:t>
            </w:r>
          </w:p>
          <w:p w14:paraId="1B60D4D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rPr>
            </w:pPr>
            <w:r>
              <w:rPr>
                <w:rFonts w:hint="eastAsia" w:ascii="宋体" w:hAnsi="宋体" w:eastAsia="宋体" w:cs="宋体"/>
                <w:snapToGrid w:val="0"/>
                <w:color w:val="auto"/>
                <w:spacing w:val="0"/>
                <w:kern w:val="0"/>
                <w:sz w:val="21"/>
                <w:highlight w:val="none"/>
              </w:rPr>
              <w:t>办公地址：</w:t>
            </w:r>
            <w:r>
              <w:rPr>
                <w:rFonts w:hint="eastAsia" w:ascii="宋体" w:hAnsi="宋体" w:eastAsia="宋体" w:cs="宋体"/>
                <w:snapToGrid w:val="0"/>
                <w:color w:val="auto"/>
                <w:spacing w:val="0"/>
                <w:kern w:val="0"/>
                <w:sz w:val="21"/>
                <w:highlight w:val="none"/>
                <w:lang w:eastAsia="zh-CN"/>
              </w:rPr>
              <w:t>韶关市曲江区马坝镇九龄路3号</w:t>
            </w:r>
          </w:p>
          <w:p w14:paraId="5FC211A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eastAsia="宋体" w:asciiTheme="minorEastAsia" w:hAnsiTheme="minorEastAsia" w:cstheme="minorEastAsia"/>
                <w:snapToGrid w:val="0"/>
                <w:color w:val="auto"/>
                <w:spacing w:val="0"/>
                <w:kern w:val="0"/>
                <w:sz w:val="21"/>
                <w:szCs w:val="21"/>
                <w:highlight w:val="none"/>
                <w:lang w:val="en-US" w:eastAsia="zh-CN"/>
              </w:rPr>
            </w:pPr>
            <w:r>
              <w:rPr>
                <w:rFonts w:hint="eastAsia" w:eastAsia="宋体" w:asciiTheme="minorEastAsia" w:hAnsiTheme="minorEastAsia" w:cstheme="minorEastAsia"/>
                <w:snapToGrid w:val="0"/>
                <w:color w:val="auto"/>
                <w:spacing w:val="0"/>
                <w:kern w:val="0"/>
                <w:sz w:val="21"/>
                <w:szCs w:val="21"/>
                <w:highlight w:val="none"/>
                <w:lang w:eastAsia="zh-CN"/>
              </w:rPr>
              <w:t>联 系 人：</w:t>
            </w:r>
            <w:r>
              <w:rPr>
                <w:rFonts w:hint="eastAsia" w:eastAsia="宋体" w:asciiTheme="minorEastAsia" w:hAnsiTheme="minorEastAsia" w:cstheme="minorEastAsia"/>
                <w:snapToGrid w:val="0"/>
                <w:color w:val="auto"/>
                <w:spacing w:val="0"/>
                <w:kern w:val="0"/>
                <w:sz w:val="21"/>
                <w:szCs w:val="21"/>
                <w:highlight w:val="none"/>
                <w:lang w:val="en-US" w:eastAsia="zh-CN"/>
              </w:rPr>
              <w:t>邱工</w:t>
            </w:r>
          </w:p>
          <w:p w14:paraId="6E30E36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eastAsia="宋体" w:asciiTheme="minorEastAsia" w:hAnsiTheme="minorEastAsia" w:cstheme="minorEastAsia"/>
                <w:snapToGrid w:val="0"/>
                <w:color w:val="auto"/>
                <w:spacing w:val="0"/>
                <w:kern w:val="0"/>
                <w:sz w:val="21"/>
                <w:szCs w:val="21"/>
                <w:highlight w:val="none"/>
                <w:lang w:eastAsia="zh-CN"/>
              </w:rPr>
            </w:pPr>
            <w:r>
              <w:rPr>
                <w:rFonts w:hint="eastAsia" w:eastAsia="宋体" w:asciiTheme="minorEastAsia" w:hAnsiTheme="minorEastAsia" w:cstheme="minorEastAsia"/>
                <w:snapToGrid w:val="0"/>
                <w:color w:val="auto"/>
                <w:spacing w:val="0"/>
                <w:kern w:val="0"/>
                <w:sz w:val="21"/>
                <w:szCs w:val="21"/>
                <w:highlight w:val="none"/>
                <w:lang w:eastAsia="zh-CN"/>
              </w:rPr>
              <w:t>联系电话：</w:t>
            </w:r>
            <w:r>
              <w:rPr>
                <w:rFonts w:hint="eastAsia" w:eastAsia="宋体" w:asciiTheme="minorEastAsia" w:hAnsiTheme="minorEastAsia" w:cstheme="minorEastAsia"/>
                <w:snapToGrid w:val="0"/>
                <w:color w:val="auto"/>
                <w:spacing w:val="0"/>
                <w:kern w:val="0"/>
                <w:sz w:val="21"/>
                <w:szCs w:val="21"/>
                <w:highlight w:val="none"/>
                <w:lang w:val="en-US" w:eastAsia="zh-CN"/>
              </w:rPr>
              <w:t>0751-6666455</w:t>
            </w:r>
          </w:p>
        </w:tc>
      </w:tr>
      <w:tr w14:paraId="4C7A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3CD23A5F">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35</w:t>
            </w:r>
          </w:p>
        </w:tc>
        <w:tc>
          <w:tcPr>
            <w:tcW w:w="1860" w:type="dxa"/>
            <w:vAlign w:val="center"/>
          </w:tcPr>
          <w:p w14:paraId="1578892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招标代理机构</w:t>
            </w:r>
          </w:p>
          <w:p w14:paraId="605C7BD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656" w:type="dxa"/>
            <w:vAlign w:val="center"/>
          </w:tcPr>
          <w:p w14:paraId="4399377D">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b w:val="0"/>
                <w:bCs w:val="0"/>
                <w:color w:val="auto"/>
                <w:spacing w:val="0"/>
                <w:sz w:val="21"/>
                <w:szCs w:val="21"/>
                <w:highlight w:val="none"/>
                <w:u w:val="none"/>
                <w:lang w:eastAsia="zh-CN"/>
              </w:rPr>
            </w:pPr>
            <w:r>
              <w:rPr>
                <w:rFonts w:hint="eastAsia" w:ascii="宋体" w:hAnsi="宋体" w:eastAsia="宋体" w:cs="宋体"/>
                <w:b w:val="0"/>
                <w:bCs w:val="0"/>
                <w:color w:val="auto"/>
                <w:spacing w:val="0"/>
                <w:sz w:val="21"/>
                <w:szCs w:val="21"/>
                <w:highlight w:val="none"/>
                <w:u w:val="none"/>
              </w:rPr>
              <w:t>单位名称：</w:t>
            </w:r>
            <w:r>
              <w:rPr>
                <w:rFonts w:hint="eastAsia" w:ascii="宋体" w:hAnsi="宋体" w:eastAsia="宋体" w:cs="宋体"/>
                <w:b w:val="0"/>
                <w:bCs w:val="0"/>
                <w:color w:val="auto"/>
                <w:spacing w:val="0"/>
                <w:sz w:val="21"/>
                <w:szCs w:val="21"/>
                <w:highlight w:val="none"/>
                <w:u w:val="none"/>
                <w:lang w:eastAsia="zh-CN"/>
              </w:rPr>
              <w:t>深圳市祺骏建设工程顾问有限公司</w:t>
            </w:r>
          </w:p>
          <w:p w14:paraId="2EC2AB44">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b w:val="0"/>
                <w:bCs w:val="0"/>
                <w:color w:val="auto"/>
                <w:spacing w:val="0"/>
                <w:sz w:val="21"/>
                <w:szCs w:val="21"/>
                <w:highlight w:val="none"/>
                <w:u w:val="none"/>
                <w:lang w:eastAsia="zh-CN"/>
              </w:rPr>
            </w:pPr>
            <w:r>
              <w:rPr>
                <w:rFonts w:hint="eastAsia" w:ascii="宋体" w:hAnsi="宋体" w:eastAsia="宋体" w:cs="宋体"/>
                <w:b w:val="0"/>
                <w:bCs w:val="0"/>
                <w:color w:val="auto"/>
                <w:spacing w:val="0"/>
                <w:sz w:val="21"/>
                <w:szCs w:val="21"/>
                <w:highlight w:val="none"/>
                <w:u w:val="none"/>
              </w:rPr>
              <w:t>办公地址：</w:t>
            </w:r>
            <w:r>
              <w:rPr>
                <w:rFonts w:hint="eastAsia" w:ascii="宋体" w:hAnsi="宋体" w:eastAsia="宋体" w:cs="宋体"/>
                <w:b w:val="0"/>
                <w:bCs w:val="0"/>
                <w:color w:val="auto"/>
                <w:spacing w:val="0"/>
                <w:sz w:val="21"/>
                <w:szCs w:val="21"/>
                <w:highlight w:val="none"/>
                <w:u w:val="none"/>
                <w:lang w:eastAsia="zh-CN"/>
              </w:rPr>
              <w:t>韶关市武江区沐溪大道168号韶关市辉越科技创业服务有限公司科研服务楼A422办公室(仅限于用作办公室使用)（武江分公司）</w:t>
            </w:r>
          </w:p>
          <w:p w14:paraId="7487AC86">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default" w:asciiTheme="minorEastAsia" w:hAnsiTheme="minorEastAsia" w:eastAsiaTheme="minorEastAsia" w:cstheme="minorEastAsia"/>
                <w:snapToGrid w:val="0"/>
                <w:color w:val="auto"/>
                <w:spacing w:val="0"/>
                <w:kern w:val="0"/>
                <w:sz w:val="21"/>
                <w:szCs w:val="21"/>
                <w:highlight w:val="none"/>
                <w:lang w:val="en-US" w:eastAsia="zh-CN"/>
              </w:rPr>
              <w:t>联系人（部门）：许工</w:t>
            </w:r>
          </w:p>
          <w:p w14:paraId="107664F3">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default" w:asciiTheme="minorEastAsia" w:hAnsiTheme="minorEastAsia" w:eastAsiaTheme="minorEastAsia" w:cstheme="minorEastAsia"/>
                <w:snapToGrid w:val="0"/>
                <w:color w:val="auto"/>
                <w:spacing w:val="0"/>
                <w:kern w:val="0"/>
                <w:sz w:val="21"/>
                <w:szCs w:val="21"/>
                <w:highlight w:val="none"/>
                <w:lang w:val="en-US" w:eastAsia="zh-CN"/>
              </w:rPr>
              <w:t xml:space="preserve">联系电话：0751-8989515 </w:t>
            </w:r>
          </w:p>
        </w:tc>
      </w:tr>
      <w:tr w14:paraId="3808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0686FFC0">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36</w:t>
            </w:r>
          </w:p>
        </w:tc>
        <w:tc>
          <w:tcPr>
            <w:tcW w:w="1860" w:type="dxa"/>
            <w:vAlign w:val="center"/>
          </w:tcPr>
          <w:p w14:paraId="6277599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交易场所联系方式</w:t>
            </w:r>
          </w:p>
        </w:tc>
        <w:tc>
          <w:tcPr>
            <w:tcW w:w="7656" w:type="dxa"/>
            <w:vAlign w:val="center"/>
          </w:tcPr>
          <w:p w14:paraId="50C6934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单位名称：韶关市公共资源交易中心</w:t>
            </w:r>
          </w:p>
          <w:p w14:paraId="1D91715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办公地址： 韶关市曲江区马坝镇鞍山路曲江文化中心一楼</w:t>
            </w:r>
          </w:p>
          <w:p w14:paraId="47B2B8B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联系人（部门）：工程交易部</w:t>
            </w:r>
          </w:p>
          <w:p w14:paraId="2374BED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联系电话：0751-6690193</w:t>
            </w:r>
          </w:p>
        </w:tc>
      </w:tr>
      <w:tr w14:paraId="77D8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7F4077B1">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37</w:t>
            </w:r>
          </w:p>
        </w:tc>
        <w:tc>
          <w:tcPr>
            <w:tcW w:w="1860" w:type="dxa"/>
            <w:vAlign w:val="center"/>
          </w:tcPr>
          <w:p w14:paraId="18FAAD5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行政监督部</w:t>
            </w:r>
          </w:p>
          <w:p w14:paraId="5A0D15D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门联系方式</w:t>
            </w:r>
          </w:p>
        </w:tc>
        <w:tc>
          <w:tcPr>
            <w:tcW w:w="7656" w:type="dxa"/>
            <w:vAlign w:val="center"/>
          </w:tcPr>
          <w:p w14:paraId="28D3220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单位名称：韶关市曲江区住房和城乡建设管理局</w:t>
            </w:r>
          </w:p>
          <w:p w14:paraId="758C3D1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办公地址：韶关市曲江区马坝镇府前中路15号</w:t>
            </w:r>
          </w:p>
          <w:p w14:paraId="28419A5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联系人（部门）：建管股</w:t>
            </w:r>
          </w:p>
          <w:p w14:paraId="6DD117B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lang w:val="en-US" w:eastAsia="zh-CN"/>
              </w:rPr>
              <w:t>联系电话：0751-6666656</w:t>
            </w:r>
          </w:p>
        </w:tc>
      </w:tr>
    </w:tbl>
    <w:p w14:paraId="048F697D">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9" w:name="bookmark115"/>
      <w:bookmarkEnd w:id="9"/>
      <w:r>
        <w:rPr>
          <w:rFonts w:hint="eastAsia" w:ascii="宋体" w:hAnsi="宋体" w:eastAsia="宋体" w:cs="宋体"/>
          <w:b/>
          <w:bCs/>
          <w:color w:val="auto"/>
          <w:spacing w:val="0"/>
          <w:sz w:val="24"/>
          <w:szCs w:val="24"/>
          <w:highlight w:val="none"/>
        </w:rPr>
        <w:br w:type="page"/>
      </w:r>
    </w:p>
    <w:p w14:paraId="3E2DB0A8">
      <w:pPr>
        <w:keepNext w:val="0"/>
        <w:keepLines w:val="0"/>
        <w:pageBreakBefore w:val="0"/>
        <w:wordWrap w:val="0"/>
        <w:overflowPunct/>
        <w:topLinePunct w:val="0"/>
        <w:bidi w:val="0"/>
        <w:spacing w:before="156" w:line="219" w:lineRule="auto"/>
        <w:ind w:left="17"/>
        <w:jc w:val="left"/>
        <w:outlineLvl w:val="1"/>
        <w:rPr>
          <w:rFonts w:hint="eastAsia" w:ascii="宋体" w:hAnsi="宋体" w:eastAsia="宋体" w:cs="宋体"/>
          <w:color w:val="auto"/>
          <w:spacing w:val="0"/>
          <w:highlight w:val="none"/>
        </w:rPr>
      </w:pPr>
      <w:bookmarkStart w:id="10" w:name="_Toc1712"/>
      <w:r>
        <w:rPr>
          <w:rFonts w:hint="eastAsia" w:ascii="宋体" w:hAnsi="宋体" w:eastAsia="宋体" w:cs="宋体"/>
          <w:b/>
          <w:bCs/>
          <w:color w:val="auto"/>
          <w:spacing w:val="0"/>
          <w:sz w:val="24"/>
          <w:szCs w:val="24"/>
          <w:highlight w:val="none"/>
        </w:rPr>
        <w:t>第二节 重要事项时间地点一览表</w:t>
      </w:r>
      <w:bookmarkEnd w:id="10"/>
    </w:p>
    <w:tbl>
      <w:tblPr>
        <w:tblStyle w:val="15"/>
        <w:tblpPr w:leftFromText="180" w:rightFromText="180" w:vertAnchor="text" w:horzAnchor="page" w:tblpX="627" w:tblpY="262"/>
        <w:tblOverlap w:val="never"/>
        <w:tblW w:w="1061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01"/>
        <w:gridCol w:w="1850"/>
        <w:gridCol w:w="7968"/>
      </w:tblGrid>
      <w:tr w14:paraId="6E3E44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42724B11">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1</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28E48BCC">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招标公告</w:t>
            </w:r>
          </w:p>
          <w:p w14:paraId="1FA651CC">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发布时间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346B54BA">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2025年11月27日16时30分</w:t>
            </w:r>
          </w:p>
        </w:tc>
      </w:tr>
      <w:tr w14:paraId="36AD09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4396333F">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2</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1C30D6C4">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获取招标文件截止时间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68AFA881">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2025年12月18日10时00分</w:t>
            </w:r>
          </w:p>
        </w:tc>
      </w:tr>
      <w:tr w14:paraId="444F43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74D73F67">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3</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22B4FBCE">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u w:val="none"/>
                <w:lang w:eastAsia="zh-CN"/>
              </w:rPr>
            </w:pPr>
            <w:r>
              <w:rPr>
                <w:rFonts w:hint="eastAsia" w:asciiTheme="minorEastAsia" w:hAnsiTheme="minorEastAsia" w:eastAsiaTheme="minorEastAsia" w:cstheme="minorEastAsia"/>
                <w:snapToGrid/>
                <w:color w:val="auto"/>
                <w:kern w:val="2"/>
                <w:sz w:val="21"/>
                <w:szCs w:val="21"/>
                <w:highlight w:val="none"/>
                <w:u w:val="none"/>
                <w:lang w:eastAsia="zh-CN"/>
              </w:rPr>
              <w:t>网上提问</w:t>
            </w:r>
          </w:p>
          <w:p w14:paraId="0462E56E">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u w:val="none"/>
                <w:lang w:eastAsia="zh-CN"/>
              </w:rPr>
            </w:pPr>
            <w:r>
              <w:rPr>
                <w:rFonts w:hint="eastAsia" w:asciiTheme="minorEastAsia" w:hAnsiTheme="minorEastAsia" w:eastAsiaTheme="minorEastAsia" w:cstheme="minorEastAsia"/>
                <w:snapToGrid/>
                <w:color w:val="auto"/>
                <w:kern w:val="2"/>
                <w:sz w:val="21"/>
                <w:szCs w:val="21"/>
                <w:highlight w:val="none"/>
                <w:u w:val="none"/>
                <w:lang w:eastAsia="zh-CN"/>
              </w:rPr>
              <w:t>截止时间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5AD44C89">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u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2025年12月8日16时00分</w:t>
            </w:r>
          </w:p>
        </w:tc>
      </w:tr>
      <w:tr w14:paraId="033A4D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00E20C4F">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4</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7ED94F8A">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u w:val="none"/>
                <w:lang w:eastAsia="zh-CN"/>
              </w:rPr>
            </w:pPr>
            <w:r>
              <w:rPr>
                <w:rFonts w:hint="eastAsia" w:asciiTheme="minorEastAsia" w:hAnsiTheme="minorEastAsia" w:eastAsiaTheme="minorEastAsia" w:cstheme="minorEastAsia"/>
                <w:snapToGrid/>
                <w:color w:val="auto"/>
                <w:kern w:val="2"/>
                <w:sz w:val="21"/>
                <w:szCs w:val="21"/>
                <w:highlight w:val="none"/>
                <w:u w:val="none"/>
                <w:lang w:eastAsia="zh-CN"/>
              </w:rPr>
              <w:t>网上答疑时间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5BF7B7F9">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u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2025年12月8日16时30分至2025年12月11日16时00分</w:t>
            </w:r>
          </w:p>
        </w:tc>
      </w:tr>
      <w:tr w14:paraId="60517C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4"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62EA249E">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5</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31C7D7E3">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投标保证缴</w:t>
            </w:r>
          </w:p>
          <w:p w14:paraId="16AC4C65">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纳截止时间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2B769AEB">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投标保证金到账截止时间：</w:t>
            </w:r>
            <w:r>
              <w:rPr>
                <w:rFonts w:hint="eastAsia" w:asciiTheme="minorEastAsia" w:hAnsiTheme="minorEastAsia" w:eastAsiaTheme="minorEastAsia" w:cstheme="minorEastAsia"/>
                <w:color w:val="auto"/>
                <w:kern w:val="0"/>
                <w:sz w:val="21"/>
                <w:szCs w:val="21"/>
                <w:highlight w:val="none"/>
                <w:u w:val="none"/>
                <w:lang w:val="en-US" w:eastAsia="zh-CN" w:bidi="ar-SA"/>
              </w:rPr>
              <w:t>2025年12月17日10时00分</w:t>
            </w:r>
            <w:r>
              <w:rPr>
                <w:rFonts w:hint="eastAsia" w:asciiTheme="minorEastAsia" w:hAnsiTheme="minorEastAsia" w:eastAsiaTheme="minorEastAsia" w:cstheme="minorEastAsia"/>
                <w:color w:val="auto"/>
                <w:kern w:val="0"/>
                <w:sz w:val="21"/>
                <w:szCs w:val="21"/>
                <w:highlight w:val="none"/>
                <w:lang w:val="en-US" w:eastAsia="zh-CN" w:bidi="ar-SA"/>
              </w:rPr>
              <w:t>；</w:t>
            </w:r>
          </w:p>
          <w:p w14:paraId="178FECD6">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投标保证担保上传截止时间：</w:t>
            </w:r>
            <w:r>
              <w:rPr>
                <w:rFonts w:hint="eastAsia" w:asciiTheme="minorEastAsia" w:hAnsiTheme="minorEastAsia" w:eastAsiaTheme="minorEastAsia" w:cstheme="minorEastAsia"/>
                <w:color w:val="auto"/>
                <w:kern w:val="0"/>
                <w:sz w:val="21"/>
                <w:szCs w:val="21"/>
                <w:highlight w:val="none"/>
                <w:u w:val="none"/>
                <w:lang w:val="en-US" w:eastAsia="zh-CN" w:bidi="ar-SA"/>
              </w:rPr>
              <w:t>2025年12月17日10时00分</w:t>
            </w:r>
            <w:r>
              <w:rPr>
                <w:rFonts w:hint="eastAsia" w:asciiTheme="minorEastAsia" w:hAnsiTheme="minorEastAsia" w:eastAsiaTheme="minorEastAsia" w:cstheme="minorEastAsia"/>
                <w:color w:val="auto"/>
                <w:kern w:val="0"/>
                <w:sz w:val="21"/>
                <w:szCs w:val="21"/>
                <w:highlight w:val="none"/>
                <w:lang w:val="en-US" w:eastAsia="zh-CN" w:bidi="ar-SA"/>
              </w:rPr>
              <w:t>；</w:t>
            </w:r>
          </w:p>
          <w:p w14:paraId="0BEDE9E5">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投标保证保险投保截止时间：</w:t>
            </w:r>
            <w:r>
              <w:rPr>
                <w:rFonts w:hint="eastAsia" w:asciiTheme="minorEastAsia" w:hAnsiTheme="minorEastAsia" w:eastAsiaTheme="minorEastAsia" w:cstheme="minorEastAsia"/>
                <w:color w:val="auto"/>
                <w:kern w:val="0"/>
                <w:sz w:val="21"/>
                <w:szCs w:val="21"/>
                <w:highlight w:val="none"/>
                <w:u w:val="none"/>
                <w:lang w:val="en-US" w:eastAsia="zh-CN" w:bidi="ar-SA"/>
              </w:rPr>
              <w:t>2025年12月17日10时00分</w:t>
            </w:r>
            <w:r>
              <w:rPr>
                <w:rFonts w:hint="eastAsia" w:asciiTheme="minorEastAsia" w:hAnsiTheme="minorEastAsia" w:eastAsiaTheme="minorEastAsia" w:cstheme="minorEastAsia"/>
                <w:color w:val="auto"/>
                <w:kern w:val="0"/>
                <w:sz w:val="21"/>
                <w:szCs w:val="21"/>
                <w:highlight w:val="none"/>
                <w:lang w:val="en-US" w:eastAsia="zh-CN" w:bidi="ar-SA"/>
              </w:rPr>
              <w:t>。</w:t>
            </w:r>
          </w:p>
        </w:tc>
      </w:tr>
      <w:tr w14:paraId="3E8455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6304F79F">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6</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0D7E481E">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电子投标</w:t>
            </w:r>
          </w:p>
          <w:p w14:paraId="672E175B">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截止时间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4B626A42">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2025年12月18日10时00分</w:t>
            </w:r>
          </w:p>
        </w:tc>
      </w:tr>
      <w:tr w14:paraId="6BEB36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38"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5DBC96CF">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7</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23D9AFD0">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相关评审资料原件（如有）递交时间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09A3FAD3">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2025年12月18日9时30分</w:t>
            </w:r>
            <w:r>
              <w:rPr>
                <w:rFonts w:hint="eastAsia" w:asciiTheme="minorEastAsia" w:hAnsiTheme="minorEastAsia" w:eastAsiaTheme="minorEastAsia" w:cstheme="minorEastAsia"/>
                <w:color w:val="auto"/>
                <w:kern w:val="0"/>
                <w:sz w:val="21"/>
                <w:szCs w:val="21"/>
                <w:highlight w:val="none"/>
                <w:lang w:val="en-US" w:eastAsia="zh-CN" w:bidi="ar-SA"/>
              </w:rPr>
              <w:t>至</w:t>
            </w:r>
            <w:r>
              <w:rPr>
                <w:rFonts w:hint="eastAsia" w:asciiTheme="minorEastAsia" w:hAnsiTheme="minorEastAsia" w:eastAsiaTheme="minorEastAsia" w:cstheme="minorEastAsia"/>
                <w:color w:val="auto"/>
                <w:kern w:val="0"/>
                <w:sz w:val="21"/>
                <w:szCs w:val="21"/>
                <w:highlight w:val="none"/>
                <w:u w:val="none"/>
                <w:lang w:val="en-US" w:eastAsia="zh-CN" w:bidi="ar-SA"/>
              </w:rPr>
              <w:t>2025年12月18日10时00分</w:t>
            </w:r>
            <w:bookmarkStart w:id="270" w:name="_GoBack"/>
            <w:bookmarkEnd w:id="270"/>
          </w:p>
        </w:tc>
      </w:tr>
      <w:tr w14:paraId="3D6CF1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8"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132533ED">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8</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374A4F76">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相关评审资料原件（如有）递交地点</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6079D872">
            <w:pPr>
              <w:widowControl w:val="0"/>
              <w:kinsoku/>
              <w:wordWrap w:val="0"/>
              <w:autoSpaceDE/>
              <w:autoSpaceDN/>
              <w:adjustRightInd w:val="0"/>
              <w:snapToGrid w:val="0"/>
              <w:spacing w:line="400" w:lineRule="exact"/>
              <w:ind w:firstLine="210" w:firstLineChars="100"/>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递交场所：韶关市公共资源交易中心曲江分中心；</w:t>
            </w:r>
          </w:p>
          <w:p w14:paraId="5FCCA276">
            <w:pPr>
              <w:widowControl w:val="0"/>
              <w:kinsoku/>
              <w:wordWrap w:val="0"/>
              <w:autoSpaceDE/>
              <w:autoSpaceDN/>
              <w:adjustRightInd w:val="0"/>
              <w:snapToGrid w:val="0"/>
              <w:spacing w:line="400" w:lineRule="exact"/>
              <w:ind w:firstLine="210" w:firstLineChars="100"/>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地址：韶关市曲江区马坝镇鞍山路曲江文化中心一楼，具体房间号以当日现场通知为准。</w:t>
            </w:r>
          </w:p>
        </w:tc>
      </w:tr>
      <w:tr w14:paraId="2528E5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78BC08F4">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9</w:t>
            </w:r>
          </w:p>
        </w:tc>
        <w:tc>
          <w:tcPr>
            <w:tcW w:w="1850" w:type="dxa"/>
            <w:tcBorders>
              <w:top w:val="single" w:color="080000" w:sz="4" w:space="0"/>
              <w:left w:val="single" w:color="080000" w:sz="4" w:space="0"/>
              <w:bottom w:val="single" w:color="080000" w:sz="4" w:space="0"/>
              <w:right w:val="single" w:color="080000" w:sz="4" w:space="0"/>
            </w:tcBorders>
            <w:noWrap w:val="0"/>
            <w:vAlign w:val="bottom"/>
          </w:tcPr>
          <w:p w14:paraId="6E0C8CE4">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开标时间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7F313A02">
            <w:pPr>
              <w:widowControl w:val="0"/>
              <w:kinsoku/>
              <w:wordWrap w:val="0"/>
              <w:autoSpaceDE/>
              <w:autoSpaceDN/>
              <w:adjustRightInd w:val="0"/>
              <w:snapToGrid w:val="0"/>
              <w:spacing w:line="400" w:lineRule="exact"/>
              <w:ind w:firstLine="210" w:firstLineChars="100"/>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color w:val="auto"/>
                <w:kern w:val="0"/>
                <w:sz w:val="21"/>
                <w:szCs w:val="21"/>
                <w:highlight w:val="none"/>
                <w:u w:val="none"/>
                <w:lang w:val="en-US" w:eastAsia="zh-CN" w:bidi="ar-SA"/>
              </w:rPr>
              <w:t>2025年12月18日10时00分</w:t>
            </w:r>
          </w:p>
        </w:tc>
      </w:tr>
      <w:tr w14:paraId="62E845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1EF90109">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10</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3F729E30">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开标地点</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127F8DA8">
            <w:pPr>
              <w:widowControl w:val="0"/>
              <w:kinsoku/>
              <w:wordWrap w:val="0"/>
              <w:autoSpaceDE/>
              <w:autoSpaceDN/>
              <w:adjustRightInd/>
              <w:snapToGrid/>
              <w:spacing w:line="360" w:lineRule="auto"/>
              <w:ind w:firstLine="210" w:firstLineChars="1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开标地点：韶关市公共资源交易中心曲江分中心；</w:t>
            </w:r>
          </w:p>
          <w:p w14:paraId="260E8E0F">
            <w:pPr>
              <w:widowControl w:val="0"/>
              <w:kinsoku/>
              <w:wordWrap w:val="0"/>
              <w:autoSpaceDE/>
              <w:autoSpaceDN/>
              <w:adjustRightInd/>
              <w:snapToGrid/>
              <w:spacing w:line="360" w:lineRule="auto"/>
              <w:ind w:firstLine="210" w:firstLineChars="1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地址：韶关市曲江区马坝镇鞍山路曲江文化中心一楼，具体房间号以当日现场通知为准。</w:t>
            </w:r>
          </w:p>
        </w:tc>
      </w:tr>
      <w:tr w14:paraId="6878FD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78" w:hRule="atLeast"/>
        </w:trPr>
        <w:tc>
          <w:tcPr>
            <w:tcW w:w="2651" w:type="dxa"/>
            <w:gridSpan w:val="2"/>
            <w:tcBorders>
              <w:top w:val="single" w:color="080000" w:sz="4" w:space="0"/>
              <w:left w:val="single" w:color="080000" w:sz="4" w:space="0"/>
              <w:bottom w:val="single" w:color="080000" w:sz="4" w:space="0"/>
              <w:right w:val="single" w:color="080000" w:sz="4" w:space="0"/>
            </w:tcBorders>
            <w:noWrap w:val="0"/>
            <w:vAlign w:val="center"/>
          </w:tcPr>
          <w:p w14:paraId="703C4AF8">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备注</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37EB6D30">
            <w:pPr>
              <w:widowControl w:val="0"/>
              <w:kinsoku/>
              <w:wordWrap w:val="0"/>
              <w:autoSpaceDE/>
              <w:autoSpaceDN/>
              <w:adjustRightInd/>
              <w:snapToGrid/>
              <w:spacing w:line="360" w:lineRule="auto"/>
              <w:ind w:firstLine="210" w:firstLineChars="100"/>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A31E9BA">
      <w:pPr>
        <w:pStyle w:val="5"/>
        <w:keepNext w:val="0"/>
        <w:keepLines w:val="0"/>
        <w:pageBreakBefore w:val="0"/>
        <w:wordWrap w:val="0"/>
        <w:overflowPunct/>
        <w:topLinePunct w:val="0"/>
        <w:bidi w:val="0"/>
        <w:rPr>
          <w:rFonts w:hint="eastAsia" w:ascii="宋体" w:hAnsi="宋体" w:eastAsia="宋体" w:cs="宋体"/>
          <w:color w:val="auto"/>
          <w:spacing w:val="0"/>
          <w:highlight w:val="none"/>
        </w:rPr>
      </w:pPr>
    </w:p>
    <w:p w14:paraId="3CB1ACA2">
      <w:pPr>
        <w:keepNext w:val="0"/>
        <w:keepLines w:val="0"/>
        <w:pageBreakBefore w:val="0"/>
        <w:tabs>
          <w:tab w:val="left" w:pos="8820"/>
        </w:tabs>
        <w:wordWrap w:val="0"/>
        <w:overflowPunct/>
        <w:topLinePunct w:val="0"/>
        <w:bidi w:val="0"/>
        <w:rPr>
          <w:rFonts w:hint="eastAsia" w:ascii="宋体" w:hAnsi="宋体" w:eastAsia="宋体" w:cs="宋体"/>
          <w:b w:val="0"/>
          <w:bCs w:val="0"/>
          <w:color w:val="auto"/>
          <w:spacing w:val="0"/>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01EC172F">
      <w:pPr>
        <w:keepNext w:val="0"/>
        <w:keepLines w:val="0"/>
        <w:pageBreakBefore w:val="0"/>
        <w:wordWrap w:val="0"/>
        <w:overflowPunct/>
        <w:topLinePunct w:val="0"/>
        <w:bidi w:val="0"/>
        <w:jc w:val="center"/>
        <w:outlineLvl w:val="1"/>
        <w:rPr>
          <w:rFonts w:hint="eastAsia" w:ascii="宋体" w:hAnsi="宋体" w:eastAsia="宋体" w:cs="宋体"/>
          <w:color w:val="auto"/>
          <w:spacing w:val="0"/>
          <w:sz w:val="24"/>
          <w:szCs w:val="24"/>
          <w:highlight w:val="none"/>
        </w:rPr>
      </w:pPr>
      <w:bookmarkStart w:id="11" w:name="_Toc23836"/>
      <w:r>
        <w:rPr>
          <w:rFonts w:hint="eastAsia" w:ascii="宋体" w:hAnsi="宋体" w:eastAsia="宋体" w:cs="宋体"/>
          <w:b/>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投标人须知正文</w:t>
      </w:r>
      <w:bookmarkEnd w:id="11"/>
    </w:p>
    <w:p w14:paraId="6DE06BEF">
      <w:pPr>
        <w:pStyle w:val="5"/>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6BCC7D5A">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1AE7C66">
      <w:pPr>
        <w:keepNext w:val="0"/>
        <w:keepLines w:val="0"/>
        <w:pageBreakBefore w:val="0"/>
        <w:widowControl/>
        <w:suppressLineNumbers w:val="0"/>
        <w:wordWrap w:val="0"/>
        <w:overflowPunct/>
        <w:topLinePunct w:val="0"/>
        <w:bidi w:val="0"/>
        <w:spacing w:line="360" w:lineRule="auto"/>
        <w:ind w:right="-258" w:rightChars="-123" w:firstLine="420" w:firstLineChars="200"/>
        <w:jc w:val="left"/>
        <w:rPr>
          <w:rFonts w:hint="eastAsia" w:asciiTheme="minorEastAsia" w:hAnsiTheme="minorEastAsia" w:eastAsiaTheme="minorEastAsia" w:cstheme="minorEastAsia"/>
          <w:color w:val="auto"/>
          <w:spacing w:val="0"/>
          <w:sz w:val="21"/>
          <w:szCs w:val="21"/>
          <w:highlight w:val="none"/>
        </w:rPr>
      </w:pPr>
      <w:r>
        <w:rPr>
          <w:rFonts w:hint="eastAsia" w:hAnsi="宋体" w:cs="宋体"/>
          <w:snapToGrid w:val="0"/>
          <w:color w:val="000000"/>
          <w:kern w:val="0"/>
          <w:highlight w:val="none"/>
          <w:u w:val="single"/>
          <w:lang w:eastAsia="zh-CN"/>
        </w:rPr>
        <w:t>2025年曲江区老旧小区基础设施提质升级工程项目</w:t>
      </w:r>
      <w:r>
        <w:rPr>
          <w:rFonts w:hint="eastAsia" w:hAnsi="宋体" w:cs="宋体"/>
          <w:snapToGrid w:val="0"/>
          <w:color w:val="000000"/>
          <w:kern w:val="0"/>
          <w:highlight w:val="none"/>
        </w:rPr>
        <w:t>业经</w:t>
      </w:r>
      <w:r>
        <w:rPr>
          <w:rFonts w:hint="eastAsia" w:hAnsi="宋体" w:cs="宋体"/>
          <w:snapToGrid w:val="0"/>
          <w:color w:val="000000"/>
          <w:kern w:val="0"/>
          <w:highlight w:val="none"/>
          <w:u w:val="single"/>
          <w:lang w:eastAsia="zh-CN"/>
        </w:rPr>
        <w:t>韶关市曲江区发展和改革局</w:t>
      </w:r>
      <w:r>
        <w:rPr>
          <w:rFonts w:hint="eastAsia" w:hAnsi="宋体" w:cs="宋体"/>
          <w:snapToGrid w:val="0"/>
          <w:color w:val="000000"/>
          <w:kern w:val="0"/>
          <w:highlight w:val="none"/>
        </w:rPr>
        <w:t>以</w:t>
      </w:r>
      <w:r>
        <w:rPr>
          <w:rFonts w:hint="eastAsia" w:hAnsi="宋体" w:cs="宋体"/>
          <w:snapToGrid w:val="0"/>
          <w:color w:val="000000"/>
          <w:kern w:val="0"/>
          <w:highlight w:val="none"/>
          <w:u w:val="single"/>
        </w:rPr>
        <w:t>《关于报审2025年曲江区老旧小区基础设施提质升级工程项目初步设计概算的函》（</w:t>
      </w:r>
      <w:r>
        <w:rPr>
          <w:rFonts w:hint="eastAsia" w:hAnsi="宋体" w:cs="宋体"/>
          <w:snapToGrid w:val="0"/>
          <w:color w:val="000000"/>
          <w:kern w:val="0"/>
          <w:highlight w:val="none"/>
          <w:u w:val="single"/>
          <w:lang w:eastAsia="zh-CN"/>
        </w:rPr>
        <w:t>曲发改投审〔2025】73号</w:t>
      </w:r>
      <w:r>
        <w:rPr>
          <w:rFonts w:hint="eastAsia" w:hAnsi="宋体" w:cs="宋体"/>
          <w:snapToGrid w:val="0"/>
          <w:color w:val="000000"/>
          <w:kern w:val="0"/>
          <w:highlight w:val="none"/>
          <w:u w:val="single"/>
        </w:rPr>
        <w:t>）</w:t>
      </w:r>
      <w:r>
        <w:rPr>
          <w:rFonts w:hint="eastAsia" w:hAnsi="宋体" w:cs="宋体"/>
          <w:snapToGrid w:val="0"/>
          <w:color w:val="000000"/>
          <w:kern w:val="0"/>
          <w:highlight w:val="none"/>
        </w:rPr>
        <w:t>批准建设，项目代码为</w:t>
      </w:r>
      <w:r>
        <w:rPr>
          <w:rFonts w:hint="eastAsia" w:hAnsi="宋体" w:cs="宋体"/>
          <w:snapToGrid w:val="0"/>
          <w:color w:val="000000"/>
          <w:kern w:val="0"/>
          <w:highlight w:val="none"/>
          <w:u w:val="single"/>
          <w:lang w:eastAsia="zh-CN"/>
        </w:rPr>
        <w:t>2505-440205-04-01-398621</w:t>
      </w:r>
      <w:r>
        <w:rPr>
          <w:rFonts w:hint="eastAsia" w:hAnsi="宋体" w:cs="宋体"/>
          <w:snapToGrid w:val="0"/>
          <w:color w:val="000000"/>
          <w:kern w:val="0"/>
          <w:highlight w:val="none"/>
        </w:rPr>
        <w:t>。本项目业主为</w:t>
      </w:r>
      <w:r>
        <w:rPr>
          <w:rFonts w:hint="eastAsia" w:hAnsi="宋体" w:cs="宋体"/>
          <w:snapToGrid w:val="0"/>
          <w:color w:val="000000"/>
          <w:kern w:val="0"/>
          <w:highlight w:val="none"/>
          <w:u w:val="single"/>
          <w:lang w:eastAsia="zh-CN"/>
        </w:rPr>
        <w:t>韶关市曲江区马坝镇人民政府</w:t>
      </w:r>
      <w:r>
        <w:rPr>
          <w:rFonts w:hint="eastAsia" w:hAnsi="宋体" w:cs="宋体"/>
          <w:snapToGrid w:val="0"/>
          <w:color w:val="000000"/>
          <w:kern w:val="0"/>
          <w:highlight w:val="none"/>
        </w:rPr>
        <w:t>，建设资金来自</w:t>
      </w:r>
      <w:r>
        <w:rPr>
          <w:rFonts w:hint="eastAsia" w:hAnsi="宋体" w:cs="宋体"/>
          <w:snapToGrid w:val="0"/>
          <w:color w:val="000000"/>
          <w:kern w:val="0"/>
          <w:highlight w:val="none"/>
          <w:u w:val="single"/>
          <w:lang w:val="en-US" w:eastAsia="zh-CN"/>
        </w:rPr>
        <w:t>上级财政资金，不足部分自筹解决</w:t>
      </w:r>
      <w:r>
        <w:rPr>
          <w:rFonts w:hint="eastAsia" w:hAnsi="宋体" w:cs="宋体"/>
          <w:snapToGrid w:val="0"/>
          <w:color w:val="000000"/>
          <w:kern w:val="0"/>
          <w:highlight w:val="none"/>
        </w:rPr>
        <w:t>，招标人为</w:t>
      </w:r>
      <w:r>
        <w:rPr>
          <w:rFonts w:hint="eastAsia" w:hAnsi="宋体" w:cs="宋体"/>
          <w:snapToGrid w:val="0"/>
          <w:color w:val="000000"/>
          <w:kern w:val="0"/>
          <w:highlight w:val="none"/>
          <w:u w:val="single"/>
          <w:lang w:eastAsia="zh-CN"/>
        </w:rPr>
        <w:t>韶关市曲江区马坝镇人民政府</w:t>
      </w:r>
      <w:r>
        <w:rPr>
          <w:rFonts w:hint="eastAsia" w:hAnsi="宋体" w:cs="宋体"/>
          <w:snapToGrid w:val="0"/>
          <w:color w:val="000000"/>
          <w:kern w:val="0"/>
          <w:highlight w:val="none"/>
        </w:rPr>
        <w:t>，招标代理机构为</w:t>
      </w:r>
      <w:r>
        <w:rPr>
          <w:rFonts w:hint="eastAsia" w:hAnsi="宋体" w:cs="宋体"/>
          <w:snapToGrid w:val="0"/>
          <w:color w:val="000000"/>
          <w:kern w:val="0"/>
          <w:highlight w:val="none"/>
          <w:u w:val="single"/>
          <w:lang w:eastAsia="zh-CN"/>
        </w:rPr>
        <w:t>深圳市祺骏建设工程顾问有限公司</w:t>
      </w:r>
      <w:r>
        <w:rPr>
          <w:rFonts w:hint="eastAsia" w:hAnsi="宋体" w:cs="宋体"/>
          <w:snapToGrid w:val="0"/>
          <w:color w:val="000000"/>
          <w:kern w:val="0"/>
          <w:highlight w:val="none"/>
        </w:rPr>
        <w:t>。项目已具备招标条件，现对该项目的</w:t>
      </w:r>
      <w:r>
        <w:rPr>
          <w:rFonts w:hint="eastAsia" w:hAnsi="宋体" w:cs="宋体"/>
          <w:snapToGrid w:val="0"/>
          <w:color w:val="000000"/>
          <w:kern w:val="0"/>
          <w:highlight w:val="none"/>
          <w:u w:val="single"/>
        </w:rPr>
        <w:t>施工</w:t>
      </w:r>
      <w:r>
        <w:rPr>
          <w:rFonts w:hint="eastAsia" w:hAnsi="宋体" w:cs="宋体"/>
          <w:snapToGrid w:val="0"/>
          <w:color w:val="000000"/>
          <w:kern w:val="0"/>
          <w:highlight w:val="none"/>
        </w:rPr>
        <w:t>进行公开招标</w:t>
      </w:r>
      <w:r>
        <w:rPr>
          <w:rFonts w:hint="eastAsia" w:asciiTheme="minorEastAsia" w:hAnsiTheme="minorEastAsia" w:eastAsiaTheme="minorEastAsia" w:cstheme="minorEastAsia"/>
          <w:snapToGrid w:val="0"/>
          <w:color w:val="auto"/>
          <w:spacing w:val="0"/>
          <w:kern w:val="0"/>
          <w:sz w:val="21"/>
          <w:szCs w:val="21"/>
          <w:highlight w:val="none"/>
        </w:rPr>
        <w:t>。</w:t>
      </w:r>
    </w:p>
    <w:p w14:paraId="43BC996E">
      <w:pPr>
        <w:keepNext w:val="0"/>
        <w:keepLines w:val="0"/>
        <w:pageBreakBefore w:val="0"/>
        <w:widowControl/>
        <w:kinsoku w:val="0"/>
        <w:wordWrap w:val="0"/>
        <w:overflowPunct/>
        <w:topLinePunct w:val="0"/>
        <w:autoSpaceDE w:val="0"/>
        <w:autoSpaceDN w:val="0"/>
        <w:bidi w:val="0"/>
        <w:adjustRightInd w:val="0"/>
        <w:snapToGrid w:val="0"/>
        <w:spacing w:line="220" w:lineRule="auto"/>
        <w:ind w:left="496"/>
        <w:textAlignment w:val="baseline"/>
        <w:outlineLvl w:val="9"/>
        <w:rPr>
          <w:rFonts w:hint="eastAsia" w:asciiTheme="minorEastAsia" w:hAnsiTheme="minorEastAsia" w:eastAsiaTheme="minorEastAsia" w:cstheme="minorEastAsia"/>
          <w:color w:val="auto"/>
          <w:spacing w:val="0"/>
          <w:sz w:val="21"/>
          <w:szCs w:val="21"/>
          <w:highlight w:val="none"/>
        </w:rPr>
      </w:pPr>
      <w:bookmarkStart w:id="12" w:name="bookmark52"/>
      <w:bookmarkEnd w:id="12"/>
      <w:bookmarkStart w:id="13" w:name="bookmark59"/>
      <w:bookmarkEnd w:id="13"/>
      <w:bookmarkStart w:id="14" w:name="bookmark73"/>
      <w:bookmarkEnd w:id="14"/>
      <w:bookmarkStart w:id="15" w:name="_Toc15993"/>
      <w:r>
        <w:rPr>
          <w:rFonts w:hint="eastAsia" w:asciiTheme="minorEastAsia" w:hAnsiTheme="minorEastAsia" w:eastAsiaTheme="minorEastAsia" w:cstheme="minorEastAsia"/>
          <w:b/>
          <w:bCs/>
          <w:color w:val="auto"/>
          <w:spacing w:val="0"/>
          <w:sz w:val="21"/>
          <w:szCs w:val="21"/>
          <w:highlight w:val="none"/>
        </w:rPr>
        <w:t>1 ．项目概况、招标范围和标段划分、投标费用等</w:t>
      </w:r>
      <w:bookmarkEnd w:id="15"/>
    </w:p>
    <w:p w14:paraId="10AC5D10">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1.1  </w:t>
      </w:r>
      <w:r>
        <w:rPr>
          <w:rFonts w:hint="eastAsia" w:asciiTheme="minorEastAsia" w:hAnsiTheme="minorEastAsia" w:eastAsiaTheme="minorEastAsia" w:cstheme="minorEastAsia"/>
          <w:color w:val="auto"/>
          <w:spacing w:val="0"/>
          <w:sz w:val="21"/>
          <w:szCs w:val="21"/>
          <w:highlight w:val="none"/>
        </w:rPr>
        <w:t>项目概况</w:t>
      </w:r>
    </w:p>
    <w:p w14:paraId="32BCA84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u w:val="single"/>
          <w:lang w:val="en-US" w:eastAsia="zh-CN"/>
        </w:rPr>
      </w:pPr>
      <w:r>
        <w:rPr>
          <w:rFonts w:hint="eastAsia" w:asciiTheme="minorEastAsia" w:hAnsiTheme="minorEastAsia" w:eastAsiaTheme="minorEastAsia" w:cstheme="minorEastAsia"/>
          <w:b/>
          <w:bCs/>
          <w:color w:val="auto"/>
          <w:spacing w:val="0"/>
          <w:sz w:val="21"/>
          <w:szCs w:val="21"/>
          <w:highlight w:val="none"/>
        </w:rPr>
        <w:t xml:space="preserve">1.1.1  </w:t>
      </w:r>
      <w:r>
        <w:rPr>
          <w:rFonts w:hint="eastAsia" w:asciiTheme="minorEastAsia" w:hAnsiTheme="minorEastAsia" w:eastAsiaTheme="minorEastAsia" w:cstheme="minorEastAsia"/>
          <w:color w:val="auto"/>
          <w:spacing w:val="0"/>
          <w:sz w:val="21"/>
          <w:szCs w:val="21"/>
          <w:highlight w:val="none"/>
        </w:rPr>
        <w:t>建设地点：</w:t>
      </w:r>
      <w:r>
        <w:rPr>
          <w:rFonts w:hint="eastAsia" w:asciiTheme="minorEastAsia" w:hAnsiTheme="minorEastAsia" w:eastAsiaTheme="minorEastAsia" w:cstheme="minorEastAsia"/>
          <w:color w:val="auto"/>
          <w:spacing w:val="0"/>
          <w:sz w:val="21"/>
          <w:szCs w:val="21"/>
          <w:highlight w:val="none"/>
          <w:u w:val="single"/>
          <w:lang w:val="en-US" w:eastAsia="zh-CN"/>
        </w:rPr>
        <w:t>韶关市曲江区马坝镇城区</w:t>
      </w:r>
    </w:p>
    <w:p w14:paraId="79C0DD63">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1.1.2  </w:t>
      </w:r>
      <w:r>
        <w:rPr>
          <w:rFonts w:hint="eastAsia" w:asciiTheme="minorEastAsia" w:hAnsiTheme="minorEastAsia" w:eastAsiaTheme="minorEastAsia" w:cstheme="minorEastAsia"/>
          <w:color w:val="auto"/>
          <w:spacing w:val="0"/>
          <w:sz w:val="21"/>
          <w:szCs w:val="21"/>
          <w:highlight w:val="none"/>
        </w:rPr>
        <w:t>建设内容和规模：</w:t>
      </w:r>
    </w:p>
    <w:p w14:paraId="40EA31D8">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0" w:firstLineChars="200"/>
        <w:textAlignment w:val="baseline"/>
        <w:outlineLvl w:val="9"/>
        <w:rPr>
          <w:rFonts w:hint="eastAsia" w:asciiTheme="minorEastAsia" w:hAnsiTheme="minorEastAsia" w:eastAsiaTheme="minorEastAsia" w:cstheme="minorEastAsia"/>
          <w:b w:val="0"/>
          <w:bCs w:val="0"/>
          <w:color w:val="auto"/>
          <w:spacing w:val="0"/>
          <w:sz w:val="21"/>
          <w:szCs w:val="21"/>
          <w:highlight w:val="none"/>
          <w:lang w:val="en-US" w:eastAsia="zh-CN"/>
        </w:rPr>
      </w:pPr>
      <w:r>
        <w:rPr>
          <w:rFonts w:hint="eastAsia" w:asciiTheme="minorEastAsia" w:hAnsiTheme="minorEastAsia" w:eastAsiaTheme="minorEastAsia" w:cstheme="minorEastAsia"/>
          <w:b w:val="0"/>
          <w:bCs w:val="0"/>
          <w:color w:val="auto"/>
          <w:spacing w:val="0"/>
          <w:sz w:val="21"/>
          <w:szCs w:val="21"/>
          <w:highlight w:val="none"/>
          <w:lang w:val="en-US" w:eastAsia="zh-CN"/>
        </w:rPr>
        <w:t>1.新建DN200-300管网长度约3245米;2.同步实施8700平方米沥青道路新建及5750平方米道路硬化改造;3.配套建设910米排水沟及10个非机动车停车棚等附属设施。</w:t>
      </w:r>
    </w:p>
    <w:p w14:paraId="19EA8D4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u w:val="single"/>
          <w:lang w:val="en-US" w:eastAsia="zh-CN"/>
        </w:rPr>
      </w:pPr>
      <w:r>
        <w:rPr>
          <w:rFonts w:hint="eastAsia" w:asciiTheme="minorEastAsia" w:hAnsiTheme="minorEastAsia" w:eastAsiaTheme="minorEastAsia" w:cstheme="minorEastAsia"/>
          <w:b/>
          <w:bCs/>
          <w:color w:val="auto"/>
          <w:spacing w:val="0"/>
          <w:sz w:val="21"/>
          <w:szCs w:val="21"/>
          <w:highlight w:val="none"/>
        </w:rPr>
        <w:t xml:space="preserve">1.1.3  </w:t>
      </w:r>
      <w:r>
        <w:rPr>
          <w:rFonts w:hint="eastAsia" w:asciiTheme="minorEastAsia" w:hAnsiTheme="minorEastAsia" w:eastAsiaTheme="minorEastAsia" w:cstheme="minorEastAsia"/>
          <w:color w:val="auto"/>
          <w:spacing w:val="0"/>
          <w:sz w:val="21"/>
          <w:szCs w:val="21"/>
          <w:highlight w:val="none"/>
        </w:rPr>
        <w:t>项目总投资</w:t>
      </w:r>
      <w:r>
        <w:rPr>
          <w:rStyle w:val="27"/>
          <w:rFonts w:hint="eastAsia" w:asciiTheme="minorEastAsia" w:hAnsiTheme="minorEastAsia" w:eastAsiaTheme="minorEastAsia" w:cstheme="minorEastAsia"/>
          <w:color w:val="auto"/>
          <w:spacing w:val="0"/>
          <w:kern w:val="0"/>
          <w:sz w:val="21"/>
          <w:szCs w:val="21"/>
          <w:highlight w:val="none"/>
        </w:rPr>
        <w:t>：</w:t>
      </w:r>
      <w:r>
        <w:rPr>
          <w:rFonts w:hint="eastAsia" w:asciiTheme="minorEastAsia" w:hAnsiTheme="minorEastAsia" w:eastAsiaTheme="minorEastAsia" w:cstheme="minorEastAsia"/>
          <w:color w:val="auto"/>
          <w:spacing w:val="0"/>
          <w:sz w:val="21"/>
          <w:szCs w:val="21"/>
          <w:highlight w:val="none"/>
          <w:u w:val="single"/>
          <w:lang w:val="en-US" w:eastAsia="zh-CN"/>
        </w:rPr>
        <w:t>项目概算总投资742.17万元，其中工程费用649.47万元。工程建设其他费用57.36万元。预备费用35.34万元。</w:t>
      </w:r>
    </w:p>
    <w:p w14:paraId="764F781B">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u w:val="single"/>
          <w:lang w:val="en-US" w:eastAsia="zh-CN"/>
        </w:rPr>
      </w:pPr>
      <w:r>
        <w:rPr>
          <w:rFonts w:hint="eastAsia" w:asciiTheme="minorEastAsia" w:hAnsiTheme="minorEastAsia" w:eastAsiaTheme="minorEastAsia" w:cstheme="minorEastAsia"/>
          <w:b/>
          <w:bCs/>
          <w:color w:val="auto"/>
          <w:spacing w:val="0"/>
          <w:sz w:val="21"/>
          <w:szCs w:val="21"/>
          <w:highlight w:val="none"/>
          <w:u w:val="none"/>
          <w:lang w:val="en-US" w:eastAsia="zh-CN"/>
        </w:rPr>
        <w:t xml:space="preserve">1.2 </w:t>
      </w:r>
      <w:r>
        <w:rPr>
          <w:rFonts w:hint="eastAsia" w:asciiTheme="minorEastAsia" w:hAnsiTheme="minorEastAsia" w:eastAsiaTheme="minorEastAsia" w:cstheme="minorEastAsia"/>
          <w:color w:val="auto"/>
          <w:spacing w:val="0"/>
          <w:sz w:val="21"/>
          <w:szCs w:val="21"/>
          <w:highlight w:val="none"/>
          <w:u w:val="single"/>
          <w:lang w:val="en-US" w:eastAsia="zh-CN"/>
        </w:rPr>
        <w:t xml:space="preserve"> 招标范围和标段划分</w:t>
      </w:r>
    </w:p>
    <w:p w14:paraId="7EFD31B1">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b/>
          <w:bCs/>
          <w:color w:val="auto"/>
          <w:spacing w:val="0"/>
          <w:sz w:val="21"/>
          <w:szCs w:val="21"/>
          <w:highlight w:val="none"/>
        </w:rPr>
        <w:t xml:space="preserve">1.2.1  </w:t>
      </w:r>
      <w:r>
        <w:rPr>
          <w:rFonts w:hint="eastAsia" w:asciiTheme="minorEastAsia" w:hAnsiTheme="minorEastAsia" w:eastAsiaTheme="minorEastAsia" w:cstheme="minorEastAsia"/>
          <w:color w:val="auto"/>
          <w:spacing w:val="0"/>
          <w:sz w:val="21"/>
          <w:szCs w:val="21"/>
          <w:highlight w:val="none"/>
        </w:rPr>
        <w:t>招标范围：</w:t>
      </w:r>
      <w:r>
        <w:rPr>
          <w:rFonts w:hint="eastAsia" w:asciiTheme="minorEastAsia" w:hAnsiTheme="minorEastAsia" w:eastAsiaTheme="minorEastAsia" w:cstheme="minorEastAsia"/>
          <w:color w:val="auto"/>
          <w:spacing w:val="0"/>
          <w:sz w:val="21"/>
          <w:szCs w:val="21"/>
          <w:highlight w:val="none"/>
          <w:lang w:eastAsia="zh-CN"/>
        </w:rPr>
        <w:t>按审查合格的施工图纸及工程量清单内容施工。</w:t>
      </w:r>
    </w:p>
    <w:p w14:paraId="1F86AE7B">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rPr>
      </w:pPr>
      <w:bookmarkStart w:id="16" w:name="_Toc28202"/>
      <w:bookmarkStart w:id="17" w:name="_Toc14190"/>
      <w:bookmarkStart w:id="18" w:name="_Toc20855"/>
      <w:bookmarkStart w:id="19" w:name="_Toc24593"/>
      <w:r>
        <w:rPr>
          <w:rFonts w:hint="eastAsia" w:asciiTheme="minorEastAsia" w:hAnsiTheme="minorEastAsia" w:eastAsiaTheme="minorEastAsia" w:cstheme="minorEastAsia"/>
          <w:b/>
          <w:bCs/>
          <w:color w:val="auto"/>
          <w:spacing w:val="0"/>
          <w:sz w:val="21"/>
          <w:szCs w:val="21"/>
          <w:highlight w:val="none"/>
        </w:rPr>
        <w:t xml:space="preserve">1.2.2  </w:t>
      </w:r>
      <w:r>
        <w:rPr>
          <w:rFonts w:hint="eastAsia" w:asciiTheme="minorEastAsia" w:hAnsiTheme="minorEastAsia" w:eastAsiaTheme="minorEastAsia" w:cstheme="minorEastAsia"/>
          <w:color w:val="auto"/>
          <w:spacing w:val="0"/>
          <w:sz w:val="21"/>
          <w:szCs w:val="21"/>
          <w:highlight w:val="none"/>
        </w:rPr>
        <w:t>标段划分：本招标项目不划分标段。</w:t>
      </w:r>
      <w:bookmarkEnd w:id="16"/>
      <w:bookmarkEnd w:id="17"/>
      <w:bookmarkEnd w:id="18"/>
      <w:bookmarkEnd w:id="19"/>
    </w:p>
    <w:p w14:paraId="4EF6BF6F">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  </w:t>
      </w:r>
      <w:r>
        <w:rPr>
          <w:rFonts w:hint="eastAsia" w:asciiTheme="minorEastAsia" w:hAnsiTheme="minorEastAsia" w:eastAsiaTheme="minorEastAsia" w:cstheme="minorEastAsia"/>
          <w:color w:val="auto"/>
          <w:spacing w:val="0"/>
          <w:sz w:val="21"/>
          <w:szCs w:val="21"/>
          <w:highlight w:val="none"/>
        </w:rPr>
        <w:t>投标费用：投标人应承担所有准备和参加投标的相关费用，不论投标结果如何，招标人均无义务和责任承担这些费用。</w:t>
      </w:r>
    </w:p>
    <w:p w14:paraId="7553F63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  </w:t>
      </w:r>
      <w:r>
        <w:rPr>
          <w:rFonts w:hint="eastAsia" w:asciiTheme="minorEastAsia" w:hAnsiTheme="minorEastAsia" w:eastAsiaTheme="minorEastAsia" w:cstheme="minorEastAsia"/>
          <w:color w:val="auto"/>
          <w:spacing w:val="0"/>
          <w:sz w:val="21"/>
          <w:szCs w:val="21"/>
          <w:highlight w:val="none"/>
        </w:rPr>
        <w:t xml:space="preserve">招标代理费用：  </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shd w:val="clear" w:color="auto" w:fill="FFFFFF"/>
        </w:rPr>
        <w:t xml:space="preserve"> 由</w:t>
      </w:r>
      <w:r>
        <w:rPr>
          <w:rFonts w:hint="eastAsia" w:asciiTheme="minorEastAsia" w:hAnsiTheme="minorEastAsia" w:eastAsiaTheme="minorEastAsia" w:cstheme="minorEastAsia"/>
          <w:color w:val="auto"/>
          <w:spacing w:val="0"/>
          <w:sz w:val="21"/>
          <w:szCs w:val="21"/>
          <w:highlight w:val="none"/>
        </w:rPr>
        <w:t>项目业主</w:t>
      </w:r>
      <w:r>
        <w:rPr>
          <w:rFonts w:hint="eastAsia" w:asciiTheme="minorEastAsia" w:hAnsiTheme="minorEastAsia" w:eastAsiaTheme="minorEastAsia" w:cstheme="minorEastAsia"/>
          <w:color w:val="auto"/>
          <w:spacing w:val="0"/>
          <w:sz w:val="21"/>
          <w:szCs w:val="21"/>
          <w:highlight w:val="none"/>
          <w:shd w:val="clear" w:color="auto" w:fill="FFFFFF"/>
        </w:rPr>
        <w:t>支</w:t>
      </w:r>
      <w:r>
        <w:rPr>
          <w:rFonts w:hint="eastAsia" w:asciiTheme="minorEastAsia" w:hAnsiTheme="minorEastAsia" w:eastAsiaTheme="minorEastAsia" w:cstheme="minorEastAsia"/>
          <w:color w:val="auto"/>
          <w:spacing w:val="0"/>
          <w:sz w:val="21"/>
          <w:szCs w:val="21"/>
          <w:highlight w:val="none"/>
        </w:rPr>
        <w:t>付</w:t>
      </w:r>
      <w:r>
        <w:rPr>
          <w:rFonts w:hint="eastAsia" w:asciiTheme="minorEastAsia" w:hAnsiTheme="minorEastAsia" w:eastAsiaTheme="minorEastAsia" w:cstheme="minorEastAsia"/>
          <w:color w:val="auto"/>
          <w:spacing w:val="0"/>
          <w:position w:val="-6"/>
          <w:sz w:val="21"/>
          <w:szCs w:val="21"/>
          <w:highlight w:val="none"/>
          <w:shd w:val="clear" w:color="auto" w:fill="FFFFFF"/>
          <w:lang w:eastAsia="zh-CN"/>
        </w:rPr>
        <w:t xml:space="preserve"> </w:t>
      </w:r>
      <w:r>
        <w:rPr>
          <w:rFonts w:hint="eastAsia" w:asciiTheme="minorEastAsia" w:hAnsiTheme="minorEastAsia" w:eastAsiaTheme="minorEastAsia" w:cstheme="minorEastAsia"/>
          <w:color w:val="auto"/>
          <w:spacing w:val="0"/>
          <w:sz w:val="21"/>
          <w:szCs w:val="21"/>
          <w:highlight w:val="none"/>
          <w:shd w:val="clear" w:color="auto" w:fill="FFFFFF"/>
          <w:lang w:eastAsia="zh-CN"/>
        </w:rPr>
        <w:t>☑</w:t>
      </w:r>
      <w:r>
        <w:rPr>
          <w:rFonts w:hint="eastAsia" w:asciiTheme="minorEastAsia" w:hAnsiTheme="minorEastAsia" w:eastAsiaTheme="minorEastAsia" w:cstheme="minorEastAsia"/>
          <w:color w:val="auto"/>
          <w:spacing w:val="0"/>
          <w:sz w:val="21"/>
          <w:szCs w:val="21"/>
          <w:highlight w:val="none"/>
          <w:shd w:val="clear" w:color="auto" w:fill="FFFFFF"/>
        </w:rPr>
        <w:t xml:space="preserve"> 由中标人支付。</w:t>
      </w:r>
    </w:p>
    <w:p w14:paraId="7CD080AB">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jc w:val="left"/>
        <w:textAlignment w:val="baseline"/>
        <w:outlineLvl w:val="9"/>
        <w:rPr>
          <w:rFonts w:hint="eastAsia" w:asciiTheme="minorEastAsia" w:hAnsiTheme="minorEastAsia" w:eastAsiaTheme="minorEastAsia" w:cstheme="minorEastAsia"/>
          <w:b w:val="0"/>
          <w:bCs w:val="0"/>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2．</w:t>
      </w:r>
      <w:r>
        <w:rPr>
          <w:rFonts w:hint="eastAsia" w:asciiTheme="minorEastAsia" w:hAnsiTheme="minorEastAsia" w:eastAsiaTheme="minorEastAsia" w:cstheme="minorEastAsia"/>
          <w:b w:val="0"/>
          <w:bCs w:val="0"/>
          <w:color w:val="auto"/>
          <w:spacing w:val="0"/>
          <w:sz w:val="21"/>
          <w:szCs w:val="21"/>
          <w:highlight w:val="none"/>
          <w:lang w:eastAsia="zh-CN"/>
        </w:rPr>
        <w:t>投标人</w:t>
      </w:r>
      <w:r>
        <w:rPr>
          <w:rFonts w:hint="eastAsia" w:asciiTheme="minorEastAsia" w:hAnsiTheme="minorEastAsia" w:eastAsiaTheme="minorEastAsia" w:cstheme="minorEastAsia"/>
          <w:b w:val="0"/>
          <w:bCs w:val="0"/>
          <w:color w:val="auto"/>
          <w:spacing w:val="0"/>
          <w:sz w:val="21"/>
          <w:szCs w:val="21"/>
          <w:highlight w:val="none"/>
        </w:rPr>
        <w:t>资质要求</w:t>
      </w:r>
    </w:p>
    <w:p w14:paraId="4906C36B">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val="en-US" w:eastAsia="zh-CN"/>
        </w:rPr>
        <w:t>2.</w:t>
      </w:r>
      <w:r>
        <w:rPr>
          <w:rFonts w:hint="eastAsia" w:asciiTheme="minorEastAsia" w:hAnsiTheme="minorEastAsia" w:eastAsiaTheme="minorEastAsia" w:cstheme="minorEastAsia"/>
          <w:color w:val="auto"/>
          <w:spacing w:val="0"/>
          <w:sz w:val="21"/>
          <w:szCs w:val="21"/>
          <w:highlight w:val="none"/>
        </w:rPr>
        <w:t>1．本次招标不接受联合体投标。</w:t>
      </w:r>
    </w:p>
    <w:p w14:paraId="51A3B6A4">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val="en-US" w:eastAsia="zh-CN"/>
        </w:rPr>
        <w:t>2.</w:t>
      </w:r>
      <w:r>
        <w:rPr>
          <w:rFonts w:hint="eastAsia" w:asciiTheme="minorEastAsia" w:hAnsiTheme="minorEastAsia" w:eastAsiaTheme="minorEastAsia" w:cstheme="minorEastAsia"/>
          <w:color w:val="auto"/>
          <w:spacing w:val="0"/>
          <w:sz w:val="21"/>
          <w:szCs w:val="21"/>
          <w:highlight w:val="none"/>
        </w:rPr>
        <w:t>2．资质要求</w:t>
      </w:r>
    </w:p>
    <w:p w14:paraId="5C8D89B9">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2.2.1 投标人须具备独立法人资格，按国家法律经营。</w:t>
      </w:r>
    </w:p>
    <w:p w14:paraId="331748E7">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2.2.2 投标人须持有建设行政主管部门颁发的企业资质证书及安全生产许可证。</w:t>
      </w:r>
    </w:p>
    <w:p w14:paraId="1A866D0A">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2.2.3 投标人须具备以下资质：</w:t>
      </w:r>
      <w:r>
        <w:rPr>
          <w:rFonts w:hint="eastAsia" w:asciiTheme="minorEastAsia" w:hAnsiTheme="minorEastAsia" w:eastAsiaTheme="minorEastAsia" w:cstheme="minorEastAsia"/>
          <w:color w:val="auto"/>
          <w:spacing w:val="0"/>
          <w:sz w:val="21"/>
          <w:szCs w:val="21"/>
          <w:highlight w:val="none"/>
          <w:lang w:eastAsia="zh-CN"/>
        </w:rPr>
        <w:t>具有建设行政主管部门颁发的市政公用工程施工总承包三级以上（含三级）资质。</w:t>
      </w:r>
    </w:p>
    <w:p w14:paraId="27E73256">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2.2.4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4D11959F">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 相关人员要求</w:t>
      </w:r>
    </w:p>
    <w:p w14:paraId="637B4A64">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2.3.1 拟派项目经理为</w:t>
      </w:r>
      <w:r>
        <w:rPr>
          <w:rFonts w:hint="eastAsia" w:asciiTheme="minorEastAsia" w:hAnsiTheme="minorEastAsia" w:eastAsiaTheme="minorEastAsia" w:cstheme="minorEastAsia"/>
          <w:color w:val="auto"/>
          <w:spacing w:val="0"/>
          <w:sz w:val="21"/>
          <w:szCs w:val="21"/>
          <w:highlight w:val="none"/>
          <w:u w:val="single"/>
          <w:lang w:val="en-US" w:eastAsia="zh-CN"/>
        </w:rPr>
        <w:t>市政公用</w:t>
      </w:r>
      <w:r>
        <w:rPr>
          <w:rFonts w:hint="eastAsia" w:asciiTheme="minorEastAsia" w:hAnsiTheme="minorEastAsia" w:eastAsiaTheme="minorEastAsia" w:cstheme="minorEastAsia"/>
          <w:color w:val="auto"/>
          <w:spacing w:val="0"/>
          <w:sz w:val="21"/>
          <w:szCs w:val="21"/>
          <w:highlight w:val="none"/>
          <w:u w:val="single"/>
        </w:rPr>
        <w:t>工程</w:t>
      </w:r>
      <w:r>
        <w:rPr>
          <w:rFonts w:hint="eastAsia" w:asciiTheme="minorEastAsia" w:hAnsiTheme="minorEastAsia" w:eastAsiaTheme="minorEastAsia" w:cstheme="minorEastAsia"/>
          <w:color w:val="auto"/>
          <w:spacing w:val="0"/>
          <w:sz w:val="21"/>
          <w:szCs w:val="21"/>
          <w:highlight w:val="none"/>
        </w:rPr>
        <w:t>专业一级注册建造师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37A2FC9C">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 xml:space="preserve">2.3.2 </w:t>
      </w:r>
      <w:r>
        <w:rPr>
          <w:rFonts w:hint="eastAsia" w:asciiTheme="minorEastAsia" w:hAnsiTheme="minorEastAsia" w:eastAsiaTheme="minorEastAsia" w:cstheme="minorEastAsia"/>
          <w:color w:val="auto"/>
          <w:spacing w:val="0"/>
          <w:sz w:val="21"/>
          <w:szCs w:val="21"/>
          <w:highlight w:val="none"/>
          <w:lang w:eastAsia="zh-CN"/>
        </w:rPr>
        <w:t>拟派项目技术负责人须具备</w:t>
      </w:r>
      <w:r>
        <w:rPr>
          <w:rFonts w:hint="eastAsia" w:asciiTheme="minorEastAsia" w:hAnsiTheme="minorEastAsia" w:eastAsiaTheme="minorEastAsia" w:cstheme="minorEastAsia"/>
          <w:color w:val="auto"/>
          <w:spacing w:val="0"/>
          <w:sz w:val="21"/>
          <w:szCs w:val="21"/>
          <w:highlight w:val="none"/>
          <w:u w:val="single"/>
          <w:lang w:eastAsia="zh-CN"/>
        </w:rPr>
        <w:t xml:space="preserve"> 市政工程 </w:t>
      </w:r>
      <w:r>
        <w:rPr>
          <w:rFonts w:hint="eastAsia" w:asciiTheme="minorEastAsia" w:hAnsiTheme="minorEastAsia" w:eastAsiaTheme="minorEastAsia" w:cstheme="minorEastAsia"/>
          <w:color w:val="auto"/>
          <w:spacing w:val="0"/>
          <w:sz w:val="21"/>
          <w:szCs w:val="21"/>
          <w:highlight w:val="none"/>
          <w:lang w:eastAsia="zh-CN"/>
        </w:rPr>
        <w:t>相关专业</w:t>
      </w:r>
      <w:r>
        <w:rPr>
          <w:rFonts w:hint="eastAsia" w:asciiTheme="minorEastAsia" w:hAnsiTheme="minorEastAsia" w:eastAsiaTheme="minorEastAsia" w:cstheme="minorEastAsia"/>
          <w:color w:val="auto"/>
          <w:spacing w:val="0"/>
          <w:sz w:val="21"/>
          <w:szCs w:val="21"/>
          <w:highlight w:val="none"/>
          <w:u w:val="single"/>
          <w:lang w:eastAsia="zh-CN"/>
        </w:rPr>
        <w:t>中级</w:t>
      </w:r>
      <w:r>
        <w:rPr>
          <w:rFonts w:hint="eastAsia" w:asciiTheme="minorEastAsia" w:hAnsiTheme="minorEastAsia" w:eastAsiaTheme="minorEastAsia" w:cstheme="minorEastAsia"/>
          <w:color w:val="auto"/>
          <w:spacing w:val="0"/>
          <w:sz w:val="21"/>
          <w:szCs w:val="21"/>
          <w:highlight w:val="none"/>
          <w:lang w:eastAsia="zh-CN"/>
        </w:rPr>
        <w:t>以上（含中级）技术职称。</w:t>
      </w:r>
    </w:p>
    <w:p w14:paraId="32DA556B">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2.3.3 拟派专职安全生产管理人员须具备有效安全生产考核合格证明（C证，安全生产考核合格证书或“广东省建筑施工企业管理人员安全生产考核信息系统”考核合格信息打印页），且不少于</w:t>
      </w:r>
      <w:r>
        <w:rPr>
          <w:rFonts w:hint="eastAsia" w:asciiTheme="minorEastAsia" w:hAnsiTheme="minorEastAsia" w:eastAsiaTheme="minorEastAsia" w:cstheme="minorEastAsia"/>
          <w:color w:val="auto"/>
          <w:spacing w:val="0"/>
          <w:sz w:val="21"/>
          <w:szCs w:val="21"/>
          <w:highlight w:val="none"/>
          <w:lang w:val="en-US" w:eastAsia="zh-CN"/>
        </w:rPr>
        <w:t>1</w:t>
      </w:r>
      <w:r>
        <w:rPr>
          <w:rFonts w:hint="eastAsia" w:asciiTheme="minorEastAsia" w:hAnsiTheme="minorEastAsia" w:eastAsiaTheme="minorEastAsia" w:cstheme="minorEastAsia"/>
          <w:color w:val="auto"/>
          <w:spacing w:val="0"/>
          <w:sz w:val="21"/>
          <w:szCs w:val="21"/>
          <w:highlight w:val="none"/>
        </w:rPr>
        <w:t>人。</w:t>
      </w:r>
    </w:p>
    <w:p w14:paraId="1C6A9FE4">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2.3.4 投标人与其拟派往本项目管理机构的所有人员之间必须具备合法、唯一的劳动聘用关系。拟派人员中具备注册执业资格的，其注册单位须与投标人保持一致。</w:t>
      </w:r>
    </w:p>
    <w:p w14:paraId="02BEAC2D">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 禁止投标条款</w:t>
      </w:r>
    </w:p>
    <w:p w14:paraId="515013F4">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2.4.1 投标人不得存在下列情形之一：</w:t>
      </w:r>
    </w:p>
    <w:p w14:paraId="49D73DDE">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（1）为招标人不具有独立法人资格的附属机构（单位）；</w:t>
      </w:r>
    </w:p>
    <w:p w14:paraId="1881B332">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（2）为本招标项目前期准备提供设计或咨询服务的；</w:t>
      </w:r>
    </w:p>
    <w:p w14:paraId="12690870">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（3）与本招标项目的其他投标人为同一个单位负责人；</w:t>
      </w:r>
    </w:p>
    <w:p w14:paraId="043ED237">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（4）与本招标项目的其他投标人存在控股、管理关系；</w:t>
      </w:r>
    </w:p>
    <w:p w14:paraId="5D35A27B">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（5）为本招标项目的监理人；</w:t>
      </w:r>
    </w:p>
    <w:p w14:paraId="34EE3AF0">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（6）为本招标项目的代建人；</w:t>
      </w:r>
    </w:p>
    <w:p w14:paraId="3409EF71">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（7）为本招标项目的招标代理机构；</w:t>
      </w:r>
    </w:p>
    <w:p w14:paraId="7BBE9967">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（8）与本招标项目的监理人或代建人或招标代理机构同为一个法定代表人；</w:t>
      </w:r>
    </w:p>
    <w:p w14:paraId="0CB33CD6">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（9）与本招标项目的监理人或代建人或招标代理机构存在控股或参股关系；</w:t>
      </w:r>
    </w:p>
    <w:p w14:paraId="36D9A01D">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（10）与本招标项目的监理人或代建人或招标代理机构存在相互任职或工作关系；</w:t>
      </w:r>
    </w:p>
    <w:p w14:paraId="6B692938">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（11）被依法暂停或者取消投标资格；</w:t>
      </w:r>
    </w:p>
    <w:p w14:paraId="1FC3BD16">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（12）被责令停产停业、暂扣或者吊销许可证、暂扣或者吊销执照；</w:t>
      </w:r>
    </w:p>
    <w:p w14:paraId="18A8127A">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（13）进入清算程序，或被宣告破产，或其他丧失履约能力的情形；</w:t>
      </w:r>
    </w:p>
    <w:p w14:paraId="52E652D1">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（14）在最近三年内发生重大工程质量或安全问题（以相关行业主管部门的行政处罚决定或司法机关出具的有关法律文书为准）；</w:t>
      </w:r>
    </w:p>
    <w:p w14:paraId="4168BE36">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r>
        <w:rPr>
          <w:rFonts w:hint="eastAsia" w:asciiTheme="minorEastAsia" w:hAnsiTheme="minorEastAsia" w:eastAsiaTheme="minorEastAsia" w:cstheme="minorEastAsia"/>
          <w:color w:val="auto"/>
          <w:spacing w:val="0"/>
          <w:sz w:val="21"/>
          <w:szCs w:val="21"/>
          <w:highlight w:val="none"/>
          <w:lang w:eastAsia="zh-CN"/>
        </w:rPr>
        <w:t>被“信用中国”网站（https://www.creditchina.gov.cn）发布的《法人和非法人组织公共信用信息报告》列为严重失信主体名单的</w:t>
      </w:r>
      <w:r>
        <w:rPr>
          <w:rFonts w:hint="eastAsia" w:asciiTheme="minorEastAsia" w:hAnsiTheme="minorEastAsia" w:eastAsiaTheme="minorEastAsia" w:cstheme="minorEastAsia"/>
          <w:color w:val="auto"/>
          <w:spacing w:val="0"/>
          <w:sz w:val="21"/>
          <w:szCs w:val="21"/>
          <w:highlight w:val="none"/>
        </w:rPr>
        <w:t>。</w:t>
      </w:r>
    </w:p>
    <w:p w14:paraId="206D3137">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2.4.2 招标人拒绝以下名单中的单位参加本次投标：</w:t>
      </w:r>
    </w:p>
    <w:tbl>
      <w:tblPr>
        <w:tblStyle w:val="15"/>
        <w:tblW w:w="9659"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4637"/>
        <w:gridCol w:w="4266"/>
      </w:tblGrid>
      <w:tr w14:paraId="3E8C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56" w:type="dxa"/>
            <w:noWrap w:val="0"/>
            <w:vAlign w:val="center"/>
          </w:tcPr>
          <w:p w14:paraId="0F4FDB65">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序号</w:t>
            </w:r>
          </w:p>
        </w:tc>
        <w:tc>
          <w:tcPr>
            <w:tcW w:w="4637" w:type="dxa"/>
            <w:noWrap w:val="0"/>
            <w:vAlign w:val="center"/>
          </w:tcPr>
          <w:p w14:paraId="603CB258">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单位名称</w:t>
            </w:r>
          </w:p>
        </w:tc>
        <w:tc>
          <w:tcPr>
            <w:tcW w:w="4266" w:type="dxa"/>
            <w:noWrap w:val="0"/>
            <w:vAlign w:val="center"/>
          </w:tcPr>
          <w:p w14:paraId="79D24E4B">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拒绝原因</w:t>
            </w:r>
          </w:p>
        </w:tc>
      </w:tr>
      <w:tr w14:paraId="3285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56" w:type="dxa"/>
            <w:noWrap w:val="0"/>
            <w:vAlign w:val="center"/>
          </w:tcPr>
          <w:p w14:paraId="7775EB93">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rPr>
              <w:t>1</w:t>
            </w:r>
          </w:p>
        </w:tc>
        <w:tc>
          <w:tcPr>
            <w:tcW w:w="4637" w:type="dxa"/>
            <w:noWrap w:val="0"/>
            <w:vAlign w:val="center"/>
          </w:tcPr>
          <w:p w14:paraId="5EF81087">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韶关市曲江区马坝镇人民政府</w:t>
            </w:r>
          </w:p>
        </w:tc>
        <w:tc>
          <w:tcPr>
            <w:tcW w:w="4266" w:type="dxa"/>
            <w:noWrap w:val="0"/>
            <w:vAlign w:val="center"/>
          </w:tcPr>
          <w:p w14:paraId="6B704BD8">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rPr>
              <w:t>为本招标项目的招标人</w:t>
            </w:r>
          </w:p>
        </w:tc>
      </w:tr>
      <w:tr w14:paraId="4625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56" w:type="dxa"/>
            <w:noWrap w:val="0"/>
            <w:vAlign w:val="center"/>
          </w:tcPr>
          <w:p w14:paraId="4F9C548B">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rPr>
              <w:t>2</w:t>
            </w:r>
          </w:p>
        </w:tc>
        <w:tc>
          <w:tcPr>
            <w:tcW w:w="4637" w:type="dxa"/>
            <w:noWrap w:val="0"/>
            <w:vAlign w:val="center"/>
          </w:tcPr>
          <w:p w14:paraId="5C858425">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四川良友建设咨询有限公司</w:t>
            </w:r>
          </w:p>
        </w:tc>
        <w:tc>
          <w:tcPr>
            <w:tcW w:w="4266" w:type="dxa"/>
            <w:noWrap w:val="0"/>
            <w:vAlign w:val="center"/>
          </w:tcPr>
          <w:p w14:paraId="03D91219">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为本招标项目的监理单位</w:t>
            </w:r>
          </w:p>
        </w:tc>
      </w:tr>
      <w:tr w14:paraId="7C9C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56" w:type="dxa"/>
            <w:noWrap w:val="0"/>
            <w:vAlign w:val="center"/>
          </w:tcPr>
          <w:p w14:paraId="3F125376">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3</w:t>
            </w:r>
          </w:p>
        </w:tc>
        <w:tc>
          <w:tcPr>
            <w:tcW w:w="4637" w:type="dxa"/>
            <w:noWrap w:val="0"/>
            <w:vAlign w:val="center"/>
          </w:tcPr>
          <w:p w14:paraId="3CCFD6CC">
            <w:pPr>
              <w:keepNext w:val="0"/>
              <w:keepLines w:val="0"/>
              <w:pageBreakBefore w:val="0"/>
              <w:wordWrap w:val="0"/>
              <w:overflowPunct/>
              <w:topLinePunct w:val="0"/>
              <w:bidi w:val="0"/>
              <w:spacing w:before="150" w:line="334" w:lineRule="auto"/>
              <w:ind w:right="99"/>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中启信项目咨询有限公司/福建省邮电工程有限公司</w:t>
            </w:r>
          </w:p>
        </w:tc>
        <w:tc>
          <w:tcPr>
            <w:tcW w:w="4266" w:type="dxa"/>
            <w:noWrap w:val="0"/>
            <w:vAlign w:val="center"/>
          </w:tcPr>
          <w:p w14:paraId="7FB183C7">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rPr>
              <w:t>为本招标项目的</w:t>
            </w:r>
            <w:r>
              <w:rPr>
                <w:rFonts w:hint="eastAsia" w:asciiTheme="minorEastAsia" w:hAnsiTheme="minorEastAsia" w:eastAsiaTheme="minorEastAsia" w:cstheme="minorEastAsia"/>
                <w:color w:val="auto"/>
                <w:spacing w:val="0"/>
                <w:sz w:val="21"/>
                <w:szCs w:val="21"/>
                <w:highlight w:val="none"/>
                <w:lang w:val="en-US" w:eastAsia="zh-CN"/>
              </w:rPr>
              <w:t>设计</w:t>
            </w:r>
            <w:r>
              <w:rPr>
                <w:rFonts w:hint="eastAsia" w:asciiTheme="minorEastAsia" w:hAnsiTheme="minorEastAsia" w:eastAsiaTheme="minorEastAsia" w:cstheme="minorEastAsia"/>
                <w:color w:val="auto"/>
                <w:spacing w:val="0"/>
                <w:sz w:val="21"/>
                <w:szCs w:val="21"/>
                <w:highlight w:val="none"/>
              </w:rPr>
              <w:t>单位</w:t>
            </w:r>
          </w:p>
        </w:tc>
      </w:tr>
      <w:tr w14:paraId="48BF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56" w:type="dxa"/>
            <w:noWrap w:val="0"/>
            <w:vAlign w:val="center"/>
          </w:tcPr>
          <w:p w14:paraId="4037FABD">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4</w:t>
            </w:r>
          </w:p>
        </w:tc>
        <w:tc>
          <w:tcPr>
            <w:tcW w:w="4637" w:type="dxa"/>
            <w:noWrap w:val="0"/>
            <w:vAlign w:val="center"/>
          </w:tcPr>
          <w:p w14:paraId="4A8044D8">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江门市安厦建设监理有限公司</w:t>
            </w:r>
          </w:p>
        </w:tc>
        <w:tc>
          <w:tcPr>
            <w:tcW w:w="4266" w:type="dxa"/>
            <w:noWrap w:val="0"/>
            <w:vAlign w:val="center"/>
          </w:tcPr>
          <w:p w14:paraId="0AC6D98A">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为本招标项目的造价咨询单位</w:t>
            </w:r>
          </w:p>
        </w:tc>
      </w:tr>
      <w:tr w14:paraId="2C56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756" w:type="dxa"/>
            <w:noWrap w:val="0"/>
            <w:vAlign w:val="center"/>
          </w:tcPr>
          <w:p w14:paraId="1D941748">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5</w:t>
            </w:r>
          </w:p>
        </w:tc>
        <w:tc>
          <w:tcPr>
            <w:tcW w:w="4637" w:type="dxa"/>
            <w:noWrap w:val="0"/>
            <w:vAlign w:val="center"/>
          </w:tcPr>
          <w:p w14:paraId="6C0B841B">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深圳市祺骏建设工程顾问有限公司</w:t>
            </w:r>
          </w:p>
        </w:tc>
        <w:tc>
          <w:tcPr>
            <w:tcW w:w="4266" w:type="dxa"/>
            <w:noWrap w:val="0"/>
            <w:vAlign w:val="center"/>
          </w:tcPr>
          <w:p w14:paraId="0DB2E135">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rPr>
              <w:t>为本招标项目的招标代理机构</w:t>
            </w:r>
          </w:p>
        </w:tc>
      </w:tr>
    </w:tbl>
    <w:p w14:paraId="7863769F">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 其他要求</w:t>
      </w:r>
    </w:p>
    <w:p w14:paraId="48483CF7">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省外企业须按照《广东省住房和城乡建设厅关于取消省外建筑企业和人员进粤信息备案有关工作的通知》（粤建市﹝2015﹞52号）规定在“进粤企业和人员诚信信息登记平台”录入相关信息并通过数据规范检查。</w:t>
      </w:r>
    </w:p>
    <w:p w14:paraId="35B00932">
      <w:pPr>
        <w:keepNext w:val="0"/>
        <w:keepLines w:val="0"/>
        <w:pageBreakBefore w:val="0"/>
        <w:wordWrap w:val="0"/>
        <w:overflowPunct/>
        <w:topLinePunct w:val="0"/>
        <w:bidi w:val="0"/>
        <w:spacing w:before="79" w:line="220" w:lineRule="auto"/>
        <w:ind w:left="715"/>
        <w:outlineLvl w:val="2"/>
        <w:rPr>
          <w:rFonts w:hint="eastAsia" w:asciiTheme="minorEastAsia" w:hAnsiTheme="minorEastAsia" w:eastAsiaTheme="minorEastAsia" w:cstheme="minorEastAsia"/>
          <w:color w:val="auto"/>
          <w:spacing w:val="0"/>
          <w:sz w:val="21"/>
          <w:szCs w:val="21"/>
          <w:highlight w:val="none"/>
        </w:rPr>
      </w:pPr>
      <w:bookmarkStart w:id="20" w:name="_Toc8805"/>
      <w:bookmarkStart w:id="21" w:name="_Toc23243"/>
      <w:r>
        <w:rPr>
          <w:rFonts w:hint="eastAsia" w:asciiTheme="minorEastAsia" w:hAnsiTheme="minorEastAsia" w:eastAsiaTheme="minorEastAsia" w:cstheme="minorEastAsia"/>
          <w:b/>
          <w:bCs/>
          <w:color w:val="auto"/>
          <w:spacing w:val="0"/>
          <w:sz w:val="21"/>
          <w:szCs w:val="21"/>
          <w:highlight w:val="none"/>
        </w:rPr>
        <w:t>3．招标文件的获取</w:t>
      </w:r>
      <w:bookmarkEnd w:id="20"/>
      <w:bookmarkEnd w:id="21"/>
    </w:p>
    <w:p w14:paraId="3CC54D13">
      <w:pPr>
        <w:keepNext w:val="0"/>
        <w:keepLines w:val="0"/>
        <w:pageBreakBefore w:val="0"/>
        <w:wordWrap w:val="0"/>
        <w:overflowPunct/>
        <w:topLinePunct w:val="0"/>
        <w:bidi w:val="0"/>
        <w:spacing w:before="182" w:line="219" w:lineRule="auto"/>
        <w:ind w:left="70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3.1  </w:t>
      </w:r>
      <w:r>
        <w:rPr>
          <w:rFonts w:hint="eastAsia" w:asciiTheme="minorEastAsia" w:hAnsiTheme="minorEastAsia" w:eastAsiaTheme="minorEastAsia" w:cstheme="minorEastAsia"/>
          <w:color w:val="auto"/>
          <w:spacing w:val="0"/>
          <w:sz w:val="21"/>
          <w:szCs w:val="21"/>
          <w:highlight w:val="none"/>
        </w:rPr>
        <w:t>本次招标实行电子投标。</w:t>
      </w:r>
    </w:p>
    <w:p w14:paraId="442B2679">
      <w:pPr>
        <w:keepNext w:val="0"/>
        <w:keepLines w:val="0"/>
        <w:pageBreakBefore w:val="0"/>
        <w:wordWrap w:val="0"/>
        <w:overflowPunct/>
        <w:topLinePunct w:val="0"/>
        <w:bidi w:val="0"/>
        <w:spacing w:before="178" w:line="355" w:lineRule="auto"/>
        <w:ind w:left="0" w:leftChars="0" w:firstLine="481" w:firstLineChars="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1E40E8FC">
      <w:pPr>
        <w:keepNext w:val="0"/>
        <w:keepLines w:val="0"/>
        <w:pageBreakBefore w:val="0"/>
        <w:wordWrap w:val="0"/>
        <w:overflowPunct/>
        <w:topLinePunct w:val="0"/>
        <w:bidi w:val="0"/>
        <w:spacing w:before="142" w:line="330" w:lineRule="auto"/>
        <w:ind w:left="11" w:right="105" w:firstLine="473"/>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3.2  </w:t>
      </w:r>
      <w:r>
        <w:rPr>
          <w:rFonts w:hint="eastAsia" w:asciiTheme="minorEastAsia" w:hAnsiTheme="minorEastAsia" w:eastAsiaTheme="minorEastAsia" w:cstheme="minorEastAsia"/>
          <w:color w:val="auto"/>
          <w:spacing w:val="0"/>
          <w:sz w:val="21"/>
          <w:szCs w:val="21"/>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7CD870B8">
      <w:pPr>
        <w:keepNext w:val="0"/>
        <w:keepLines w:val="0"/>
        <w:pageBreakBefore w:val="0"/>
        <w:wordWrap w:val="0"/>
        <w:overflowPunct/>
        <w:topLinePunct w:val="0"/>
        <w:bidi w:val="0"/>
        <w:spacing w:before="32" w:line="332" w:lineRule="auto"/>
        <w:ind w:left="10" w:right="90" w:firstLine="483"/>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首次在韶关市参与建设工程招标投标活动的投标人，必须在平台系统上传企业相关资料办理企业入库事宜。投标人可登录全国公共资源交易平台（广东省 ·韶关市）（</w:t>
      </w:r>
      <w:r>
        <w:rPr>
          <w:rFonts w:hint="eastAsia" w:asciiTheme="minorEastAsia" w:hAnsiTheme="minorEastAsia" w:eastAsiaTheme="minorEastAsia" w:cstheme="minorEastAsia"/>
          <w:color w:val="auto"/>
          <w:spacing w:val="0"/>
          <w:sz w:val="21"/>
          <w:szCs w:val="21"/>
          <w:highlight w:val="none"/>
        </w:rPr>
        <w:fldChar w:fldCharType="begin"/>
      </w:r>
      <w:r>
        <w:rPr>
          <w:rFonts w:hint="eastAsia" w:asciiTheme="minorEastAsia" w:hAnsiTheme="minorEastAsia" w:eastAsiaTheme="minorEastAsia" w:cstheme="minorEastAsia"/>
          <w:color w:val="auto"/>
          <w:spacing w:val="0"/>
          <w:sz w:val="21"/>
          <w:szCs w:val="21"/>
          <w:highlight w:val="none"/>
        </w:rPr>
        <w:instrText xml:space="preserve"> HYPERLINK "https://ygp.gdzwfw.gov.cn/ggzy-portal/#/440200/index" </w:instrText>
      </w:r>
      <w:r>
        <w:rPr>
          <w:rFonts w:hint="eastAsia" w:asciiTheme="minorEastAsia" w:hAnsiTheme="minorEastAsia" w:eastAsiaTheme="minorEastAsia" w:cstheme="minorEastAsia"/>
          <w:color w:val="auto"/>
          <w:spacing w:val="0"/>
          <w:sz w:val="21"/>
          <w:szCs w:val="21"/>
          <w:highlight w:val="none"/>
        </w:rPr>
        <w:fldChar w:fldCharType="separate"/>
      </w:r>
      <w:r>
        <w:rPr>
          <w:rFonts w:hint="eastAsia" w:asciiTheme="minorEastAsia" w:hAnsiTheme="minorEastAsia" w:eastAsiaTheme="minorEastAsia" w:cstheme="minorEastAsia"/>
          <w:color w:val="auto"/>
          <w:spacing w:val="0"/>
          <w:sz w:val="21"/>
          <w:szCs w:val="21"/>
          <w:highlight w:val="none"/>
        </w:rPr>
        <w:t>https://ygp.gdzwfw.gov.cn/ggzy-portal/#/440200/index</w:t>
      </w:r>
      <w:r>
        <w:rPr>
          <w:rFonts w:hint="eastAsia" w:asciiTheme="minorEastAsia" w:hAnsiTheme="minorEastAsia" w:eastAsiaTheme="minorEastAsia" w:cstheme="minorEastAsia"/>
          <w:color w:val="auto"/>
          <w:spacing w:val="0"/>
          <w:sz w:val="21"/>
          <w:szCs w:val="21"/>
          <w:highlight w:val="none"/>
        </w:rPr>
        <w:fldChar w:fldCharType="end"/>
      </w:r>
      <w:r>
        <w:rPr>
          <w:rFonts w:hint="eastAsia" w:asciiTheme="minorEastAsia" w:hAnsiTheme="minorEastAsia" w:eastAsiaTheme="minorEastAsia" w:cstheme="minorEastAsia"/>
          <w:color w:val="auto"/>
          <w:spacing w:val="0"/>
          <w:sz w:val="21"/>
          <w:szCs w:val="21"/>
          <w:highlight w:val="none"/>
        </w:rPr>
        <w:t>）办理企业入库、数字证书及电子印章事宜，具体请在平台查阅相应的交易指引。</w:t>
      </w:r>
    </w:p>
    <w:p w14:paraId="0720F7A5">
      <w:pPr>
        <w:keepNext w:val="0"/>
        <w:keepLines w:val="0"/>
        <w:pageBreakBefore w:val="0"/>
        <w:wordWrap w:val="0"/>
        <w:overflowPunct/>
        <w:topLinePunct w:val="0"/>
        <w:bidi w:val="0"/>
        <w:spacing w:before="37" w:line="329" w:lineRule="auto"/>
        <w:ind w:left="9" w:right="105" w:firstLine="507"/>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已入库企业有关信息（如单位名称、基本账号、资质、人员等）发生变化的，须及时在交易系统进行相应变更。投标人未及时变更信息而造成的损失和后果，由投标人自行承担。</w:t>
      </w:r>
    </w:p>
    <w:p w14:paraId="38EF534A">
      <w:pPr>
        <w:keepNext w:val="0"/>
        <w:keepLines w:val="0"/>
        <w:pageBreakBefore w:val="0"/>
        <w:wordWrap w:val="0"/>
        <w:overflowPunct/>
        <w:topLinePunct w:val="0"/>
        <w:bidi w:val="0"/>
        <w:spacing w:before="33" w:line="335" w:lineRule="auto"/>
        <w:ind w:left="10" w:right="105" w:firstLine="508"/>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16399B64">
      <w:pPr>
        <w:keepNext w:val="0"/>
        <w:keepLines w:val="0"/>
        <w:pageBreakBefore w:val="0"/>
        <w:wordWrap w:val="0"/>
        <w:overflowPunct/>
        <w:topLinePunct w:val="0"/>
        <w:bidi w:val="0"/>
        <w:spacing w:before="33" w:line="221" w:lineRule="auto"/>
        <w:ind w:left="48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3.3  </w:t>
      </w:r>
      <w:r>
        <w:rPr>
          <w:rFonts w:hint="eastAsia" w:asciiTheme="minorEastAsia" w:hAnsiTheme="minorEastAsia" w:eastAsiaTheme="minorEastAsia" w:cstheme="minorEastAsia"/>
          <w:color w:val="auto"/>
          <w:spacing w:val="0"/>
          <w:sz w:val="21"/>
          <w:szCs w:val="21"/>
          <w:highlight w:val="none"/>
        </w:rPr>
        <w:t>投标保证</w:t>
      </w:r>
    </w:p>
    <w:p w14:paraId="273DC9C8">
      <w:pPr>
        <w:keepNext w:val="0"/>
        <w:keepLines w:val="0"/>
        <w:pageBreakBefore w:val="0"/>
        <w:wordWrap w:val="0"/>
        <w:overflowPunct/>
        <w:topLinePunct w:val="0"/>
        <w:bidi w:val="0"/>
        <w:spacing w:before="152" w:line="280" w:lineRule="auto"/>
        <w:ind w:left="8" w:right="105" w:firstLine="47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3.3.1  </w:t>
      </w:r>
      <w:r>
        <w:rPr>
          <w:rFonts w:hint="eastAsia" w:asciiTheme="minorEastAsia" w:hAnsiTheme="minorEastAsia" w:eastAsiaTheme="minorEastAsia" w:cstheme="minorEastAsia"/>
          <w:color w:val="auto"/>
          <w:spacing w:val="0"/>
          <w:sz w:val="21"/>
          <w:szCs w:val="21"/>
          <w:highlight w:val="none"/>
        </w:rPr>
        <w:t>投标人须缴纳金额为</w:t>
      </w:r>
      <w:r>
        <w:rPr>
          <w:rFonts w:hint="eastAsia" w:asciiTheme="minorEastAsia" w:hAnsiTheme="minorEastAsia" w:eastAsiaTheme="minorEastAsia" w:cstheme="minorEastAsia"/>
          <w:b/>
          <w:bCs/>
          <w:color w:val="auto"/>
          <w:spacing w:val="0"/>
          <w:sz w:val="21"/>
          <w:szCs w:val="21"/>
          <w:highlight w:val="none"/>
          <w:u w:val="single"/>
          <w:lang w:val="en-US" w:eastAsia="zh-CN"/>
        </w:rPr>
        <w:t>壹拾肆万元</w:t>
      </w:r>
      <w:r>
        <w:rPr>
          <w:rFonts w:hint="eastAsia" w:asciiTheme="minorEastAsia" w:hAnsiTheme="minorEastAsia" w:eastAsiaTheme="minorEastAsia" w:cstheme="minorEastAsia"/>
          <w:color w:val="auto"/>
          <w:spacing w:val="0"/>
          <w:sz w:val="21"/>
          <w:szCs w:val="21"/>
          <w:highlight w:val="none"/>
        </w:rPr>
        <w:t>人民币的投标保证。联合体投标的，由联合体牵头人缴纳。</w:t>
      </w:r>
    </w:p>
    <w:p w14:paraId="307BF3AA">
      <w:pPr>
        <w:keepNext w:val="0"/>
        <w:keepLines w:val="0"/>
        <w:pageBreakBefore w:val="0"/>
        <w:wordWrap w:val="0"/>
        <w:overflowPunct/>
        <w:topLinePunct w:val="0"/>
        <w:bidi w:val="0"/>
        <w:spacing w:before="35" w:line="325" w:lineRule="auto"/>
        <w:ind w:left="12" w:right="108" w:firstLine="47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3.3.2  </w:t>
      </w:r>
      <w:r>
        <w:rPr>
          <w:rFonts w:hint="eastAsia" w:asciiTheme="minorEastAsia" w:hAnsiTheme="minorEastAsia" w:eastAsiaTheme="minorEastAsia" w:cstheme="minorEastAsia"/>
          <w:color w:val="auto"/>
          <w:spacing w:val="0"/>
          <w:sz w:val="21"/>
          <w:szCs w:val="21"/>
          <w:highlight w:val="none"/>
        </w:rPr>
        <w:t>投标保证的形式包括投标保证金、投标保证担保、投标保证保险三种，由投标人自主选择。</w:t>
      </w:r>
    </w:p>
    <w:p w14:paraId="10D7524C">
      <w:pPr>
        <w:keepNext w:val="0"/>
        <w:keepLines w:val="0"/>
        <w:pageBreakBefore w:val="0"/>
        <w:wordWrap w:val="0"/>
        <w:overflowPunct/>
        <w:topLinePunct w:val="0"/>
        <w:bidi w:val="0"/>
        <w:spacing w:before="78" w:line="334" w:lineRule="auto"/>
        <w:ind w:left="12" w:right="2" w:firstLine="490"/>
        <w:jc w:val="both"/>
        <w:rPr>
          <w:rFonts w:hint="eastAsia" w:asciiTheme="minorEastAsia" w:hAnsiTheme="minorEastAsia" w:eastAsiaTheme="minorEastAsia" w:cstheme="minorEastAsia"/>
          <w:color w:val="auto"/>
          <w:spacing w:val="0"/>
          <w:sz w:val="21"/>
          <w:szCs w:val="21"/>
          <w:highlight w:val="none"/>
        </w:rPr>
      </w:pPr>
      <w:bookmarkStart w:id="22" w:name="bookmark117"/>
      <w:bookmarkEnd w:id="22"/>
      <w:r>
        <w:rPr>
          <w:rFonts w:hint="eastAsia" w:asciiTheme="minorEastAsia" w:hAnsiTheme="minorEastAsia" w:eastAsiaTheme="minorEastAsia" w:cstheme="minorEastAsia"/>
          <w:color w:val="auto"/>
          <w:spacing w:val="0"/>
          <w:sz w:val="21"/>
          <w:szCs w:val="21"/>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5890EF77">
      <w:pPr>
        <w:keepNext w:val="0"/>
        <w:keepLines w:val="0"/>
        <w:pageBreakBefore w:val="0"/>
        <w:wordWrap w:val="0"/>
        <w:overflowPunct/>
        <w:topLinePunct w:val="0"/>
        <w:bidi w:val="0"/>
        <w:spacing w:before="78" w:line="334" w:lineRule="auto"/>
        <w:ind w:left="12" w:right="2" w:firstLine="49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02A72038">
      <w:pPr>
        <w:keepNext w:val="0"/>
        <w:keepLines w:val="0"/>
        <w:pageBreakBefore w:val="0"/>
        <w:wordWrap w:val="0"/>
        <w:overflowPunct/>
        <w:topLinePunct w:val="0"/>
        <w:bidi w:val="0"/>
        <w:spacing w:before="78" w:line="334" w:lineRule="auto"/>
        <w:ind w:left="12" w:right="2" w:firstLine="49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Theme="minorEastAsia" w:hAnsiTheme="minorEastAsia" w:eastAsiaTheme="minorEastAsia" w:cstheme="minorEastAsia"/>
          <w:color w:val="auto"/>
          <w:spacing w:val="0"/>
          <w:sz w:val="21"/>
          <w:szCs w:val="21"/>
          <w:highlight w:val="none"/>
        </w:rPr>
        <w:fldChar w:fldCharType="begin"/>
      </w:r>
      <w:r>
        <w:rPr>
          <w:rFonts w:hint="eastAsia" w:asciiTheme="minorEastAsia" w:hAnsiTheme="minorEastAsia" w:eastAsiaTheme="minorEastAsia" w:cstheme="minorEastAsia"/>
          <w:color w:val="auto"/>
          <w:spacing w:val="0"/>
          <w:sz w:val="21"/>
          <w:szCs w:val="21"/>
          <w:highlight w:val="none"/>
        </w:rPr>
        <w:instrText xml:space="preserve"> HYPERLINK "https://ygp.gdzwfw.gov.cn/ggzy-portal/#/440200/index" </w:instrText>
      </w:r>
      <w:r>
        <w:rPr>
          <w:rFonts w:hint="eastAsia" w:asciiTheme="minorEastAsia" w:hAnsiTheme="minorEastAsia" w:eastAsiaTheme="minorEastAsia" w:cstheme="minorEastAsia"/>
          <w:color w:val="auto"/>
          <w:spacing w:val="0"/>
          <w:sz w:val="21"/>
          <w:szCs w:val="21"/>
          <w:highlight w:val="none"/>
        </w:rPr>
        <w:fldChar w:fldCharType="separate"/>
      </w:r>
      <w:r>
        <w:rPr>
          <w:rFonts w:hint="eastAsia" w:asciiTheme="minorEastAsia" w:hAnsiTheme="minorEastAsia" w:eastAsiaTheme="minorEastAsia" w:cstheme="minorEastAsia"/>
          <w:color w:val="auto"/>
          <w:spacing w:val="0"/>
          <w:sz w:val="21"/>
          <w:szCs w:val="21"/>
          <w:highlight w:val="none"/>
        </w:rPr>
        <w:t>https://ygp.gdzwfw.gov.cn/ggzy-portal/#/440200/index</w:t>
      </w:r>
      <w:r>
        <w:rPr>
          <w:rFonts w:hint="eastAsia" w:asciiTheme="minorEastAsia" w:hAnsiTheme="minorEastAsia" w:eastAsiaTheme="minorEastAsia" w:cstheme="minorEastAsia"/>
          <w:color w:val="auto"/>
          <w:spacing w:val="0"/>
          <w:sz w:val="21"/>
          <w:szCs w:val="21"/>
          <w:highlight w:val="none"/>
        </w:rPr>
        <w:fldChar w:fldCharType="end"/>
      </w:r>
      <w:r>
        <w:rPr>
          <w:rFonts w:hint="eastAsia" w:asciiTheme="minorEastAsia" w:hAnsiTheme="minorEastAsia" w:eastAsiaTheme="minorEastAsia" w:cstheme="minorEastAsia"/>
          <w:color w:val="auto"/>
          <w:spacing w:val="0"/>
          <w:sz w:val="21"/>
          <w:szCs w:val="21"/>
          <w:highlight w:val="none"/>
        </w:rPr>
        <w:t>），在【服务指南】栏目中下载《建设工程网上交易系统保险保证金缴纳操作指南》，了解网上投保具体操作流程。逾期投保的，其投标无效。</w:t>
      </w:r>
    </w:p>
    <w:p w14:paraId="3409A604">
      <w:pPr>
        <w:keepNext w:val="0"/>
        <w:keepLines w:val="0"/>
        <w:pageBreakBefore w:val="0"/>
        <w:wordWrap w:val="0"/>
        <w:overflowPunct/>
        <w:topLinePunct w:val="0"/>
        <w:bidi w:val="0"/>
        <w:spacing w:before="78" w:line="334" w:lineRule="auto"/>
        <w:ind w:left="12" w:right="2" w:firstLine="49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5A136CFD">
      <w:pPr>
        <w:keepNext w:val="0"/>
        <w:keepLines w:val="0"/>
        <w:pageBreakBefore w:val="0"/>
        <w:wordWrap w:val="0"/>
        <w:overflowPunct/>
        <w:topLinePunct w:val="0"/>
        <w:bidi w:val="0"/>
        <w:spacing w:before="78" w:line="334" w:lineRule="auto"/>
        <w:ind w:left="12" w:right="2" w:firstLine="49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3.4 </w:t>
      </w:r>
      <w:r>
        <w:rPr>
          <w:rFonts w:hint="eastAsia" w:asciiTheme="minorEastAsia" w:hAnsiTheme="minorEastAsia" w:eastAsiaTheme="minorEastAsia" w:cstheme="minorEastAsia"/>
          <w:color w:val="auto"/>
          <w:spacing w:val="0"/>
          <w:sz w:val="21"/>
          <w:szCs w:val="21"/>
          <w:highlight w:val="none"/>
        </w:rPr>
        <w:t xml:space="preserve"> 若投标人因自身原因未能正确完成获取招标文件、电子投标、缴纳投标保证的，其投标无效。</w:t>
      </w:r>
    </w:p>
    <w:p w14:paraId="6CEFE626">
      <w:pPr>
        <w:keepNext w:val="0"/>
        <w:keepLines w:val="0"/>
        <w:pageBreakBefore w:val="0"/>
        <w:wordWrap w:val="0"/>
        <w:overflowPunct/>
        <w:topLinePunct w:val="0"/>
        <w:bidi w:val="0"/>
        <w:spacing w:before="79" w:line="221" w:lineRule="auto"/>
        <w:ind w:left="487"/>
        <w:outlineLvl w:val="2"/>
        <w:rPr>
          <w:rFonts w:hint="eastAsia" w:asciiTheme="minorEastAsia" w:hAnsiTheme="minorEastAsia" w:eastAsiaTheme="minorEastAsia" w:cstheme="minorEastAsia"/>
          <w:color w:val="auto"/>
          <w:spacing w:val="0"/>
          <w:sz w:val="21"/>
          <w:szCs w:val="21"/>
          <w:highlight w:val="none"/>
        </w:rPr>
      </w:pPr>
      <w:bookmarkStart w:id="23" w:name="bookmark64"/>
      <w:bookmarkEnd w:id="23"/>
      <w:bookmarkStart w:id="24" w:name="bookmark78"/>
      <w:bookmarkEnd w:id="24"/>
      <w:bookmarkStart w:id="25" w:name="_Toc27217"/>
      <w:bookmarkStart w:id="26" w:name="_Toc15498"/>
      <w:r>
        <w:rPr>
          <w:rFonts w:hint="eastAsia" w:asciiTheme="minorEastAsia" w:hAnsiTheme="minorEastAsia" w:eastAsiaTheme="minorEastAsia" w:cstheme="minorEastAsia"/>
          <w:b/>
          <w:bCs/>
          <w:color w:val="auto"/>
          <w:spacing w:val="0"/>
          <w:sz w:val="21"/>
          <w:szCs w:val="21"/>
          <w:highlight w:val="none"/>
        </w:rPr>
        <w:t>4</w:t>
      </w:r>
      <w:r>
        <w:rPr>
          <w:rFonts w:hint="eastAsia" w:asciiTheme="minorEastAsia" w:hAnsiTheme="minorEastAsia" w:eastAsiaTheme="minorEastAsia" w:cstheme="minorEastAsia"/>
          <w:b/>
          <w:bCs/>
          <w:color w:val="auto"/>
          <w:spacing w:val="0"/>
          <w:sz w:val="21"/>
          <w:szCs w:val="21"/>
          <w:highlight w:val="none"/>
          <w:lang w:val="en-US" w:eastAsia="zh-CN"/>
        </w:rPr>
        <w:t xml:space="preserve"> </w:t>
      </w:r>
      <w:r>
        <w:rPr>
          <w:rFonts w:hint="eastAsia" w:asciiTheme="minorEastAsia" w:hAnsiTheme="minorEastAsia" w:eastAsiaTheme="minorEastAsia" w:cstheme="minorEastAsia"/>
          <w:b/>
          <w:bCs/>
          <w:color w:val="auto"/>
          <w:spacing w:val="0"/>
          <w:sz w:val="21"/>
          <w:szCs w:val="21"/>
          <w:highlight w:val="none"/>
        </w:rPr>
        <w:t>．工期要求</w:t>
      </w:r>
      <w:bookmarkEnd w:id="25"/>
      <w:bookmarkEnd w:id="26"/>
    </w:p>
    <w:p w14:paraId="64EEC925">
      <w:pPr>
        <w:keepNext w:val="0"/>
        <w:keepLines w:val="0"/>
        <w:pageBreakBefore w:val="0"/>
        <w:wordWrap w:val="0"/>
        <w:overflowPunct/>
        <w:topLinePunct w:val="0"/>
        <w:bidi w:val="0"/>
        <w:spacing w:before="153" w:line="324" w:lineRule="auto"/>
        <w:ind w:left="30" w:right="65" w:firstLine="46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本招标项目招标工期为</w:t>
      </w:r>
      <w:r>
        <w:rPr>
          <w:rFonts w:hint="eastAsia" w:asciiTheme="minorEastAsia" w:hAnsiTheme="minorEastAsia" w:eastAsiaTheme="minorEastAsia" w:cstheme="minorEastAsia"/>
          <w:color w:val="auto"/>
          <w:spacing w:val="0"/>
          <w:sz w:val="21"/>
          <w:szCs w:val="21"/>
          <w:highlight w:val="none"/>
          <w:u w:val="single"/>
          <w:lang w:val="en-US" w:eastAsia="zh-CN"/>
        </w:rPr>
        <w:t>90个日历天</w:t>
      </w:r>
      <w:r>
        <w:rPr>
          <w:rFonts w:hint="eastAsia" w:asciiTheme="minorEastAsia" w:hAnsiTheme="minorEastAsia" w:eastAsiaTheme="minorEastAsia" w:cstheme="minorEastAsia"/>
          <w:color w:val="auto"/>
          <w:spacing w:val="0"/>
          <w:sz w:val="21"/>
          <w:szCs w:val="21"/>
          <w:highlight w:val="none"/>
        </w:rPr>
        <w:t>，中标人必须在招标工期内完成招标范围内的全部内容。</w:t>
      </w:r>
    </w:p>
    <w:p w14:paraId="20F1B71C">
      <w:pPr>
        <w:keepNext w:val="0"/>
        <w:keepLines w:val="0"/>
        <w:pageBreakBefore w:val="0"/>
        <w:wordWrap w:val="0"/>
        <w:overflowPunct/>
        <w:topLinePunct w:val="0"/>
        <w:bidi w:val="0"/>
        <w:spacing w:before="78" w:line="219" w:lineRule="auto"/>
        <w:ind w:left="488"/>
        <w:outlineLvl w:val="2"/>
        <w:rPr>
          <w:rFonts w:hint="eastAsia" w:asciiTheme="minorEastAsia" w:hAnsiTheme="minorEastAsia" w:eastAsiaTheme="minorEastAsia" w:cstheme="minorEastAsia"/>
          <w:color w:val="auto"/>
          <w:spacing w:val="0"/>
          <w:sz w:val="21"/>
          <w:szCs w:val="21"/>
          <w:highlight w:val="none"/>
        </w:rPr>
      </w:pPr>
      <w:bookmarkStart w:id="27" w:name="_Toc14055"/>
      <w:bookmarkStart w:id="28" w:name="_Toc4154"/>
      <w:r>
        <w:rPr>
          <w:rFonts w:hint="eastAsia" w:asciiTheme="minorEastAsia" w:hAnsiTheme="minorEastAsia" w:eastAsiaTheme="minorEastAsia" w:cstheme="minorEastAsia"/>
          <w:b/>
          <w:bCs/>
          <w:color w:val="auto"/>
          <w:spacing w:val="0"/>
          <w:sz w:val="21"/>
          <w:szCs w:val="21"/>
          <w:highlight w:val="none"/>
        </w:rPr>
        <w:t>5</w:t>
      </w:r>
      <w:r>
        <w:rPr>
          <w:rFonts w:hint="eastAsia" w:asciiTheme="minorEastAsia" w:hAnsiTheme="minorEastAsia" w:eastAsiaTheme="minorEastAsia" w:cstheme="minorEastAsia"/>
          <w:b/>
          <w:bCs/>
          <w:color w:val="auto"/>
          <w:spacing w:val="0"/>
          <w:sz w:val="21"/>
          <w:szCs w:val="21"/>
          <w:highlight w:val="none"/>
          <w:lang w:val="en-US" w:eastAsia="zh-CN"/>
        </w:rPr>
        <w:t xml:space="preserve"> </w:t>
      </w:r>
      <w:r>
        <w:rPr>
          <w:rFonts w:hint="eastAsia" w:asciiTheme="minorEastAsia" w:hAnsiTheme="minorEastAsia" w:eastAsiaTheme="minorEastAsia" w:cstheme="minorEastAsia"/>
          <w:b/>
          <w:bCs/>
          <w:color w:val="auto"/>
          <w:spacing w:val="0"/>
          <w:sz w:val="21"/>
          <w:szCs w:val="21"/>
          <w:highlight w:val="none"/>
        </w:rPr>
        <w:t>．质量标准和材料、机械要求</w:t>
      </w:r>
      <w:bookmarkEnd w:id="27"/>
      <w:bookmarkEnd w:id="28"/>
    </w:p>
    <w:p w14:paraId="2986A8FF">
      <w:pPr>
        <w:keepNext w:val="0"/>
        <w:keepLines w:val="0"/>
        <w:pageBreakBefore w:val="0"/>
        <w:wordWrap w:val="0"/>
        <w:overflowPunct/>
        <w:topLinePunct w:val="0"/>
        <w:bidi w:val="0"/>
        <w:spacing w:before="154" w:line="279" w:lineRule="auto"/>
        <w:ind w:left="11" w:right="99" w:firstLine="47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5.1  </w:t>
      </w:r>
      <w:r>
        <w:rPr>
          <w:rFonts w:hint="eastAsia" w:asciiTheme="minorEastAsia" w:hAnsiTheme="minorEastAsia" w:eastAsiaTheme="minorEastAsia" w:cstheme="minorEastAsia"/>
          <w:color w:val="auto"/>
          <w:spacing w:val="0"/>
          <w:sz w:val="21"/>
          <w:szCs w:val="21"/>
          <w:highlight w:val="none"/>
        </w:rPr>
        <w:t>施工工艺严格按照国家和广东省的有关现行施工技术规范及标准执行，工程质量标准</w:t>
      </w:r>
      <w:r>
        <w:rPr>
          <w:rFonts w:hint="eastAsia" w:asciiTheme="minorEastAsia" w:hAnsiTheme="minorEastAsia" w:eastAsiaTheme="minorEastAsia" w:cstheme="minorEastAsia"/>
          <w:color w:val="auto"/>
          <w:spacing w:val="0"/>
          <w:sz w:val="21"/>
          <w:szCs w:val="21"/>
          <w:highlight w:val="none"/>
          <w:lang w:val="en-US" w:eastAsia="zh-CN"/>
        </w:rPr>
        <w:t>符合现行国家有关工程施工质量验收规范和标准的要求，达到验收合格。</w:t>
      </w:r>
    </w:p>
    <w:p w14:paraId="05F28CCE">
      <w:pPr>
        <w:keepNext w:val="0"/>
        <w:keepLines w:val="0"/>
        <w:pageBreakBefore w:val="0"/>
        <w:wordWrap w:val="0"/>
        <w:overflowPunct/>
        <w:topLinePunct w:val="0"/>
        <w:bidi w:val="0"/>
        <w:spacing w:before="154" w:line="279" w:lineRule="auto"/>
        <w:ind w:left="10" w:right="99" w:firstLine="5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5.2</w:t>
      </w:r>
      <w:r>
        <w:rPr>
          <w:rFonts w:hint="eastAsia" w:asciiTheme="minorEastAsia" w:hAnsiTheme="minorEastAsia" w:eastAsiaTheme="minorEastAsia" w:cstheme="minorEastAsia"/>
          <w:b/>
          <w:bCs/>
          <w:color w:val="auto"/>
          <w:spacing w:val="0"/>
          <w:w w:val="101"/>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中标人在施工中如果工程质量不符合设计要求和有关规定，招标人或监理单位要求停工和返工的必须立即执行，并承担由此产生的各种费用，工期不予顺延。</w:t>
      </w:r>
    </w:p>
    <w:p w14:paraId="45C5E0BD">
      <w:pPr>
        <w:keepNext w:val="0"/>
        <w:keepLines w:val="0"/>
        <w:pageBreakBefore w:val="0"/>
        <w:wordWrap w:val="0"/>
        <w:overflowPunct/>
        <w:topLinePunct w:val="0"/>
        <w:bidi w:val="0"/>
        <w:spacing w:before="152" w:line="309" w:lineRule="auto"/>
        <w:ind w:left="9" w:firstLine="56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5.3  </w:t>
      </w:r>
      <w:r>
        <w:rPr>
          <w:rFonts w:hint="eastAsia" w:asciiTheme="minorEastAsia" w:hAnsiTheme="minorEastAsia" w:eastAsiaTheme="minorEastAsia" w:cstheme="minorEastAsia"/>
          <w:color w:val="auto"/>
          <w:spacing w:val="0"/>
          <w:sz w:val="21"/>
          <w:szCs w:val="21"/>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45FF8D73">
      <w:pPr>
        <w:keepNext w:val="0"/>
        <w:keepLines w:val="0"/>
        <w:pageBreakBefore w:val="0"/>
        <w:wordWrap w:val="0"/>
        <w:overflowPunct/>
        <w:topLinePunct w:val="0"/>
        <w:bidi w:val="0"/>
        <w:spacing w:before="152" w:line="309" w:lineRule="auto"/>
        <w:ind w:left="9" w:firstLine="56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5.4</w:t>
      </w:r>
      <w:r>
        <w:rPr>
          <w:rFonts w:hint="eastAsia" w:asciiTheme="minorEastAsia" w:hAnsiTheme="minorEastAsia" w:eastAsiaTheme="minorEastAsia" w:cstheme="minorEastAsia"/>
          <w:color w:val="auto"/>
          <w:spacing w:val="0"/>
          <w:sz w:val="21"/>
          <w:szCs w:val="21"/>
          <w:highlight w:val="none"/>
        </w:rPr>
        <w:t xml:space="preserve"> </w:t>
      </w:r>
      <w:r>
        <w:rPr>
          <w:rFonts w:hint="eastAsia" w:hAnsi="宋体" w:cs="宋体"/>
          <w:snapToGrid w:val="0"/>
          <w:color w:val="auto"/>
          <w:kern w:val="0"/>
          <w:szCs w:val="24"/>
          <w:highlight w:val="none"/>
        </w:rPr>
        <w:t>本招标项目</w:t>
      </w:r>
      <w:r>
        <w:rPr>
          <w:rFonts w:hint="eastAsia" w:hAnsi="宋体" w:eastAsia="宋体" w:cs="宋体"/>
          <w:snapToGrid w:val="0"/>
          <w:color w:val="auto"/>
          <w:kern w:val="0"/>
          <w:szCs w:val="24"/>
          <w:highlight w:val="none"/>
          <w:lang w:val="en-US" w:eastAsia="zh-CN"/>
        </w:rPr>
        <w:t>不</w:t>
      </w:r>
      <w:r>
        <w:rPr>
          <w:rFonts w:hint="eastAsia" w:hAnsi="宋体" w:cs="宋体"/>
          <w:snapToGrid w:val="0"/>
          <w:color w:val="auto"/>
          <w:kern w:val="0"/>
          <w:szCs w:val="24"/>
          <w:highlight w:val="none"/>
        </w:rPr>
        <w:t>纳入绿色建设实施范围</w:t>
      </w:r>
      <w:r>
        <w:rPr>
          <w:rFonts w:hAnsi="宋体" w:cs="宋体"/>
          <w:snapToGrid w:val="0"/>
          <w:color w:val="auto"/>
          <w:kern w:val="0"/>
          <w:szCs w:val="24"/>
          <w:highlight w:val="none"/>
        </w:rPr>
        <w:t>。</w:t>
      </w:r>
    </w:p>
    <w:p w14:paraId="4548EA0D">
      <w:pPr>
        <w:keepNext w:val="0"/>
        <w:keepLines w:val="0"/>
        <w:pageBreakBefore w:val="0"/>
        <w:wordWrap w:val="0"/>
        <w:overflowPunct/>
        <w:topLinePunct w:val="0"/>
        <w:bidi w:val="0"/>
        <w:spacing w:before="152" w:line="309" w:lineRule="auto"/>
        <w:ind w:left="9" w:firstLine="568"/>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b/>
          <w:bCs/>
          <w:color w:val="auto"/>
          <w:spacing w:val="0"/>
          <w:sz w:val="21"/>
          <w:szCs w:val="21"/>
          <w:highlight w:val="none"/>
        </w:rPr>
        <w:t>5.5</w:t>
      </w:r>
      <w:r>
        <w:rPr>
          <w:rFonts w:hint="eastAsia" w:asciiTheme="minorEastAsia" w:hAnsiTheme="minorEastAsia" w:eastAsiaTheme="minorEastAsia" w:cstheme="minorEastAsia"/>
          <w:color w:val="auto"/>
          <w:spacing w:val="0"/>
          <w:sz w:val="21"/>
          <w:szCs w:val="21"/>
          <w:highlight w:val="none"/>
        </w:rPr>
        <w:t xml:space="preserve">  其它：</w:t>
      </w:r>
      <w:r>
        <w:rPr>
          <w:rFonts w:hint="eastAsia" w:asciiTheme="minorEastAsia" w:hAnsiTheme="minorEastAsia" w:eastAsiaTheme="minorEastAsia" w:cstheme="minorEastAsia"/>
          <w:color w:val="auto"/>
          <w:spacing w:val="0"/>
          <w:sz w:val="21"/>
          <w:szCs w:val="21"/>
          <w:highlight w:val="none"/>
          <w:lang w:eastAsia="zh-CN"/>
        </w:rPr>
        <w:t>本招标项目</w:t>
      </w:r>
      <w:r>
        <w:rPr>
          <w:rFonts w:hint="eastAsia" w:asciiTheme="minorEastAsia" w:hAnsiTheme="minorEastAsia" w:eastAsiaTheme="minorEastAsia" w:cstheme="minorEastAsia"/>
          <w:color w:val="auto"/>
          <w:spacing w:val="0"/>
          <w:sz w:val="21"/>
          <w:szCs w:val="21"/>
          <w:highlight w:val="none"/>
          <w:lang w:val="en-US" w:eastAsia="zh-CN"/>
        </w:rPr>
        <w:t>不</w:t>
      </w:r>
      <w:r>
        <w:rPr>
          <w:rFonts w:hint="eastAsia" w:asciiTheme="minorEastAsia" w:hAnsiTheme="minorEastAsia" w:eastAsiaTheme="minorEastAsia" w:cstheme="minorEastAsia"/>
          <w:color w:val="auto"/>
          <w:spacing w:val="0"/>
          <w:sz w:val="21"/>
          <w:szCs w:val="21"/>
          <w:highlight w:val="none"/>
          <w:lang w:eastAsia="zh-CN"/>
        </w:rPr>
        <w:t>纳入装配式建造建设实施范围。</w:t>
      </w:r>
    </w:p>
    <w:p w14:paraId="141D0728">
      <w:pPr>
        <w:keepNext w:val="0"/>
        <w:keepLines w:val="0"/>
        <w:pageBreakBefore w:val="0"/>
        <w:wordWrap w:val="0"/>
        <w:overflowPunct/>
        <w:topLinePunct w:val="0"/>
        <w:bidi w:val="0"/>
        <w:spacing w:before="152" w:line="309" w:lineRule="auto"/>
        <w:ind w:left="9" w:firstLine="56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5.6</w:t>
      </w:r>
      <w:r>
        <w:rPr>
          <w:rFonts w:hint="eastAsia" w:asciiTheme="minorEastAsia" w:hAnsiTheme="minorEastAsia" w:eastAsiaTheme="minorEastAsia" w:cstheme="minorEastAsia"/>
          <w:color w:val="auto"/>
          <w:spacing w:val="0"/>
          <w:sz w:val="21"/>
          <w:szCs w:val="21"/>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则中标人必须使用合格材料或设备。</w:t>
      </w:r>
    </w:p>
    <w:p w14:paraId="7ADE1024">
      <w:pPr>
        <w:keepNext w:val="0"/>
        <w:keepLines w:val="0"/>
        <w:pageBreakBefore w:val="0"/>
        <w:wordWrap w:val="0"/>
        <w:overflowPunct/>
        <w:topLinePunct w:val="0"/>
        <w:bidi w:val="0"/>
        <w:spacing w:before="152" w:line="309" w:lineRule="auto"/>
        <w:ind w:left="9" w:firstLine="56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5.</w:t>
      </w:r>
      <w:r>
        <w:rPr>
          <w:rFonts w:hint="eastAsia" w:asciiTheme="minorEastAsia" w:hAnsiTheme="minorEastAsia" w:eastAsiaTheme="minorEastAsia" w:cstheme="minorEastAsia"/>
          <w:b/>
          <w:bCs/>
          <w:color w:val="auto"/>
          <w:spacing w:val="0"/>
          <w:sz w:val="21"/>
          <w:szCs w:val="21"/>
          <w:highlight w:val="none"/>
          <w:lang w:eastAsia="zh-CN"/>
        </w:rPr>
        <w:t>7</w:t>
      </w:r>
      <w:r>
        <w:rPr>
          <w:rFonts w:hint="eastAsia" w:asciiTheme="minorEastAsia" w:hAnsiTheme="minorEastAsia" w:eastAsiaTheme="minorEastAsia" w:cstheme="minorEastAsia"/>
          <w:color w:val="auto"/>
          <w:spacing w:val="0"/>
          <w:sz w:val="21"/>
          <w:szCs w:val="21"/>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2AE0A0A5">
      <w:pPr>
        <w:keepNext w:val="0"/>
        <w:keepLines w:val="0"/>
        <w:pageBreakBefore w:val="0"/>
        <w:wordWrap w:val="0"/>
        <w:overflowPunct/>
        <w:topLinePunct w:val="0"/>
        <w:bidi w:val="0"/>
        <w:spacing w:before="78" w:line="220" w:lineRule="auto"/>
        <w:ind w:left="489"/>
        <w:outlineLvl w:val="2"/>
        <w:rPr>
          <w:rFonts w:hint="eastAsia" w:asciiTheme="minorEastAsia" w:hAnsiTheme="minorEastAsia" w:eastAsiaTheme="minorEastAsia" w:cstheme="minorEastAsia"/>
          <w:color w:val="auto"/>
          <w:spacing w:val="0"/>
          <w:sz w:val="21"/>
          <w:szCs w:val="21"/>
          <w:highlight w:val="none"/>
        </w:rPr>
      </w:pPr>
      <w:bookmarkStart w:id="29" w:name="_Toc24836"/>
      <w:bookmarkStart w:id="30" w:name="_Toc7763"/>
      <w:r>
        <w:rPr>
          <w:rFonts w:hint="eastAsia" w:asciiTheme="minorEastAsia" w:hAnsiTheme="minorEastAsia" w:eastAsiaTheme="minorEastAsia" w:cstheme="minorEastAsia"/>
          <w:b/>
          <w:bCs/>
          <w:color w:val="auto"/>
          <w:spacing w:val="0"/>
          <w:sz w:val="21"/>
          <w:szCs w:val="21"/>
          <w:highlight w:val="none"/>
        </w:rPr>
        <w:t>6 ．施工条件及现场踏勘</w:t>
      </w:r>
      <w:bookmarkEnd w:id="29"/>
      <w:bookmarkEnd w:id="30"/>
    </w:p>
    <w:p w14:paraId="3F60DBB9">
      <w:pPr>
        <w:keepNext w:val="0"/>
        <w:keepLines w:val="0"/>
        <w:pageBreakBefore w:val="0"/>
        <w:wordWrap w:val="0"/>
        <w:overflowPunct/>
        <w:topLinePunct w:val="0"/>
        <w:bidi w:val="0"/>
        <w:spacing w:before="155" w:line="324" w:lineRule="auto"/>
        <w:ind w:left="12" w:right="99" w:firstLine="55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6.1  </w:t>
      </w:r>
      <w:r>
        <w:rPr>
          <w:rFonts w:hint="eastAsia" w:asciiTheme="minorEastAsia" w:hAnsiTheme="minorEastAsia" w:eastAsiaTheme="minorEastAsia" w:cstheme="minorEastAsia"/>
          <w:color w:val="auto"/>
          <w:spacing w:val="0"/>
          <w:sz w:val="21"/>
          <w:szCs w:val="21"/>
          <w:highlight w:val="none"/>
        </w:rPr>
        <w:t>招标人仅在本招标项目征地红线范围内提供场地，其他一切场地费用由中标人自行负责（含临时道路）。</w:t>
      </w:r>
    </w:p>
    <w:p w14:paraId="3752C518">
      <w:pPr>
        <w:keepNext w:val="0"/>
        <w:keepLines w:val="0"/>
        <w:pageBreakBefore w:val="0"/>
        <w:wordWrap w:val="0"/>
        <w:overflowPunct/>
        <w:topLinePunct w:val="0"/>
        <w:bidi w:val="0"/>
        <w:spacing w:before="155" w:line="324" w:lineRule="auto"/>
        <w:ind w:left="12" w:right="99" w:firstLine="556"/>
        <w:rPr>
          <w:rFonts w:hint="eastAsia" w:asciiTheme="minorEastAsia" w:hAnsiTheme="minorEastAsia" w:eastAsiaTheme="minorEastAsia" w:cstheme="minorEastAsia"/>
          <w:color w:val="auto"/>
          <w:spacing w:val="0"/>
          <w:sz w:val="21"/>
          <w:szCs w:val="21"/>
          <w:highlight w:val="none"/>
        </w:rPr>
      </w:pPr>
      <w:bookmarkStart w:id="31" w:name="bookmark118"/>
      <w:bookmarkEnd w:id="31"/>
      <w:r>
        <w:rPr>
          <w:rFonts w:hint="eastAsia" w:asciiTheme="minorEastAsia" w:hAnsiTheme="minorEastAsia" w:eastAsiaTheme="minorEastAsia" w:cstheme="minorEastAsia"/>
          <w:b/>
          <w:bCs/>
          <w:color w:val="auto"/>
          <w:spacing w:val="0"/>
          <w:sz w:val="21"/>
          <w:szCs w:val="21"/>
          <w:highlight w:val="none"/>
        </w:rPr>
        <w:t>6.2</w:t>
      </w:r>
      <w:r>
        <w:rPr>
          <w:rFonts w:hint="eastAsia" w:asciiTheme="minorEastAsia" w:hAnsiTheme="minorEastAsia" w:eastAsiaTheme="minorEastAsia" w:cstheme="minorEastAsia"/>
          <w:color w:val="auto"/>
          <w:spacing w:val="0"/>
          <w:sz w:val="21"/>
          <w:szCs w:val="21"/>
          <w:highlight w:val="none"/>
        </w:rPr>
        <w:t xml:space="preserve">  施工用水：</w:t>
      </w:r>
      <w:r>
        <w:rPr>
          <w:rFonts w:hint="eastAsia" w:asciiTheme="minorEastAsia" w:hAnsiTheme="minorEastAsia" w:eastAsiaTheme="minorEastAsia" w:cstheme="minorEastAsia"/>
          <w:color w:val="auto"/>
          <w:spacing w:val="0"/>
          <w:sz w:val="21"/>
          <w:szCs w:val="21"/>
          <w:highlight w:val="none"/>
          <w:u w:val="single"/>
        </w:rPr>
        <w:t xml:space="preserve"> 由中标人自行解决，费用考虑在投标报价中</w:t>
      </w:r>
      <w:r>
        <w:rPr>
          <w:rFonts w:hint="eastAsia" w:asciiTheme="minorEastAsia" w:hAnsiTheme="minorEastAsia" w:eastAsiaTheme="minorEastAsia" w:cstheme="minorEastAsia"/>
          <w:color w:val="auto"/>
          <w:spacing w:val="0"/>
          <w:sz w:val="21"/>
          <w:szCs w:val="21"/>
          <w:highlight w:val="none"/>
        </w:rPr>
        <w:t>。</w:t>
      </w:r>
    </w:p>
    <w:p w14:paraId="00D14887">
      <w:pPr>
        <w:keepNext w:val="0"/>
        <w:keepLines w:val="0"/>
        <w:pageBreakBefore w:val="0"/>
        <w:wordWrap w:val="0"/>
        <w:overflowPunct/>
        <w:topLinePunct w:val="0"/>
        <w:bidi w:val="0"/>
        <w:spacing w:before="155" w:line="324" w:lineRule="auto"/>
        <w:ind w:left="12" w:right="99" w:firstLine="55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6.3</w:t>
      </w:r>
      <w:r>
        <w:rPr>
          <w:rFonts w:hint="eastAsia" w:asciiTheme="minorEastAsia" w:hAnsiTheme="minorEastAsia" w:eastAsiaTheme="minorEastAsia" w:cstheme="minorEastAsia"/>
          <w:color w:val="auto"/>
          <w:spacing w:val="0"/>
          <w:sz w:val="21"/>
          <w:szCs w:val="21"/>
          <w:highlight w:val="none"/>
        </w:rPr>
        <w:t xml:space="preserve">  施工用电：</w:t>
      </w:r>
      <w:r>
        <w:rPr>
          <w:rFonts w:hint="eastAsia" w:asciiTheme="minorEastAsia" w:hAnsiTheme="minorEastAsia" w:eastAsiaTheme="minorEastAsia" w:cstheme="minorEastAsia"/>
          <w:color w:val="auto"/>
          <w:spacing w:val="0"/>
          <w:sz w:val="21"/>
          <w:szCs w:val="21"/>
          <w:highlight w:val="none"/>
          <w:u w:val="single"/>
        </w:rPr>
        <w:t xml:space="preserve"> 由中标人自行解决，费用考虑在投标报价中</w:t>
      </w:r>
      <w:r>
        <w:rPr>
          <w:rFonts w:hint="eastAsia" w:asciiTheme="minorEastAsia" w:hAnsiTheme="minorEastAsia" w:eastAsiaTheme="minorEastAsia" w:cstheme="minorEastAsia"/>
          <w:color w:val="auto"/>
          <w:spacing w:val="0"/>
          <w:sz w:val="21"/>
          <w:szCs w:val="21"/>
          <w:highlight w:val="none"/>
        </w:rPr>
        <w:t>。</w:t>
      </w:r>
    </w:p>
    <w:p w14:paraId="21D11503">
      <w:pPr>
        <w:keepNext w:val="0"/>
        <w:keepLines w:val="0"/>
        <w:pageBreakBefore w:val="0"/>
        <w:wordWrap w:val="0"/>
        <w:overflowPunct/>
        <w:topLinePunct w:val="0"/>
        <w:bidi w:val="0"/>
        <w:spacing w:before="155" w:line="324" w:lineRule="auto"/>
        <w:ind w:left="12" w:right="99" w:firstLine="55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6.4</w:t>
      </w:r>
      <w:r>
        <w:rPr>
          <w:rFonts w:hint="eastAsia" w:asciiTheme="minorEastAsia" w:hAnsiTheme="minorEastAsia" w:eastAsiaTheme="minorEastAsia" w:cstheme="minorEastAsia"/>
          <w:color w:val="auto"/>
          <w:spacing w:val="0"/>
          <w:sz w:val="21"/>
          <w:szCs w:val="21"/>
          <w:highlight w:val="none"/>
        </w:rPr>
        <w:t xml:space="preserve">  施工用水、用电各提供一驳接点到现场边缘。要求中标人单独安装水表、电表，其水、电费按项目所在地</w:t>
      </w:r>
      <w:r>
        <w:rPr>
          <w:rFonts w:hint="eastAsia" w:asciiTheme="minorEastAsia" w:hAnsiTheme="minorEastAsia" w:eastAsiaTheme="minorEastAsia" w:cstheme="minorEastAsia"/>
          <w:b/>
          <w:bCs/>
          <w:color w:val="auto"/>
          <w:spacing w:val="0"/>
          <w:sz w:val="21"/>
          <w:szCs w:val="21"/>
          <w:highlight w:val="none"/>
          <w:u w:val="single"/>
          <w:lang w:val="en-US" w:eastAsia="zh-CN"/>
        </w:rPr>
        <w:t>曲江区</w:t>
      </w:r>
      <w:r>
        <w:rPr>
          <w:rFonts w:hint="eastAsia" w:asciiTheme="minorEastAsia" w:hAnsiTheme="minorEastAsia" w:eastAsiaTheme="minorEastAsia" w:cstheme="minorEastAsia"/>
          <w:color w:val="auto"/>
          <w:spacing w:val="0"/>
          <w:sz w:val="21"/>
          <w:szCs w:val="21"/>
          <w:highlight w:val="none"/>
        </w:rPr>
        <w:t>基建工程水、电计费标准计算并由中标人缴纳。</w:t>
      </w:r>
    </w:p>
    <w:p w14:paraId="65940413">
      <w:pPr>
        <w:keepNext w:val="0"/>
        <w:keepLines w:val="0"/>
        <w:pageBreakBefore w:val="0"/>
        <w:wordWrap w:val="0"/>
        <w:overflowPunct/>
        <w:topLinePunct w:val="0"/>
        <w:bidi w:val="0"/>
        <w:spacing w:before="154" w:line="299" w:lineRule="auto"/>
        <w:ind w:left="9" w:right="16" w:firstLine="5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6.5  </w:t>
      </w:r>
      <w:r>
        <w:rPr>
          <w:rFonts w:hint="eastAsia" w:asciiTheme="minorEastAsia" w:hAnsiTheme="minorEastAsia" w:eastAsiaTheme="minorEastAsia" w:cstheme="minorEastAsia"/>
          <w:color w:val="auto"/>
          <w:spacing w:val="0"/>
          <w:sz w:val="21"/>
          <w:szCs w:val="21"/>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可自行进行现场踏勘。</w:t>
      </w:r>
    </w:p>
    <w:p w14:paraId="526CF208">
      <w:pPr>
        <w:keepNext w:val="0"/>
        <w:keepLines w:val="0"/>
        <w:pageBreakBefore w:val="0"/>
        <w:wordWrap w:val="0"/>
        <w:overflowPunct/>
        <w:topLinePunct w:val="0"/>
        <w:bidi w:val="0"/>
        <w:spacing w:before="153" w:line="280" w:lineRule="auto"/>
        <w:ind w:left="9" w:right="16" w:firstLine="5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6.6  </w:t>
      </w:r>
      <w:r>
        <w:rPr>
          <w:rFonts w:hint="eastAsia" w:asciiTheme="minorEastAsia" w:hAnsiTheme="minorEastAsia" w:eastAsiaTheme="minorEastAsia" w:cstheme="minorEastAsia"/>
          <w:color w:val="auto"/>
          <w:spacing w:val="0"/>
          <w:sz w:val="21"/>
          <w:szCs w:val="21"/>
          <w:highlight w:val="none"/>
        </w:rPr>
        <w:t>在现场踏勘过程中，投标人应确保自身安全，投标人如果发生人身伤亡、财物或其他损失，法律法规有规定的按有关规定处理，没有规定的由投标人自行负责。</w:t>
      </w:r>
    </w:p>
    <w:p w14:paraId="4E231308">
      <w:pPr>
        <w:keepNext w:val="0"/>
        <w:keepLines w:val="0"/>
        <w:pageBreakBefore w:val="0"/>
        <w:wordWrap w:val="0"/>
        <w:overflowPunct/>
        <w:topLinePunct w:val="0"/>
        <w:bidi w:val="0"/>
        <w:spacing w:before="153" w:line="220" w:lineRule="auto"/>
        <w:ind w:left="56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6.7  </w:t>
      </w:r>
      <w:r>
        <w:rPr>
          <w:rFonts w:hint="eastAsia" w:asciiTheme="minorEastAsia" w:hAnsiTheme="minorEastAsia" w:eastAsiaTheme="minorEastAsia" w:cstheme="minorEastAsia"/>
          <w:color w:val="auto"/>
          <w:spacing w:val="0"/>
          <w:sz w:val="21"/>
          <w:szCs w:val="21"/>
          <w:highlight w:val="none"/>
        </w:rPr>
        <w:t>现场踏勘期间的交通、食宿由投标人自行安排，费用自理。</w:t>
      </w:r>
    </w:p>
    <w:p w14:paraId="754BC511">
      <w:pPr>
        <w:keepNext w:val="0"/>
        <w:keepLines w:val="0"/>
        <w:pageBreakBefore w:val="0"/>
        <w:wordWrap w:val="0"/>
        <w:overflowPunct/>
        <w:topLinePunct w:val="0"/>
        <w:bidi w:val="0"/>
        <w:spacing w:before="78" w:line="220" w:lineRule="auto"/>
        <w:ind w:left="488"/>
        <w:outlineLvl w:val="2"/>
        <w:rPr>
          <w:rFonts w:hint="eastAsia" w:asciiTheme="minorEastAsia" w:hAnsiTheme="minorEastAsia" w:eastAsiaTheme="minorEastAsia" w:cstheme="minorEastAsia"/>
          <w:color w:val="auto"/>
          <w:spacing w:val="0"/>
          <w:sz w:val="21"/>
          <w:szCs w:val="21"/>
          <w:highlight w:val="none"/>
        </w:rPr>
      </w:pPr>
      <w:bookmarkStart w:id="32" w:name="bookmark69"/>
      <w:bookmarkEnd w:id="32"/>
      <w:bookmarkStart w:id="33" w:name="bookmark67"/>
      <w:bookmarkEnd w:id="33"/>
      <w:bookmarkStart w:id="34" w:name="bookmark81"/>
      <w:bookmarkEnd w:id="34"/>
      <w:bookmarkStart w:id="35" w:name="_Toc31804"/>
      <w:bookmarkStart w:id="36" w:name="_Toc15543"/>
      <w:r>
        <w:rPr>
          <w:rFonts w:hint="eastAsia" w:asciiTheme="minorEastAsia" w:hAnsiTheme="minorEastAsia" w:eastAsiaTheme="minorEastAsia" w:cstheme="minorEastAsia"/>
          <w:b/>
          <w:bCs/>
          <w:color w:val="auto"/>
          <w:spacing w:val="0"/>
          <w:sz w:val="21"/>
          <w:szCs w:val="21"/>
          <w:highlight w:val="none"/>
        </w:rPr>
        <w:t>7 ．招标文件的提问和答疑</w:t>
      </w:r>
      <w:bookmarkEnd w:id="35"/>
      <w:bookmarkEnd w:id="36"/>
    </w:p>
    <w:p w14:paraId="69B0A32C">
      <w:pPr>
        <w:keepNext w:val="0"/>
        <w:keepLines w:val="0"/>
        <w:pageBreakBefore w:val="0"/>
        <w:wordWrap w:val="0"/>
        <w:overflowPunct/>
        <w:topLinePunct w:val="0"/>
        <w:bidi w:val="0"/>
        <w:spacing w:before="153" w:line="299" w:lineRule="auto"/>
        <w:ind w:left="9" w:right="16" w:firstLine="47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7.1  </w:t>
      </w:r>
      <w:r>
        <w:rPr>
          <w:rFonts w:hint="eastAsia" w:asciiTheme="minorEastAsia" w:hAnsiTheme="minorEastAsia" w:eastAsiaTheme="minorEastAsia" w:cstheme="minorEastAsia"/>
          <w:color w:val="auto"/>
          <w:spacing w:val="0"/>
          <w:sz w:val="21"/>
          <w:szCs w:val="21"/>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2012E052">
      <w:pPr>
        <w:keepNext w:val="0"/>
        <w:keepLines w:val="0"/>
        <w:pageBreakBefore w:val="0"/>
        <w:wordWrap w:val="0"/>
        <w:overflowPunct/>
        <w:topLinePunct w:val="0"/>
        <w:bidi w:val="0"/>
        <w:spacing w:before="154" w:line="309" w:lineRule="auto"/>
        <w:ind w:left="9" w:right="16" w:firstLine="5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7.2  </w:t>
      </w:r>
      <w:r>
        <w:rPr>
          <w:rFonts w:hint="eastAsia" w:asciiTheme="minorEastAsia" w:hAnsiTheme="minorEastAsia" w:eastAsiaTheme="minorEastAsia" w:cstheme="minorEastAsia"/>
          <w:color w:val="auto"/>
          <w:spacing w:val="0"/>
          <w:sz w:val="21"/>
          <w:szCs w:val="21"/>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51E7D8F6">
      <w:pPr>
        <w:keepNext w:val="0"/>
        <w:keepLines w:val="0"/>
        <w:pageBreakBefore w:val="0"/>
        <w:wordWrap w:val="0"/>
        <w:overflowPunct/>
        <w:topLinePunct w:val="0"/>
        <w:bidi w:val="0"/>
        <w:spacing w:before="152" w:line="219" w:lineRule="auto"/>
        <w:ind w:firstLine="422" w:firstLineChars="20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7.3  </w:t>
      </w:r>
      <w:r>
        <w:rPr>
          <w:rFonts w:hint="eastAsia" w:asciiTheme="minorEastAsia" w:hAnsiTheme="minorEastAsia" w:eastAsiaTheme="minorEastAsia" w:cstheme="minorEastAsia"/>
          <w:color w:val="auto"/>
          <w:spacing w:val="0"/>
          <w:sz w:val="21"/>
          <w:szCs w:val="21"/>
          <w:highlight w:val="none"/>
        </w:rPr>
        <w:t>招标人对招标文件所作的答疑（或修改）公告，构成招标文件的组成部分。</w:t>
      </w:r>
    </w:p>
    <w:p w14:paraId="00E6429C">
      <w:pPr>
        <w:keepNext w:val="0"/>
        <w:keepLines w:val="0"/>
        <w:pageBreakBefore w:val="0"/>
        <w:wordWrap w:val="0"/>
        <w:overflowPunct/>
        <w:topLinePunct w:val="0"/>
        <w:bidi w:val="0"/>
        <w:spacing w:before="79" w:line="219" w:lineRule="auto"/>
        <w:ind w:left="488"/>
        <w:outlineLvl w:val="2"/>
        <w:rPr>
          <w:rFonts w:hint="eastAsia" w:asciiTheme="minorEastAsia" w:hAnsiTheme="minorEastAsia" w:eastAsiaTheme="minorEastAsia" w:cstheme="minorEastAsia"/>
          <w:color w:val="auto"/>
          <w:spacing w:val="0"/>
          <w:sz w:val="21"/>
          <w:szCs w:val="21"/>
          <w:highlight w:val="none"/>
          <w:lang w:eastAsia="zh-CN"/>
        </w:rPr>
      </w:pPr>
      <w:bookmarkStart w:id="37" w:name="_Toc6897"/>
      <w:bookmarkStart w:id="38" w:name="_Toc16986"/>
      <w:r>
        <w:rPr>
          <w:rFonts w:hint="eastAsia" w:asciiTheme="minorEastAsia" w:hAnsiTheme="minorEastAsia" w:eastAsiaTheme="minorEastAsia" w:cstheme="minorEastAsia"/>
          <w:b/>
          <w:bCs/>
          <w:color w:val="auto"/>
          <w:spacing w:val="0"/>
          <w:sz w:val="21"/>
          <w:szCs w:val="21"/>
          <w:highlight w:val="none"/>
        </w:rPr>
        <w:t>8 ．</w:t>
      </w:r>
      <w:bookmarkEnd w:id="37"/>
      <w:r>
        <w:rPr>
          <w:rFonts w:hint="eastAsia" w:asciiTheme="minorEastAsia" w:hAnsiTheme="minorEastAsia" w:eastAsiaTheme="minorEastAsia" w:cstheme="minorEastAsia"/>
          <w:b/>
          <w:bCs/>
          <w:color w:val="auto"/>
          <w:spacing w:val="0"/>
          <w:sz w:val="21"/>
          <w:szCs w:val="21"/>
          <w:highlight w:val="none"/>
          <w:lang w:eastAsia="zh-CN"/>
        </w:rPr>
        <w:t>最高投标限价</w:t>
      </w:r>
      <w:bookmarkEnd w:id="38"/>
    </w:p>
    <w:p w14:paraId="544EFF70">
      <w:pPr>
        <w:keepNext w:val="0"/>
        <w:keepLines w:val="0"/>
        <w:pageBreakBefore w:val="0"/>
        <w:wordWrap w:val="0"/>
        <w:overflowPunct/>
        <w:topLinePunct w:val="0"/>
        <w:bidi w:val="0"/>
        <w:spacing w:before="155" w:line="219" w:lineRule="auto"/>
        <w:ind w:left="48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8.1  </w:t>
      </w:r>
      <w:r>
        <w:rPr>
          <w:rFonts w:hint="eastAsia" w:asciiTheme="minorEastAsia" w:hAnsiTheme="minorEastAsia" w:eastAsiaTheme="minorEastAsia" w:cstheme="minorEastAsia"/>
          <w:color w:val="auto"/>
          <w:spacing w:val="0"/>
          <w:sz w:val="21"/>
          <w:szCs w:val="21"/>
          <w:highlight w:val="none"/>
        </w:rPr>
        <w:t>本招标项目按照以下依据编制</w:t>
      </w:r>
      <w:r>
        <w:rPr>
          <w:rFonts w:hint="eastAsia" w:asciiTheme="minorEastAsia" w:hAnsiTheme="minorEastAsia" w:eastAsiaTheme="minorEastAsia" w:cstheme="minorEastAsia"/>
          <w:b/>
          <w:bCs/>
          <w:color w:val="auto"/>
          <w:spacing w:val="0"/>
          <w:sz w:val="21"/>
          <w:szCs w:val="21"/>
          <w:highlight w:val="none"/>
          <w:lang w:eastAsia="zh-CN"/>
        </w:rPr>
        <w:t>最高投标限价</w:t>
      </w:r>
      <w:r>
        <w:rPr>
          <w:rFonts w:hint="eastAsia" w:asciiTheme="minorEastAsia" w:hAnsiTheme="minorEastAsia" w:eastAsiaTheme="minorEastAsia" w:cstheme="minorEastAsia"/>
          <w:color w:val="auto"/>
          <w:spacing w:val="0"/>
          <w:sz w:val="21"/>
          <w:szCs w:val="21"/>
          <w:highlight w:val="none"/>
        </w:rPr>
        <w:t>：</w:t>
      </w:r>
    </w:p>
    <w:p w14:paraId="27A0EB8D">
      <w:pPr>
        <w:keepNext w:val="0"/>
        <w:keepLines w:val="0"/>
        <w:pageBreakBefore w:val="0"/>
        <w:wordWrap w:val="0"/>
        <w:overflowPunct/>
        <w:topLinePunct w:val="0"/>
        <w:bidi w:val="0"/>
        <w:spacing w:before="157"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w:t>
      </w:r>
      <w:r>
        <w:rPr>
          <w:rFonts w:hint="eastAsia" w:asciiTheme="minorEastAsia" w:hAnsiTheme="minorEastAsia" w:eastAsiaTheme="minorEastAsia" w:cstheme="minorEastAsia"/>
          <w:color w:val="auto"/>
          <w:spacing w:val="0"/>
          <w:sz w:val="21"/>
          <w:szCs w:val="21"/>
          <w:highlight w:val="none"/>
          <w:lang w:eastAsia="zh-CN"/>
        </w:rPr>
        <w:t>建设工程工程量清单计价标准</w:t>
      </w:r>
      <w:r>
        <w:rPr>
          <w:rFonts w:hint="eastAsia" w:asciiTheme="minorEastAsia" w:hAnsiTheme="minorEastAsia" w:eastAsiaTheme="minorEastAsia" w:cstheme="minorEastAsia"/>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lang w:eastAsia="zh-CN"/>
        </w:rPr>
        <w:t>GB/T50500-2024</w:t>
      </w:r>
      <w:r>
        <w:rPr>
          <w:rFonts w:hint="eastAsia" w:asciiTheme="minorEastAsia" w:hAnsiTheme="minorEastAsia" w:eastAsiaTheme="minorEastAsia" w:cstheme="minorEastAsia"/>
          <w:color w:val="auto"/>
          <w:spacing w:val="0"/>
          <w:sz w:val="21"/>
          <w:szCs w:val="21"/>
          <w:highlight w:val="none"/>
        </w:rPr>
        <w:t>）；</w:t>
      </w:r>
    </w:p>
    <w:p w14:paraId="77ED235C">
      <w:pPr>
        <w:keepNext w:val="0"/>
        <w:keepLines w:val="0"/>
        <w:pageBreakBefore w:val="0"/>
        <w:wordWrap w:val="0"/>
        <w:overflowPunct/>
        <w:topLinePunct w:val="0"/>
        <w:bidi w:val="0"/>
        <w:spacing w:before="153" w:line="309" w:lineRule="auto"/>
        <w:ind w:left="9" w:right="16"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67CC7B5E">
      <w:pPr>
        <w:keepNext w:val="0"/>
        <w:keepLines w:val="0"/>
        <w:pageBreakBefore w:val="0"/>
        <w:wordWrap w:val="0"/>
        <w:overflowPunct/>
        <w:topLinePunct w:val="0"/>
        <w:bidi w:val="0"/>
        <w:spacing w:before="154" w:line="221"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（3）施工图及相关资料；</w:t>
      </w:r>
    </w:p>
    <w:p w14:paraId="3A9F3347">
      <w:pPr>
        <w:keepNext w:val="0"/>
        <w:keepLines w:val="0"/>
        <w:pageBreakBefore w:val="0"/>
        <w:wordWrap w:val="0"/>
        <w:overflowPunct/>
        <w:topLinePunct w:val="0"/>
        <w:bidi w:val="0"/>
        <w:spacing w:before="78" w:line="220" w:lineRule="auto"/>
        <w:ind w:left="502"/>
        <w:rPr>
          <w:rFonts w:hint="eastAsia" w:asciiTheme="minorEastAsia" w:hAnsiTheme="minorEastAsia" w:eastAsiaTheme="minorEastAsia" w:cstheme="minorEastAsia"/>
          <w:color w:val="auto"/>
          <w:spacing w:val="0"/>
          <w:sz w:val="21"/>
          <w:szCs w:val="21"/>
          <w:highlight w:val="none"/>
        </w:rPr>
      </w:pPr>
      <w:bookmarkStart w:id="39" w:name="bookmark119"/>
      <w:bookmarkEnd w:id="39"/>
      <w:r>
        <w:rPr>
          <w:rFonts w:hint="eastAsia" w:asciiTheme="minorEastAsia" w:hAnsiTheme="minorEastAsia" w:eastAsiaTheme="minorEastAsia" w:cstheme="minorEastAsia"/>
          <w:color w:val="auto"/>
          <w:spacing w:val="0"/>
          <w:sz w:val="21"/>
          <w:szCs w:val="21"/>
          <w:highlight w:val="none"/>
        </w:rPr>
        <w:t>（4）招标文件及招标工程量清单；</w:t>
      </w:r>
    </w:p>
    <w:p w14:paraId="69A57130">
      <w:pPr>
        <w:keepNext w:val="0"/>
        <w:keepLines w:val="0"/>
        <w:pageBreakBefore w:val="0"/>
        <w:wordWrap w:val="0"/>
        <w:overflowPunct/>
        <w:topLinePunct w:val="0"/>
        <w:bidi w:val="0"/>
        <w:spacing w:before="155" w:line="220" w:lineRule="auto"/>
        <w:ind w:left="50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（5）施工现场情况、工程特点及常规施工方案；</w:t>
      </w:r>
    </w:p>
    <w:p w14:paraId="3CCC868C">
      <w:pPr>
        <w:keepNext w:val="0"/>
        <w:keepLines w:val="0"/>
        <w:pageBreakBefore w:val="0"/>
        <w:wordWrap w:val="0"/>
        <w:overflowPunct/>
        <w:topLinePunct w:val="0"/>
        <w:bidi w:val="0"/>
        <w:spacing w:before="153" w:line="278" w:lineRule="auto"/>
        <w:ind w:left="12" w:right="136"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（6）项目所在地工程造价管理机构发布的工程造价信息，工程造价信息缺项的，参照市场价格；</w:t>
      </w:r>
    </w:p>
    <w:p w14:paraId="53E5229B">
      <w:pPr>
        <w:keepNext w:val="0"/>
        <w:keepLines w:val="0"/>
        <w:pageBreakBefore w:val="0"/>
        <w:wordWrap w:val="0"/>
        <w:overflowPunct/>
        <w:topLinePunct w:val="0"/>
        <w:bidi w:val="0"/>
        <w:spacing w:before="157" w:line="220" w:lineRule="auto"/>
        <w:ind w:left="50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（7）与建设项目相关的标准、规范、技术资料。</w:t>
      </w:r>
    </w:p>
    <w:p w14:paraId="1C2DB3CC">
      <w:pPr>
        <w:keepNext w:val="0"/>
        <w:keepLines w:val="0"/>
        <w:pageBreakBefore w:val="0"/>
        <w:wordWrap w:val="0"/>
        <w:overflowPunct/>
        <w:topLinePunct w:val="0"/>
        <w:bidi w:val="0"/>
        <w:spacing w:before="79" w:line="333" w:lineRule="auto"/>
        <w:ind w:left="11" w:firstLine="479"/>
        <w:jc w:val="both"/>
        <w:rPr>
          <w:rFonts w:hint="eastAsia" w:asciiTheme="minorEastAsia" w:hAnsiTheme="minorEastAsia" w:eastAsiaTheme="minorEastAsia" w:cstheme="minorEastAsia"/>
          <w:b/>
          <w:bCs/>
          <w:color w:val="auto"/>
          <w:spacing w:val="0"/>
          <w:sz w:val="21"/>
          <w:szCs w:val="21"/>
          <w:highlight w:val="none"/>
          <w:lang w:val="en-US" w:eastAsia="zh-CN"/>
        </w:rPr>
      </w:pPr>
      <w:r>
        <w:rPr>
          <w:rFonts w:hint="eastAsia" w:asciiTheme="minorEastAsia" w:hAnsiTheme="minorEastAsia" w:eastAsiaTheme="minorEastAsia" w:cstheme="minorEastAsia"/>
          <w:b/>
          <w:bCs/>
          <w:color w:val="auto"/>
          <w:spacing w:val="0"/>
          <w:sz w:val="21"/>
          <w:szCs w:val="21"/>
          <w:highlight w:val="none"/>
        </w:rPr>
        <w:t>8.2</w:t>
      </w:r>
      <w:r>
        <w:rPr>
          <w:rFonts w:hint="eastAsia" w:asciiTheme="minorEastAsia" w:hAnsiTheme="minorEastAsia" w:eastAsiaTheme="minorEastAsia" w:cstheme="minorEastAsia"/>
          <w:color w:val="auto"/>
          <w:spacing w:val="0"/>
          <w:sz w:val="21"/>
          <w:szCs w:val="21"/>
          <w:highlight w:val="none"/>
        </w:rPr>
        <w:t xml:space="preserve"> </w:t>
      </w:r>
      <w:r>
        <w:rPr>
          <w:rFonts w:hint="eastAsia" w:asciiTheme="minorEastAsia" w:hAnsiTheme="minorEastAsia" w:eastAsiaTheme="minorEastAsia" w:cstheme="minorEastAsia"/>
          <w:b/>
          <w:bCs/>
          <w:color w:val="auto"/>
          <w:spacing w:val="0"/>
          <w:sz w:val="21"/>
          <w:szCs w:val="21"/>
          <w:highlight w:val="none"/>
          <w:lang w:eastAsia="zh-CN"/>
        </w:rPr>
        <w:t>本招标项目的最高投标限价、工程量清单、</w:t>
      </w:r>
      <w:r>
        <w:rPr>
          <w:rFonts w:hint="eastAsia" w:asciiTheme="minorEastAsia" w:hAnsiTheme="minorEastAsia" w:eastAsiaTheme="minorEastAsia" w:cstheme="minorEastAsia"/>
          <w:b/>
          <w:bCs/>
          <w:color w:val="auto"/>
          <w:spacing w:val="0"/>
          <w:sz w:val="21"/>
          <w:szCs w:val="21"/>
          <w:highlight w:val="none"/>
          <w:lang w:val="en-US" w:eastAsia="zh-CN"/>
        </w:rPr>
        <w:t>施工图纸</w:t>
      </w:r>
      <w:r>
        <w:rPr>
          <w:rFonts w:hint="eastAsia" w:asciiTheme="minorEastAsia" w:hAnsiTheme="minorEastAsia" w:eastAsiaTheme="minorEastAsia" w:cstheme="minorEastAsia"/>
          <w:b/>
          <w:bCs/>
          <w:color w:val="auto"/>
          <w:spacing w:val="0"/>
          <w:sz w:val="21"/>
          <w:szCs w:val="21"/>
          <w:highlight w:val="none"/>
          <w:lang w:eastAsia="zh-CN"/>
        </w:rPr>
        <w:t>在投标截止时间15天前以补充公告的形式在广东省招标投标监管网（http://zbtb.gd.gov.cn）、全国公共资源交易平台（广东省·韶关市）（https://ygp.gdzwfw.gov.cn/ggzy-portal/#/440200/index）网站公布。</w:t>
      </w:r>
    </w:p>
    <w:p w14:paraId="3FE1E975">
      <w:pPr>
        <w:keepNext w:val="0"/>
        <w:keepLines w:val="0"/>
        <w:pageBreakBefore w:val="0"/>
        <w:wordWrap w:val="0"/>
        <w:overflowPunct/>
        <w:topLinePunct w:val="0"/>
        <w:bidi w:val="0"/>
        <w:spacing w:before="79" w:line="333" w:lineRule="auto"/>
        <w:ind w:left="11" w:firstLine="47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8.</w:t>
      </w:r>
      <w:r>
        <w:rPr>
          <w:rFonts w:hint="eastAsia" w:asciiTheme="minorEastAsia" w:hAnsiTheme="minorEastAsia" w:eastAsiaTheme="minorEastAsia" w:cstheme="minorEastAsia"/>
          <w:b/>
          <w:bCs/>
          <w:color w:val="auto"/>
          <w:spacing w:val="0"/>
          <w:sz w:val="21"/>
          <w:szCs w:val="21"/>
          <w:highlight w:val="none"/>
          <w:lang w:eastAsia="zh-CN"/>
        </w:rPr>
        <w:t>3</w:t>
      </w:r>
      <w:r>
        <w:rPr>
          <w:rFonts w:hint="eastAsia" w:asciiTheme="minorEastAsia" w:hAnsiTheme="minorEastAsia" w:eastAsiaTheme="minorEastAsia" w:cstheme="minorEastAsia"/>
          <w:b/>
          <w:bCs/>
          <w:color w:val="auto"/>
          <w:spacing w:val="0"/>
          <w:sz w:val="21"/>
          <w:szCs w:val="21"/>
          <w:highlight w:val="none"/>
          <w:lang w:val="en-US" w:eastAsia="zh-CN"/>
        </w:rPr>
        <w:t xml:space="preserve"> </w:t>
      </w:r>
      <w:r>
        <w:rPr>
          <w:rFonts w:hint="eastAsia" w:asciiTheme="minorEastAsia" w:hAnsiTheme="minorEastAsia" w:eastAsiaTheme="minorEastAsia" w:cstheme="minorEastAsia"/>
          <w:color w:val="auto"/>
          <w:spacing w:val="0"/>
          <w:sz w:val="21"/>
          <w:szCs w:val="21"/>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0807E7D3">
      <w:pPr>
        <w:keepNext w:val="0"/>
        <w:keepLines w:val="0"/>
        <w:pageBreakBefore w:val="0"/>
        <w:wordWrap w:val="0"/>
        <w:overflowPunct/>
        <w:topLinePunct w:val="0"/>
        <w:bidi w:val="0"/>
        <w:spacing w:before="36" w:line="278" w:lineRule="auto"/>
        <w:ind w:left="10" w:right="200" w:firstLine="4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8.</w:t>
      </w:r>
      <w:r>
        <w:rPr>
          <w:rFonts w:hint="eastAsia" w:asciiTheme="minorEastAsia" w:hAnsiTheme="minorEastAsia" w:eastAsiaTheme="minorEastAsia" w:cstheme="minorEastAsia"/>
          <w:b/>
          <w:bCs/>
          <w:color w:val="auto"/>
          <w:spacing w:val="0"/>
          <w:sz w:val="21"/>
          <w:szCs w:val="21"/>
          <w:highlight w:val="none"/>
          <w:lang w:eastAsia="zh-CN"/>
        </w:rPr>
        <w:t>4</w:t>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本招标项目以暂估价形式列入招标工程量清单中的材料、工程设备、专业工程（以下统称“暂估价项目 ”）包括：</w:t>
      </w:r>
      <w:r>
        <w:rPr>
          <w:rFonts w:hint="eastAsia" w:asciiTheme="minorEastAsia" w:hAnsiTheme="minorEastAsia" w:eastAsiaTheme="minorEastAsia" w:cstheme="minorEastAsia"/>
          <w:color w:val="auto"/>
          <w:spacing w:val="0"/>
          <w:sz w:val="21"/>
          <w:szCs w:val="21"/>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2AEAACE0">
      <w:pPr>
        <w:keepNext w:val="0"/>
        <w:keepLines w:val="0"/>
        <w:pageBreakBefore w:val="0"/>
        <w:wordWrap w:val="0"/>
        <w:overflowPunct/>
        <w:topLinePunct w:val="0"/>
        <w:bidi w:val="0"/>
        <w:spacing w:before="154" w:line="280" w:lineRule="auto"/>
        <w:ind w:left="12" w:right="200" w:firstLine="47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8.</w:t>
      </w:r>
      <w:r>
        <w:rPr>
          <w:rFonts w:hint="eastAsia" w:asciiTheme="minorEastAsia" w:hAnsiTheme="minorEastAsia" w:eastAsiaTheme="minorEastAsia" w:cstheme="minorEastAsia"/>
          <w:b/>
          <w:bCs/>
          <w:color w:val="auto"/>
          <w:spacing w:val="0"/>
          <w:sz w:val="21"/>
          <w:szCs w:val="21"/>
          <w:highlight w:val="none"/>
          <w:lang w:eastAsia="zh-CN"/>
        </w:rPr>
        <w:t>5</w:t>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当暂估价项目的内容、标准、要求在项目实施过程中得以深化、明确、固定后，按以下原则发包：</w:t>
      </w:r>
    </w:p>
    <w:p w14:paraId="50B55227">
      <w:pPr>
        <w:keepNext w:val="0"/>
        <w:keepLines w:val="0"/>
        <w:pageBreakBefore w:val="0"/>
        <w:wordWrap w:val="0"/>
        <w:overflowPunct/>
        <w:topLinePunct w:val="0"/>
        <w:bidi w:val="0"/>
        <w:spacing w:before="153" w:line="219" w:lineRule="auto"/>
        <w:ind w:left="-3" w:leftChars="0" w:firstLine="420"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（1）暂估价项目按工程、货物（指材料或工程设备，下同）的类别分类汇总的金额，达到必须招标规模标准的，由</w:t>
      </w:r>
      <w:r>
        <w:rPr>
          <w:rFonts w:hint="eastAsia" w:asciiTheme="minorEastAsia" w:hAnsiTheme="minorEastAsia" w:eastAsiaTheme="minorEastAsia" w:cstheme="minorEastAsia"/>
          <w:b/>
          <w:bCs/>
          <w:color w:val="auto"/>
          <w:spacing w:val="0"/>
          <w:sz w:val="21"/>
          <w:szCs w:val="21"/>
          <w:highlight w:val="none"/>
          <w:u w:val="single"/>
        </w:rPr>
        <w:t xml:space="preserve"> </w:t>
      </w:r>
      <w:r>
        <w:rPr>
          <w:rFonts w:hint="eastAsia" w:asciiTheme="minorEastAsia" w:hAnsiTheme="minorEastAsia" w:eastAsiaTheme="minorEastAsia" w:cstheme="minorEastAsia"/>
          <w:bCs/>
          <w:color w:val="auto"/>
          <w:spacing w:val="0"/>
          <w:sz w:val="21"/>
          <w:szCs w:val="21"/>
          <w:highlight w:val="none"/>
          <w:u w:val="single"/>
        </w:rPr>
        <w:t xml:space="preserve">中标人招标，招标人参与管理 </w:t>
      </w:r>
      <w:r>
        <w:rPr>
          <w:rFonts w:hint="eastAsia" w:asciiTheme="minorEastAsia" w:hAnsiTheme="minorEastAsia" w:eastAsiaTheme="minorEastAsia" w:cstheme="minorEastAsia"/>
          <w:bCs/>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rPr>
        <w:t>确定专业工程承包人（或材料、工程 设备供应商）和合同价格。</w:t>
      </w:r>
    </w:p>
    <w:p w14:paraId="3B988BA8">
      <w:pPr>
        <w:keepNext w:val="0"/>
        <w:keepLines w:val="0"/>
        <w:pageBreakBefore w:val="0"/>
        <w:wordWrap w:val="0"/>
        <w:overflowPunct/>
        <w:topLinePunct w:val="0"/>
        <w:bidi w:val="0"/>
        <w:spacing w:before="30" w:line="299" w:lineRule="auto"/>
        <w:ind w:left="11" w:right="65"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（2）暂估价项目按工程、货物的类别分类汇总的金额，未达到必须招标规模标准但适用政府采购规定的，按照政府采购规定确定专业工程承包人（或材料、工程设备供应商）和合同价格。</w:t>
      </w:r>
    </w:p>
    <w:p w14:paraId="5BD64914">
      <w:pPr>
        <w:keepNext w:val="0"/>
        <w:keepLines w:val="0"/>
        <w:pageBreakBefore w:val="0"/>
        <w:wordWrap w:val="0"/>
        <w:overflowPunct/>
        <w:topLinePunct w:val="0"/>
        <w:bidi w:val="0"/>
        <w:spacing w:before="154" w:line="309" w:lineRule="auto"/>
        <w:ind w:left="11" w:right="65"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 文件相关条款执行。</w:t>
      </w:r>
    </w:p>
    <w:p w14:paraId="0537DA4D">
      <w:pPr>
        <w:keepNext w:val="0"/>
        <w:keepLines w:val="0"/>
        <w:pageBreakBefore w:val="0"/>
        <w:wordWrap w:val="0"/>
        <w:overflowPunct/>
        <w:topLinePunct w:val="0"/>
        <w:bidi w:val="0"/>
        <w:spacing w:before="154" w:line="299" w:lineRule="auto"/>
        <w:ind w:left="11" w:right="65"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（4）暂估价项目按工程、货物的类别分类汇总的金额，未达到必须招标规模标准也不适用政府采购规定，中标人既不具备相应资格条件又不具备分包权的，由招标人另行发包。</w:t>
      </w:r>
    </w:p>
    <w:p w14:paraId="04D61F96">
      <w:pPr>
        <w:keepNext w:val="0"/>
        <w:keepLines w:val="0"/>
        <w:pageBreakBefore w:val="0"/>
        <w:wordWrap w:val="0"/>
        <w:overflowPunct/>
        <w:topLinePunct w:val="0"/>
        <w:bidi w:val="0"/>
        <w:spacing w:before="155" w:line="279" w:lineRule="auto"/>
        <w:ind w:left="9" w:right="66"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（5）暂估价项目由其他承包人承包的，纳入中标人的管理和协调范围，由其他承包人向中标人承担质量、安全、文明施工、工期责任，中标人向招标人承担责任。</w:t>
      </w:r>
    </w:p>
    <w:p w14:paraId="46E30166">
      <w:pPr>
        <w:keepNext w:val="0"/>
        <w:keepLines w:val="0"/>
        <w:pageBreakBefore w:val="0"/>
        <w:wordWrap w:val="0"/>
        <w:overflowPunct/>
        <w:topLinePunct w:val="0"/>
        <w:bidi w:val="0"/>
        <w:spacing w:before="155" w:line="333" w:lineRule="auto"/>
        <w:ind w:left="10" w:right="65" w:firstLine="478"/>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8</w:t>
      </w:r>
      <w:r>
        <w:rPr>
          <w:rFonts w:hint="eastAsia" w:asciiTheme="minorEastAsia" w:hAnsiTheme="minorEastAsia" w:eastAsiaTheme="minorEastAsia" w:cstheme="minorEastAsia"/>
          <w:b/>
          <w:bCs/>
          <w:color w:val="auto"/>
          <w:spacing w:val="0"/>
          <w:sz w:val="21"/>
          <w:szCs w:val="21"/>
          <w:highlight w:val="none"/>
          <w:lang w:val="en-US" w:eastAsia="zh-CN"/>
        </w:rPr>
        <w:t>.6</w:t>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 xml:space="preserve">本招标项目以暂列金额形式列入招标工程量清单中的所需货物和服务的采购（以下统称“暂列金额项目 ”）若有发生，按照本节第 </w:t>
      </w:r>
      <w:r>
        <w:rPr>
          <w:rFonts w:hint="eastAsia" w:asciiTheme="minorEastAsia" w:hAnsiTheme="minorEastAsia" w:eastAsiaTheme="minorEastAsia" w:cstheme="minorEastAsia"/>
          <w:b/>
          <w:bCs/>
          <w:color w:val="auto"/>
          <w:spacing w:val="0"/>
          <w:sz w:val="21"/>
          <w:szCs w:val="21"/>
          <w:highlight w:val="none"/>
        </w:rPr>
        <w:t xml:space="preserve">8.5 </w:t>
      </w:r>
      <w:r>
        <w:rPr>
          <w:rFonts w:hint="eastAsia" w:asciiTheme="minorEastAsia" w:hAnsiTheme="minorEastAsia" w:eastAsiaTheme="minorEastAsia" w:cstheme="minorEastAsia"/>
          <w:color w:val="auto"/>
          <w:spacing w:val="0"/>
          <w:sz w:val="21"/>
          <w:szCs w:val="21"/>
          <w:highlight w:val="none"/>
        </w:rPr>
        <w:t>条的规定确定货物（或服务）供应商和合同价格。暂列金额项目由其他承包人承包的，纳入中标人的管理和协调范围</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由其他承包人向中标人承担质量、安全、文明施工、工期责任，中标人向招标人承担责任。</w:t>
      </w:r>
    </w:p>
    <w:p w14:paraId="0BB4BAAF">
      <w:pPr>
        <w:keepNext w:val="0"/>
        <w:keepLines w:val="0"/>
        <w:pageBreakBefore w:val="0"/>
        <w:wordWrap w:val="0"/>
        <w:overflowPunct/>
        <w:topLinePunct w:val="0"/>
        <w:bidi w:val="0"/>
        <w:spacing w:before="79" w:line="219" w:lineRule="auto"/>
        <w:ind w:left="487"/>
        <w:outlineLvl w:val="2"/>
        <w:rPr>
          <w:rFonts w:hint="eastAsia" w:asciiTheme="minorEastAsia" w:hAnsiTheme="minorEastAsia" w:eastAsiaTheme="minorEastAsia" w:cstheme="minorEastAsia"/>
          <w:color w:val="auto"/>
          <w:spacing w:val="0"/>
          <w:sz w:val="21"/>
          <w:szCs w:val="21"/>
          <w:highlight w:val="none"/>
        </w:rPr>
      </w:pPr>
      <w:bookmarkStart w:id="40" w:name="_Toc22978"/>
      <w:bookmarkStart w:id="41" w:name="_Toc15200"/>
      <w:r>
        <w:rPr>
          <w:rFonts w:hint="eastAsia" w:asciiTheme="minorEastAsia" w:hAnsiTheme="minorEastAsia" w:eastAsiaTheme="minorEastAsia" w:cstheme="minorEastAsia"/>
          <w:b/>
          <w:bCs/>
          <w:color w:val="auto"/>
          <w:spacing w:val="0"/>
          <w:sz w:val="21"/>
          <w:szCs w:val="21"/>
          <w:highlight w:val="none"/>
        </w:rPr>
        <w:t>9 ．投标报价</w:t>
      </w:r>
      <w:bookmarkEnd w:id="40"/>
      <w:bookmarkEnd w:id="41"/>
    </w:p>
    <w:p w14:paraId="0B34E7D7">
      <w:pPr>
        <w:keepNext w:val="0"/>
        <w:keepLines w:val="0"/>
        <w:pageBreakBefore w:val="0"/>
        <w:wordWrap w:val="0"/>
        <w:overflowPunct/>
        <w:topLinePunct w:val="0"/>
        <w:bidi w:val="0"/>
        <w:spacing w:before="157" w:line="219" w:lineRule="auto"/>
        <w:ind w:left="48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9.1  </w:t>
      </w:r>
      <w:r>
        <w:rPr>
          <w:rFonts w:hint="eastAsia" w:asciiTheme="minorEastAsia" w:hAnsiTheme="minorEastAsia" w:eastAsiaTheme="minorEastAsia" w:cstheme="minorEastAsia"/>
          <w:color w:val="auto"/>
          <w:spacing w:val="0"/>
          <w:sz w:val="21"/>
          <w:szCs w:val="21"/>
          <w:highlight w:val="none"/>
        </w:rPr>
        <w:t>投标人应按照以下依据编制投标报价：</w:t>
      </w:r>
    </w:p>
    <w:p w14:paraId="4AC3B188">
      <w:pPr>
        <w:keepNext w:val="0"/>
        <w:keepLines w:val="0"/>
        <w:pageBreakBefore w:val="0"/>
        <w:wordWrap w:val="0"/>
        <w:overflowPunct/>
        <w:topLinePunct w:val="0"/>
        <w:bidi w:val="0"/>
        <w:spacing w:before="155"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w:t>
      </w:r>
      <w:r>
        <w:rPr>
          <w:rFonts w:hint="eastAsia" w:asciiTheme="minorEastAsia" w:hAnsiTheme="minorEastAsia" w:eastAsiaTheme="minorEastAsia" w:cstheme="minorEastAsia"/>
          <w:color w:val="auto"/>
          <w:spacing w:val="0"/>
          <w:sz w:val="21"/>
          <w:szCs w:val="21"/>
          <w:highlight w:val="none"/>
          <w:lang w:eastAsia="zh-CN"/>
        </w:rPr>
        <w:t>建设工程工程量清单计价标准</w:t>
      </w:r>
      <w:r>
        <w:rPr>
          <w:rFonts w:hint="eastAsia" w:asciiTheme="minorEastAsia" w:hAnsiTheme="minorEastAsia" w:eastAsiaTheme="minorEastAsia" w:cstheme="minorEastAsia"/>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lang w:eastAsia="zh-CN"/>
        </w:rPr>
        <w:t>GB/T50500-2024</w:t>
      </w:r>
      <w:r>
        <w:rPr>
          <w:rFonts w:hint="eastAsia" w:asciiTheme="minorEastAsia" w:hAnsiTheme="minorEastAsia" w:eastAsiaTheme="minorEastAsia" w:cstheme="minorEastAsia"/>
          <w:color w:val="auto"/>
          <w:spacing w:val="0"/>
          <w:sz w:val="21"/>
          <w:szCs w:val="21"/>
          <w:highlight w:val="none"/>
        </w:rPr>
        <w:t>）；</w:t>
      </w:r>
    </w:p>
    <w:p w14:paraId="005B87AC">
      <w:pPr>
        <w:keepNext w:val="0"/>
        <w:keepLines w:val="0"/>
        <w:pageBreakBefore w:val="0"/>
        <w:wordWrap w:val="0"/>
        <w:overflowPunct/>
        <w:topLinePunct w:val="0"/>
        <w:bidi w:val="0"/>
        <w:spacing w:before="153" w:line="309" w:lineRule="auto"/>
        <w:ind w:left="9" w:right="65"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71BD9411">
      <w:pPr>
        <w:keepNext w:val="0"/>
        <w:keepLines w:val="0"/>
        <w:pageBreakBefore w:val="0"/>
        <w:wordWrap w:val="0"/>
        <w:overflowPunct/>
        <w:topLinePunct w:val="0"/>
        <w:bidi w:val="0"/>
        <w:spacing w:before="78" w:line="220" w:lineRule="auto"/>
        <w:ind w:left="501"/>
        <w:rPr>
          <w:rFonts w:hint="eastAsia" w:asciiTheme="minorEastAsia" w:hAnsiTheme="minorEastAsia" w:eastAsiaTheme="minorEastAsia" w:cstheme="minorEastAsia"/>
          <w:color w:val="auto"/>
          <w:spacing w:val="0"/>
          <w:sz w:val="21"/>
          <w:szCs w:val="21"/>
          <w:highlight w:val="none"/>
        </w:rPr>
      </w:pPr>
      <w:bookmarkStart w:id="42" w:name="bookmark120"/>
      <w:bookmarkEnd w:id="42"/>
      <w:r>
        <w:rPr>
          <w:rFonts w:hint="eastAsia" w:asciiTheme="minorEastAsia" w:hAnsiTheme="minorEastAsia" w:eastAsiaTheme="minorEastAsia" w:cstheme="minorEastAsia"/>
          <w:color w:val="auto"/>
          <w:spacing w:val="0"/>
          <w:sz w:val="21"/>
          <w:szCs w:val="21"/>
          <w:highlight w:val="none"/>
        </w:rPr>
        <w:t>（3）企业定额；</w:t>
      </w:r>
    </w:p>
    <w:p w14:paraId="05E4143C">
      <w:pPr>
        <w:keepNext w:val="0"/>
        <w:keepLines w:val="0"/>
        <w:pageBreakBefore w:val="0"/>
        <w:wordWrap w:val="0"/>
        <w:overflowPunct/>
        <w:topLinePunct w:val="0"/>
        <w:bidi w:val="0"/>
        <w:spacing w:before="155"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（4）招标文件及其答疑（或修改）公告、招标工程量清单；</w:t>
      </w:r>
    </w:p>
    <w:p w14:paraId="4AFC284F">
      <w:pPr>
        <w:keepNext w:val="0"/>
        <w:keepLines w:val="0"/>
        <w:pageBreakBefore w:val="0"/>
        <w:wordWrap w:val="0"/>
        <w:overflowPunct/>
        <w:topLinePunct w:val="0"/>
        <w:bidi w:val="0"/>
        <w:spacing w:before="154" w:line="221"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（5）施工图及相关资料；</w:t>
      </w:r>
    </w:p>
    <w:p w14:paraId="5610B8CC">
      <w:pPr>
        <w:keepNext w:val="0"/>
        <w:keepLines w:val="0"/>
        <w:pageBreakBefore w:val="0"/>
        <w:wordWrap w:val="0"/>
        <w:overflowPunct/>
        <w:topLinePunct w:val="0"/>
        <w:bidi w:val="0"/>
        <w:spacing w:before="152"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（6）施工现场情况、工程特点及投标时拟定的施工组织设计或施工方案；</w:t>
      </w:r>
    </w:p>
    <w:p w14:paraId="71E3BC07">
      <w:pPr>
        <w:keepNext w:val="0"/>
        <w:keepLines w:val="0"/>
        <w:pageBreakBefore w:val="0"/>
        <w:wordWrap w:val="0"/>
        <w:overflowPunct/>
        <w:topLinePunct w:val="0"/>
        <w:bidi w:val="0"/>
        <w:spacing w:before="156"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（7）市场价格信息或项目所在地工程造价管理机构发布的工程造价信息；</w:t>
      </w:r>
    </w:p>
    <w:p w14:paraId="19F33FFF">
      <w:pPr>
        <w:keepNext w:val="0"/>
        <w:keepLines w:val="0"/>
        <w:pageBreakBefore w:val="0"/>
        <w:wordWrap w:val="0"/>
        <w:overflowPunct/>
        <w:topLinePunct w:val="0"/>
        <w:bidi w:val="0"/>
        <w:spacing w:before="155"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（8）与建设项目相关的标准、规范、技术资料。</w:t>
      </w:r>
    </w:p>
    <w:p w14:paraId="21E8091D">
      <w:pPr>
        <w:keepNext w:val="0"/>
        <w:keepLines w:val="0"/>
        <w:pageBreakBefore w:val="0"/>
        <w:wordWrap w:val="0"/>
        <w:overflowPunct/>
        <w:topLinePunct w:val="0"/>
        <w:bidi w:val="0"/>
        <w:spacing w:before="153" w:line="309" w:lineRule="auto"/>
        <w:ind w:left="8" w:right="150" w:firstLine="5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9.2  </w:t>
      </w:r>
      <w:r>
        <w:rPr>
          <w:rFonts w:hint="eastAsia" w:asciiTheme="minorEastAsia" w:hAnsiTheme="minorEastAsia" w:eastAsiaTheme="minorEastAsia" w:cstheme="minorEastAsia"/>
          <w:color w:val="auto"/>
          <w:spacing w:val="0"/>
          <w:sz w:val="21"/>
          <w:szCs w:val="21"/>
          <w:highlight w:val="none"/>
        </w:rPr>
        <w:t>投标人应根据招标工程量清单、工程量清单计价</w:t>
      </w:r>
      <w:r>
        <w:rPr>
          <w:rFonts w:hint="eastAsia" w:asciiTheme="minorEastAsia" w:hAnsiTheme="minorEastAsia" w:eastAsiaTheme="minorEastAsia" w:cstheme="minorEastAsia"/>
          <w:color w:val="auto"/>
          <w:spacing w:val="0"/>
          <w:sz w:val="21"/>
          <w:szCs w:val="21"/>
          <w:highlight w:val="none"/>
          <w:lang w:val="en-US" w:eastAsia="zh-CN"/>
        </w:rPr>
        <w:t>标准</w:t>
      </w:r>
      <w:r>
        <w:rPr>
          <w:rFonts w:hint="eastAsia" w:asciiTheme="minorEastAsia" w:hAnsiTheme="minorEastAsia" w:eastAsiaTheme="minorEastAsia" w:cstheme="minorEastAsia"/>
          <w:color w:val="auto"/>
          <w:spacing w:val="0"/>
          <w:sz w:val="21"/>
          <w:szCs w:val="21"/>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29125942">
      <w:pPr>
        <w:keepNext w:val="0"/>
        <w:keepLines w:val="0"/>
        <w:pageBreakBefore w:val="0"/>
        <w:wordWrap w:val="0"/>
        <w:overflowPunct/>
        <w:topLinePunct w:val="0"/>
        <w:bidi w:val="0"/>
        <w:spacing w:before="152" w:line="309" w:lineRule="auto"/>
        <w:ind w:left="9" w:right="150" w:firstLine="55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9.3  </w:t>
      </w:r>
      <w:r>
        <w:rPr>
          <w:rFonts w:hint="eastAsia" w:asciiTheme="minorEastAsia" w:hAnsiTheme="minorEastAsia" w:eastAsiaTheme="minorEastAsia" w:cstheme="minorEastAsia"/>
          <w:color w:val="auto"/>
          <w:spacing w:val="0"/>
          <w:sz w:val="21"/>
          <w:szCs w:val="21"/>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75CF2E01">
      <w:pPr>
        <w:keepNext w:val="0"/>
        <w:keepLines w:val="0"/>
        <w:pageBreakBefore w:val="0"/>
        <w:wordWrap w:val="0"/>
        <w:overflowPunct/>
        <w:topLinePunct w:val="0"/>
        <w:bidi w:val="0"/>
        <w:spacing w:before="155" w:line="279" w:lineRule="auto"/>
        <w:ind w:left="10" w:right="150" w:firstLine="55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9.4  </w:t>
      </w:r>
      <w:r>
        <w:rPr>
          <w:rFonts w:hint="eastAsia" w:asciiTheme="minorEastAsia" w:hAnsiTheme="minorEastAsia" w:eastAsiaTheme="minorEastAsia" w:cstheme="minorEastAsia"/>
          <w:color w:val="auto"/>
          <w:spacing w:val="0"/>
          <w:sz w:val="21"/>
          <w:szCs w:val="21"/>
          <w:highlight w:val="none"/>
        </w:rPr>
        <w:t>招标人向投标人提供的有关现场的数据和资料，是招标人现有的能被投标人利用的资料，招标人对投标人做出的任何推论、理解和结论均不负责任。</w:t>
      </w:r>
    </w:p>
    <w:p w14:paraId="32960A76">
      <w:pPr>
        <w:keepNext w:val="0"/>
        <w:keepLines w:val="0"/>
        <w:pageBreakBefore w:val="0"/>
        <w:wordWrap w:val="0"/>
        <w:overflowPunct/>
        <w:topLinePunct w:val="0"/>
        <w:bidi w:val="0"/>
        <w:spacing w:before="154" w:line="299" w:lineRule="auto"/>
        <w:ind w:left="12" w:firstLine="55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9.5  </w:t>
      </w:r>
      <w:r>
        <w:rPr>
          <w:rFonts w:hint="eastAsia" w:asciiTheme="minorEastAsia" w:hAnsiTheme="minorEastAsia" w:eastAsiaTheme="minorEastAsia" w:cstheme="minorEastAsia"/>
          <w:color w:val="auto"/>
          <w:spacing w:val="0"/>
          <w:sz w:val="21"/>
          <w:szCs w:val="21"/>
          <w:highlight w:val="none"/>
        </w:rPr>
        <w:t>投标人必须按照招标工程量清单及表格填报价格。项目编码、项目名称、项目特征、计量单位、工程量必须与招标工程量清单一致。所有报价均以人民币“元 ” 为单位，并保留小数点后两位。</w:t>
      </w:r>
    </w:p>
    <w:p w14:paraId="0B07264D">
      <w:pPr>
        <w:keepNext w:val="0"/>
        <w:keepLines w:val="0"/>
        <w:pageBreakBefore w:val="0"/>
        <w:wordWrap w:val="0"/>
        <w:overflowPunct/>
        <w:topLinePunct w:val="0"/>
        <w:bidi w:val="0"/>
        <w:spacing w:before="158" w:line="314" w:lineRule="auto"/>
        <w:ind w:left="9" w:right="150" w:firstLine="55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9.6  </w:t>
      </w:r>
      <w:r>
        <w:rPr>
          <w:rFonts w:hint="eastAsia" w:asciiTheme="minorEastAsia" w:hAnsiTheme="minorEastAsia" w:eastAsiaTheme="minorEastAsia" w:cstheme="minorEastAsia"/>
          <w:color w:val="auto"/>
          <w:spacing w:val="0"/>
          <w:sz w:val="21"/>
          <w:szCs w:val="21"/>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023C309E">
      <w:pPr>
        <w:keepNext w:val="0"/>
        <w:keepLines w:val="0"/>
        <w:pageBreakBefore w:val="0"/>
        <w:wordWrap w:val="0"/>
        <w:overflowPunct/>
        <w:topLinePunct w:val="0"/>
        <w:bidi w:val="0"/>
        <w:spacing w:before="152" w:line="309" w:lineRule="auto"/>
        <w:ind w:left="7" w:right="120" w:firstLine="480"/>
        <w:rPr>
          <w:rFonts w:hint="eastAsia" w:asciiTheme="minorEastAsia" w:hAnsiTheme="minorEastAsia" w:eastAsiaTheme="minorEastAsia" w:cstheme="minorEastAsia"/>
          <w:b/>
          <w:bCs/>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9.7  </w:t>
      </w:r>
      <w:r>
        <w:rPr>
          <w:rFonts w:hint="eastAsia" w:asciiTheme="minorEastAsia" w:hAnsiTheme="minorEastAsia" w:eastAsiaTheme="minorEastAsia" w:cstheme="minorEastAsia"/>
          <w:color w:val="auto"/>
          <w:spacing w:val="0"/>
          <w:sz w:val="21"/>
          <w:szCs w:val="21"/>
          <w:highlight w:val="none"/>
        </w:rPr>
        <w:t>投标人的投标总价不得高于</w:t>
      </w:r>
      <w:r>
        <w:rPr>
          <w:rFonts w:hint="eastAsia" w:asciiTheme="minorEastAsia" w:hAnsiTheme="minorEastAsia" w:eastAsiaTheme="minorEastAsia" w:cstheme="minorEastAsia"/>
          <w:b/>
          <w:bCs/>
          <w:color w:val="auto"/>
          <w:spacing w:val="0"/>
          <w:sz w:val="21"/>
          <w:szCs w:val="21"/>
          <w:highlight w:val="none"/>
          <w:lang w:val="en-US" w:eastAsia="zh-CN"/>
        </w:rPr>
        <w:t>最高投标限价</w:t>
      </w:r>
      <w:r>
        <w:rPr>
          <w:rFonts w:hint="eastAsia" w:asciiTheme="minorEastAsia" w:hAnsiTheme="minorEastAsia" w:eastAsiaTheme="minorEastAsia" w:cstheme="minorEastAsia"/>
          <w:color w:val="auto"/>
          <w:spacing w:val="0"/>
          <w:sz w:val="21"/>
          <w:szCs w:val="21"/>
          <w:highlight w:val="none"/>
        </w:rPr>
        <w:t>，也不得低于工程成本。投标人对投标总价的所有优惠（降价、让利等），均应当反映在具体清单项目或其综合单价的报价上。</w:t>
      </w:r>
      <w:r>
        <w:rPr>
          <w:rFonts w:hint="eastAsia" w:asciiTheme="minorEastAsia" w:hAnsiTheme="minorEastAsia" w:eastAsiaTheme="minorEastAsia" w:cstheme="minorEastAsia"/>
          <w:b/>
          <w:bCs/>
          <w:color w:val="auto"/>
          <w:spacing w:val="0"/>
          <w:sz w:val="21"/>
          <w:szCs w:val="21"/>
          <w:highlight w:val="none"/>
        </w:rPr>
        <w:t>如果投标人的投标总价下浮率高于</w:t>
      </w:r>
      <w:r>
        <w:rPr>
          <w:rFonts w:hint="eastAsia" w:asciiTheme="minorEastAsia" w:hAnsiTheme="minorEastAsia" w:eastAsiaTheme="minorEastAsia" w:cstheme="minorEastAsia"/>
          <w:color w:val="auto"/>
          <w:spacing w:val="0"/>
          <w:sz w:val="21"/>
          <w:szCs w:val="21"/>
          <w:highlight w:val="none"/>
        </w:rPr>
        <w:t xml:space="preserve"> </w:t>
      </w:r>
      <w:r>
        <w:rPr>
          <w:rFonts w:hint="eastAsia" w:asciiTheme="minorEastAsia" w:hAnsiTheme="minorEastAsia" w:eastAsiaTheme="minorEastAsia" w:cstheme="minorEastAsia"/>
          <w:b/>
          <w:bCs/>
          <w:color w:val="auto"/>
          <w:spacing w:val="0"/>
          <w:sz w:val="21"/>
          <w:szCs w:val="21"/>
          <w:highlight w:val="none"/>
        </w:rPr>
        <w:t>15%时，投标人必须在投标文件中专项作出详细合理的书面说明并提供以往类似工程详细成本分析报告供评标委员会审查。</w:t>
      </w:r>
    </w:p>
    <w:p w14:paraId="24F2A703">
      <w:pPr>
        <w:keepNext w:val="0"/>
        <w:keepLines w:val="0"/>
        <w:pageBreakBefore w:val="0"/>
        <w:wordWrap w:val="0"/>
        <w:overflowPunct/>
        <w:topLinePunct w:val="0"/>
        <w:bidi w:val="0"/>
        <w:outlineLvl w:val="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b/>
          <w:bCs/>
          <w:color w:val="auto"/>
          <w:spacing w:val="0"/>
          <w:sz w:val="21"/>
          <w:szCs w:val="21"/>
          <w:highlight w:val="none"/>
          <w:lang w:eastAsia="zh-CN"/>
        </w:rPr>
        <w:t>投标总价下浮率=（1-投标总价</w:t>
      </w:r>
      <w:r>
        <w:rPr>
          <w:rFonts w:hint="eastAsia" w:asciiTheme="minorEastAsia" w:hAnsiTheme="minorEastAsia" w:eastAsiaTheme="minorEastAsia" w:cstheme="minorEastAsia"/>
          <w:b/>
          <w:bCs/>
          <w:color w:val="auto"/>
          <w:spacing w:val="0"/>
          <w:sz w:val="21"/>
          <w:szCs w:val="21"/>
          <w:highlight w:val="none"/>
        </w:rPr>
        <w:t>÷</w:t>
      </w:r>
      <w:r>
        <w:rPr>
          <w:rFonts w:hint="eastAsia" w:asciiTheme="minorEastAsia" w:hAnsiTheme="minorEastAsia" w:eastAsiaTheme="minorEastAsia" w:cstheme="minorEastAsia"/>
          <w:b/>
          <w:bCs/>
          <w:color w:val="auto"/>
          <w:spacing w:val="0"/>
          <w:sz w:val="21"/>
          <w:szCs w:val="21"/>
          <w:highlight w:val="none"/>
          <w:lang w:eastAsia="zh-CN"/>
        </w:rPr>
        <w:t>最高投标限价）</w:t>
      </w:r>
      <w:r>
        <w:rPr>
          <w:rFonts w:hint="eastAsia" w:asciiTheme="minorEastAsia" w:hAnsiTheme="minorEastAsia" w:eastAsiaTheme="minorEastAsia" w:cstheme="minorEastAsia"/>
          <w:b/>
          <w:bCs/>
          <w:color w:val="auto"/>
          <w:spacing w:val="0"/>
          <w:sz w:val="21"/>
          <w:szCs w:val="21"/>
          <w:highlight w:val="none"/>
        </w:rPr>
        <w:t>×</w:t>
      </w:r>
      <w:r>
        <w:rPr>
          <w:rFonts w:hint="eastAsia" w:asciiTheme="minorEastAsia" w:hAnsiTheme="minorEastAsia" w:eastAsiaTheme="minorEastAsia" w:cstheme="minorEastAsia"/>
          <w:b/>
          <w:bCs/>
          <w:color w:val="auto"/>
          <w:spacing w:val="0"/>
          <w:sz w:val="21"/>
          <w:szCs w:val="21"/>
          <w:highlight w:val="none"/>
          <w:lang w:eastAsia="zh-CN"/>
        </w:rPr>
        <w:t>100%</w:t>
      </w:r>
    </w:p>
    <w:p w14:paraId="05A58CF0">
      <w:pPr>
        <w:keepNext w:val="0"/>
        <w:keepLines w:val="0"/>
        <w:pageBreakBefore w:val="0"/>
        <w:wordWrap w:val="0"/>
        <w:overflowPunct/>
        <w:topLinePunct w:val="0"/>
        <w:bidi w:val="0"/>
        <w:spacing w:before="146" w:line="325" w:lineRule="auto"/>
        <w:ind w:left="29" w:right="153" w:firstLine="4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9.8  </w:t>
      </w:r>
      <w:r>
        <w:rPr>
          <w:rFonts w:hint="eastAsia" w:asciiTheme="minorEastAsia" w:hAnsiTheme="minorEastAsia" w:eastAsiaTheme="minorEastAsia" w:cstheme="minorEastAsia"/>
          <w:color w:val="auto"/>
          <w:spacing w:val="0"/>
          <w:sz w:val="21"/>
          <w:szCs w:val="21"/>
          <w:highlight w:val="none"/>
        </w:rPr>
        <w:t>投标人的</w:t>
      </w:r>
      <w:r>
        <w:rPr>
          <w:rFonts w:hint="eastAsia" w:asciiTheme="minorEastAsia" w:hAnsiTheme="minorEastAsia" w:eastAsiaTheme="minorEastAsia" w:cstheme="minorEastAsia"/>
          <w:color w:val="auto"/>
          <w:spacing w:val="0"/>
          <w:sz w:val="21"/>
          <w:szCs w:val="21"/>
          <w:highlight w:val="none"/>
          <w:lang w:eastAsia="zh-CN"/>
        </w:rPr>
        <w:t>安全生产措施费</w:t>
      </w:r>
      <w:r>
        <w:rPr>
          <w:rFonts w:hint="eastAsia" w:asciiTheme="minorEastAsia" w:hAnsiTheme="minorEastAsia" w:eastAsiaTheme="minorEastAsia" w:cstheme="minorEastAsia"/>
          <w:color w:val="auto"/>
          <w:spacing w:val="0"/>
          <w:sz w:val="21"/>
          <w:szCs w:val="21"/>
          <w:highlight w:val="none"/>
        </w:rPr>
        <w:t>报价必须达到或超过</w:t>
      </w:r>
      <w:r>
        <w:rPr>
          <w:rFonts w:hint="eastAsia" w:asciiTheme="minorEastAsia" w:hAnsiTheme="minorEastAsia" w:eastAsiaTheme="minorEastAsia" w:cstheme="minorEastAsia"/>
          <w:b/>
          <w:bCs/>
          <w:color w:val="auto"/>
          <w:spacing w:val="0"/>
          <w:sz w:val="21"/>
          <w:szCs w:val="21"/>
          <w:highlight w:val="none"/>
          <w:lang w:val="en-US" w:eastAsia="zh-CN"/>
        </w:rPr>
        <w:t>最高投标限价</w:t>
      </w:r>
      <w:r>
        <w:rPr>
          <w:rFonts w:hint="eastAsia" w:asciiTheme="minorEastAsia" w:hAnsiTheme="minorEastAsia" w:eastAsiaTheme="minorEastAsia" w:cstheme="minorEastAsia"/>
          <w:color w:val="auto"/>
          <w:spacing w:val="0"/>
          <w:sz w:val="21"/>
          <w:szCs w:val="21"/>
          <w:highlight w:val="none"/>
        </w:rPr>
        <w:t>中提供的</w:t>
      </w:r>
      <w:r>
        <w:rPr>
          <w:rFonts w:hint="eastAsia" w:asciiTheme="minorEastAsia" w:hAnsiTheme="minorEastAsia" w:eastAsiaTheme="minorEastAsia" w:cstheme="minorEastAsia"/>
          <w:color w:val="auto"/>
          <w:spacing w:val="0"/>
          <w:sz w:val="21"/>
          <w:szCs w:val="21"/>
          <w:highlight w:val="none"/>
          <w:lang w:eastAsia="zh-CN"/>
        </w:rPr>
        <w:t>安全生产措施费</w:t>
      </w:r>
      <w:r>
        <w:rPr>
          <w:rFonts w:hint="eastAsia" w:asciiTheme="minorEastAsia" w:hAnsiTheme="minorEastAsia" w:eastAsiaTheme="minorEastAsia" w:cstheme="minorEastAsia"/>
          <w:color w:val="auto"/>
          <w:spacing w:val="0"/>
          <w:sz w:val="21"/>
          <w:szCs w:val="21"/>
          <w:highlight w:val="none"/>
        </w:rPr>
        <w:t>。</w:t>
      </w:r>
    </w:p>
    <w:p w14:paraId="34564E33">
      <w:pPr>
        <w:keepNext w:val="0"/>
        <w:keepLines w:val="0"/>
        <w:pageBreakBefore w:val="0"/>
        <w:wordWrap w:val="0"/>
        <w:overflowPunct/>
        <w:topLinePunct w:val="0"/>
        <w:bidi w:val="0"/>
        <w:spacing w:before="78" w:line="309" w:lineRule="auto"/>
        <w:ind w:right="99" w:firstLine="422"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9.9  </w:t>
      </w:r>
      <w:r>
        <w:rPr>
          <w:rFonts w:hint="eastAsia" w:asciiTheme="minorEastAsia" w:hAnsiTheme="minorEastAsia" w:eastAsiaTheme="minorEastAsia" w:cstheme="minorEastAsia"/>
          <w:color w:val="auto"/>
          <w:spacing w:val="0"/>
          <w:sz w:val="21"/>
          <w:szCs w:val="21"/>
          <w:highlight w:val="none"/>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47EC6672">
      <w:pPr>
        <w:pStyle w:val="5"/>
        <w:keepNext w:val="0"/>
        <w:keepLines w:val="0"/>
        <w:pageBreakBefore w:val="0"/>
        <w:widowControl/>
        <w:kinsoku w:val="0"/>
        <w:wordWrap w:val="0"/>
        <w:overflowPunct/>
        <w:topLinePunct w:val="0"/>
        <w:autoSpaceDE w:val="0"/>
        <w:autoSpaceDN w:val="0"/>
        <w:bidi w:val="0"/>
        <w:adjustRightInd w:val="0"/>
        <w:snapToGrid w:val="0"/>
        <w:spacing w:line="310" w:lineRule="auto"/>
        <w:ind w:firstLine="422" w:firstLineChars="200"/>
        <w:textAlignment w:val="baseline"/>
        <w:rPr>
          <w:rFonts w:hint="eastAsia" w:asciiTheme="minorEastAsia" w:hAnsiTheme="minorEastAsia" w:eastAsiaTheme="minorEastAsia" w:cstheme="minorEastAsia"/>
          <w:snapToGrid w:val="0"/>
          <w:color w:val="auto"/>
          <w:spacing w:val="0"/>
          <w:sz w:val="21"/>
          <w:szCs w:val="21"/>
          <w:highlight w:val="none"/>
          <w:lang w:val="en-US" w:eastAsia="en-US" w:bidi="ar-SA"/>
        </w:rPr>
      </w:pPr>
      <w:r>
        <w:rPr>
          <w:rFonts w:hint="eastAsia" w:asciiTheme="minorEastAsia" w:hAnsiTheme="minorEastAsia" w:eastAsiaTheme="minorEastAsia" w:cstheme="minorEastAsia"/>
          <w:b/>
          <w:bCs/>
          <w:color w:val="auto"/>
          <w:spacing w:val="0"/>
          <w:sz w:val="21"/>
          <w:szCs w:val="21"/>
          <w:highlight w:val="none"/>
        </w:rPr>
        <w:t xml:space="preserve">9.10 </w:t>
      </w:r>
      <w:r>
        <w:rPr>
          <w:rFonts w:hint="eastAsia" w:asciiTheme="minorEastAsia" w:hAnsiTheme="minorEastAsia" w:eastAsiaTheme="minorEastAsia" w:cstheme="minorEastAsia"/>
          <w:snapToGrid w:val="0"/>
          <w:color w:val="auto"/>
          <w:spacing w:val="0"/>
          <w:sz w:val="21"/>
          <w:szCs w:val="21"/>
          <w:highlight w:val="none"/>
          <w:lang w:val="en-US" w:eastAsia="en-US" w:bidi="ar-SA"/>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7C68A35C">
      <w:pPr>
        <w:keepNext w:val="0"/>
        <w:keepLines w:val="0"/>
        <w:pageBreakBefore w:val="0"/>
        <w:wordWrap w:val="0"/>
        <w:overflowPunct/>
        <w:topLinePunct w:val="0"/>
        <w:bidi w:val="0"/>
        <w:spacing w:before="78" w:line="220" w:lineRule="auto"/>
        <w:ind w:left="496"/>
        <w:outlineLvl w:val="2"/>
        <w:rPr>
          <w:rFonts w:hint="eastAsia" w:asciiTheme="minorEastAsia" w:hAnsiTheme="minorEastAsia" w:eastAsiaTheme="minorEastAsia" w:cstheme="minorEastAsia"/>
          <w:color w:val="auto"/>
          <w:spacing w:val="0"/>
          <w:sz w:val="21"/>
          <w:szCs w:val="21"/>
          <w:highlight w:val="none"/>
        </w:rPr>
      </w:pPr>
      <w:bookmarkStart w:id="43" w:name="_Toc16322"/>
      <w:bookmarkStart w:id="44" w:name="_Toc30235"/>
      <w:r>
        <w:rPr>
          <w:rFonts w:hint="eastAsia" w:asciiTheme="minorEastAsia" w:hAnsiTheme="minorEastAsia" w:eastAsiaTheme="minorEastAsia" w:cstheme="minorEastAsia"/>
          <w:b/>
          <w:bCs/>
          <w:color w:val="auto"/>
          <w:spacing w:val="0"/>
          <w:sz w:val="21"/>
          <w:szCs w:val="21"/>
          <w:highlight w:val="none"/>
        </w:rPr>
        <w:t>10 ．投标文件的编制要求</w:t>
      </w:r>
      <w:bookmarkEnd w:id="43"/>
      <w:bookmarkEnd w:id="44"/>
    </w:p>
    <w:p w14:paraId="47286C44">
      <w:pPr>
        <w:keepNext w:val="0"/>
        <w:keepLines w:val="0"/>
        <w:pageBreakBefore w:val="0"/>
        <w:wordWrap w:val="0"/>
        <w:overflowPunct/>
        <w:topLinePunct w:val="0"/>
        <w:bidi w:val="0"/>
        <w:spacing w:before="152" w:line="222" w:lineRule="auto"/>
        <w:ind w:left="496"/>
        <w:outlineLvl w:val="3"/>
        <w:rPr>
          <w:rFonts w:hint="eastAsia" w:asciiTheme="minorEastAsia" w:hAnsiTheme="minorEastAsia" w:eastAsiaTheme="minorEastAsia" w:cstheme="minorEastAsia"/>
          <w:color w:val="auto"/>
          <w:spacing w:val="0"/>
          <w:sz w:val="21"/>
          <w:szCs w:val="21"/>
          <w:highlight w:val="none"/>
        </w:rPr>
      </w:pPr>
      <w:bookmarkStart w:id="45" w:name="_Toc22937"/>
      <w:bookmarkStart w:id="46" w:name="_Toc20590"/>
      <w:r>
        <w:rPr>
          <w:rFonts w:hint="eastAsia" w:asciiTheme="minorEastAsia" w:hAnsiTheme="minorEastAsia" w:eastAsiaTheme="minorEastAsia" w:cstheme="minorEastAsia"/>
          <w:b/>
          <w:bCs/>
          <w:color w:val="auto"/>
          <w:spacing w:val="0"/>
          <w:sz w:val="21"/>
          <w:szCs w:val="21"/>
          <w:highlight w:val="none"/>
        </w:rPr>
        <w:t xml:space="preserve">10.1  </w:t>
      </w:r>
      <w:r>
        <w:rPr>
          <w:rFonts w:hint="eastAsia" w:asciiTheme="minorEastAsia" w:hAnsiTheme="minorEastAsia" w:eastAsiaTheme="minorEastAsia" w:cstheme="minorEastAsia"/>
          <w:color w:val="auto"/>
          <w:spacing w:val="0"/>
          <w:sz w:val="21"/>
          <w:szCs w:val="21"/>
          <w:highlight w:val="none"/>
        </w:rPr>
        <w:t>一般要求</w:t>
      </w:r>
      <w:bookmarkEnd w:id="45"/>
      <w:bookmarkEnd w:id="46"/>
    </w:p>
    <w:p w14:paraId="5E60967F">
      <w:pPr>
        <w:keepNext w:val="0"/>
        <w:keepLines w:val="0"/>
        <w:pageBreakBefore w:val="0"/>
        <w:wordWrap w:val="0"/>
        <w:overflowPunct/>
        <w:topLinePunct w:val="0"/>
        <w:bidi w:val="0"/>
        <w:spacing w:before="118" w:line="295" w:lineRule="auto"/>
        <w:ind w:left="11" w:right="99" w:firstLine="4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投标文件应按第六章投标文件格式规定的内容，投标人提交的投标文件应当使用招标文件所提供的投标文件全部格式。</w:t>
      </w:r>
    </w:p>
    <w:p w14:paraId="6730F68B">
      <w:pPr>
        <w:keepNext w:val="0"/>
        <w:keepLines w:val="0"/>
        <w:pageBreakBefore w:val="0"/>
        <w:wordWrap w:val="0"/>
        <w:overflowPunct/>
        <w:topLinePunct w:val="0"/>
        <w:bidi w:val="0"/>
        <w:spacing w:before="68" w:line="299" w:lineRule="auto"/>
        <w:ind w:left="11" w:right="99" w:firstLine="56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10.1.1  </w:t>
      </w:r>
      <w:r>
        <w:rPr>
          <w:rFonts w:hint="eastAsia" w:asciiTheme="minorEastAsia" w:hAnsiTheme="minorEastAsia" w:eastAsiaTheme="minorEastAsia" w:cstheme="minorEastAsia"/>
          <w:color w:val="auto"/>
          <w:spacing w:val="0"/>
          <w:sz w:val="21"/>
          <w:szCs w:val="21"/>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22AA4A10">
      <w:pPr>
        <w:keepNext w:val="0"/>
        <w:keepLines w:val="0"/>
        <w:pageBreakBefore w:val="0"/>
        <w:wordWrap w:val="0"/>
        <w:overflowPunct/>
        <w:topLinePunct w:val="0"/>
        <w:bidi w:val="0"/>
        <w:spacing w:before="123" w:line="290" w:lineRule="auto"/>
        <w:ind w:left="8" w:firstLine="56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10.1.2  </w:t>
      </w:r>
      <w:r>
        <w:rPr>
          <w:rFonts w:hint="eastAsia" w:asciiTheme="minorEastAsia" w:hAnsiTheme="minorEastAsia" w:eastAsiaTheme="minorEastAsia" w:cstheme="minorEastAsia"/>
          <w:color w:val="auto"/>
          <w:spacing w:val="0"/>
          <w:sz w:val="21"/>
          <w:szCs w:val="21"/>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38AB1C67">
      <w:pPr>
        <w:keepNext w:val="0"/>
        <w:keepLines w:val="0"/>
        <w:pageBreakBefore w:val="0"/>
        <w:wordWrap w:val="0"/>
        <w:overflowPunct/>
        <w:topLinePunct w:val="0"/>
        <w:bidi w:val="0"/>
        <w:spacing w:before="1" w:line="219" w:lineRule="auto"/>
        <w:ind w:left="57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10.1.3  </w:t>
      </w:r>
      <w:r>
        <w:rPr>
          <w:rFonts w:hint="eastAsia" w:asciiTheme="minorEastAsia" w:hAnsiTheme="minorEastAsia" w:eastAsiaTheme="minorEastAsia" w:cstheme="minorEastAsia"/>
          <w:color w:val="auto"/>
          <w:spacing w:val="0"/>
          <w:sz w:val="21"/>
          <w:szCs w:val="21"/>
          <w:highlight w:val="none"/>
        </w:rPr>
        <w:t>投标文件需按以下要求签字、盖章：电子投标文件：</w:t>
      </w:r>
    </w:p>
    <w:p w14:paraId="7FE98A4F">
      <w:pPr>
        <w:keepNext w:val="0"/>
        <w:keepLines w:val="0"/>
        <w:pageBreakBefore w:val="0"/>
        <w:wordWrap w:val="0"/>
        <w:overflowPunct/>
        <w:topLinePunct w:val="0"/>
        <w:bidi w:val="0"/>
        <w:spacing w:before="111" w:line="279" w:lineRule="auto"/>
        <w:ind w:right="133" w:firstLine="57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fldChar w:fldCharType="begin"/>
      </w:r>
      <w:r>
        <w:rPr>
          <w:rFonts w:hint="eastAsia" w:asciiTheme="minorEastAsia" w:hAnsiTheme="minorEastAsia" w:eastAsiaTheme="minorEastAsia" w:cstheme="minorEastAsia"/>
          <w:color w:val="auto"/>
          <w:spacing w:val="0"/>
          <w:sz w:val="21"/>
          <w:szCs w:val="21"/>
          <w:highlight w:val="none"/>
        </w:rPr>
        <w:instrText xml:space="preserve"> HYPERLINK "10.1.3.1" </w:instrText>
      </w:r>
      <w:r>
        <w:rPr>
          <w:rFonts w:hint="eastAsia" w:asciiTheme="minorEastAsia" w:hAnsiTheme="minorEastAsia" w:eastAsiaTheme="minorEastAsia" w:cstheme="minorEastAsia"/>
          <w:color w:val="auto"/>
          <w:spacing w:val="0"/>
          <w:sz w:val="21"/>
          <w:szCs w:val="21"/>
          <w:highlight w:val="none"/>
        </w:rPr>
        <w:fldChar w:fldCharType="separate"/>
      </w:r>
      <w:r>
        <w:rPr>
          <w:rFonts w:hint="eastAsia" w:asciiTheme="minorEastAsia" w:hAnsiTheme="minorEastAsia" w:eastAsiaTheme="minorEastAsia" w:cstheme="minorEastAsia"/>
          <w:b/>
          <w:bCs/>
          <w:color w:val="auto"/>
          <w:spacing w:val="0"/>
          <w:sz w:val="21"/>
          <w:szCs w:val="21"/>
          <w:highlight w:val="none"/>
        </w:rPr>
        <w:t>10.1.3.1</w:t>
      </w:r>
      <w:r>
        <w:rPr>
          <w:rFonts w:hint="eastAsia" w:asciiTheme="minorEastAsia" w:hAnsiTheme="minorEastAsia" w:eastAsiaTheme="minorEastAsia" w:cstheme="minorEastAsia"/>
          <w:b/>
          <w:bCs/>
          <w:color w:val="auto"/>
          <w:spacing w:val="0"/>
          <w:sz w:val="21"/>
          <w:szCs w:val="21"/>
          <w:highlight w:val="none"/>
        </w:rPr>
        <w:fldChar w:fldCharType="end"/>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投标文件封面、组成内容中凡注明“签字 ”处由要求的人员签字或电子签章；凡注明“签字或盖章 ”处由要求的人员签字或盖其私章（电子印章）；凡注明 “签字并盖执业印章 ”处由要求的人员签字并盖其执业印章。</w:t>
      </w:r>
    </w:p>
    <w:p w14:paraId="63EA557A">
      <w:pPr>
        <w:keepNext w:val="0"/>
        <w:keepLines w:val="0"/>
        <w:pageBreakBefore w:val="0"/>
        <w:wordWrap w:val="0"/>
        <w:overflowPunct/>
        <w:topLinePunct w:val="0"/>
        <w:bidi w:val="0"/>
        <w:spacing w:before="112" w:line="264" w:lineRule="auto"/>
        <w:ind w:left="13" w:right="133" w:firstLine="56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fldChar w:fldCharType="begin"/>
      </w:r>
      <w:r>
        <w:rPr>
          <w:rFonts w:hint="eastAsia" w:asciiTheme="minorEastAsia" w:hAnsiTheme="minorEastAsia" w:eastAsiaTheme="minorEastAsia" w:cstheme="minorEastAsia"/>
          <w:color w:val="auto"/>
          <w:spacing w:val="0"/>
          <w:sz w:val="21"/>
          <w:szCs w:val="21"/>
          <w:highlight w:val="none"/>
        </w:rPr>
        <w:instrText xml:space="preserve"> HYPERLINK "10.1.3.2" </w:instrText>
      </w:r>
      <w:r>
        <w:rPr>
          <w:rFonts w:hint="eastAsia" w:asciiTheme="minorEastAsia" w:hAnsiTheme="minorEastAsia" w:eastAsiaTheme="minorEastAsia" w:cstheme="minorEastAsia"/>
          <w:color w:val="auto"/>
          <w:spacing w:val="0"/>
          <w:sz w:val="21"/>
          <w:szCs w:val="21"/>
          <w:highlight w:val="none"/>
        </w:rPr>
        <w:fldChar w:fldCharType="separate"/>
      </w:r>
      <w:r>
        <w:rPr>
          <w:rFonts w:hint="eastAsia" w:asciiTheme="minorEastAsia" w:hAnsiTheme="minorEastAsia" w:eastAsiaTheme="minorEastAsia" w:cstheme="minorEastAsia"/>
          <w:b/>
          <w:bCs/>
          <w:color w:val="auto"/>
          <w:spacing w:val="0"/>
          <w:sz w:val="21"/>
          <w:szCs w:val="21"/>
          <w:highlight w:val="none"/>
        </w:rPr>
        <w:t>10.1.3.2</w:t>
      </w:r>
      <w:r>
        <w:rPr>
          <w:rFonts w:hint="eastAsia" w:asciiTheme="minorEastAsia" w:hAnsiTheme="minorEastAsia" w:eastAsiaTheme="minorEastAsia" w:cstheme="minorEastAsia"/>
          <w:b/>
          <w:bCs/>
          <w:color w:val="auto"/>
          <w:spacing w:val="0"/>
          <w:sz w:val="21"/>
          <w:szCs w:val="21"/>
          <w:highlight w:val="none"/>
        </w:rPr>
        <w:fldChar w:fldCharType="end"/>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投标文件封套、封面、组成内容中凡要求录入投标人名称且注明“盖单位章 ”处盖单位法人公章（电子印章）。</w:t>
      </w:r>
    </w:p>
    <w:p w14:paraId="66D8FABE">
      <w:pPr>
        <w:keepNext w:val="0"/>
        <w:keepLines w:val="0"/>
        <w:pageBreakBefore w:val="0"/>
        <w:wordWrap w:val="0"/>
        <w:overflowPunct/>
        <w:topLinePunct w:val="0"/>
        <w:bidi w:val="0"/>
        <w:spacing w:before="146" w:line="279" w:lineRule="auto"/>
        <w:ind w:left="16" w:right="135" w:firstLine="56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fldChar w:fldCharType="begin"/>
      </w:r>
      <w:r>
        <w:rPr>
          <w:rFonts w:hint="eastAsia" w:asciiTheme="minorEastAsia" w:hAnsiTheme="minorEastAsia" w:eastAsiaTheme="minorEastAsia" w:cstheme="minorEastAsia"/>
          <w:color w:val="auto"/>
          <w:spacing w:val="0"/>
          <w:sz w:val="21"/>
          <w:szCs w:val="21"/>
          <w:highlight w:val="none"/>
        </w:rPr>
        <w:instrText xml:space="preserve"> HYPERLINK "10.1.3.3" </w:instrText>
      </w:r>
      <w:r>
        <w:rPr>
          <w:rFonts w:hint="eastAsia" w:asciiTheme="minorEastAsia" w:hAnsiTheme="minorEastAsia" w:eastAsiaTheme="minorEastAsia" w:cstheme="minorEastAsia"/>
          <w:color w:val="auto"/>
          <w:spacing w:val="0"/>
          <w:sz w:val="21"/>
          <w:szCs w:val="21"/>
          <w:highlight w:val="none"/>
        </w:rPr>
        <w:fldChar w:fldCharType="separate"/>
      </w:r>
      <w:r>
        <w:rPr>
          <w:rFonts w:hint="eastAsia" w:asciiTheme="minorEastAsia" w:hAnsiTheme="minorEastAsia" w:eastAsiaTheme="minorEastAsia" w:cstheme="minorEastAsia"/>
          <w:b/>
          <w:bCs/>
          <w:color w:val="auto"/>
          <w:spacing w:val="0"/>
          <w:sz w:val="21"/>
          <w:szCs w:val="21"/>
          <w:highlight w:val="none"/>
        </w:rPr>
        <w:t>10.1.3.3</w:t>
      </w:r>
      <w:r>
        <w:rPr>
          <w:rFonts w:hint="eastAsia" w:asciiTheme="minorEastAsia" w:hAnsiTheme="minorEastAsia" w:eastAsiaTheme="minorEastAsia" w:cstheme="minorEastAsia"/>
          <w:b/>
          <w:bCs/>
          <w:color w:val="auto"/>
          <w:spacing w:val="0"/>
          <w:sz w:val="21"/>
          <w:szCs w:val="21"/>
          <w:highlight w:val="none"/>
        </w:rPr>
        <w:fldChar w:fldCharType="end"/>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投标文件的签字均为签字人本人亲笔署名或签章（电子印章），其余部分的复印件无须另行签字、盖章。</w:t>
      </w:r>
    </w:p>
    <w:p w14:paraId="24D57B7B">
      <w:pPr>
        <w:keepNext w:val="0"/>
        <w:keepLines w:val="0"/>
        <w:pageBreakBefore w:val="0"/>
        <w:wordWrap w:val="0"/>
        <w:overflowPunct/>
        <w:topLinePunct w:val="0"/>
        <w:bidi w:val="0"/>
        <w:spacing w:before="155" w:line="219" w:lineRule="auto"/>
        <w:ind w:left="0" w:leftChars="0" w:firstLine="422" w:firstLineChars="200"/>
        <w:outlineLvl w:val="3"/>
        <w:rPr>
          <w:rFonts w:hint="eastAsia" w:asciiTheme="minorEastAsia" w:hAnsiTheme="minorEastAsia" w:eastAsiaTheme="minorEastAsia" w:cstheme="minorEastAsia"/>
          <w:b w:val="0"/>
          <w:bCs w:val="0"/>
          <w:color w:val="auto"/>
          <w:spacing w:val="0"/>
          <w:sz w:val="21"/>
          <w:szCs w:val="21"/>
          <w:highlight w:val="none"/>
        </w:rPr>
      </w:pPr>
      <w:bookmarkStart w:id="47" w:name="_Toc21271"/>
      <w:bookmarkStart w:id="48" w:name="_Toc20223"/>
      <w:r>
        <w:rPr>
          <w:rFonts w:hint="eastAsia" w:asciiTheme="minorEastAsia" w:hAnsiTheme="minorEastAsia" w:eastAsiaTheme="minorEastAsia" w:cstheme="minorEastAsia"/>
          <w:b/>
          <w:bCs/>
          <w:color w:val="auto"/>
          <w:spacing w:val="0"/>
          <w:sz w:val="21"/>
          <w:szCs w:val="21"/>
          <w:highlight w:val="none"/>
        </w:rPr>
        <w:t xml:space="preserve">10.1.3.4 </w:t>
      </w:r>
      <w:r>
        <w:rPr>
          <w:rFonts w:hint="eastAsia" w:asciiTheme="minorEastAsia" w:hAnsiTheme="minorEastAsia" w:eastAsiaTheme="minorEastAsia" w:cstheme="minorEastAsia"/>
          <w:color w:val="auto"/>
          <w:spacing w:val="0"/>
          <w:sz w:val="21"/>
          <w:szCs w:val="21"/>
          <w:highlight w:val="none"/>
        </w:rPr>
        <w:t>联合体投标的，除《联合体协议书》外，由联合体牵头人按以上要求签亲笔署名或签章（电子印章）即可。</w:t>
      </w:r>
    </w:p>
    <w:p w14:paraId="127D50C2">
      <w:pPr>
        <w:keepNext w:val="0"/>
        <w:keepLines w:val="0"/>
        <w:pageBreakBefore w:val="0"/>
        <w:wordWrap w:val="0"/>
        <w:overflowPunct/>
        <w:topLinePunct w:val="0"/>
        <w:bidi w:val="0"/>
        <w:spacing w:before="155" w:line="219" w:lineRule="auto"/>
        <w:ind w:left="500"/>
        <w:outlineLvl w:val="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10.2  </w:t>
      </w:r>
      <w:r>
        <w:rPr>
          <w:rFonts w:hint="eastAsia" w:asciiTheme="minorEastAsia" w:hAnsiTheme="minorEastAsia" w:eastAsiaTheme="minorEastAsia" w:cstheme="minorEastAsia"/>
          <w:color w:val="auto"/>
          <w:spacing w:val="0"/>
          <w:sz w:val="21"/>
          <w:szCs w:val="21"/>
          <w:highlight w:val="none"/>
        </w:rPr>
        <w:t>商务标书的编制要求</w:t>
      </w:r>
      <w:bookmarkEnd w:id="47"/>
      <w:bookmarkEnd w:id="48"/>
    </w:p>
    <w:p w14:paraId="4B4CBEBC">
      <w:pPr>
        <w:keepNext w:val="0"/>
        <w:keepLines w:val="0"/>
        <w:pageBreakBefore w:val="0"/>
        <w:wordWrap w:val="0"/>
        <w:overflowPunct/>
        <w:topLinePunct w:val="0"/>
        <w:bidi w:val="0"/>
        <w:spacing w:before="157" w:line="219" w:lineRule="auto"/>
        <w:ind w:left="5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10.2.1 </w:t>
      </w:r>
      <w:r>
        <w:rPr>
          <w:rFonts w:hint="eastAsia" w:asciiTheme="minorEastAsia" w:hAnsiTheme="minorEastAsia" w:eastAsiaTheme="minorEastAsia" w:cstheme="minorEastAsia"/>
          <w:color w:val="auto"/>
          <w:spacing w:val="0"/>
          <w:sz w:val="21"/>
          <w:szCs w:val="21"/>
          <w:highlight w:val="none"/>
        </w:rPr>
        <w:t>商务标书包括但不限于以下内容：</w:t>
      </w:r>
    </w:p>
    <w:p w14:paraId="55302E75">
      <w:pPr>
        <w:keepNext w:val="0"/>
        <w:keepLines w:val="0"/>
        <w:pageBreakBefore w:val="0"/>
        <w:wordWrap w:val="0"/>
        <w:overflowPunct/>
        <w:topLinePunct w:val="0"/>
        <w:bidi w:val="0"/>
        <w:spacing w:before="154" w:line="220"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（1）封面（格式一）；</w:t>
      </w:r>
    </w:p>
    <w:p w14:paraId="6AF04D38">
      <w:pPr>
        <w:keepNext w:val="0"/>
        <w:keepLines w:val="0"/>
        <w:pageBreakBefore w:val="0"/>
        <w:wordWrap w:val="0"/>
        <w:overflowPunct/>
        <w:topLinePunct w:val="0"/>
        <w:bidi w:val="0"/>
        <w:spacing w:before="153" w:line="222"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 目录；</w:t>
      </w:r>
    </w:p>
    <w:p w14:paraId="5E466F8F">
      <w:pPr>
        <w:keepNext w:val="0"/>
        <w:keepLines w:val="0"/>
        <w:pageBreakBefore w:val="0"/>
        <w:wordWrap w:val="0"/>
        <w:overflowPunct/>
        <w:topLinePunct w:val="0"/>
        <w:bidi w:val="0"/>
        <w:spacing w:before="153" w:line="220"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（3）《投标函》（格式二）；</w:t>
      </w:r>
    </w:p>
    <w:p w14:paraId="58A47BBC">
      <w:pPr>
        <w:keepNext w:val="0"/>
        <w:keepLines w:val="0"/>
        <w:pageBreakBefore w:val="0"/>
        <w:wordWrap w:val="0"/>
        <w:overflowPunct/>
        <w:topLinePunct w:val="0"/>
        <w:bidi w:val="0"/>
        <w:spacing w:before="153" w:line="220"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（4）《各项承诺一览表》（格式三）；</w:t>
      </w:r>
    </w:p>
    <w:p w14:paraId="29D6F824">
      <w:pPr>
        <w:keepNext w:val="0"/>
        <w:keepLines w:val="0"/>
        <w:pageBreakBefore w:val="0"/>
        <w:wordWrap w:val="0"/>
        <w:overflowPunct/>
        <w:topLinePunct w:val="0"/>
        <w:bidi w:val="0"/>
        <w:spacing w:before="154"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（5）《授权委托书》（格式四）；</w:t>
      </w:r>
    </w:p>
    <w:p w14:paraId="75D7D4FA">
      <w:pPr>
        <w:keepNext w:val="0"/>
        <w:keepLines w:val="0"/>
        <w:pageBreakBefore w:val="0"/>
        <w:wordWrap w:val="0"/>
        <w:overflowPunct/>
        <w:topLinePunct w:val="0"/>
        <w:bidi w:val="0"/>
        <w:spacing w:before="156" w:line="220"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（6）《法定代表人身份证明》（格式五）；</w:t>
      </w:r>
    </w:p>
    <w:p w14:paraId="605BD9EB">
      <w:pPr>
        <w:keepNext w:val="0"/>
        <w:keepLines w:val="0"/>
        <w:pageBreakBefore w:val="0"/>
        <w:wordWrap w:val="0"/>
        <w:overflowPunct/>
        <w:topLinePunct w:val="0"/>
        <w:bidi w:val="0"/>
        <w:spacing w:before="154"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（7）《联合体协议书》（格式六）及所附资料；</w:t>
      </w:r>
    </w:p>
    <w:p w14:paraId="5B524708">
      <w:pPr>
        <w:keepNext w:val="0"/>
        <w:keepLines w:val="0"/>
        <w:pageBreakBefore w:val="0"/>
        <w:wordWrap w:val="0"/>
        <w:overflowPunct/>
        <w:topLinePunct w:val="0"/>
        <w:bidi w:val="0"/>
        <w:spacing w:before="153" w:line="309" w:lineRule="auto"/>
        <w:ind w:left="13" w:right="133"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Theme="minorEastAsia" w:hAnsiTheme="minorEastAsia" w:eastAsiaTheme="minorEastAsia" w:cstheme="minorEastAsia"/>
          <w:b/>
          <w:bCs/>
          <w:color w:val="auto"/>
          <w:spacing w:val="0"/>
          <w:sz w:val="21"/>
          <w:szCs w:val="21"/>
          <w:highlight w:val="none"/>
        </w:rPr>
        <w:t>《韶关市公共资源交易一体化平台保证金缴纳信息》页面截图</w:t>
      </w:r>
      <w:r>
        <w:rPr>
          <w:rFonts w:hint="eastAsia" w:asciiTheme="minorEastAsia" w:hAnsiTheme="minorEastAsia" w:eastAsiaTheme="minorEastAsia" w:cstheme="minorEastAsia"/>
          <w:color w:val="auto"/>
          <w:spacing w:val="0"/>
          <w:sz w:val="21"/>
          <w:szCs w:val="21"/>
          <w:highlight w:val="none"/>
        </w:rPr>
        <w:t>）；</w:t>
      </w:r>
    </w:p>
    <w:p w14:paraId="5B99F9BE">
      <w:pPr>
        <w:keepNext w:val="0"/>
        <w:keepLines w:val="0"/>
        <w:pageBreakBefore w:val="0"/>
        <w:wordWrap w:val="0"/>
        <w:overflowPunct/>
        <w:topLinePunct w:val="0"/>
        <w:bidi w:val="0"/>
        <w:spacing w:before="156"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（9）《投标人基本情况表》（格式七）及所附资料；</w:t>
      </w:r>
    </w:p>
    <w:p w14:paraId="6F0EDF9B">
      <w:pPr>
        <w:keepNext w:val="0"/>
        <w:keepLines w:val="0"/>
        <w:pageBreakBefore w:val="0"/>
        <w:wordWrap w:val="0"/>
        <w:overflowPunct/>
        <w:topLinePunct w:val="0"/>
        <w:bidi w:val="0"/>
        <w:spacing w:before="155"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（10）《项目经理简历表》（格式八）及所附资料；</w:t>
      </w:r>
    </w:p>
    <w:p w14:paraId="773314D1">
      <w:pPr>
        <w:keepNext w:val="0"/>
        <w:keepLines w:val="0"/>
        <w:pageBreakBefore w:val="0"/>
        <w:wordWrap w:val="0"/>
        <w:overflowPunct/>
        <w:topLinePunct w:val="0"/>
        <w:bidi w:val="0"/>
        <w:spacing w:before="154" w:line="220"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（11）《项目经理任职声明》（格式九）；</w:t>
      </w:r>
    </w:p>
    <w:p w14:paraId="46D5E01D">
      <w:pPr>
        <w:keepNext w:val="0"/>
        <w:keepLines w:val="0"/>
        <w:pageBreakBefore w:val="0"/>
        <w:wordWrap w:val="0"/>
        <w:overflowPunct/>
        <w:topLinePunct w:val="0"/>
        <w:bidi w:val="0"/>
        <w:spacing w:before="156"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（12）《项目技术负责人简历表》（格式十）及所附资料；</w:t>
      </w:r>
    </w:p>
    <w:p w14:paraId="0A7B9127">
      <w:pPr>
        <w:keepNext w:val="0"/>
        <w:keepLines w:val="0"/>
        <w:pageBreakBefore w:val="0"/>
        <w:wordWrap w:val="0"/>
        <w:overflowPunct/>
        <w:topLinePunct w:val="0"/>
        <w:bidi w:val="0"/>
        <w:spacing w:before="154"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（13）《项</w:t>
      </w:r>
      <w:bookmarkStart w:id="49" w:name="OLE_LINK7"/>
      <w:r>
        <w:rPr>
          <w:rFonts w:hint="eastAsia" w:asciiTheme="minorEastAsia" w:hAnsiTheme="minorEastAsia" w:eastAsiaTheme="minorEastAsia" w:cstheme="minorEastAsia"/>
          <w:color w:val="auto"/>
          <w:spacing w:val="0"/>
          <w:sz w:val="21"/>
          <w:szCs w:val="21"/>
          <w:highlight w:val="none"/>
        </w:rPr>
        <w:t>目管理机构组成表》（格式十一）及</w:t>
      </w:r>
      <w:bookmarkEnd w:id="49"/>
      <w:r>
        <w:rPr>
          <w:rFonts w:hint="eastAsia" w:asciiTheme="minorEastAsia" w:hAnsiTheme="minorEastAsia" w:eastAsiaTheme="minorEastAsia" w:cstheme="minorEastAsia"/>
          <w:color w:val="auto"/>
          <w:spacing w:val="0"/>
          <w:sz w:val="21"/>
          <w:szCs w:val="21"/>
          <w:highlight w:val="none"/>
        </w:rPr>
        <w:t>所附资料；</w:t>
      </w:r>
    </w:p>
    <w:p w14:paraId="240194E7">
      <w:pPr>
        <w:keepNext w:val="0"/>
        <w:keepLines w:val="0"/>
        <w:pageBreakBefore w:val="0"/>
        <w:wordWrap w:val="0"/>
        <w:overflowPunct/>
        <w:topLinePunct w:val="0"/>
        <w:bidi w:val="0"/>
        <w:spacing w:before="155"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 xml:space="preserve">（14）本节第 </w:t>
      </w:r>
      <w:r>
        <w:rPr>
          <w:rFonts w:hint="eastAsia" w:asciiTheme="minorEastAsia" w:hAnsiTheme="minorEastAsia" w:eastAsiaTheme="minorEastAsia" w:cstheme="minorEastAsia"/>
          <w:b/>
          <w:bCs/>
          <w:color w:val="auto"/>
          <w:spacing w:val="0"/>
          <w:sz w:val="21"/>
          <w:szCs w:val="21"/>
          <w:highlight w:val="none"/>
        </w:rPr>
        <w:t xml:space="preserve">15.5.1 </w:t>
      </w:r>
      <w:r>
        <w:rPr>
          <w:rFonts w:hint="eastAsia" w:asciiTheme="minorEastAsia" w:hAnsiTheme="minorEastAsia" w:eastAsiaTheme="minorEastAsia" w:cstheme="minorEastAsia"/>
          <w:color w:val="auto"/>
          <w:spacing w:val="0"/>
          <w:sz w:val="21"/>
          <w:szCs w:val="21"/>
          <w:highlight w:val="none"/>
        </w:rPr>
        <w:t>目“评标方法 ”要求提供的评审资料；</w:t>
      </w:r>
    </w:p>
    <w:p w14:paraId="5D760DB0">
      <w:pPr>
        <w:keepNext w:val="0"/>
        <w:keepLines w:val="0"/>
        <w:pageBreakBefore w:val="0"/>
        <w:wordWrap w:val="0"/>
        <w:overflowPunct/>
        <w:topLinePunct w:val="0"/>
        <w:bidi w:val="0"/>
        <w:spacing w:before="78" w:line="299" w:lineRule="auto"/>
        <w:ind w:left="8" w:right="61" w:firstLine="49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79498F21">
      <w:pPr>
        <w:keepNext w:val="0"/>
        <w:keepLines w:val="0"/>
        <w:pageBreakBefore w:val="0"/>
        <w:wordWrap w:val="0"/>
        <w:overflowPunct/>
        <w:topLinePunct w:val="0"/>
        <w:bidi w:val="0"/>
        <w:spacing w:before="155" w:line="262" w:lineRule="auto"/>
        <w:ind w:left="9" w:right="61" w:firstLine="48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10.2.2  </w:t>
      </w:r>
      <w:r>
        <w:rPr>
          <w:rFonts w:hint="eastAsia" w:asciiTheme="minorEastAsia" w:hAnsiTheme="minorEastAsia" w:eastAsiaTheme="minorEastAsia" w:cstheme="minorEastAsia"/>
          <w:color w:val="auto"/>
          <w:spacing w:val="0"/>
          <w:sz w:val="21"/>
          <w:szCs w:val="21"/>
          <w:highlight w:val="none"/>
        </w:rPr>
        <w:t xml:space="preserve">本节第 </w:t>
      </w:r>
      <w:r>
        <w:rPr>
          <w:rFonts w:hint="eastAsia" w:asciiTheme="minorEastAsia" w:hAnsiTheme="minorEastAsia" w:eastAsiaTheme="minorEastAsia" w:cstheme="minorEastAsia"/>
          <w:b/>
          <w:bCs/>
          <w:color w:val="auto"/>
          <w:spacing w:val="0"/>
          <w:sz w:val="21"/>
          <w:szCs w:val="21"/>
          <w:highlight w:val="none"/>
        </w:rPr>
        <w:t xml:space="preserve">10.2.1  </w:t>
      </w:r>
      <w:r>
        <w:rPr>
          <w:rFonts w:hint="eastAsia" w:asciiTheme="minorEastAsia" w:hAnsiTheme="minorEastAsia" w:eastAsiaTheme="minorEastAsia" w:cstheme="minorEastAsia"/>
          <w:color w:val="auto"/>
          <w:spacing w:val="0"/>
          <w:sz w:val="21"/>
          <w:szCs w:val="21"/>
          <w:highlight w:val="none"/>
        </w:rPr>
        <w:t>目中所列出的商务标书组成内容中，第（1）至第（13）项所有投标人均应提供，</w:t>
      </w:r>
      <w:r>
        <w:rPr>
          <w:rFonts w:hint="eastAsia" w:asciiTheme="minorEastAsia" w:hAnsiTheme="minorEastAsia" w:eastAsiaTheme="minorEastAsia" w:cstheme="minorEastAsia"/>
          <w:b/>
          <w:bCs/>
          <w:color w:val="auto"/>
          <w:spacing w:val="0"/>
          <w:sz w:val="21"/>
          <w:szCs w:val="21"/>
          <w:highlight w:val="none"/>
        </w:rPr>
        <w:t>但非联合体投标的，无需提供第（7）项内容。</w:t>
      </w:r>
    </w:p>
    <w:p w14:paraId="06B39974">
      <w:pPr>
        <w:keepNext w:val="0"/>
        <w:keepLines w:val="0"/>
        <w:pageBreakBefore w:val="0"/>
        <w:wordWrap w:val="0"/>
        <w:overflowPunct/>
        <w:topLinePunct w:val="0"/>
        <w:bidi w:val="0"/>
        <w:spacing w:before="199" w:line="279" w:lineRule="auto"/>
        <w:ind w:right="61" w:firstLine="422"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10.2.3 </w:t>
      </w:r>
      <w:r>
        <w:rPr>
          <w:rFonts w:hint="eastAsia" w:asciiTheme="minorEastAsia" w:hAnsiTheme="minorEastAsia" w:eastAsiaTheme="minorEastAsia" w:cstheme="minorEastAsia"/>
          <w:color w:val="auto"/>
          <w:spacing w:val="0"/>
          <w:sz w:val="21"/>
          <w:szCs w:val="21"/>
          <w:highlight w:val="none"/>
        </w:rPr>
        <w:t>商务标书的组成内容按本节第 10.2.1 目规定的顺序整理、编排后，逐页（页码起始从封面开始）连续标记页码。</w:t>
      </w:r>
    </w:p>
    <w:p w14:paraId="3A2F2CE3">
      <w:pPr>
        <w:pStyle w:val="5"/>
        <w:keepNext w:val="0"/>
        <w:keepLines w:val="0"/>
        <w:pageBreakBefore w:val="0"/>
        <w:wordWrap w:val="0"/>
        <w:overflowPunct/>
        <w:topLinePunct w:val="0"/>
        <w:bidi w:val="0"/>
        <w:spacing w:line="257" w:lineRule="auto"/>
        <w:rPr>
          <w:rFonts w:hint="eastAsia" w:asciiTheme="minorEastAsia" w:hAnsiTheme="minorEastAsia" w:eastAsiaTheme="minorEastAsia" w:cstheme="minorEastAsia"/>
          <w:color w:val="auto"/>
          <w:spacing w:val="0"/>
          <w:sz w:val="21"/>
          <w:szCs w:val="21"/>
          <w:highlight w:val="none"/>
        </w:rPr>
      </w:pPr>
    </w:p>
    <w:p w14:paraId="76140F3C">
      <w:pPr>
        <w:keepNext w:val="0"/>
        <w:keepLines w:val="0"/>
        <w:pageBreakBefore w:val="0"/>
        <w:wordWrap w:val="0"/>
        <w:overflowPunct/>
        <w:topLinePunct w:val="0"/>
        <w:bidi w:val="0"/>
        <w:spacing w:before="78" w:line="219" w:lineRule="auto"/>
        <w:ind w:left="496"/>
        <w:outlineLvl w:val="3"/>
        <w:rPr>
          <w:rFonts w:hint="eastAsia" w:asciiTheme="minorEastAsia" w:hAnsiTheme="minorEastAsia" w:eastAsiaTheme="minorEastAsia" w:cstheme="minorEastAsia"/>
          <w:color w:val="auto"/>
          <w:spacing w:val="0"/>
          <w:sz w:val="21"/>
          <w:szCs w:val="21"/>
          <w:highlight w:val="none"/>
        </w:rPr>
      </w:pPr>
      <w:bookmarkStart w:id="50" w:name="_Toc29370"/>
      <w:bookmarkStart w:id="51" w:name="_Toc10602"/>
      <w:r>
        <w:rPr>
          <w:rFonts w:hint="eastAsia" w:asciiTheme="minorEastAsia" w:hAnsiTheme="minorEastAsia" w:eastAsiaTheme="minorEastAsia" w:cstheme="minorEastAsia"/>
          <w:b/>
          <w:bCs/>
          <w:color w:val="auto"/>
          <w:spacing w:val="0"/>
          <w:sz w:val="21"/>
          <w:szCs w:val="21"/>
          <w:highlight w:val="none"/>
        </w:rPr>
        <w:t xml:space="preserve">10.3  </w:t>
      </w:r>
      <w:r>
        <w:rPr>
          <w:rFonts w:hint="eastAsia" w:asciiTheme="minorEastAsia" w:hAnsiTheme="minorEastAsia" w:eastAsiaTheme="minorEastAsia" w:cstheme="minorEastAsia"/>
          <w:color w:val="auto"/>
          <w:spacing w:val="0"/>
          <w:sz w:val="21"/>
          <w:szCs w:val="21"/>
          <w:highlight w:val="none"/>
        </w:rPr>
        <w:t>经济标书的编制要求</w:t>
      </w:r>
      <w:bookmarkEnd w:id="50"/>
      <w:bookmarkEnd w:id="51"/>
    </w:p>
    <w:p w14:paraId="5D8BA1CF">
      <w:pPr>
        <w:keepNext w:val="0"/>
        <w:keepLines w:val="0"/>
        <w:pageBreakBefore w:val="0"/>
        <w:wordWrap w:val="0"/>
        <w:overflowPunct/>
        <w:topLinePunct w:val="0"/>
        <w:bidi w:val="0"/>
        <w:spacing w:before="154"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10.3.1  </w:t>
      </w:r>
      <w:r>
        <w:rPr>
          <w:rFonts w:hint="eastAsia" w:asciiTheme="minorEastAsia" w:hAnsiTheme="minorEastAsia" w:eastAsiaTheme="minorEastAsia" w:cstheme="minorEastAsia"/>
          <w:color w:val="auto"/>
          <w:spacing w:val="0"/>
          <w:sz w:val="21"/>
          <w:szCs w:val="21"/>
          <w:highlight w:val="none"/>
        </w:rPr>
        <w:t>经济标书包括以下内容：</w:t>
      </w:r>
    </w:p>
    <w:p w14:paraId="04D02B89">
      <w:pPr>
        <w:keepNext w:val="0"/>
        <w:keepLines w:val="0"/>
        <w:pageBreakBefore w:val="0"/>
        <w:wordWrap w:val="0"/>
        <w:overflowPunct/>
        <w:topLinePunct w:val="0"/>
        <w:bidi w:val="0"/>
        <w:spacing w:before="156"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（1）封面（格式一）；</w:t>
      </w:r>
    </w:p>
    <w:p w14:paraId="4530F7A0">
      <w:pPr>
        <w:keepNext w:val="0"/>
        <w:keepLines w:val="0"/>
        <w:pageBreakBefore w:val="0"/>
        <w:wordWrap w:val="0"/>
        <w:overflowPunct/>
        <w:topLinePunct w:val="0"/>
        <w:bidi w:val="0"/>
        <w:spacing w:before="153" w:line="222"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 目录；</w:t>
      </w:r>
    </w:p>
    <w:p w14:paraId="7A227F47">
      <w:pPr>
        <w:keepNext w:val="0"/>
        <w:keepLines w:val="0"/>
        <w:pageBreakBefore w:val="0"/>
        <w:wordWrap w:val="0"/>
        <w:overflowPunct/>
        <w:topLinePunct w:val="0"/>
        <w:bidi w:val="0"/>
        <w:spacing w:before="150"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（3）《投标总价》；</w:t>
      </w:r>
    </w:p>
    <w:p w14:paraId="04F6DCA5">
      <w:pPr>
        <w:keepNext w:val="0"/>
        <w:keepLines w:val="0"/>
        <w:pageBreakBefore w:val="0"/>
        <w:wordWrap w:val="0"/>
        <w:overflowPunct/>
        <w:topLinePunct w:val="0"/>
        <w:bidi w:val="0"/>
        <w:spacing w:before="155" w:line="220" w:lineRule="auto"/>
        <w:ind w:left="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说明：《投标总价》的格式按照《</w:t>
      </w:r>
      <w:r>
        <w:rPr>
          <w:rFonts w:hint="eastAsia" w:asciiTheme="minorEastAsia" w:hAnsiTheme="minorEastAsia" w:eastAsiaTheme="minorEastAsia" w:cstheme="minorEastAsia"/>
          <w:color w:val="auto"/>
          <w:spacing w:val="0"/>
          <w:sz w:val="21"/>
          <w:szCs w:val="21"/>
          <w:highlight w:val="none"/>
          <w:lang w:eastAsia="zh-CN"/>
        </w:rPr>
        <w:t>建设工程工程量清单计价标准</w:t>
      </w:r>
      <w:r>
        <w:rPr>
          <w:rFonts w:hint="eastAsia" w:asciiTheme="minorEastAsia" w:hAnsiTheme="minorEastAsia" w:eastAsiaTheme="minorEastAsia" w:cstheme="minorEastAsia"/>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lang w:eastAsia="zh-CN"/>
        </w:rPr>
        <w:t>GB/T50500-2024</w:t>
      </w:r>
      <w:r>
        <w:rPr>
          <w:rFonts w:hint="eastAsia" w:asciiTheme="minorEastAsia" w:hAnsiTheme="minorEastAsia" w:eastAsiaTheme="minorEastAsia" w:cstheme="minorEastAsia"/>
          <w:color w:val="auto"/>
          <w:spacing w:val="0"/>
          <w:sz w:val="21"/>
          <w:szCs w:val="21"/>
          <w:highlight w:val="none"/>
        </w:rPr>
        <w:t>）执行，并应满足以下要求：</w:t>
      </w:r>
    </w:p>
    <w:p w14:paraId="44CC28C7">
      <w:pPr>
        <w:keepNext w:val="0"/>
        <w:keepLines w:val="0"/>
        <w:pageBreakBefore w:val="0"/>
        <w:wordWrap w:val="0"/>
        <w:overflowPunct/>
        <w:topLinePunct w:val="0"/>
        <w:bidi w:val="0"/>
        <w:spacing w:before="150" w:line="309" w:lineRule="auto"/>
        <w:ind w:left="8" w:firstLine="48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a </w:t>
      </w:r>
      <w:r>
        <w:rPr>
          <w:rFonts w:hint="eastAsia" w:asciiTheme="minorEastAsia" w:hAnsiTheme="minorEastAsia" w:eastAsiaTheme="minorEastAsia" w:cstheme="minorEastAsia"/>
          <w:color w:val="auto"/>
          <w:spacing w:val="0"/>
          <w:sz w:val="21"/>
          <w:szCs w:val="21"/>
          <w:highlight w:val="none"/>
        </w:rPr>
        <w:t>．《投标总价扉页》（即扉—3）后应附编制人的造价工程师注册证书彩色扫描件（须扫描至变更注册栏，</w:t>
      </w:r>
      <w:r>
        <w:rPr>
          <w:rFonts w:hint="eastAsia" w:asciiTheme="minorEastAsia" w:hAnsiTheme="minorEastAsia" w:eastAsiaTheme="minorEastAsia" w:cstheme="minorEastAsia"/>
          <w:b/>
          <w:bCs/>
          <w:color w:val="auto"/>
          <w:spacing w:val="0"/>
          <w:sz w:val="21"/>
          <w:szCs w:val="21"/>
          <w:highlight w:val="none"/>
        </w:rPr>
        <w:t>一级造价师或二级造价师均可提供电子证书</w:t>
      </w:r>
      <w:r>
        <w:rPr>
          <w:rFonts w:hint="eastAsia" w:asciiTheme="minorEastAsia" w:hAnsiTheme="minorEastAsia" w:eastAsiaTheme="minorEastAsia" w:cstheme="minorEastAsia"/>
          <w:color w:val="auto"/>
          <w:spacing w:val="0"/>
          <w:sz w:val="21"/>
          <w:szCs w:val="21"/>
          <w:highlight w:val="none"/>
        </w:rPr>
        <w:t>）；投标人委托造价咨询单位编制《投标总价》的，在该扉页“投标人”栏目加盖造价咨询人公章，并在该扉页后附造价咨询人的营业执照副本彩色扫描件。</w:t>
      </w:r>
    </w:p>
    <w:p w14:paraId="641D62D3">
      <w:pPr>
        <w:keepNext w:val="0"/>
        <w:keepLines w:val="0"/>
        <w:pageBreakBefore w:val="0"/>
        <w:wordWrap w:val="0"/>
        <w:overflowPunct/>
        <w:topLinePunct w:val="0"/>
        <w:bidi w:val="0"/>
        <w:spacing w:before="119" w:line="314" w:lineRule="auto"/>
        <w:ind w:left="10" w:right="61" w:firstLine="47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b.  </w:t>
      </w:r>
      <w:r>
        <w:rPr>
          <w:rFonts w:hint="eastAsia" w:asciiTheme="minorEastAsia" w:hAnsiTheme="minorEastAsia" w:eastAsiaTheme="minorEastAsia" w:cstheme="minorEastAsia"/>
          <w:color w:val="auto"/>
          <w:spacing w:val="0"/>
          <w:sz w:val="21"/>
          <w:szCs w:val="21"/>
          <w:highlight w:val="none"/>
        </w:rPr>
        <w:t>投标人认为有必要补充的其他资料（例如关于投标总价下浮率超过 15%的书面说明和佐证材料）。</w:t>
      </w:r>
    </w:p>
    <w:p w14:paraId="53FBEE10">
      <w:pPr>
        <w:keepNext w:val="0"/>
        <w:keepLines w:val="0"/>
        <w:pageBreakBefore w:val="0"/>
        <w:wordWrap w:val="0"/>
        <w:overflowPunct/>
        <w:topLinePunct w:val="0"/>
        <w:bidi w:val="0"/>
        <w:spacing w:before="99" w:line="280" w:lineRule="auto"/>
        <w:ind w:left="10" w:right="63" w:firstLine="48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10.3.2  </w:t>
      </w:r>
      <w:r>
        <w:rPr>
          <w:rFonts w:hint="eastAsia" w:asciiTheme="minorEastAsia" w:hAnsiTheme="minorEastAsia" w:eastAsiaTheme="minorEastAsia" w:cstheme="minorEastAsia"/>
          <w:color w:val="auto"/>
          <w:spacing w:val="0"/>
          <w:sz w:val="21"/>
          <w:szCs w:val="21"/>
          <w:highlight w:val="none"/>
        </w:rPr>
        <w:t xml:space="preserve">本节第 </w:t>
      </w:r>
      <w:r>
        <w:rPr>
          <w:rFonts w:hint="eastAsia" w:asciiTheme="minorEastAsia" w:hAnsiTheme="minorEastAsia" w:eastAsiaTheme="minorEastAsia" w:cstheme="minorEastAsia"/>
          <w:b/>
          <w:bCs/>
          <w:color w:val="auto"/>
          <w:spacing w:val="0"/>
          <w:sz w:val="21"/>
          <w:szCs w:val="21"/>
          <w:highlight w:val="none"/>
        </w:rPr>
        <w:t xml:space="preserve">10.3.1  </w:t>
      </w:r>
      <w:r>
        <w:rPr>
          <w:rFonts w:hint="eastAsia" w:asciiTheme="minorEastAsia" w:hAnsiTheme="minorEastAsia" w:eastAsiaTheme="minorEastAsia" w:cstheme="minorEastAsia"/>
          <w:color w:val="auto"/>
          <w:spacing w:val="0"/>
          <w:sz w:val="21"/>
          <w:szCs w:val="21"/>
          <w:highlight w:val="none"/>
        </w:rPr>
        <w:t>目中所列出的经济标书组成内容中，第（1）至第（3）项所有投标人均应提供。</w:t>
      </w:r>
    </w:p>
    <w:p w14:paraId="5A8CA277">
      <w:pPr>
        <w:keepNext w:val="0"/>
        <w:keepLines w:val="0"/>
        <w:pageBreakBefore w:val="0"/>
        <w:wordWrap w:val="0"/>
        <w:overflowPunct/>
        <w:topLinePunct w:val="0"/>
        <w:bidi w:val="0"/>
        <w:spacing w:before="155" w:line="279" w:lineRule="auto"/>
        <w:ind w:left="8" w:right="61" w:firstLine="48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10.3.3 </w:t>
      </w:r>
      <w:r>
        <w:rPr>
          <w:rFonts w:hint="eastAsia" w:asciiTheme="minorEastAsia" w:hAnsiTheme="minorEastAsia" w:eastAsiaTheme="minorEastAsia" w:cstheme="minorEastAsia"/>
          <w:color w:val="auto"/>
          <w:spacing w:val="0"/>
          <w:sz w:val="21"/>
          <w:szCs w:val="21"/>
          <w:highlight w:val="none"/>
        </w:rPr>
        <w:t>经济标书的组成内容按本节第 10.3.1 目规定的顺序整理、编排后，逐页（页码起始从封面开始）连续标记页码。</w:t>
      </w:r>
    </w:p>
    <w:p w14:paraId="7D6560D3">
      <w:pPr>
        <w:keepNext w:val="0"/>
        <w:keepLines w:val="0"/>
        <w:pageBreakBefore w:val="0"/>
        <w:wordWrap w:val="0"/>
        <w:overflowPunct/>
        <w:topLinePunct w:val="0"/>
        <w:bidi w:val="0"/>
        <w:spacing w:before="82" w:line="213" w:lineRule="auto"/>
        <w:ind w:left="496"/>
        <w:outlineLvl w:val="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10.4  </w:t>
      </w:r>
      <w:r>
        <w:rPr>
          <w:rFonts w:hint="eastAsia" w:asciiTheme="minorEastAsia" w:hAnsiTheme="minorEastAsia" w:eastAsiaTheme="minorEastAsia" w:cstheme="minorEastAsia"/>
          <w:color w:val="auto"/>
          <w:spacing w:val="0"/>
          <w:sz w:val="21"/>
          <w:szCs w:val="21"/>
          <w:highlight w:val="none"/>
        </w:rPr>
        <w:t>施工组织设计的编制要求</w:t>
      </w:r>
    </w:p>
    <w:p w14:paraId="06FE4851">
      <w:pPr>
        <w:keepNext w:val="0"/>
        <w:keepLines w:val="0"/>
        <w:pageBreakBefore w:val="0"/>
        <w:wordWrap w:val="0"/>
        <w:overflowPunct/>
        <w:topLinePunct w:val="0"/>
        <w:bidi w:val="0"/>
        <w:spacing w:before="151"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10.4.1 </w:t>
      </w:r>
      <w:r>
        <w:rPr>
          <w:rFonts w:hint="eastAsia" w:asciiTheme="minorEastAsia" w:hAnsiTheme="minorEastAsia" w:eastAsiaTheme="minorEastAsia" w:cstheme="minorEastAsia"/>
          <w:color w:val="auto"/>
          <w:spacing w:val="0"/>
          <w:sz w:val="21"/>
          <w:szCs w:val="21"/>
          <w:highlight w:val="none"/>
        </w:rPr>
        <w:t>施工组织设计的编制依据包括且不限于：</w:t>
      </w:r>
    </w:p>
    <w:p w14:paraId="11C47D54">
      <w:pPr>
        <w:keepNext w:val="0"/>
        <w:keepLines w:val="0"/>
        <w:pageBreakBefore w:val="0"/>
        <w:wordWrap w:val="0"/>
        <w:overflowPunct/>
        <w:topLinePunct w:val="0"/>
        <w:bidi w:val="0"/>
        <w:spacing w:before="156"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（1）招标文件及其答疑（或修改）公告；</w:t>
      </w:r>
    </w:p>
    <w:p w14:paraId="360443C8">
      <w:pPr>
        <w:keepNext w:val="0"/>
        <w:keepLines w:val="0"/>
        <w:pageBreakBefore w:val="0"/>
        <w:wordWrap w:val="0"/>
        <w:overflowPunct/>
        <w:topLinePunct w:val="0"/>
        <w:bidi w:val="0"/>
        <w:spacing w:before="155" w:line="221"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（2）施工图及相关资料；</w:t>
      </w:r>
    </w:p>
    <w:p w14:paraId="7BCED478">
      <w:pPr>
        <w:keepNext w:val="0"/>
        <w:keepLines w:val="0"/>
        <w:pageBreakBefore w:val="0"/>
        <w:wordWrap w:val="0"/>
        <w:overflowPunct/>
        <w:topLinePunct w:val="0"/>
        <w:bidi w:val="0"/>
        <w:spacing w:before="152"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（3）施工现场情况、工程特点；</w:t>
      </w:r>
    </w:p>
    <w:p w14:paraId="3D6264B7">
      <w:pPr>
        <w:keepNext w:val="0"/>
        <w:keepLines w:val="0"/>
        <w:pageBreakBefore w:val="0"/>
        <w:wordWrap w:val="0"/>
        <w:overflowPunct/>
        <w:topLinePunct w:val="0"/>
        <w:bidi w:val="0"/>
        <w:spacing w:before="78"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（4）相关法律、法规、规定；</w:t>
      </w:r>
    </w:p>
    <w:p w14:paraId="09641923">
      <w:pPr>
        <w:keepNext w:val="0"/>
        <w:keepLines w:val="0"/>
        <w:pageBreakBefore w:val="0"/>
        <w:wordWrap w:val="0"/>
        <w:overflowPunct/>
        <w:topLinePunct w:val="0"/>
        <w:bidi w:val="0"/>
        <w:spacing w:before="153" w:line="299" w:lineRule="auto"/>
        <w:ind w:left="10" w:right="211" w:firstLine="49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1EEAB852">
      <w:pPr>
        <w:keepNext w:val="0"/>
        <w:keepLines w:val="0"/>
        <w:pageBreakBefore w:val="0"/>
        <w:wordWrap w:val="0"/>
        <w:overflowPunct/>
        <w:topLinePunct w:val="0"/>
        <w:bidi w:val="0"/>
        <w:spacing w:before="155"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（6）企业内部标准、工法。</w:t>
      </w:r>
    </w:p>
    <w:p w14:paraId="43A85C9F">
      <w:pPr>
        <w:keepNext w:val="0"/>
        <w:keepLines w:val="0"/>
        <w:pageBreakBefore w:val="0"/>
        <w:wordWrap w:val="0"/>
        <w:overflowPunct/>
        <w:topLinePunct w:val="0"/>
        <w:bidi w:val="0"/>
        <w:spacing w:before="153" w:line="220"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10.4.2 </w:t>
      </w:r>
      <w:r>
        <w:rPr>
          <w:rFonts w:hint="eastAsia" w:asciiTheme="minorEastAsia" w:hAnsiTheme="minorEastAsia" w:eastAsiaTheme="minorEastAsia" w:cstheme="minorEastAsia"/>
          <w:color w:val="auto"/>
          <w:spacing w:val="0"/>
          <w:sz w:val="21"/>
          <w:szCs w:val="21"/>
          <w:highlight w:val="none"/>
        </w:rPr>
        <w:t>施工组织设计包括但不限于以下内容：</w:t>
      </w:r>
    </w:p>
    <w:p w14:paraId="7A2190BA">
      <w:pPr>
        <w:keepNext w:val="0"/>
        <w:keepLines w:val="0"/>
        <w:pageBreakBefore w:val="0"/>
        <w:wordWrap w:val="0"/>
        <w:overflowPunct/>
        <w:topLinePunct w:val="0"/>
        <w:bidi w:val="0"/>
        <w:spacing w:before="153"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（1）封面（格式一）；</w:t>
      </w:r>
    </w:p>
    <w:p w14:paraId="67CEDA02">
      <w:pPr>
        <w:keepNext w:val="0"/>
        <w:keepLines w:val="0"/>
        <w:pageBreakBefore w:val="0"/>
        <w:wordWrap w:val="0"/>
        <w:overflowPunct/>
        <w:topLinePunct w:val="0"/>
        <w:bidi w:val="0"/>
        <w:spacing w:before="156" w:line="222"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 目录；</w:t>
      </w:r>
    </w:p>
    <w:p w14:paraId="40A696E9">
      <w:pPr>
        <w:keepNext w:val="0"/>
        <w:keepLines w:val="0"/>
        <w:pageBreakBefore w:val="0"/>
        <w:wordWrap w:val="0"/>
        <w:overflowPunct/>
        <w:topLinePunct w:val="0"/>
        <w:bidi w:val="0"/>
        <w:spacing w:before="150"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（3）总体概述（包括施工程序总体设想及施工段划分等内容）；</w:t>
      </w:r>
    </w:p>
    <w:p w14:paraId="56C01988">
      <w:pPr>
        <w:keepNext w:val="0"/>
        <w:keepLines w:val="0"/>
        <w:pageBreakBefore w:val="0"/>
        <w:wordWrap w:val="0"/>
        <w:overflowPunct/>
        <w:topLinePunct w:val="0"/>
        <w:bidi w:val="0"/>
        <w:spacing w:before="154" w:line="299" w:lineRule="auto"/>
        <w:ind w:left="9" w:right="211"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（4）施工总进度计划及保证措施（包括进度管理目标；以横道图或标明关键线路的网络进度计划；保障进度计划需要的人、材、机需求计划及保证措施；违约责任承诺等内容）；</w:t>
      </w:r>
    </w:p>
    <w:p w14:paraId="2F5C294C">
      <w:pPr>
        <w:keepNext w:val="0"/>
        <w:keepLines w:val="0"/>
        <w:pageBreakBefore w:val="0"/>
        <w:wordWrap w:val="0"/>
        <w:overflowPunct/>
        <w:topLinePunct w:val="0"/>
        <w:bidi w:val="0"/>
        <w:spacing w:before="153"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（5）质量保证措施（包括质量管理目标；相应保证措施；违约责任承诺等内容</w:t>
      </w:r>
      <w:r>
        <w:rPr>
          <w:rFonts w:hint="eastAsia" w:asciiTheme="minorEastAsia" w:hAnsiTheme="minorEastAsia" w:eastAsiaTheme="minorEastAsia" w:cstheme="minorEastAsia"/>
          <w:color w:val="auto"/>
          <w:spacing w:val="0"/>
          <w:w w:val="97"/>
          <w:sz w:val="21"/>
          <w:szCs w:val="21"/>
          <w:highlight w:val="none"/>
        </w:rPr>
        <w:t>）；</w:t>
      </w:r>
    </w:p>
    <w:p w14:paraId="02AAEE97">
      <w:pPr>
        <w:keepNext w:val="0"/>
        <w:keepLines w:val="0"/>
        <w:pageBreakBefore w:val="0"/>
        <w:wordWrap w:val="0"/>
        <w:overflowPunct/>
        <w:topLinePunct w:val="0"/>
        <w:bidi w:val="0"/>
        <w:spacing w:before="156" w:line="279" w:lineRule="auto"/>
        <w:ind w:left="11" w:right="211"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（6）施工技术措施（包括关键施工技术、工艺及工程项目实施的重点、难点分析和解决方案；新技术应用与承诺等内容）；</w:t>
      </w:r>
    </w:p>
    <w:p w14:paraId="5E0A2110">
      <w:pPr>
        <w:keepNext w:val="0"/>
        <w:keepLines w:val="0"/>
        <w:pageBreakBefore w:val="0"/>
        <w:wordWrap w:val="0"/>
        <w:overflowPunct/>
        <w:topLinePunct w:val="0"/>
        <w:bidi w:val="0"/>
        <w:spacing w:before="118" w:line="297" w:lineRule="auto"/>
        <w:ind w:left="11" w:right="31"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（7）绿色施工、安全防护、文明施工措施计划(应对建设单位组织的勘察设计等单位在施工招标文件中列出的危大工程清单(详见格式十三)进行投标文件回应，如有)；</w:t>
      </w:r>
    </w:p>
    <w:p w14:paraId="49974A9B">
      <w:pPr>
        <w:keepNext w:val="0"/>
        <w:keepLines w:val="0"/>
        <w:pageBreakBefore w:val="0"/>
        <w:wordWrap w:val="0"/>
        <w:overflowPunct/>
        <w:topLinePunct w:val="0"/>
        <w:bidi w:val="0"/>
        <w:spacing w:before="118" w:line="297" w:lineRule="auto"/>
        <w:ind w:left="11" w:right="31"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（8）施工现场总平面布置（</w:t>
      </w:r>
      <w:bookmarkStart w:id="52" w:name="OLE_LINK8"/>
      <w:r>
        <w:rPr>
          <w:rFonts w:hint="eastAsia" w:asciiTheme="minorEastAsia" w:hAnsiTheme="minorEastAsia" w:eastAsiaTheme="minorEastAsia" w:cstheme="minorEastAsia"/>
          <w:color w:val="auto"/>
          <w:spacing w:val="0"/>
          <w:sz w:val="21"/>
          <w:szCs w:val="21"/>
          <w:highlight w:val="none"/>
        </w:rPr>
        <w:t>投标人应递交一份施工现场总平面布置图，绘出现场临时设施布置图表并附文字说明，说明临时设施、加工车间、现场办公、设备及仓储、供电、供水、卫生、生活、道路、消防等设施的情况和布置</w:t>
      </w:r>
      <w:bookmarkEnd w:id="52"/>
      <w:r>
        <w:rPr>
          <w:rFonts w:hint="eastAsia" w:asciiTheme="minorEastAsia" w:hAnsiTheme="minorEastAsia" w:eastAsiaTheme="minorEastAsia" w:cstheme="minorEastAsia"/>
          <w:color w:val="auto"/>
          <w:spacing w:val="0"/>
          <w:sz w:val="21"/>
          <w:szCs w:val="21"/>
          <w:highlight w:val="none"/>
        </w:rPr>
        <w:t>）；</w:t>
      </w:r>
    </w:p>
    <w:p w14:paraId="714679E5">
      <w:pPr>
        <w:keepNext w:val="0"/>
        <w:keepLines w:val="0"/>
        <w:pageBreakBefore w:val="0"/>
        <w:wordWrap w:val="0"/>
        <w:overflowPunct/>
        <w:topLinePunct w:val="0"/>
        <w:bidi w:val="0"/>
        <w:spacing w:before="155"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（9）项目管理机构。</w:t>
      </w:r>
    </w:p>
    <w:p w14:paraId="0F19EC5B">
      <w:pPr>
        <w:keepNext w:val="0"/>
        <w:keepLines w:val="0"/>
        <w:pageBreakBefore w:val="0"/>
        <w:wordWrap w:val="0"/>
        <w:overflowPunct/>
        <w:topLinePunct w:val="0"/>
        <w:bidi w:val="0"/>
        <w:spacing w:before="154" w:line="280" w:lineRule="auto"/>
        <w:ind w:right="211" w:firstLine="420"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（10）投标人认为有必要补充的其他内容（例如对总包管理的认识以及对专业分包工程的管理、协调、配合、服务方案）。</w:t>
      </w:r>
    </w:p>
    <w:p w14:paraId="73D63EEC">
      <w:pPr>
        <w:keepNext w:val="0"/>
        <w:keepLines w:val="0"/>
        <w:pageBreakBefore w:val="0"/>
        <w:wordWrap w:val="0"/>
        <w:overflowPunct/>
        <w:topLinePunct w:val="0"/>
        <w:bidi w:val="0"/>
        <w:spacing w:before="152" w:line="279" w:lineRule="auto"/>
        <w:ind w:right="196" w:firstLine="422"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10.4.3  </w:t>
      </w:r>
      <w:r>
        <w:rPr>
          <w:rFonts w:hint="eastAsia" w:asciiTheme="minorEastAsia" w:hAnsiTheme="minorEastAsia" w:eastAsiaTheme="minorEastAsia" w:cstheme="minorEastAsia"/>
          <w:color w:val="auto"/>
          <w:spacing w:val="0"/>
          <w:sz w:val="21"/>
          <w:szCs w:val="21"/>
          <w:highlight w:val="none"/>
        </w:rPr>
        <w:t xml:space="preserve">本节第 </w:t>
      </w:r>
      <w:r>
        <w:rPr>
          <w:rFonts w:hint="eastAsia" w:asciiTheme="minorEastAsia" w:hAnsiTheme="minorEastAsia" w:eastAsiaTheme="minorEastAsia" w:cstheme="minorEastAsia"/>
          <w:b/>
          <w:bCs/>
          <w:color w:val="auto"/>
          <w:spacing w:val="0"/>
          <w:sz w:val="21"/>
          <w:szCs w:val="21"/>
          <w:highlight w:val="none"/>
        </w:rPr>
        <w:t xml:space="preserve">10.4.2  </w:t>
      </w:r>
      <w:r>
        <w:rPr>
          <w:rFonts w:hint="eastAsia" w:asciiTheme="minorEastAsia" w:hAnsiTheme="minorEastAsia" w:eastAsiaTheme="minorEastAsia" w:cstheme="minorEastAsia"/>
          <w:color w:val="auto"/>
          <w:spacing w:val="0"/>
          <w:sz w:val="21"/>
          <w:szCs w:val="21"/>
          <w:highlight w:val="none"/>
        </w:rPr>
        <w:t>目中所列出的施工组织设计组成内容中，第（1）至第（9）项所有投标人均应提供。</w:t>
      </w:r>
    </w:p>
    <w:p w14:paraId="7903C11F">
      <w:pPr>
        <w:keepNext w:val="0"/>
        <w:keepLines w:val="0"/>
        <w:pageBreakBefore w:val="0"/>
        <w:wordWrap w:val="0"/>
        <w:overflowPunct/>
        <w:topLinePunct w:val="0"/>
        <w:bidi w:val="0"/>
        <w:spacing w:before="157" w:line="279" w:lineRule="auto"/>
        <w:ind w:right="211" w:firstLine="422"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10.4.4 </w:t>
      </w:r>
      <w:r>
        <w:rPr>
          <w:rFonts w:hint="eastAsia" w:asciiTheme="minorEastAsia" w:hAnsiTheme="minorEastAsia" w:eastAsiaTheme="minorEastAsia" w:cstheme="minorEastAsia"/>
          <w:color w:val="auto"/>
          <w:spacing w:val="0"/>
          <w:sz w:val="21"/>
          <w:szCs w:val="21"/>
          <w:highlight w:val="none"/>
        </w:rPr>
        <w:t>施工组织设计的组成内容按本节第 10.4.2 目规定的顺序整理、编排后，逐页（页码起始从封面开始）连续标记页码。</w:t>
      </w:r>
    </w:p>
    <w:p w14:paraId="0A3DAF6D">
      <w:pPr>
        <w:keepNext w:val="0"/>
        <w:keepLines w:val="0"/>
        <w:pageBreakBefore w:val="0"/>
        <w:wordWrap w:val="0"/>
        <w:overflowPunct/>
        <w:topLinePunct w:val="0"/>
        <w:bidi w:val="0"/>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 xml:space="preserve">    </w:t>
      </w:r>
      <w:r>
        <w:rPr>
          <w:rFonts w:hint="eastAsia" w:asciiTheme="minorEastAsia" w:hAnsiTheme="minorEastAsia" w:eastAsiaTheme="minorEastAsia" w:cstheme="minorEastAsia"/>
          <w:b/>
          <w:bCs/>
          <w:color w:val="auto"/>
          <w:spacing w:val="0"/>
          <w:sz w:val="21"/>
          <w:szCs w:val="21"/>
          <w:highlight w:val="none"/>
        </w:rPr>
        <w:t>10.4.5</w:t>
      </w:r>
      <w:bookmarkStart w:id="53" w:name="OLE_LINK9"/>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施工组织设计的正文不得超过</w:t>
      </w:r>
      <w:r>
        <w:rPr>
          <w:rFonts w:hint="eastAsia" w:asciiTheme="minorEastAsia" w:hAnsiTheme="minorEastAsia" w:eastAsiaTheme="minorEastAsia" w:cstheme="minorEastAsia"/>
          <w:color w:val="auto"/>
          <w:spacing w:val="0"/>
          <w:sz w:val="21"/>
          <w:szCs w:val="21"/>
          <w:highlight w:val="none"/>
          <w:u w:val="single"/>
          <w:lang w:val="en-US" w:eastAsia="zh-CN"/>
        </w:rPr>
        <w:t>150</w:t>
      </w:r>
      <w:r>
        <w:rPr>
          <w:rFonts w:hint="eastAsia" w:asciiTheme="minorEastAsia" w:hAnsiTheme="minorEastAsia" w:eastAsiaTheme="minorEastAsia" w:cstheme="minorEastAsia"/>
          <w:color w:val="auto"/>
          <w:spacing w:val="0"/>
          <w:sz w:val="21"/>
          <w:szCs w:val="21"/>
          <w:highlight w:val="none"/>
          <w:u w:val="single"/>
        </w:rPr>
        <w:t xml:space="preserve"> </w:t>
      </w:r>
      <w:r>
        <w:rPr>
          <w:rFonts w:hint="eastAsia" w:asciiTheme="minorEastAsia" w:hAnsiTheme="minorEastAsia" w:eastAsiaTheme="minorEastAsia" w:cstheme="minorEastAsia"/>
          <w:color w:val="auto"/>
          <w:spacing w:val="0"/>
          <w:sz w:val="21"/>
          <w:szCs w:val="21"/>
          <w:highlight w:val="none"/>
        </w:rPr>
        <w:t>页</w:t>
      </w:r>
      <w:r>
        <w:rPr>
          <w:rFonts w:hint="eastAsia" w:asciiTheme="minorEastAsia" w:hAnsiTheme="minorEastAsia" w:eastAsiaTheme="minorEastAsia" w:cstheme="minorEastAsia"/>
          <w:color w:val="auto"/>
          <w:spacing w:val="0"/>
          <w:sz w:val="21"/>
          <w:szCs w:val="21"/>
          <w:highlight w:val="none"/>
          <w:lang w:eastAsia="zh-CN"/>
        </w:rPr>
        <w:t>。</w:t>
      </w:r>
      <w:bookmarkEnd w:id="53"/>
      <w:bookmarkStart w:id="54" w:name="bookmark121"/>
      <w:bookmarkEnd w:id="54"/>
    </w:p>
    <w:p w14:paraId="3F887184">
      <w:pPr>
        <w:keepNext w:val="0"/>
        <w:keepLines w:val="0"/>
        <w:pageBreakBefore w:val="0"/>
        <w:wordWrap w:val="0"/>
        <w:overflowPunct/>
        <w:topLinePunct w:val="0"/>
        <w:bidi w:val="0"/>
        <w:spacing w:before="78" w:line="221" w:lineRule="auto"/>
        <w:ind w:left="496"/>
        <w:outlineLvl w:val="2"/>
        <w:rPr>
          <w:rFonts w:hint="eastAsia" w:asciiTheme="minorEastAsia" w:hAnsiTheme="minorEastAsia" w:eastAsiaTheme="minorEastAsia" w:cstheme="minorEastAsia"/>
          <w:color w:val="auto"/>
          <w:spacing w:val="0"/>
          <w:sz w:val="21"/>
          <w:szCs w:val="21"/>
          <w:highlight w:val="none"/>
        </w:rPr>
      </w:pPr>
      <w:bookmarkStart w:id="55" w:name="_Toc31924"/>
      <w:bookmarkStart w:id="56" w:name="_Toc21936"/>
      <w:r>
        <w:rPr>
          <w:rFonts w:hint="eastAsia" w:asciiTheme="minorEastAsia" w:hAnsiTheme="minorEastAsia" w:eastAsiaTheme="minorEastAsia" w:cstheme="minorEastAsia"/>
          <w:b/>
          <w:bCs/>
          <w:color w:val="auto"/>
          <w:spacing w:val="0"/>
          <w:sz w:val="21"/>
          <w:szCs w:val="21"/>
          <w:highlight w:val="none"/>
        </w:rPr>
        <w:t xml:space="preserve">11. </w:t>
      </w:r>
      <w:r>
        <w:rPr>
          <w:rFonts w:hint="eastAsia" w:asciiTheme="minorEastAsia" w:hAnsiTheme="minorEastAsia" w:eastAsiaTheme="minorEastAsia" w:cstheme="minorEastAsia"/>
          <w:color w:val="auto"/>
          <w:spacing w:val="0"/>
          <w:sz w:val="21"/>
          <w:szCs w:val="21"/>
          <w:highlight w:val="none"/>
        </w:rPr>
        <w:t>电子投标：</w:t>
      </w:r>
      <w:bookmarkEnd w:id="55"/>
      <w:bookmarkEnd w:id="56"/>
    </w:p>
    <w:p w14:paraId="64059E54">
      <w:pPr>
        <w:keepNext w:val="0"/>
        <w:keepLines w:val="0"/>
        <w:pageBreakBefore w:val="0"/>
        <w:wordWrap w:val="0"/>
        <w:overflowPunct/>
        <w:topLinePunct w:val="0"/>
        <w:bidi w:val="0"/>
        <w:spacing w:before="112" w:line="295" w:lineRule="auto"/>
        <w:ind w:left="10" w:firstLine="48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11.1  </w:t>
      </w:r>
      <w:r>
        <w:rPr>
          <w:rFonts w:hint="eastAsia" w:asciiTheme="minorEastAsia" w:hAnsiTheme="minorEastAsia" w:eastAsiaTheme="minorEastAsia" w:cstheme="minorEastAsia"/>
          <w:color w:val="auto"/>
          <w:spacing w:val="0"/>
          <w:sz w:val="21"/>
          <w:szCs w:val="21"/>
          <w:highlight w:val="none"/>
        </w:rPr>
        <w:t>在建设工程交易系统上传加盖了电子印章的投标文件、录入相关信息及标书页码信息，</w:t>
      </w:r>
      <w:r>
        <w:rPr>
          <w:rFonts w:hint="eastAsia" w:asciiTheme="minorEastAsia" w:hAnsiTheme="minorEastAsia" w:eastAsiaTheme="minorEastAsia" w:cstheme="minorEastAsia"/>
          <w:b/>
          <w:bCs/>
          <w:color w:val="auto"/>
          <w:spacing w:val="0"/>
          <w:sz w:val="21"/>
          <w:szCs w:val="21"/>
          <w:highlight w:val="none"/>
        </w:rPr>
        <w:t>（页码起始从封面开始）</w:t>
      </w:r>
      <w:r>
        <w:rPr>
          <w:rFonts w:hint="eastAsia" w:asciiTheme="minorEastAsia" w:hAnsiTheme="minorEastAsia" w:eastAsiaTheme="minorEastAsia" w:cstheme="minorEastAsia"/>
          <w:color w:val="auto"/>
          <w:spacing w:val="0"/>
          <w:sz w:val="21"/>
          <w:szCs w:val="21"/>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1ADB22EC">
      <w:pPr>
        <w:keepNext w:val="0"/>
        <w:keepLines w:val="0"/>
        <w:pageBreakBefore w:val="0"/>
        <w:wordWrap w:val="0"/>
        <w:overflowPunct/>
        <w:topLinePunct w:val="0"/>
        <w:bidi w:val="0"/>
        <w:spacing w:before="115" w:line="286" w:lineRule="auto"/>
        <w:ind w:left="10" w:right="81" w:firstLine="48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11.2  </w:t>
      </w:r>
      <w:r>
        <w:rPr>
          <w:rFonts w:hint="eastAsia" w:asciiTheme="minorEastAsia" w:hAnsiTheme="minorEastAsia" w:eastAsiaTheme="minorEastAsia" w:cstheme="minorEastAsia"/>
          <w:color w:val="auto"/>
          <w:spacing w:val="0"/>
          <w:sz w:val="21"/>
          <w:szCs w:val="21"/>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5D8E15C0">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86" w:lineRule="auto"/>
        <w:ind w:firstLine="422" w:firstLineChars="200"/>
        <w:textAlignment w:val="baseline"/>
        <w:outlineLvl w:val="2"/>
        <w:rPr>
          <w:rFonts w:hint="eastAsia" w:asciiTheme="minorEastAsia" w:hAnsiTheme="minorEastAsia" w:eastAsiaTheme="minorEastAsia" w:cstheme="minorEastAsia"/>
          <w:b/>
          <w:bCs/>
          <w:color w:val="auto"/>
          <w:spacing w:val="0"/>
          <w:sz w:val="21"/>
          <w:szCs w:val="21"/>
          <w:highlight w:val="none"/>
        </w:rPr>
      </w:pPr>
      <w:bookmarkStart w:id="57" w:name="_Toc3066"/>
      <w:r>
        <w:rPr>
          <w:rFonts w:hint="eastAsia" w:asciiTheme="minorEastAsia" w:hAnsiTheme="minorEastAsia" w:eastAsiaTheme="minorEastAsia" w:cstheme="minorEastAsia"/>
          <w:b/>
          <w:bCs/>
          <w:color w:val="auto"/>
          <w:spacing w:val="0"/>
          <w:sz w:val="21"/>
          <w:szCs w:val="21"/>
          <w:highlight w:val="none"/>
          <w:lang w:val="en-US" w:eastAsia="zh-CN"/>
        </w:rPr>
        <w:t>12.</w:t>
      </w:r>
      <w:r>
        <w:rPr>
          <w:rFonts w:hint="eastAsia" w:asciiTheme="minorEastAsia" w:hAnsiTheme="minorEastAsia" w:eastAsiaTheme="minorEastAsia" w:cstheme="minorEastAsia"/>
          <w:b/>
          <w:bCs/>
          <w:color w:val="auto"/>
          <w:spacing w:val="0"/>
          <w:w w:val="101"/>
          <w:sz w:val="21"/>
          <w:szCs w:val="21"/>
          <w:highlight w:val="none"/>
        </w:rPr>
        <w:t xml:space="preserve"> </w:t>
      </w:r>
      <w:bookmarkStart w:id="58" w:name="_Toc29834"/>
      <w:r>
        <w:rPr>
          <w:rFonts w:hint="eastAsia" w:asciiTheme="minorEastAsia" w:hAnsiTheme="minorEastAsia" w:eastAsiaTheme="minorEastAsia" w:cstheme="minorEastAsia"/>
          <w:b/>
          <w:bCs/>
          <w:color w:val="auto"/>
          <w:spacing w:val="0"/>
          <w:sz w:val="21"/>
          <w:szCs w:val="21"/>
          <w:highlight w:val="none"/>
        </w:rPr>
        <w:t>电子投标及投标解密失败及突发情况的补救方案</w:t>
      </w:r>
      <w:bookmarkEnd w:id="57"/>
      <w:bookmarkEnd w:id="58"/>
    </w:p>
    <w:p w14:paraId="36ADEEBC">
      <w:pPr>
        <w:keepNext w:val="0"/>
        <w:keepLines w:val="0"/>
        <w:pageBreakBefore w:val="0"/>
        <w:widowControl/>
        <w:kinsoku w:val="0"/>
        <w:wordWrap w:val="0"/>
        <w:overflowPunct/>
        <w:topLinePunct w:val="0"/>
        <w:autoSpaceDE w:val="0"/>
        <w:autoSpaceDN w:val="0"/>
        <w:bidi w:val="0"/>
        <w:adjustRightInd w:val="0"/>
        <w:snapToGrid w:val="0"/>
        <w:spacing w:before="78" w:line="286" w:lineRule="auto"/>
        <w:ind w:firstLine="422" w:firstLineChars="200"/>
        <w:textAlignment w:val="baseline"/>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12.1 </w:t>
      </w:r>
      <w:r>
        <w:rPr>
          <w:rFonts w:hint="eastAsia" w:asciiTheme="minorEastAsia" w:hAnsiTheme="minorEastAsia" w:eastAsiaTheme="minorEastAsia" w:cstheme="minorEastAsia"/>
          <w:color w:val="auto"/>
          <w:spacing w:val="0"/>
          <w:sz w:val="21"/>
          <w:szCs w:val="21"/>
          <w:highlight w:val="none"/>
        </w:rPr>
        <w:t>按照交易平台关于全流程电子化项目的相关指南进行操作。详见：全国公共资源交易平台（广东省 ·韶关市）（https://ygp.gdzwfw.gov.cn/ggzy-portal/#/440200/index）服务指南栏目发布的最新版操作指引。</w:t>
      </w:r>
    </w:p>
    <w:p w14:paraId="7C7DBA47">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496"/>
        <w:textAlignment w:val="baseline"/>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12.2  </w:t>
      </w:r>
      <w:r>
        <w:rPr>
          <w:rFonts w:hint="eastAsia" w:asciiTheme="minorEastAsia" w:hAnsiTheme="minorEastAsia" w:eastAsiaTheme="minorEastAsia" w:cstheme="minorEastAsia"/>
          <w:color w:val="auto"/>
          <w:spacing w:val="0"/>
          <w:sz w:val="21"/>
          <w:szCs w:val="21"/>
          <w:highlight w:val="none"/>
        </w:rPr>
        <w:t>补救方案：</w:t>
      </w:r>
    </w:p>
    <w:p w14:paraId="7942C5C2">
      <w:pPr>
        <w:keepNext w:val="0"/>
        <w:keepLines w:val="0"/>
        <w:pageBreakBefore w:val="0"/>
        <w:wordWrap w:val="0"/>
        <w:overflowPunct/>
        <w:topLinePunct w:val="0"/>
        <w:bidi w:val="0"/>
        <w:spacing w:before="115" w:line="220"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12.2.1  </w:t>
      </w:r>
      <w:r>
        <w:rPr>
          <w:rFonts w:hint="eastAsia" w:asciiTheme="minorEastAsia" w:hAnsiTheme="minorEastAsia" w:eastAsiaTheme="minorEastAsia" w:cstheme="minorEastAsia"/>
          <w:color w:val="auto"/>
          <w:spacing w:val="0"/>
          <w:sz w:val="21"/>
          <w:szCs w:val="21"/>
          <w:highlight w:val="none"/>
        </w:rPr>
        <w:t>投标文件解密失败的补救方案：</w:t>
      </w:r>
    </w:p>
    <w:p w14:paraId="02B5B5E9">
      <w:pPr>
        <w:keepNext w:val="0"/>
        <w:keepLines w:val="0"/>
        <w:pageBreakBefore w:val="0"/>
        <w:wordWrap w:val="0"/>
        <w:overflowPunct/>
        <w:topLinePunct w:val="0"/>
        <w:bidi w:val="0"/>
        <w:spacing w:before="115" w:line="298" w:lineRule="auto"/>
        <w:ind w:right="81" w:firstLine="420"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59" w:name="bookmark122"/>
      <w:bookmarkEnd w:id="59"/>
      <w:r>
        <w:rPr>
          <w:rFonts w:hint="eastAsia" w:asciiTheme="minorEastAsia" w:hAnsiTheme="minorEastAsia" w:eastAsiaTheme="minorEastAsia" w:cstheme="minorEastAsia"/>
          <w:color w:val="auto"/>
          <w:spacing w:val="0"/>
          <w:sz w:val="21"/>
          <w:szCs w:val="21"/>
          <w:highlight w:val="none"/>
        </w:rPr>
        <w:t>重新提交投标文件继续开标程序。</w:t>
      </w:r>
    </w:p>
    <w:p w14:paraId="5A6A3133">
      <w:pPr>
        <w:keepNext w:val="0"/>
        <w:keepLines w:val="0"/>
        <w:pageBreakBefore w:val="0"/>
        <w:wordWrap w:val="0"/>
        <w:overflowPunct/>
        <w:topLinePunct w:val="0"/>
        <w:bidi w:val="0"/>
        <w:spacing w:before="114" w:line="220"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12.2.2  </w:t>
      </w:r>
      <w:r>
        <w:rPr>
          <w:rFonts w:hint="eastAsia" w:asciiTheme="minorEastAsia" w:hAnsiTheme="minorEastAsia" w:eastAsiaTheme="minorEastAsia" w:cstheme="minorEastAsia"/>
          <w:color w:val="auto"/>
          <w:spacing w:val="0"/>
          <w:sz w:val="21"/>
          <w:szCs w:val="21"/>
          <w:highlight w:val="none"/>
        </w:rPr>
        <w:t>评标时突发情况的补救方案</w:t>
      </w:r>
    </w:p>
    <w:p w14:paraId="0E91537D">
      <w:pPr>
        <w:keepNext w:val="0"/>
        <w:keepLines w:val="0"/>
        <w:pageBreakBefore w:val="0"/>
        <w:wordWrap w:val="0"/>
        <w:overflowPunct/>
        <w:topLinePunct w:val="0"/>
        <w:bidi w:val="0"/>
        <w:spacing w:before="114" w:line="303" w:lineRule="auto"/>
        <w:ind w:right="81" w:firstLine="420"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4E9C98D2">
      <w:pPr>
        <w:keepNext w:val="0"/>
        <w:keepLines w:val="0"/>
        <w:pageBreakBefore w:val="0"/>
        <w:wordWrap w:val="0"/>
        <w:overflowPunct/>
        <w:topLinePunct w:val="0"/>
        <w:bidi w:val="0"/>
        <w:spacing w:before="69" w:line="324" w:lineRule="auto"/>
        <w:ind w:left="11" w:right="81" w:firstLine="48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12.2.3  </w:t>
      </w:r>
      <w:r>
        <w:rPr>
          <w:rFonts w:hint="eastAsia" w:asciiTheme="minorEastAsia" w:hAnsiTheme="minorEastAsia" w:eastAsiaTheme="minorEastAsia" w:cstheme="minorEastAsia"/>
          <w:color w:val="auto"/>
          <w:spacing w:val="0"/>
          <w:sz w:val="21"/>
          <w:szCs w:val="21"/>
          <w:highlight w:val="none"/>
        </w:rPr>
        <w:t>除发生上述情况外，开标评标均以投标人（联合体投标的，由联合体牵头人）通过交易平台网上递交的电子投标文件为准。</w:t>
      </w:r>
    </w:p>
    <w:p w14:paraId="2190102E">
      <w:pPr>
        <w:keepNext w:val="0"/>
        <w:keepLines w:val="0"/>
        <w:pageBreakBefore w:val="0"/>
        <w:wordWrap w:val="0"/>
        <w:overflowPunct/>
        <w:topLinePunct w:val="0"/>
        <w:bidi w:val="0"/>
        <w:spacing w:before="78" w:line="220" w:lineRule="auto"/>
        <w:ind w:left="496"/>
        <w:outlineLvl w:val="2"/>
        <w:rPr>
          <w:rFonts w:hint="eastAsia" w:asciiTheme="minorEastAsia" w:hAnsiTheme="minorEastAsia" w:eastAsiaTheme="minorEastAsia" w:cstheme="minorEastAsia"/>
          <w:color w:val="auto"/>
          <w:spacing w:val="0"/>
          <w:sz w:val="21"/>
          <w:szCs w:val="21"/>
          <w:highlight w:val="none"/>
        </w:rPr>
      </w:pPr>
      <w:bookmarkStart w:id="60" w:name="_Toc24236"/>
      <w:bookmarkStart w:id="61" w:name="_Toc27195"/>
      <w:r>
        <w:rPr>
          <w:rFonts w:hint="eastAsia" w:asciiTheme="minorEastAsia" w:hAnsiTheme="minorEastAsia" w:eastAsiaTheme="minorEastAsia" w:cstheme="minorEastAsia"/>
          <w:b/>
          <w:bCs/>
          <w:color w:val="auto"/>
          <w:spacing w:val="0"/>
          <w:sz w:val="21"/>
          <w:szCs w:val="21"/>
          <w:highlight w:val="none"/>
        </w:rPr>
        <w:t>13 ．投标文件的提交</w:t>
      </w:r>
      <w:bookmarkEnd w:id="60"/>
      <w:bookmarkEnd w:id="61"/>
    </w:p>
    <w:p w14:paraId="58233C41">
      <w:pPr>
        <w:keepNext w:val="0"/>
        <w:keepLines w:val="0"/>
        <w:pageBreakBefore w:val="0"/>
        <w:wordWrap w:val="0"/>
        <w:overflowPunct/>
        <w:topLinePunct w:val="0"/>
        <w:bidi w:val="0"/>
        <w:spacing w:before="123" w:line="278" w:lineRule="auto"/>
        <w:ind w:left="13" w:right="81" w:firstLine="48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13.1  </w:t>
      </w:r>
      <w:r>
        <w:rPr>
          <w:rFonts w:hint="eastAsia" w:asciiTheme="minorEastAsia" w:hAnsiTheme="minorEastAsia" w:eastAsiaTheme="minorEastAsia" w:cstheme="minorEastAsia"/>
          <w:color w:val="auto"/>
          <w:spacing w:val="0"/>
          <w:sz w:val="21"/>
          <w:szCs w:val="21"/>
          <w:highlight w:val="none"/>
        </w:rPr>
        <w:t>在投标文件提交截止时间前，投标人通过全国公共资源交易平台（广东省 ·韶关市）提交已加密投标文件。逾期提交的电子投标文件，全国公共资源交易平台（广东省 ·韶关市）将予以拒收。</w:t>
      </w:r>
    </w:p>
    <w:p w14:paraId="5FBD7B67">
      <w:pPr>
        <w:keepNext w:val="0"/>
        <w:keepLines w:val="0"/>
        <w:pageBreakBefore w:val="0"/>
        <w:wordWrap w:val="0"/>
        <w:overflowPunct/>
        <w:topLinePunct w:val="0"/>
        <w:bidi w:val="0"/>
        <w:spacing w:before="115"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13.2  </w:t>
      </w:r>
      <w:r>
        <w:rPr>
          <w:rFonts w:hint="eastAsia" w:asciiTheme="minorEastAsia" w:hAnsiTheme="minorEastAsia" w:eastAsiaTheme="minorEastAsia" w:cstheme="minorEastAsia"/>
          <w:color w:val="auto"/>
          <w:spacing w:val="0"/>
          <w:sz w:val="21"/>
          <w:szCs w:val="21"/>
          <w:highlight w:val="none"/>
        </w:rPr>
        <w:t>提交时间和地点：见本章第二节“重要事项时间地点一览表 ”</w:t>
      </w:r>
    </w:p>
    <w:p w14:paraId="394C94BA">
      <w:pPr>
        <w:keepNext w:val="0"/>
        <w:keepLines w:val="0"/>
        <w:pageBreakBefore w:val="0"/>
        <w:wordWrap w:val="0"/>
        <w:overflowPunct/>
        <w:topLinePunct w:val="0"/>
        <w:bidi w:val="0"/>
        <w:spacing w:before="113" w:line="279" w:lineRule="auto"/>
        <w:ind w:left="9" w:right="24" w:firstLine="48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13.3  </w:t>
      </w:r>
      <w:r>
        <w:rPr>
          <w:rFonts w:hint="eastAsia" w:asciiTheme="minorEastAsia" w:hAnsiTheme="minorEastAsia" w:eastAsiaTheme="minorEastAsia" w:cstheme="minorEastAsia"/>
          <w:color w:val="auto"/>
          <w:spacing w:val="0"/>
          <w:sz w:val="21"/>
          <w:szCs w:val="21"/>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33C5491D">
      <w:pPr>
        <w:keepNext w:val="0"/>
        <w:keepLines w:val="0"/>
        <w:pageBreakBefore w:val="0"/>
        <w:wordWrap w:val="0"/>
        <w:overflowPunct/>
        <w:topLinePunct w:val="0"/>
        <w:bidi w:val="0"/>
        <w:spacing w:before="112" w:line="219" w:lineRule="auto"/>
        <w:ind w:firstLine="422" w:firstLineChars="20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13.4  </w:t>
      </w:r>
      <w:r>
        <w:rPr>
          <w:rFonts w:hint="eastAsia" w:asciiTheme="minorEastAsia" w:hAnsiTheme="minorEastAsia" w:eastAsiaTheme="minorEastAsia" w:cstheme="minorEastAsia"/>
          <w:color w:val="auto"/>
          <w:spacing w:val="0"/>
          <w:sz w:val="21"/>
          <w:szCs w:val="21"/>
          <w:highlight w:val="none"/>
        </w:rPr>
        <w:t>代理机构对因不可抗力事件造成的投标文件的损坏、丢失的，不承担责任。</w:t>
      </w:r>
    </w:p>
    <w:p w14:paraId="7585E5C0">
      <w:pPr>
        <w:keepNext w:val="0"/>
        <w:keepLines w:val="0"/>
        <w:pageBreakBefore w:val="0"/>
        <w:wordWrap w:val="0"/>
        <w:overflowPunct/>
        <w:topLinePunct w:val="0"/>
        <w:bidi w:val="0"/>
        <w:spacing w:before="116" w:line="220"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13.5  </w:t>
      </w:r>
      <w:r>
        <w:rPr>
          <w:rFonts w:hint="eastAsia" w:asciiTheme="minorEastAsia" w:hAnsiTheme="minorEastAsia" w:eastAsiaTheme="minorEastAsia" w:cstheme="minorEastAsia"/>
          <w:color w:val="auto"/>
          <w:spacing w:val="0"/>
          <w:sz w:val="21"/>
          <w:szCs w:val="21"/>
          <w:highlight w:val="none"/>
        </w:rPr>
        <w:t>出现下述情形之一，属于未成功提交投标文件，按无效投标处理：</w:t>
      </w:r>
    </w:p>
    <w:p w14:paraId="5648253B">
      <w:pPr>
        <w:keepNext w:val="0"/>
        <w:keepLines w:val="0"/>
        <w:pageBreakBefore w:val="0"/>
        <w:wordWrap w:val="0"/>
        <w:overflowPunct/>
        <w:topLinePunct w:val="0"/>
        <w:bidi w:val="0"/>
        <w:spacing w:before="115" w:line="219" w:lineRule="auto"/>
        <w:ind w:left="74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（1）至提交投标文件截止时，投标文件未完整上传及提交标书；</w:t>
      </w:r>
    </w:p>
    <w:p w14:paraId="237B0F3D">
      <w:pPr>
        <w:keepNext w:val="0"/>
        <w:keepLines w:val="0"/>
        <w:pageBreakBefore w:val="0"/>
        <w:wordWrap w:val="0"/>
        <w:overflowPunct/>
        <w:topLinePunct w:val="0"/>
        <w:bidi w:val="0"/>
        <w:spacing w:before="114" w:line="220" w:lineRule="auto"/>
        <w:ind w:left="74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（2）解密失败且在规定时间内未重新提交投标文件的；</w:t>
      </w:r>
    </w:p>
    <w:p w14:paraId="58F608FF">
      <w:pPr>
        <w:keepNext w:val="0"/>
        <w:keepLines w:val="0"/>
        <w:pageBreakBefore w:val="0"/>
        <w:wordWrap w:val="0"/>
        <w:overflowPunct/>
        <w:topLinePunct w:val="0"/>
        <w:bidi w:val="0"/>
        <w:spacing w:before="115" w:line="220" w:lineRule="auto"/>
        <w:ind w:left="74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（3）投标文件损坏或格式不正确的；</w:t>
      </w:r>
    </w:p>
    <w:p w14:paraId="7998D88C">
      <w:pPr>
        <w:keepNext w:val="0"/>
        <w:keepLines w:val="0"/>
        <w:pageBreakBefore w:val="0"/>
        <w:wordWrap w:val="0"/>
        <w:overflowPunct/>
        <w:topLinePunct w:val="0"/>
        <w:bidi w:val="0"/>
        <w:spacing w:before="115"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13.6  </w:t>
      </w:r>
      <w:r>
        <w:rPr>
          <w:rFonts w:hint="eastAsia" w:asciiTheme="minorEastAsia" w:hAnsiTheme="minorEastAsia" w:eastAsiaTheme="minorEastAsia" w:cstheme="minorEastAsia"/>
          <w:color w:val="auto"/>
          <w:spacing w:val="0"/>
          <w:sz w:val="21"/>
          <w:szCs w:val="21"/>
          <w:highlight w:val="none"/>
        </w:rPr>
        <w:t>联合体投标的，由联合体牵头人按以上要求递交相关资料。</w:t>
      </w:r>
    </w:p>
    <w:p w14:paraId="32B8155D">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11" w:right="23" w:firstLine="488"/>
        <w:textAlignment w:val="baseline"/>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13.7  </w:t>
      </w:r>
      <w:r>
        <w:rPr>
          <w:rFonts w:hint="eastAsia" w:asciiTheme="minorEastAsia" w:hAnsiTheme="minorEastAsia" w:eastAsiaTheme="minorEastAsia" w:cstheme="minorEastAsia"/>
          <w:color w:val="auto"/>
          <w:spacing w:val="0"/>
          <w:sz w:val="21"/>
          <w:szCs w:val="21"/>
          <w:highlight w:val="none"/>
        </w:rPr>
        <w:t>招标人或其授权的招标代理机构核对、接收投标人递交的投标相关资料后，应向投标人出具标明签收人和签收时间的凭证，并妥善保管。</w:t>
      </w:r>
    </w:p>
    <w:p w14:paraId="09E4D1A2">
      <w:pPr>
        <w:keepNext w:val="0"/>
        <w:keepLines w:val="0"/>
        <w:pageBreakBefore w:val="0"/>
        <w:wordWrap w:val="0"/>
        <w:overflowPunct/>
        <w:topLinePunct w:val="0"/>
        <w:bidi w:val="0"/>
        <w:spacing w:before="113" w:line="279" w:lineRule="auto"/>
        <w:ind w:left="9" w:right="24" w:firstLine="48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13.8 </w:t>
      </w:r>
      <w:r>
        <w:rPr>
          <w:rFonts w:hint="eastAsia" w:asciiTheme="minorEastAsia" w:hAnsiTheme="minorEastAsia" w:eastAsiaTheme="minorEastAsia" w:cstheme="minorEastAsia"/>
          <w:color w:val="auto"/>
          <w:spacing w:val="0"/>
          <w:sz w:val="21"/>
          <w:szCs w:val="21"/>
          <w:highlight w:val="none"/>
        </w:rPr>
        <w:t xml:space="preserve"> 本次招标投标有效期为</w:t>
      </w:r>
      <w:r>
        <w:rPr>
          <w:rFonts w:hint="eastAsia" w:asciiTheme="minorEastAsia" w:hAnsiTheme="minorEastAsia" w:eastAsiaTheme="minorEastAsia" w:cstheme="minorEastAsia"/>
          <w:color w:val="auto"/>
          <w:spacing w:val="0"/>
          <w:sz w:val="21"/>
          <w:szCs w:val="21"/>
          <w:highlight w:val="none"/>
          <w:u w:val="single"/>
          <w:lang w:eastAsia="zh-CN"/>
        </w:rPr>
        <w:t>90</w:t>
      </w:r>
      <w:r>
        <w:rPr>
          <w:rFonts w:hint="eastAsia" w:asciiTheme="minorEastAsia" w:hAnsiTheme="minorEastAsia" w:eastAsiaTheme="minorEastAsia" w:cstheme="minorEastAsia"/>
          <w:color w:val="auto"/>
          <w:spacing w:val="0"/>
          <w:sz w:val="21"/>
          <w:szCs w:val="21"/>
          <w:highlight w:val="none"/>
        </w:rPr>
        <w:t>个日历天，投标有效期从提交投标文件的截止之日起计算。在此期间，投标人不得撤销或修改其投标文件，否则其投标保证不予退还。</w:t>
      </w:r>
    </w:p>
    <w:p w14:paraId="19DA7D2B">
      <w:pPr>
        <w:keepNext w:val="0"/>
        <w:keepLines w:val="0"/>
        <w:pageBreakBefore w:val="0"/>
        <w:wordWrap w:val="0"/>
        <w:overflowPunct/>
        <w:topLinePunct w:val="0"/>
        <w:bidi w:val="0"/>
        <w:spacing w:before="145" w:line="221" w:lineRule="auto"/>
        <w:ind w:left="496"/>
        <w:outlineLvl w:val="2"/>
        <w:rPr>
          <w:rFonts w:hint="eastAsia" w:asciiTheme="minorEastAsia" w:hAnsiTheme="minorEastAsia" w:eastAsiaTheme="minorEastAsia" w:cstheme="minorEastAsia"/>
          <w:color w:val="auto"/>
          <w:spacing w:val="0"/>
          <w:sz w:val="21"/>
          <w:szCs w:val="21"/>
          <w:highlight w:val="none"/>
        </w:rPr>
      </w:pPr>
      <w:bookmarkStart w:id="62" w:name="_Toc26618"/>
      <w:bookmarkStart w:id="63" w:name="_Toc22047"/>
      <w:r>
        <w:rPr>
          <w:rFonts w:hint="eastAsia" w:asciiTheme="minorEastAsia" w:hAnsiTheme="minorEastAsia" w:eastAsiaTheme="minorEastAsia" w:cstheme="minorEastAsia"/>
          <w:b/>
          <w:bCs/>
          <w:color w:val="auto"/>
          <w:spacing w:val="0"/>
          <w:sz w:val="21"/>
          <w:szCs w:val="21"/>
          <w:highlight w:val="none"/>
        </w:rPr>
        <w:t>14 ．开标</w:t>
      </w:r>
      <w:bookmarkEnd w:id="62"/>
      <w:bookmarkEnd w:id="63"/>
    </w:p>
    <w:p w14:paraId="4510FD8D">
      <w:pPr>
        <w:keepNext w:val="0"/>
        <w:keepLines w:val="0"/>
        <w:pageBreakBefore w:val="0"/>
        <w:wordWrap w:val="0"/>
        <w:overflowPunct/>
        <w:topLinePunct w:val="0"/>
        <w:bidi w:val="0"/>
        <w:spacing w:before="155" w:line="329" w:lineRule="auto"/>
        <w:ind w:left="10" w:right="81" w:firstLine="48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14.1  </w:t>
      </w:r>
      <w:r>
        <w:rPr>
          <w:rFonts w:hint="eastAsia" w:asciiTheme="minorEastAsia" w:hAnsiTheme="minorEastAsia" w:eastAsiaTheme="minorEastAsia" w:cstheme="minorEastAsia"/>
          <w:color w:val="auto"/>
          <w:spacing w:val="0"/>
          <w:sz w:val="21"/>
          <w:szCs w:val="21"/>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64" w:name="bookmark123"/>
      <w:bookmarkEnd w:id="64"/>
      <w:r>
        <w:rPr>
          <w:rFonts w:hint="eastAsia" w:asciiTheme="minorEastAsia" w:hAnsiTheme="minorEastAsia" w:eastAsiaTheme="minorEastAsia" w:cstheme="minorEastAsia"/>
          <w:color w:val="auto"/>
          <w:spacing w:val="0"/>
          <w:sz w:val="21"/>
          <w:szCs w:val="21"/>
          <w:highlight w:val="none"/>
        </w:rPr>
        <w:t>标的，视其默认开标结果，以及放弃在开标期间见证、监督、投诉、申辩的权利。</w:t>
      </w:r>
    </w:p>
    <w:p w14:paraId="7C0837C8">
      <w:pPr>
        <w:keepNext w:val="0"/>
        <w:keepLines w:val="0"/>
        <w:pageBreakBefore w:val="0"/>
        <w:wordWrap w:val="0"/>
        <w:overflowPunct/>
        <w:topLinePunct w:val="0"/>
        <w:bidi w:val="0"/>
        <w:spacing w:before="156"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14.1.1  </w:t>
      </w:r>
      <w:r>
        <w:rPr>
          <w:rFonts w:hint="eastAsia" w:asciiTheme="minorEastAsia" w:hAnsiTheme="minorEastAsia" w:eastAsiaTheme="minorEastAsia" w:cstheme="minorEastAsia"/>
          <w:color w:val="auto"/>
          <w:spacing w:val="0"/>
          <w:sz w:val="21"/>
          <w:szCs w:val="21"/>
          <w:highlight w:val="none"/>
        </w:rPr>
        <w:t>开标时间和地点：见本章第二节“重要事项时间地点一览表 ”。</w:t>
      </w:r>
    </w:p>
    <w:p w14:paraId="71CA045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14.1.2 </w:t>
      </w:r>
      <w:r>
        <w:rPr>
          <w:rFonts w:hint="eastAsia" w:asciiTheme="minorEastAsia" w:hAnsiTheme="minorEastAsia" w:eastAsiaTheme="minorEastAsia" w:cstheme="minorEastAsia"/>
          <w:b/>
          <w:bCs/>
          <w:color w:val="auto"/>
          <w:spacing w:val="0"/>
          <w:sz w:val="21"/>
          <w:szCs w:val="21"/>
          <w:highlight w:val="none"/>
          <w:lang w:val="en-US" w:eastAsia="zh-CN"/>
        </w:rPr>
        <w:t xml:space="preserve"> </w:t>
      </w:r>
      <w:r>
        <w:rPr>
          <w:rFonts w:hint="eastAsia" w:asciiTheme="minorEastAsia" w:hAnsiTheme="minorEastAsia" w:eastAsiaTheme="minorEastAsia" w:cstheme="minorEastAsia"/>
          <w:color w:val="auto"/>
          <w:spacing w:val="0"/>
          <w:sz w:val="21"/>
          <w:szCs w:val="21"/>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 地点一览表 ”）至电子投标截止时间（见本章第二节“重要事项时间地点一览表 ”） 期间登录全国公共资源交易平台（广东省 ·韶关市）（https://ygp.gdzwfw.gov.cn/ggzy-portal/#/440200/index）查询是否发布了取消开标活动的相关信息。</w:t>
      </w:r>
    </w:p>
    <w:p w14:paraId="4176F8E5">
      <w:pPr>
        <w:keepNext w:val="0"/>
        <w:keepLines w:val="0"/>
        <w:pageBreakBefore w:val="0"/>
        <w:wordWrap w:val="0"/>
        <w:overflowPunct/>
        <w:topLinePunct w:val="0"/>
        <w:bidi w:val="0"/>
        <w:spacing w:before="159" w:line="319" w:lineRule="auto"/>
        <w:ind w:left="10" w:right="80" w:firstLine="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14.1.3</w:t>
      </w:r>
      <w:r>
        <w:rPr>
          <w:rFonts w:hint="eastAsia" w:asciiTheme="minorEastAsia" w:hAnsiTheme="minorEastAsia" w:eastAsiaTheme="minorEastAsia" w:cstheme="minorEastAsia"/>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lang w:val="en-US" w:eastAsia="zh-CN"/>
        </w:rPr>
        <w:t xml:space="preserve">  </w:t>
      </w:r>
      <w:r>
        <w:rPr>
          <w:rFonts w:hint="eastAsia" w:asciiTheme="minorEastAsia" w:hAnsiTheme="minorEastAsia" w:eastAsiaTheme="minorEastAsia" w:cstheme="minorEastAsia"/>
          <w:color w:val="auto"/>
          <w:spacing w:val="0"/>
          <w:sz w:val="21"/>
          <w:szCs w:val="21"/>
          <w:highlight w:val="none"/>
        </w:rPr>
        <w:t>本项目实行全流程电子化招标投标，投标人在交易平台按要求上传加盖电子印章并经加密的电子投标文件，并在交易平台录入准确的页码信息即可完成在线投标</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768CACC">
      <w:pPr>
        <w:keepNext w:val="0"/>
        <w:keepLines w:val="0"/>
        <w:pageBreakBefore w:val="0"/>
        <w:wordWrap w:val="0"/>
        <w:overflowPunct/>
        <w:topLinePunct w:val="0"/>
        <w:bidi w:val="0"/>
        <w:spacing w:before="152" w:line="221"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14.2  </w:t>
      </w:r>
      <w:r>
        <w:rPr>
          <w:rFonts w:hint="eastAsia" w:asciiTheme="minorEastAsia" w:hAnsiTheme="minorEastAsia" w:eastAsiaTheme="minorEastAsia" w:cstheme="minorEastAsia"/>
          <w:color w:val="auto"/>
          <w:spacing w:val="0"/>
          <w:sz w:val="21"/>
          <w:szCs w:val="21"/>
          <w:highlight w:val="none"/>
        </w:rPr>
        <w:t>开标程序</w:t>
      </w:r>
    </w:p>
    <w:p w14:paraId="66B57B24">
      <w:pPr>
        <w:keepNext w:val="0"/>
        <w:keepLines w:val="0"/>
        <w:pageBreakBefore w:val="0"/>
        <w:wordWrap w:val="0"/>
        <w:overflowPunct/>
        <w:topLinePunct w:val="0"/>
        <w:bidi w:val="0"/>
        <w:spacing w:before="42" w:line="219" w:lineRule="auto"/>
        <w:ind w:left="501"/>
        <w:outlineLvl w:val="9"/>
        <w:rPr>
          <w:rFonts w:hint="eastAsia" w:asciiTheme="minorEastAsia" w:hAnsiTheme="minorEastAsia" w:eastAsiaTheme="minorEastAsia" w:cstheme="minorEastAsia"/>
          <w:color w:val="auto"/>
          <w:spacing w:val="0"/>
          <w:sz w:val="21"/>
          <w:szCs w:val="21"/>
          <w:highlight w:val="none"/>
        </w:rPr>
      </w:pPr>
      <w:bookmarkStart w:id="65" w:name="_Toc10291"/>
      <w:bookmarkStart w:id="66" w:name="_Toc15587"/>
      <w:bookmarkStart w:id="67" w:name="_Toc10685"/>
      <w:bookmarkStart w:id="68" w:name="_Toc8314"/>
      <w:r>
        <w:rPr>
          <w:rFonts w:hint="eastAsia" w:asciiTheme="minorEastAsia" w:hAnsiTheme="minorEastAsia" w:eastAsiaTheme="minorEastAsia" w:cstheme="minorEastAsia"/>
          <w:color w:val="auto"/>
          <w:spacing w:val="0"/>
          <w:sz w:val="21"/>
          <w:szCs w:val="21"/>
          <w:highlight w:val="none"/>
        </w:rPr>
        <w:t>（1）主持人（招标人代表或招标人授权的招标代理机构人员）宣读开标纪律。</w:t>
      </w:r>
      <w:bookmarkEnd w:id="65"/>
      <w:bookmarkEnd w:id="66"/>
      <w:bookmarkEnd w:id="67"/>
      <w:bookmarkEnd w:id="68"/>
    </w:p>
    <w:p w14:paraId="2772BBFF">
      <w:pPr>
        <w:keepNext w:val="0"/>
        <w:keepLines w:val="0"/>
        <w:pageBreakBefore w:val="0"/>
        <w:wordWrap w:val="0"/>
        <w:overflowPunct/>
        <w:topLinePunct w:val="0"/>
        <w:bidi w:val="0"/>
        <w:spacing w:before="181" w:line="219" w:lineRule="auto"/>
        <w:ind w:left="501"/>
        <w:outlineLvl w:val="9"/>
        <w:rPr>
          <w:rFonts w:hint="eastAsia" w:asciiTheme="minorEastAsia" w:hAnsiTheme="minorEastAsia" w:eastAsiaTheme="minorEastAsia" w:cstheme="minorEastAsia"/>
          <w:color w:val="auto"/>
          <w:spacing w:val="0"/>
          <w:sz w:val="21"/>
          <w:szCs w:val="21"/>
          <w:highlight w:val="none"/>
        </w:rPr>
      </w:pPr>
      <w:bookmarkStart w:id="69" w:name="_Toc2011"/>
      <w:bookmarkStart w:id="70" w:name="_Toc16292"/>
      <w:bookmarkStart w:id="71" w:name="_Toc30853"/>
      <w:bookmarkStart w:id="72" w:name="_Toc20238"/>
      <w:r>
        <w:rPr>
          <w:rFonts w:hint="eastAsia" w:asciiTheme="minorEastAsia" w:hAnsiTheme="minorEastAsia" w:eastAsiaTheme="minorEastAsia" w:cstheme="minorEastAsia"/>
          <w:color w:val="auto"/>
          <w:spacing w:val="0"/>
          <w:sz w:val="21"/>
          <w:szCs w:val="21"/>
          <w:highlight w:val="none"/>
        </w:rPr>
        <w:t>（2）主持人宣布唱标人、记录人、见证人、监督人等有关人员姓名。</w:t>
      </w:r>
      <w:bookmarkEnd w:id="69"/>
      <w:bookmarkEnd w:id="70"/>
      <w:bookmarkEnd w:id="71"/>
      <w:bookmarkEnd w:id="72"/>
    </w:p>
    <w:p w14:paraId="074DB891">
      <w:pPr>
        <w:keepNext w:val="0"/>
        <w:keepLines w:val="0"/>
        <w:pageBreakBefore w:val="0"/>
        <w:wordWrap w:val="0"/>
        <w:overflowPunct/>
        <w:topLinePunct w:val="0"/>
        <w:bidi w:val="0"/>
        <w:spacing w:before="183" w:line="219" w:lineRule="auto"/>
        <w:ind w:left="501"/>
        <w:outlineLvl w:val="9"/>
        <w:rPr>
          <w:rFonts w:hint="eastAsia" w:asciiTheme="minorEastAsia" w:hAnsiTheme="minorEastAsia" w:eastAsiaTheme="minorEastAsia" w:cstheme="minorEastAsia"/>
          <w:color w:val="auto"/>
          <w:spacing w:val="0"/>
          <w:sz w:val="21"/>
          <w:szCs w:val="21"/>
          <w:highlight w:val="none"/>
        </w:rPr>
      </w:pPr>
      <w:bookmarkStart w:id="73" w:name="_Toc31716"/>
      <w:bookmarkStart w:id="74" w:name="_Toc26494"/>
      <w:bookmarkStart w:id="75" w:name="_Toc1974"/>
      <w:bookmarkStart w:id="76" w:name="_Toc17462"/>
      <w:r>
        <w:rPr>
          <w:rFonts w:hint="eastAsia" w:asciiTheme="minorEastAsia" w:hAnsiTheme="minorEastAsia" w:eastAsiaTheme="minorEastAsia" w:cstheme="minorEastAsia"/>
          <w:color w:val="auto"/>
          <w:spacing w:val="0"/>
          <w:sz w:val="21"/>
          <w:szCs w:val="21"/>
          <w:highlight w:val="none"/>
        </w:rPr>
        <w:t>（3）唱标人公布在投标截止时间前进行投标文件的投标人数量和名称</w:t>
      </w:r>
      <w:bookmarkEnd w:id="73"/>
      <w:bookmarkEnd w:id="74"/>
      <w:bookmarkEnd w:id="75"/>
      <w:bookmarkEnd w:id="76"/>
    </w:p>
    <w:p w14:paraId="7EC1A559">
      <w:pPr>
        <w:keepNext w:val="0"/>
        <w:keepLines w:val="0"/>
        <w:pageBreakBefore w:val="0"/>
        <w:wordWrap w:val="0"/>
        <w:overflowPunct/>
        <w:topLinePunct w:val="0"/>
        <w:bidi w:val="0"/>
        <w:spacing w:before="181" w:line="219" w:lineRule="auto"/>
        <w:ind w:left="501"/>
        <w:outlineLvl w:val="9"/>
        <w:rPr>
          <w:rFonts w:hint="eastAsia" w:asciiTheme="minorEastAsia" w:hAnsiTheme="minorEastAsia" w:eastAsiaTheme="minorEastAsia" w:cstheme="minorEastAsia"/>
          <w:color w:val="auto"/>
          <w:spacing w:val="0"/>
          <w:sz w:val="21"/>
          <w:szCs w:val="21"/>
          <w:highlight w:val="none"/>
        </w:rPr>
      </w:pPr>
      <w:bookmarkStart w:id="77" w:name="_Toc27967"/>
      <w:bookmarkStart w:id="78" w:name="_Toc20559"/>
      <w:bookmarkStart w:id="79" w:name="_Toc15860"/>
      <w:bookmarkStart w:id="80" w:name="_Toc8179"/>
      <w:r>
        <w:rPr>
          <w:rFonts w:hint="eastAsia" w:asciiTheme="minorEastAsia" w:hAnsiTheme="minorEastAsia" w:eastAsiaTheme="minorEastAsia" w:cstheme="minorEastAsia"/>
          <w:color w:val="auto"/>
          <w:spacing w:val="0"/>
          <w:sz w:val="21"/>
          <w:szCs w:val="21"/>
          <w:highlight w:val="none"/>
        </w:rPr>
        <w:t>（4）招标代理机构会同交易场所工作人员对投标人的电子投标信息进行解密，</w:t>
      </w:r>
      <w:bookmarkEnd w:id="77"/>
      <w:bookmarkEnd w:id="78"/>
      <w:bookmarkEnd w:id="79"/>
      <w:bookmarkEnd w:id="80"/>
    </w:p>
    <w:p w14:paraId="79707023">
      <w:pPr>
        <w:keepNext w:val="0"/>
        <w:keepLines w:val="0"/>
        <w:pageBreakBefore w:val="0"/>
        <w:wordWrap w:val="0"/>
        <w:overflowPunct/>
        <w:topLinePunct w:val="0"/>
        <w:bidi w:val="0"/>
        <w:spacing w:before="183" w:line="220" w:lineRule="auto"/>
        <w:ind w:left="1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建设工程交易系统自动生成《投标保证缴纳情况表》和《开标一览表》。</w:t>
      </w:r>
    </w:p>
    <w:p w14:paraId="07EFC3A9">
      <w:pPr>
        <w:keepNext w:val="0"/>
        <w:keepLines w:val="0"/>
        <w:pageBreakBefore w:val="0"/>
        <w:wordWrap w:val="0"/>
        <w:overflowPunct/>
        <w:topLinePunct w:val="0"/>
        <w:bidi w:val="0"/>
        <w:spacing w:before="182" w:line="360" w:lineRule="auto"/>
        <w:ind w:firstLine="422" w:firstLineChars="200"/>
        <w:outlineLvl w:val="9"/>
        <w:rPr>
          <w:rFonts w:hint="eastAsia" w:asciiTheme="minorEastAsia" w:hAnsiTheme="minorEastAsia" w:eastAsiaTheme="minorEastAsia" w:cstheme="minorEastAsia"/>
          <w:color w:val="auto"/>
          <w:spacing w:val="0"/>
          <w:sz w:val="21"/>
          <w:szCs w:val="21"/>
          <w:highlight w:val="none"/>
        </w:rPr>
      </w:pPr>
      <w:bookmarkStart w:id="81" w:name="_Toc2199"/>
      <w:bookmarkStart w:id="82" w:name="_Toc28812"/>
      <w:bookmarkStart w:id="83" w:name="_Toc28266"/>
      <w:bookmarkStart w:id="84" w:name="_Toc26216"/>
      <w:r>
        <w:rPr>
          <w:rFonts w:hint="eastAsia" w:asciiTheme="minorEastAsia" w:hAnsiTheme="minorEastAsia" w:eastAsiaTheme="minorEastAsia" w:cstheme="minorEastAsia"/>
          <w:b/>
          <w:bCs/>
          <w:color w:val="auto"/>
          <w:spacing w:val="0"/>
          <w:sz w:val="21"/>
          <w:szCs w:val="21"/>
          <w:highlight w:val="none"/>
        </w:rPr>
        <w:t>温馨提示：因本项目实行全流程电子化招标投标，投标人无须进行现场签到，可</w:t>
      </w:r>
      <w:bookmarkEnd w:id="81"/>
      <w:bookmarkEnd w:id="82"/>
      <w:bookmarkEnd w:id="83"/>
      <w:r>
        <w:rPr>
          <w:rFonts w:hint="eastAsia" w:asciiTheme="minorEastAsia" w:hAnsiTheme="minorEastAsia" w:eastAsiaTheme="minorEastAsia" w:cstheme="minorEastAsia"/>
          <w:b/>
          <w:bCs/>
          <w:color w:val="auto"/>
          <w:spacing w:val="0"/>
          <w:sz w:val="21"/>
          <w:szCs w:val="21"/>
          <w:highlight w:val="none"/>
        </w:rPr>
        <w:t>登录交易平台观看开标实况、提出异议或进行澄清、确认等操作，对开标事项的异议未在开标期间提出的，招标</w:t>
      </w:r>
      <w:r>
        <w:rPr>
          <w:rFonts w:hint="eastAsia" w:asciiTheme="minorEastAsia" w:hAnsiTheme="minorEastAsia" w:eastAsiaTheme="minorEastAsia" w:cstheme="minorEastAsia"/>
          <w:b/>
          <w:bCs/>
          <w:color w:val="auto"/>
          <w:spacing w:val="0"/>
          <w:sz w:val="21"/>
          <w:szCs w:val="21"/>
          <w:highlight w:val="none"/>
          <w:lang w:eastAsia="zh-CN"/>
        </w:rPr>
        <w:t>人不</w:t>
      </w:r>
      <w:r>
        <w:rPr>
          <w:rFonts w:hint="eastAsia" w:asciiTheme="minorEastAsia" w:hAnsiTheme="minorEastAsia" w:eastAsiaTheme="minorEastAsia" w:cstheme="minorEastAsia"/>
          <w:b/>
          <w:bCs/>
          <w:color w:val="auto"/>
          <w:spacing w:val="0"/>
          <w:sz w:val="21"/>
          <w:szCs w:val="21"/>
          <w:highlight w:val="none"/>
        </w:rPr>
        <w:t>予受理。具体按招标文件和系统操作手册为准。</w:t>
      </w:r>
      <w:bookmarkEnd w:id="84"/>
    </w:p>
    <w:p w14:paraId="3AAB4763">
      <w:pPr>
        <w:keepNext w:val="0"/>
        <w:keepLines w:val="0"/>
        <w:pageBreakBefore w:val="0"/>
        <w:wordWrap w:val="0"/>
        <w:overflowPunct/>
        <w:topLinePunct w:val="0"/>
        <w:bidi w:val="0"/>
        <w:spacing w:before="143" w:line="299" w:lineRule="auto"/>
        <w:ind w:left="11" w:right="80" w:firstLine="48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14.3  </w:t>
      </w:r>
      <w:r>
        <w:rPr>
          <w:rFonts w:hint="eastAsia" w:asciiTheme="minorEastAsia" w:hAnsiTheme="minorEastAsia" w:eastAsiaTheme="minorEastAsia" w:cstheme="minorEastAsia"/>
          <w:color w:val="auto"/>
          <w:spacing w:val="0"/>
          <w:sz w:val="21"/>
          <w:szCs w:val="21"/>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4D9C02F4">
      <w:pPr>
        <w:keepNext w:val="0"/>
        <w:keepLines w:val="0"/>
        <w:pageBreakBefore w:val="0"/>
        <w:wordWrap w:val="0"/>
        <w:overflowPunct/>
        <w:topLinePunct w:val="0"/>
        <w:bidi w:val="0"/>
        <w:spacing w:before="155" w:line="279" w:lineRule="auto"/>
        <w:ind w:left="8" w:right="82" w:firstLine="48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14.4 </w:t>
      </w:r>
      <w:r>
        <w:rPr>
          <w:rFonts w:hint="eastAsia" w:asciiTheme="minorEastAsia" w:hAnsiTheme="minorEastAsia" w:eastAsiaTheme="minorEastAsia" w:cstheme="minorEastAsia"/>
          <w:color w:val="auto"/>
          <w:spacing w:val="0"/>
          <w:sz w:val="21"/>
          <w:szCs w:val="21"/>
          <w:highlight w:val="none"/>
        </w:rPr>
        <w:t>招标代理机构将资料原件（如有）、《开标一览表》以及其他有关资料移交评标委员会。</w:t>
      </w:r>
    </w:p>
    <w:p w14:paraId="229EB5F3">
      <w:pPr>
        <w:keepNext w:val="0"/>
        <w:keepLines w:val="0"/>
        <w:pageBreakBefore w:val="0"/>
        <w:wordWrap w:val="0"/>
        <w:overflowPunct/>
        <w:topLinePunct w:val="0"/>
        <w:bidi w:val="0"/>
        <w:spacing w:before="78" w:line="221" w:lineRule="auto"/>
        <w:ind w:left="496"/>
        <w:outlineLvl w:val="2"/>
        <w:rPr>
          <w:rFonts w:hint="eastAsia" w:asciiTheme="minorEastAsia" w:hAnsiTheme="minorEastAsia" w:eastAsiaTheme="minorEastAsia" w:cstheme="minorEastAsia"/>
          <w:color w:val="auto"/>
          <w:spacing w:val="0"/>
          <w:sz w:val="21"/>
          <w:szCs w:val="21"/>
          <w:highlight w:val="none"/>
        </w:rPr>
      </w:pPr>
      <w:bookmarkStart w:id="85" w:name="_Toc961"/>
      <w:bookmarkStart w:id="86" w:name="_Toc32532"/>
      <w:r>
        <w:rPr>
          <w:rFonts w:hint="eastAsia" w:asciiTheme="minorEastAsia" w:hAnsiTheme="minorEastAsia" w:eastAsiaTheme="minorEastAsia" w:cstheme="minorEastAsia"/>
          <w:b/>
          <w:bCs/>
          <w:color w:val="auto"/>
          <w:spacing w:val="0"/>
          <w:sz w:val="21"/>
          <w:szCs w:val="21"/>
          <w:highlight w:val="none"/>
        </w:rPr>
        <w:t>15 ．评标</w:t>
      </w:r>
      <w:bookmarkEnd w:id="85"/>
      <w:bookmarkEnd w:id="86"/>
    </w:p>
    <w:p w14:paraId="0F8D7C7A">
      <w:pPr>
        <w:keepNext w:val="0"/>
        <w:keepLines w:val="0"/>
        <w:pageBreakBefore w:val="0"/>
        <w:wordWrap w:val="0"/>
        <w:overflowPunct/>
        <w:topLinePunct w:val="0"/>
        <w:bidi w:val="0"/>
        <w:spacing w:before="78" w:line="331" w:lineRule="auto"/>
        <w:ind w:left="8" w:right="65" w:firstLine="480"/>
        <w:rPr>
          <w:rFonts w:hint="eastAsia" w:asciiTheme="minorEastAsia" w:hAnsiTheme="minorEastAsia" w:eastAsiaTheme="minorEastAsia" w:cstheme="minorEastAsia"/>
          <w:color w:val="auto"/>
          <w:spacing w:val="0"/>
          <w:sz w:val="21"/>
          <w:szCs w:val="21"/>
          <w:highlight w:val="none"/>
        </w:rPr>
      </w:pPr>
      <w:bookmarkStart w:id="87" w:name="bookmark124"/>
      <w:bookmarkEnd w:id="87"/>
      <w:r>
        <w:rPr>
          <w:rFonts w:hint="eastAsia" w:asciiTheme="minorEastAsia" w:hAnsiTheme="minorEastAsia" w:eastAsiaTheme="minorEastAsia" w:cstheme="minorEastAsia"/>
          <w:color w:val="auto"/>
          <w:spacing w:val="0"/>
          <w:sz w:val="21"/>
          <w:szCs w:val="21"/>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Theme="minorEastAsia" w:hAnsiTheme="minorEastAsia" w:eastAsiaTheme="minorEastAsia" w:cstheme="minorEastAsia"/>
          <w:color w:val="auto"/>
          <w:spacing w:val="0"/>
          <w:sz w:val="21"/>
          <w:szCs w:val="21"/>
          <w:highlight w:val="none"/>
          <w:u w:val="single"/>
        </w:rPr>
        <w:t xml:space="preserve">  3  </w:t>
      </w:r>
      <w:r>
        <w:rPr>
          <w:rFonts w:hint="eastAsia" w:asciiTheme="minorEastAsia" w:hAnsiTheme="minorEastAsia" w:eastAsiaTheme="minorEastAsia" w:cstheme="minorEastAsia"/>
          <w:color w:val="auto"/>
          <w:spacing w:val="0"/>
          <w:sz w:val="21"/>
          <w:szCs w:val="21"/>
          <w:highlight w:val="none"/>
        </w:rPr>
        <w:t>个中标候选人，并向招标人提交由全体评标委员会成员签字的评标报告。</w:t>
      </w:r>
    </w:p>
    <w:p w14:paraId="7FD0AACA">
      <w:pPr>
        <w:keepNext w:val="0"/>
        <w:keepLines w:val="0"/>
        <w:pageBreakBefore w:val="0"/>
        <w:wordWrap w:val="0"/>
        <w:overflowPunct/>
        <w:topLinePunct w:val="0"/>
        <w:bidi w:val="0"/>
        <w:spacing w:before="38"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  </w:t>
      </w:r>
      <w:r>
        <w:rPr>
          <w:rFonts w:hint="eastAsia" w:asciiTheme="minorEastAsia" w:hAnsiTheme="minorEastAsia" w:eastAsiaTheme="minorEastAsia" w:cstheme="minorEastAsia"/>
          <w:color w:val="auto"/>
          <w:spacing w:val="0"/>
          <w:sz w:val="21"/>
          <w:szCs w:val="21"/>
          <w:highlight w:val="none"/>
        </w:rPr>
        <w:t>评标委员会</w:t>
      </w:r>
    </w:p>
    <w:p w14:paraId="6660E781">
      <w:pPr>
        <w:keepNext w:val="0"/>
        <w:keepLines w:val="0"/>
        <w:pageBreakBefore w:val="0"/>
        <w:wordWrap w:val="0"/>
        <w:overflowPunct/>
        <w:topLinePunct w:val="0"/>
        <w:bidi w:val="0"/>
        <w:spacing w:before="155" w:line="324" w:lineRule="auto"/>
        <w:ind w:left="10" w:right="65" w:firstLine="48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15.1.1 </w:t>
      </w:r>
      <w:r>
        <w:rPr>
          <w:rFonts w:hint="eastAsia" w:asciiTheme="minorEastAsia" w:hAnsiTheme="minorEastAsia" w:eastAsiaTheme="minorEastAsia" w:cstheme="minorEastAsia"/>
          <w:color w:val="auto"/>
          <w:spacing w:val="0"/>
          <w:sz w:val="21"/>
          <w:szCs w:val="21"/>
          <w:highlight w:val="none"/>
        </w:rPr>
        <w:t>评标委员会由</w:t>
      </w:r>
      <w:r>
        <w:rPr>
          <w:rFonts w:hint="eastAsia" w:asciiTheme="minorEastAsia" w:hAnsiTheme="minorEastAsia" w:eastAsiaTheme="minorEastAsia" w:cstheme="minorEastAsia"/>
          <w:color w:val="auto"/>
          <w:spacing w:val="0"/>
          <w:sz w:val="21"/>
          <w:szCs w:val="21"/>
          <w:highlight w:val="none"/>
          <w:u w:val="single"/>
        </w:rPr>
        <w:t xml:space="preserve"> 5 </w:t>
      </w:r>
      <w:r>
        <w:rPr>
          <w:rFonts w:hint="eastAsia" w:asciiTheme="minorEastAsia" w:hAnsiTheme="minorEastAsia" w:eastAsiaTheme="minorEastAsia" w:cstheme="minorEastAsia"/>
          <w:color w:val="auto"/>
          <w:spacing w:val="0"/>
          <w:sz w:val="21"/>
          <w:szCs w:val="21"/>
          <w:highlight w:val="none"/>
        </w:rPr>
        <w:t>人组成，其中招标人代表</w:t>
      </w:r>
      <w:r>
        <w:rPr>
          <w:rFonts w:hint="eastAsia" w:asciiTheme="minorEastAsia" w:hAnsiTheme="minorEastAsia" w:eastAsiaTheme="minorEastAsia" w:cstheme="minorEastAsia"/>
          <w:color w:val="auto"/>
          <w:spacing w:val="0"/>
          <w:sz w:val="21"/>
          <w:szCs w:val="21"/>
          <w:highlight w:val="none"/>
          <w:u w:val="single"/>
        </w:rPr>
        <w:t xml:space="preserve"> 0 </w:t>
      </w:r>
      <w:r>
        <w:rPr>
          <w:rFonts w:hint="eastAsia" w:asciiTheme="minorEastAsia" w:hAnsiTheme="minorEastAsia" w:eastAsiaTheme="minorEastAsia" w:cstheme="minorEastAsia"/>
          <w:color w:val="auto"/>
          <w:spacing w:val="0"/>
          <w:sz w:val="21"/>
          <w:szCs w:val="21"/>
          <w:highlight w:val="none"/>
        </w:rPr>
        <w:t>人，专家</w:t>
      </w:r>
      <w:r>
        <w:rPr>
          <w:rFonts w:hint="eastAsia" w:asciiTheme="minorEastAsia" w:hAnsiTheme="minorEastAsia" w:eastAsiaTheme="minorEastAsia" w:cstheme="minorEastAsia"/>
          <w:color w:val="auto"/>
          <w:spacing w:val="0"/>
          <w:sz w:val="21"/>
          <w:szCs w:val="21"/>
          <w:highlight w:val="none"/>
          <w:u w:val="single"/>
        </w:rPr>
        <w:t xml:space="preserve"> 5 </w:t>
      </w:r>
      <w:r>
        <w:rPr>
          <w:rFonts w:hint="eastAsia" w:asciiTheme="minorEastAsia" w:hAnsiTheme="minorEastAsia" w:eastAsiaTheme="minorEastAsia" w:cstheme="minorEastAsia"/>
          <w:color w:val="auto"/>
          <w:spacing w:val="0"/>
          <w:sz w:val="21"/>
          <w:szCs w:val="21"/>
          <w:highlight w:val="none"/>
        </w:rPr>
        <w:t>人。专家从</w:t>
      </w:r>
      <w:r>
        <w:rPr>
          <w:rFonts w:hint="eastAsia" w:asciiTheme="minorEastAsia" w:hAnsiTheme="minorEastAsia" w:eastAsiaTheme="minorEastAsia" w:cstheme="minorEastAsia"/>
          <w:color w:val="auto"/>
          <w:spacing w:val="0"/>
          <w:sz w:val="21"/>
          <w:szCs w:val="21"/>
          <w:highlight w:val="none"/>
          <w:u w:val="none"/>
        </w:rPr>
        <w:t>广东省综合评标评审专家库</w:t>
      </w:r>
      <w:r>
        <w:rPr>
          <w:rFonts w:hint="eastAsia" w:asciiTheme="minorEastAsia" w:hAnsiTheme="minorEastAsia" w:eastAsiaTheme="minorEastAsia" w:cstheme="minorEastAsia"/>
          <w:color w:val="auto"/>
          <w:spacing w:val="0"/>
          <w:sz w:val="21"/>
          <w:szCs w:val="21"/>
          <w:highlight w:val="none"/>
          <w:u w:val="single"/>
          <w:lang w:eastAsia="zh-CN"/>
        </w:rPr>
        <w:t>（</w:t>
      </w:r>
      <w:r>
        <w:rPr>
          <w:rFonts w:hint="eastAsia" w:asciiTheme="minorEastAsia" w:hAnsiTheme="minorEastAsia" w:eastAsiaTheme="minorEastAsia" w:cstheme="minorEastAsia"/>
          <w:color w:val="auto"/>
          <w:spacing w:val="0"/>
          <w:sz w:val="21"/>
          <w:szCs w:val="21"/>
          <w:highlight w:val="none"/>
          <w:u w:val="single"/>
        </w:rPr>
        <w:t>韶关区域</w:t>
      </w:r>
      <w:r>
        <w:rPr>
          <w:rFonts w:hint="eastAsia" w:asciiTheme="minorEastAsia" w:hAnsiTheme="minorEastAsia" w:eastAsiaTheme="minorEastAsia" w:cstheme="minorEastAsia"/>
          <w:color w:val="auto"/>
          <w:spacing w:val="0"/>
          <w:sz w:val="21"/>
          <w:szCs w:val="21"/>
          <w:highlight w:val="none"/>
          <w:u w:val="single"/>
          <w:lang w:eastAsia="zh-CN"/>
        </w:rPr>
        <w:t>）</w:t>
      </w:r>
      <w:r>
        <w:rPr>
          <w:rFonts w:hint="eastAsia" w:asciiTheme="minorEastAsia" w:hAnsiTheme="minorEastAsia" w:eastAsiaTheme="minorEastAsia" w:cstheme="minorEastAsia"/>
          <w:color w:val="auto"/>
          <w:spacing w:val="0"/>
          <w:sz w:val="21"/>
          <w:szCs w:val="21"/>
          <w:highlight w:val="none"/>
        </w:rPr>
        <w:t>中随机抽取，其中技术类专家</w:t>
      </w:r>
      <w:r>
        <w:rPr>
          <w:rFonts w:hint="eastAsia" w:asciiTheme="minorEastAsia" w:hAnsiTheme="minorEastAsia" w:eastAsiaTheme="minorEastAsia" w:cstheme="minorEastAsia"/>
          <w:color w:val="auto"/>
          <w:spacing w:val="0"/>
          <w:sz w:val="21"/>
          <w:szCs w:val="21"/>
          <w:highlight w:val="none"/>
          <w:u w:val="single"/>
        </w:rPr>
        <w:t xml:space="preserve"> 3 </w:t>
      </w:r>
      <w:r>
        <w:rPr>
          <w:rFonts w:hint="eastAsia" w:asciiTheme="minorEastAsia" w:hAnsiTheme="minorEastAsia" w:eastAsiaTheme="minorEastAsia" w:cstheme="minorEastAsia"/>
          <w:color w:val="auto"/>
          <w:spacing w:val="0"/>
          <w:sz w:val="21"/>
          <w:szCs w:val="21"/>
          <w:highlight w:val="none"/>
        </w:rPr>
        <w:t>人，经济类专家</w:t>
      </w:r>
      <w:r>
        <w:rPr>
          <w:rFonts w:hint="eastAsia" w:asciiTheme="minorEastAsia" w:hAnsiTheme="minorEastAsia" w:eastAsiaTheme="minorEastAsia" w:cstheme="minorEastAsia"/>
          <w:color w:val="auto"/>
          <w:spacing w:val="0"/>
          <w:sz w:val="21"/>
          <w:szCs w:val="21"/>
          <w:highlight w:val="none"/>
          <w:u w:val="single"/>
        </w:rPr>
        <w:t xml:space="preserve"> 2 </w:t>
      </w:r>
      <w:r>
        <w:rPr>
          <w:rFonts w:hint="eastAsia" w:asciiTheme="minorEastAsia" w:hAnsiTheme="minorEastAsia" w:eastAsiaTheme="minorEastAsia" w:cstheme="minorEastAsia"/>
          <w:color w:val="auto"/>
          <w:spacing w:val="0"/>
          <w:sz w:val="21"/>
          <w:szCs w:val="21"/>
          <w:highlight w:val="none"/>
        </w:rPr>
        <w:t>人。评标委员会设负责人，由评标委员会成员推举产生。评标委员会负责人与评标委员会的其他成员有同等的表决权。</w:t>
      </w:r>
    </w:p>
    <w:p w14:paraId="21D696B4">
      <w:pPr>
        <w:keepNext w:val="0"/>
        <w:keepLines w:val="0"/>
        <w:pageBreakBefore w:val="0"/>
        <w:wordWrap w:val="0"/>
        <w:overflowPunct/>
        <w:topLinePunct w:val="0"/>
        <w:bidi w:val="0"/>
        <w:spacing w:before="32" w:line="280" w:lineRule="auto"/>
        <w:ind w:left="13" w:right="7" w:firstLine="56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15.1.2  </w:t>
      </w:r>
      <w:r>
        <w:rPr>
          <w:rFonts w:hint="eastAsia" w:asciiTheme="minorEastAsia" w:hAnsiTheme="minorEastAsia" w:eastAsiaTheme="minorEastAsia" w:cstheme="minorEastAsia"/>
          <w:color w:val="auto"/>
          <w:spacing w:val="0"/>
          <w:sz w:val="21"/>
          <w:szCs w:val="21"/>
          <w:highlight w:val="none"/>
        </w:rPr>
        <w:t>评标委员会应认真、公正、诚实、廉洁地履行职责。有下列情形之一的，不得担任评标委员会成员：</w:t>
      </w:r>
    </w:p>
    <w:p w14:paraId="64597D09">
      <w:pPr>
        <w:keepNext w:val="0"/>
        <w:keepLines w:val="0"/>
        <w:pageBreakBefore w:val="0"/>
        <w:wordWrap w:val="0"/>
        <w:overflowPunct/>
        <w:topLinePunct w:val="0"/>
        <w:bidi w:val="0"/>
        <w:spacing w:before="154" w:line="220" w:lineRule="auto"/>
        <w:ind w:left="5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（1）投标人或投标人主要负责人的近亲属；</w:t>
      </w:r>
    </w:p>
    <w:p w14:paraId="29891612">
      <w:pPr>
        <w:keepNext w:val="0"/>
        <w:keepLines w:val="0"/>
        <w:pageBreakBefore w:val="0"/>
        <w:wordWrap w:val="0"/>
        <w:overflowPunct/>
        <w:topLinePunct w:val="0"/>
        <w:bidi w:val="0"/>
        <w:spacing w:before="153" w:line="220" w:lineRule="auto"/>
        <w:ind w:left="5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（2）项目主管部门或者行政监督部门的人员；</w:t>
      </w:r>
    </w:p>
    <w:p w14:paraId="2335A40D">
      <w:pPr>
        <w:keepNext w:val="0"/>
        <w:keepLines w:val="0"/>
        <w:pageBreakBefore w:val="0"/>
        <w:wordWrap w:val="0"/>
        <w:overflowPunct/>
        <w:topLinePunct w:val="0"/>
        <w:bidi w:val="0"/>
        <w:spacing w:before="155" w:line="221" w:lineRule="auto"/>
        <w:ind w:left="5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（3）与投标人有经济利益关系，可能影响对投标公正评审的；</w:t>
      </w:r>
    </w:p>
    <w:p w14:paraId="6E436E6A">
      <w:pPr>
        <w:keepNext w:val="0"/>
        <w:keepLines w:val="0"/>
        <w:pageBreakBefore w:val="0"/>
        <w:wordWrap w:val="0"/>
        <w:overflowPunct/>
        <w:topLinePunct w:val="0"/>
        <w:bidi w:val="0"/>
        <w:spacing w:before="153" w:line="279" w:lineRule="auto"/>
        <w:ind w:left="8" w:right="65" w:firstLine="57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（4）曾因在招标、评标以及其他与招标投标有关活动中从事违法行为而受过行政处罚或刑事处罚的。</w:t>
      </w:r>
    </w:p>
    <w:p w14:paraId="6852E0CA">
      <w:pPr>
        <w:keepNext w:val="0"/>
        <w:keepLines w:val="0"/>
        <w:pageBreakBefore w:val="0"/>
        <w:wordWrap w:val="0"/>
        <w:overflowPunct/>
        <w:topLinePunct w:val="0"/>
        <w:bidi w:val="0"/>
        <w:spacing w:before="155" w:line="219" w:lineRule="auto"/>
        <w:ind w:left="48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评标委员会成员有以上情形之一的，应主动提出回避。</w:t>
      </w:r>
    </w:p>
    <w:p w14:paraId="36316971">
      <w:pPr>
        <w:keepNext w:val="0"/>
        <w:keepLines w:val="0"/>
        <w:pageBreakBefore w:val="0"/>
        <w:wordWrap w:val="0"/>
        <w:overflowPunct/>
        <w:topLinePunct w:val="0"/>
        <w:bidi w:val="0"/>
        <w:spacing w:before="154" w:line="279" w:lineRule="auto"/>
        <w:ind w:left="8" w:right="65" w:firstLine="48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15.1.3  </w:t>
      </w:r>
      <w:r>
        <w:rPr>
          <w:rFonts w:hint="eastAsia" w:asciiTheme="minorEastAsia" w:hAnsiTheme="minorEastAsia" w:eastAsiaTheme="minorEastAsia" w:cstheme="minorEastAsia"/>
          <w:color w:val="auto"/>
          <w:spacing w:val="0"/>
          <w:sz w:val="21"/>
          <w:szCs w:val="21"/>
          <w:highlight w:val="none"/>
        </w:rPr>
        <w:t>评标全过程实行封闭式管理，在中标结果公布前，禁止评标委员会成员以任何方式私下接触投标人。</w:t>
      </w:r>
    </w:p>
    <w:p w14:paraId="74339480">
      <w:pPr>
        <w:keepNext w:val="0"/>
        <w:keepLines w:val="0"/>
        <w:pageBreakBefore w:val="0"/>
        <w:wordWrap w:val="0"/>
        <w:overflowPunct/>
        <w:topLinePunct w:val="0"/>
        <w:bidi w:val="0"/>
        <w:spacing w:before="157" w:line="298" w:lineRule="auto"/>
        <w:ind w:left="11" w:right="65" w:firstLine="48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15.1.4  </w:t>
      </w:r>
      <w:r>
        <w:rPr>
          <w:rFonts w:hint="eastAsia" w:asciiTheme="minorEastAsia" w:hAnsiTheme="minorEastAsia" w:eastAsiaTheme="minorEastAsia" w:cstheme="minorEastAsia"/>
          <w:color w:val="auto"/>
          <w:spacing w:val="0"/>
          <w:sz w:val="21"/>
          <w:szCs w:val="21"/>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4DB720E4">
      <w:pPr>
        <w:keepNext w:val="0"/>
        <w:keepLines w:val="0"/>
        <w:pageBreakBefore w:val="0"/>
        <w:wordWrap w:val="0"/>
        <w:overflowPunct/>
        <w:topLinePunct w:val="0"/>
        <w:bidi w:val="0"/>
        <w:spacing w:before="156" w:line="309" w:lineRule="auto"/>
        <w:ind w:left="8" w:right="65" w:firstLine="56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15.1.5  </w:t>
      </w:r>
      <w:r>
        <w:rPr>
          <w:rFonts w:hint="eastAsia" w:asciiTheme="minorEastAsia" w:hAnsiTheme="minorEastAsia" w:eastAsiaTheme="minorEastAsia" w:cstheme="minorEastAsia"/>
          <w:color w:val="auto"/>
          <w:spacing w:val="0"/>
          <w:sz w:val="21"/>
          <w:szCs w:val="21"/>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0218DDD3">
      <w:pPr>
        <w:keepNext w:val="0"/>
        <w:keepLines w:val="0"/>
        <w:pageBreakBefore w:val="0"/>
        <w:wordWrap w:val="0"/>
        <w:overflowPunct/>
        <w:topLinePunct w:val="0"/>
        <w:bidi w:val="0"/>
        <w:spacing w:before="79" w:line="221" w:lineRule="auto"/>
        <w:ind w:left="57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15.2  </w:t>
      </w:r>
      <w:r>
        <w:rPr>
          <w:rFonts w:hint="eastAsia" w:asciiTheme="minorEastAsia" w:hAnsiTheme="minorEastAsia" w:eastAsiaTheme="minorEastAsia" w:cstheme="minorEastAsia"/>
          <w:color w:val="auto"/>
          <w:spacing w:val="0"/>
          <w:sz w:val="21"/>
          <w:szCs w:val="21"/>
          <w:highlight w:val="none"/>
        </w:rPr>
        <w:t>评标方法</w:t>
      </w:r>
    </w:p>
    <w:p w14:paraId="2C5754FA">
      <w:pPr>
        <w:keepNext w:val="0"/>
        <w:keepLines w:val="0"/>
        <w:pageBreakBefore w:val="0"/>
        <w:wordWrap w:val="0"/>
        <w:overflowPunct/>
        <w:topLinePunct w:val="0"/>
        <w:bidi w:val="0"/>
        <w:spacing w:before="78" w:line="326" w:lineRule="auto"/>
        <w:ind w:left="231" w:right="181" w:firstLine="560"/>
        <w:rPr>
          <w:rFonts w:hint="eastAsia" w:asciiTheme="minorEastAsia" w:hAnsiTheme="minorEastAsia" w:eastAsiaTheme="minorEastAsia" w:cstheme="minorEastAsia"/>
          <w:color w:val="auto"/>
          <w:spacing w:val="0"/>
          <w:sz w:val="21"/>
          <w:szCs w:val="21"/>
          <w:highlight w:val="none"/>
        </w:rPr>
      </w:pPr>
      <w:bookmarkStart w:id="88" w:name="bookmark125"/>
      <w:bookmarkEnd w:id="88"/>
      <w:r>
        <w:rPr>
          <w:rFonts w:hint="eastAsia" w:asciiTheme="minorEastAsia" w:hAnsiTheme="minorEastAsia" w:eastAsiaTheme="minorEastAsia" w:cstheme="minorEastAsia"/>
          <w:color w:val="auto"/>
          <w:spacing w:val="0"/>
          <w:sz w:val="21"/>
          <w:szCs w:val="21"/>
          <w:highlight w:val="none"/>
        </w:rPr>
        <w:t>根据有关法律、法规的相关规定，结合本招标项目资金来源和规模特点，本次招标采用</w:t>
      </w:r>
      <w:r>
        <w:rPr>
          <w:rFonts w:hint="eastAsia" w:asciiTheme="minorEastAsia" w:hAnsiTheme="minorEastAsia" w:eastAsiaTheme="minorEastAsia" w:cstheme="minorEastAsia"/>
          <w:b/>
          <w:bCs/>
          <w:color w:val="auto"/>
          <w:spacing w:val="0"/>
          <w:sz w:val="21"/>
          <w:szCs w:val="21"/>
          <w:highlight w:val="none"/>
          <w:u w:val="single"/>
        </w:rPr>
        <w:t xml:space="preserve"> 综合评估法 </w:t>
      </w:r>
      <w:r>
        <w:rPr>
          <w:rFonts w:hint="eastAsia" w:asciiTheme="minorEastAsia" w:hAnsiTheme="minorEastAsia" w:eastAsiaTheme="minorEastAsia" w:cstheme="minorEastAsia"/>
          <w:color w:val="auto"/>
          <w:spacing w:val="0"/>
          <w:sz w:val="21"/>
          <w:szCs w:val="21"/>
          <w:highlight w:val="none"/>
          <w:u w:val="single"/>
        </w:rPr>
        <w:t>（</w:t>
      </w:r>
      <w:r>
        <w:rPr>
          <w:rFonts w:hint="eastAsia" w:asciiTheme="minorEastAsia" w:hAnsiTheme="minorEastAsia" w:eastAsiaTheme="minorEastAsia" w:cstheme="minorEastAsia"/>
          <w:color w:val="auto"/>
          <w:spacing w:val="0"/>
          <w:sz w:val="21"/>
          <w:szCs w:val="21"/>
          <w:highlight w:val="none"/>
        </w:rPr>
        <w:t>评标方法名称）进行评标。</w:t>
      </w:r>
    </w:p>
    <w:p w14:paraId="363DFF94">
      <w:pPr>
        <w:keepNext w:val="0"/>
        <w:keepLines w:val="0"/>
        <w:pageBreakBefore w:val="0"/>
        <w:wordWrap w:val="0"/>
        <w:overflowPunct/>
        <w:topLinePunct w:val="0"/>
        <w:bidi w:val="0"/>
        <w:spacing w:before="154" w:line="269" w:lineRule="auto"/>
        <w:ind w:left="220" w:right="33" w:firstLine="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15.3  </w:t>
      </w:r>
      <w:r>
        <w:rPr>
          <w:rFonts w:hint="eastAsia" w:asciiTheme="minorEastAsia" w:hAnsiTheme="minorEastAsia" w:eastAsiaTheme="minorEastAsia" w:cstheme="minorEastAsia"/>
          <w:color w:val="auto"/>
          <w:spacing w:val="0"/>
          <w:sz w:val="21"/>
          <w:szCs w:val="21"/>
          <w:highlight w:val="none"/>
        </w:rPr>
        <w:t>评审范围：评标委员会应对所有投标人的投标文件进行评审。</w:t>
      </w:r>
    </w:p>
    <w:p w14:paraId="7B6B9BE8">
      <w:pPr>
        <w:keepNext w:val="0"/>
        <w:keepLines w:val="0"/>
        <w:pageBreakBefore w:val="0"/>
        <w:wordWrap w:val="0"/>
        <w:overflowPunct/>
        <w:topLinePunct w:val="0"/>
        <w:bidi w:val="0"/>
        <w:spacing w:before="153" w:line="220" w:lineRule="auto"/>
        <w:ind w:left="71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15.4  </w:t>
      </w:r>
      <w:r>
        <w:rPr>
          <w:rFonts w:hint="eastAsia" w:asciiTheme="minorEastAsia" w:hAnsiTheme="minorEastAsia" w:eastAsiaTheme="minorEastAsia" w:cstheme="minorEastAsia"/>
          <w:color w:val="auto"/>
          <w:spacing w:val="0"/>
          <w:sz w:val="21"/>
          <w:szCs w:val="21"/>
          <w:highlight w:val="none"/>
        </w:rPr>
        <w:t>初步评审阶段</w:t>
      </w:r>
    </w:p>
    <w:p w14:paraId="1FBA0E60">
      <w:pPr>
        <w:keepNext w:val="0"/>
        <w:keepLines w:val="0"/>
        <w:pageBreakBefore w:val="0"/>
        <w:wordWrap w:val="0"/>
        <w:overflowPunct/>
        <w:topLinePunct w:val="0"/>
        <w:bidi w:val="0"/>
        <w:spacing w:before="153" w:line="220" w:lineRule="auto"/>
        <w:ind w:left="70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初步评审阶段分为资格评审、形式评审和响应性评审三个环节。</w:t>
      </w:r>
    </w:p>
    <w:p w14:paraId="5DEB02E5">
      <w:pPr>
        <w:keepNext w:val="0"/>
        <w:keepLines w:val="0"/>
        <w:pageBreakBefore w:val="0"/>
        <w:wordWrap w:val="0"/>
        <w:overflowPunct/>
        <w:topLinePunct w:val="0"/>
        <w:bidi w:val="0"/>
        <w:spacing w:before="155" w:line="279" w:lineRule="auto"/>
        <w:ind w:left="719" w:right="6040" w:rightChars="0" w:hanging="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15.4.1 </w:t>
      </w:r>
      <w:r>
        <w:rPr>
          <w:rFonts w:hint="eastAsia" w:asciiTheme="minorEastAsia" w:hAnsiTheme="minorEastAsia" w:eastAsiaTheme="minorEastAsia" w:cstheme="minorEastAsia"/>
          <w:color w:val="auto"/>
          <w:spacing w:val="0"/>
          <w:sz w:val="21"/>
          <w:szCs w:val="21"/>
          <w:highlight w:val="none"/>
        </w:rPr>
        <w:t xml:space="preserve"> 资格评审环节 资格评审事项</w:t>
      </w:r>
      <w:r>
        <w:rPr>
          <w:rFonts w:hint="eastAsia" w:asciiTheme="minorEastAsia" w:hAnsiTheme="minorEastAsia" w:eastAsiaTheme="minorEastAsia" w:cstheme="minorEastAsia"/>
          <w:color w:val="auto"/>
          <w:spacing w:val="0"/>
          <w:sz w:val="21"/>
          <w:szCs w:val="21"/>
          <w:highlight w:val="none"/>
          <w:lang w:val="en-US" w:eastAsia="zh-CN"/>
        </w:rPr>
        <w:t>包括</w:t>
      </w:r>
      <w:r>
        <w:rPr>
          <w:rFonts w:hint="eastAsia" w:asciiTheme="minorEastAsia" w:hAnsiTheme="minorEastAsia" w:eastAsiaTheme="minorEastAsia" w:cstheme="minorEastAsia"/>
          <w:color w:val="auto"/>
          <w:spacing w:val="0"/>
          <w:sz w:val="21"/>
          <w:szCs w:val="21"/>
          <w:highlight w:val="none"/>
        </w:rPr>
        <w:t>：</w:t>
      </w:r>
    </w:p>
    <w:p w14:paraId="5130811B">
      <w:pPr>
        <w:keepNext w:val="0"/>
        <w:keepLines w:val="0"/>
        <w:pageBreakBefore w:val="0"/>
        <w:wordWrap w:val="0"/>
        <w:overflowPunct/>
        <w:topLinePunct w:val="0"/>
        <w:bidi w:val="0"/>
        <w:spacing w:before="152" w:line="315" w:lineRule="auto"/>
        <w:ind w:left="231" w:firstLine="49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 xml:space="preserve">（1）投标人是否符合本章第三节第 </w:t>
      </w:r>
      <w:r>
        <w:rPr>
          <w:rFonts w:hint="eastAsia" w:asciiTheme="minorEastAsia" w:hAnsiTheme="minorEastAsia" w:eastAsiaTheme="minorEastAsia" w:cstheme="minorEastAsia"/>
          <w:b/>
          <w:bCs/>
          <w:color w:val="auto"/>
          <w:spacing w:val="0"/>
          <w:sz w:val="21"/>
          <w:szCs w:val="21"/>
          <w:highlight w:val="none"/>
        </w:rPr>
        <w:t xml:space="preserve">2.4 </w:t>
      </w:r>
      <w:r>
        <w:rPr>
          <w:rFonts w:hint="eastAsia" w:asciiTheme="minorEastAsia" w:hAnsiTheme="minorEastAsia" w:eastAsiaTheme="minorEastAsia" w:cstheme="minorEastAsia"/>
          <w:color w:val="auto"/>
          <w:spacing w:val="0"/>
          <w:sz w:val="21"/>
          <w:szCs w:val="21"/>
          <w:highlight w:val="none"/>
        </w:rPr>
        <w:t>条“禁止投标条款 ”规定。如果“禁止投标条款 ”包括失信惩戒的，投标人信用信息的获取采用现场实时查询的方式实施。由</w:t>
      </w:r>
      <w:r>
        <w:rPr>
          <w:rFonts w:hint="eastAsia" w:asciiTheme="minorEastAsia" w:hAnsiTheme="minorEastAsia" w:eastAsiaTheme="minorEastAsia" w:cstheme="minorEastAsia"/>
          <w:color w:val="auto"/>
          <w:spacing w:val="0"/>
          <w:sz w:val="21"/>
          <w:szCs w:val="21"/>
          <w:highlight w:val="none"/>
          <w:lang w:val="en-US" w:eastAsia="zh-CN"/>
        </w:rPr>
        <w:t>评标委员会</w:t>
      </w:r>
      <w:r>
        <w:rPr>
          <w:rFonts w:hint="eastAsia" w:asciiTheme="minorEastAsia" w:hAnsiTheme="minorEastAsia" w:eastAsiaTheme="minorEastAsia" w:cstheme="minorEastAsia"/>
          <w:color w:val="auto"/>
          <w:spacing w:val="0"/>
          <w:sz w:val="21"/>
          <w:szCs w:val="21"/>
          <w:highlight w:val="none"/>
        </w:rPr>
        <w:t xml:space="preserve">登录信用中国网站（https://www.creditchina.gov.cn），在企业查询界面下载和打印《法人和非法人组织公共信用信息报告》。 </w:t>
      </w:r>
    </w:p>
    <w:p w14:paraId="728630B1">
      <w:pPr>
        <w:keepNext w:val="0"/>
        <w:keepLines w:val="0"/>
        <w:pageBreakBefore w:val="0"/>
        <w:wordWrap w:val="0"/>
        <w:overflowPunct/>
        <w:topLinePunct w:val="0"/>
        <w:bidi w:val="0"/>
        <w:spacing w:before="155" w:line="219" w:lineRule="auto"/>
        <w:ind w:left="72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（2）投标人名称是否与营业执照、资质证书、安全生产许可证一致。</w:t>
      </w:r>
    </w:p>
    <w:p w14:paraId="0005DCEF">
      <w:pPr>
        <w:keepNext w:val="0"/>
        <w:keepLines w:val="0"/>
        <w:pageBreakBefore w:val="0"/>
        <w:widowControl/>
        <w:kinsoku w:val="0"/>
        <w:wordWrap w:val="0"/>
        <w:overflowPunct/>
        <w:topLinePunct w:val="0"/>
        <w:autoSpaceDE w:val="0"/>
        <w:autoSpaceDN w:val="0"/>
        <w:bidi w:val="0"/>
        <w:adjustRightInd w:val="0"/>
        <w:snapToGrid w:val="0"/>
        <w:spacing w:before="155" w:line="286" w:lineRule="auto"/>
        <w:ind w:left="232" w:right="96" w:firstLine="488"/>
        <w:textAlignment w:val="baseline"/>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（3）投标人的资质是否符合招标文件规定；其营业执照、资质证书、安全生产许可证（含实时网页查询页，可参考网址 https://zlaq.mohurd.gov.cn/fwmh/bjxcjgl/fwm</w:t>
      </w:r>
      <w:bookmarkStart w:id="89" w:name="bookmark126"/>
      <w:bookmarkEnd w:id="89"/>
      <w:r>
        <w:rPr>
          <w:rFonts w:hint="eastAsia" w:asciiTheme="minorEastAsia" w:hAnsiTheme="minorEastAsia" w:eastAsiaTheme="minorEastAsia" w:cstheme="minorEastAsia"/>
          <w:color w:val="auto"/>
          <w:spacing w:val="0"/>
          <w:position w:val="3"/>
          <w:sz w:val="21"/>
          <w:szCs w:val="21"/>
          <w:highlight w:val="none"/>
        </w:rPr>
        <w:t>h/pages/construction_safety/qyaqscxkz/qyaqscxkz）是否合法、有效、准确。</w:t>
      </w:r>
    </w:p>
    <w:p w14:paraId="0D79AE4E">
      <w:pPr>
        <w:keepNext w:val="0"/>
        <w:keepLines w:val="0"/>
        <w:pageBreakBefore w:val="0"/>
        <w:wordWrap w:val="0"/>
        <w:overflowPunct/>
        <w:topLinePunct w:val="0"/>
        <w:bidi w:val="0"/>
        <w:spacing w:before="144"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（4）《项目经理简历表》中拟派项目经理是否与《开标一览表》一致。</w:t>
      </w:r>
    </w:p>
    <w:p w14:paraId="65F44009">
      <w:pPr>
        <w:keepNext w:val="0"/>
        <w:keepLines w:val="0"/>
        <w:pageBreakBefore w:val="0"/>
        <w:wordWrap w:val="0"/>
        <w:overflowPunct/>
        <w:topLinePunct w:val="0"/>
        <w:bidi w:val="0"/>
        <w:spacing w:before="151" w:line="315" w:lineRule="auto"/>
        <w:ind w:left="11"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B6AA59F">
      <w:pPr>
        <w:keepNext w:val="0"/>
        <w:keepLines w:val="0"/>
        <w:pageBreakBefore w:val="0"/>
        <w:wordWrap w:val="0"/>
        <w:overflowPunct/>
        <w:topLinePunct w:val="0"/>
        <w:bidi w:val="0"/>
        <w:spacing w:before="156" w:line="298" w:lineRule="auto"/>
        <w:ind w:left="9"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5A101F72">
      <w:pPr>
        <w:keepNext w:val="0"/>
        <w:keepLines w:val="0"/>
        <w:pageBreakBefore w:val="0"/>
        <w:wordWrap w:val="0"/>
        <w:overflowPunct/>
        <w:topLinePunct w:val="0"/>
        <w:bidi w:val="0"/>
        <w:spacing w:before="155" w:line="360" w:lineRule="auto"/>
        <w:ind w:left="8" w:right="2" w:firstLine="49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（7）投标人为外省建筑企业的，是否按规定在“进粤企业和人员诚信信息登记平台 ”录入企业及其拟派人员有关信息并通过数据规范检查。</w:t>
      </w:r>
    </w:p>
    <w:p w14:paraId="27D85C13">
      <w:pPr>
        <w:keepNext w:val="0"/>
        <w:keepLines w:val="0"/>
        <w:pageBreakBefore w:val="0"/>
        <w:wordWrap w:val="0"/>
        <w:overflowPunct/>
        <w:topLinePunct w:val="0"/>
        <w:bidi w:val="0"/>
        <w:spacing w:before="15" w:line="360" w:lineRule="auto"/>
        <w:ind w:right="2" w:firstLine="422" w:firstLineChars="200"/>
        <w:jc w:val="both"/>
        <w:outlineLvl w:val="9"/>
        <w:rPr>
          <w:rFonts w:hint="eastAsia" w:asciiTheme="minorEastAsia" w:hAnsiTheme="minorEastAsia" w:eastAsiaTheme="minorEastAsia" w:cstheme="minorEastAsia"/>
          <w:color w:val="auto"/>
          <w:spacing w:val="0"/>
          <w:sz w:val="21"/>
          <w:szCs w:val="21"/>
          <w:highlight w:val="none"/>
        </w:rPr>
      </w:pPr>
      <w:bookmarkStart w:id="90" w:name="_Toc22778"/>
      <w:r>
        <w:rPr>
          <w:rFonts w:hint="eastAsia" w:asciiTheme="minorEastAsia" w:hAnsiTheme="minorEastAsia" w:eastAsiaTheme="minorEastAsia" w:cstheme="minorEastAsia"/>
          <w:b/>
          <w:bCs/>
          <w:color w:val="auto"/>
          <w:spacing w:val="0"/>
          <w:sz w:val="21"/>
          <w:szCs w:val="21"/>
          <w:highlight w:val="none"/>
        </w:rPr>
        <w:t xml:space="preserve">15.4.2 </w:t>
      </w:r>
      <w:r>
        <w:rPr>
          <w:rFonts w:hint="eastAsia" w:asciiTheme="minorEastAsia" w:hAnsiTheme="minorEastAsia" w:eastAsiaTheme="minorEastAsia" w:cstheme="minorEastAsia"/>
          <w:color w:val="auto"/>
          <w:spacing w:val="0"/>
          <w:sz w:val="21"/>
          <w:szCs w:val="21"/>
          <w:highlight w:val="none"/>
        </w:rPr>
        <w:t xml:space="preserve"> 形式评审环节</w:t>
      </w:r>
    </w:p>
    <w:p w14:paraId="538D683F">
      <w:pPr>
        <w:keepNext w:val="0"/>
        <w:keepLines w:val="0"/>
        <w:pageBreakBefore w:val="0"/>
        <w:wordWrap w:val="0"/>
        <w:overflowPunct/>
        <w:topLinePunct w:val="0"/>
        <w:bidi w:val="0"/>
        <w:spacing w:before="15" w:line="360" w:lineRule="auto"/>
        <w:ind w:right="2" w:firstLine="420" w:firstLineChars="200"/>
        <w:jc w:val="both"/>
        <w:outlineLvl w:val="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形式评审事</w:t>
      </w:r>
      <w:r>
        <w:rPr>
          <w:rFonts w:hint="eastAsia" w:asciiTheme="minorEastAsia" w:hAnsiTheme="minorEastAsia" w:eastAsiaTheme="minorEastAsia" w:cstheme="minorEastAsia"/>
          <w:color w:val="auto"/>
          <w:spacing w:val="0"/>
          <w:sz w:val="21"/>
          <w:szCs w:val="21"/>
          <w:highlight w:val="none"/>
          <w:lang w:eastAsia="zh-CN"/>
        </w:rPr>
        <w:t>项包括</w:t>
      </w:r>
      <w:bookmarkEnd w:id="90"/>
      <w:r>
        <w:rPr>
          <w:rFonts w:hint="eastAsia" w:asciiTheme="minorEastAsia" w:hAnsiTheme="minorEastAsia" w:eastAsiaTheme="minorEastAsia" w:cstheme="minorEastAsia"/>
          <w:color w:val="auto"/>
          <w:spacing w:val="0"/>
          <w:sz w:val="21"/>
          <w:szCs w:val="21"/>
          <w:highlight w:val="none"/>
          <w:lang w:eastAsia="zh-CN"/>
        </w:rPr>
        <w:t>：</w:t>
      </w:r>
    </w:p>
    <w:p w14:paraId="34391324">
      <w:pPr>
        <w:keepNext w:val="0"/>
        <w:keepLines w:val="0"/>
        <w:pageBreakBefore w:val="0"/>
        <w:wordWrap w:val="0"/>
        <w:overflowPunct/>
        <w:topLinePunct w:val="0"/>
        <w:bidi w:val="0"/>
        <w:spacing w:before="40" w:line="360" w:lineRule="auto"/>
        <w:ind w:left="501"/>
        <w:outlineLvl w:val="9"/>
        <w:rPr>
          <w:rFonts w:hint="eastAsia" w:asciiTheme="minorEastAsia" w:hAnsiTheme="minorEastAsia" w:eastAsiaTheme="minorEastAsia" w:cstheme="minorEastAsia"/>
          <w:color w:val="auto"/>
          <w:spacing w:val="0"/>
          <w:sz w:val="21"/>
          <w:szCs w:val="21"/>
          <w:highlight w:val="none"/>
        </w:rPr>
      </w:pPr>
      <w:bookmarkStart w:id="91" w:name="_Toc20481"/>
      <w:bookmarkStart w:id="92" w:name="_Toc4914"/>
      <w:bookmarkStart w:id="93" w:name="_Toc13304"/>
      <w:bookmarkStart w:id="94" w:name="_Toc23632"/>
      <w:r>
        <w:rPr>
          <w:rFonts w:hint="eastAsia" w:asciiTheme="minorEastAsia" w:hAnsiTheme="minorEastAsia" w:eastAsiaTheme="minorEastAsia" w:cstheme="minorEastAsia"/>
          <w:color w:val="auto"/>
          <w:spacing w:val="0"/>
          <w:sz w:val="21"/>
          <w:szCs w:val="21"/>
          <w:highlight w:val="none"/>
        </w:rPr>
        <w:t>（1）各分册是否按招标文件规定加盖电子印章。</w:t>
      </w:r>
      <w:bookmarkEnd w:id="91"/>
      <w:bookmarkEnd w:id="92"/>
      <w:bookmarkEnd w:id="93"/>
      <w:bookmarkEnd w:id="94"/>
    </w:p>
    <w:p w14:paraId="520690F7">
      <w:pPr>
        <w:keepNext w:val="0"/>
        <w:keepLines w:val="0"/>
        <w:pageBreakBefore w:val="0"/>
        <w:wordWrap w:val="0"/>
        <w:overflowPunct/>
        <w:topLinePunct w:val="0"/>
        <w:bidi w:val="0"/>
        <w:spacing w:before="15" w:line="360" w:lineRule="auto"/>
        <w:ind w:firstLine="420" w:firstLineChars="200"/>
        <w:outlineLvl w:val="9"/>
        <w:rPr>
          <w:rFonts w:hint="eastAsia" w:asciiTheme="minorEastAsia" w:hAnsiTheme="minorEastAsia" w:eastAsiaTheme="minorEastAsia" w:cstheme="minorEastAsia"/>
          <w:color w:val="auto"/>
          <w:spacing w:val="0"/>
          <w:sz w:val="21"/>
          <w:szCs w:val="21"/>
          <w:highlight w:val="none"/>
          <w:lang w:eastAsia="zh-CN"/>
        </w:rPr>
      </w:pPr>
      <w:bookmarkStart w:id="95" w:name="_Toc27432"/>
      <w:bookmarkStart w:id="96" w:name="_Toc28409"/>
      <w:bookmarkStart w:id="97" w:name="_Toc10806"/>
      <w:bookmarkStart w:id="98" w:name="_Toc12756"/>
      <w:r>
        <w:rPr>
          <w:rFonts w:hint="eastAsia" w:asciiTheme="minorEastAsia" w:hAnsiTheme="minorEastAsia" w:eastAsiaTheme="minorEastAsia" w:cstheme="minorEastAsia"/>
          <w:color w:val="auto"/>
          <w:spacing w:val="0"/>
          <w:sz w:val="21"/>
          <w:szCs w:val="21"/>
          <w:highlight w:val="none"/>
        </w:rPr>
        <w:t xml:space="preserve">（2）本节第 </w:t>
      </w:r>
      <w:r>
        <w:rPr>
          <w:rFonts w:hint="eastAsia" w:asciiTheme="minorEastAsia" w:hAnsiTheme="minorEastAsia" w:eastAsiaTheme="minorEastAsia" w:cstheme="minorEastAsia"/>
          <w:b/>
          <w:bCs/>
          <w:color w:val="auto"/>
          <w:spacing w:val="0"/>
          <w:sz w:val="21"/>
          <w:szCs w:val="21"/>
          <w:highlight w:val="none"/>
        </w:rPr>
        <w:t>10.2.2</w:t>
      </w:r>
      <w:r>
        <w:rPr>
          <w:rFonts w:hint="eastAsia" w:asciiTheme="minorEastAsia" w:hAnsiTheme="minorEastAsia" w:eastAsiaTheme="minorEastAsia" w:cstheme="minorEastAsia"/>
          <w:color w:val="auto"/>
          <w:spacing w:val="0"/>
          <w:sz w:val="21"/>
          <w:szCs w:val="21"/>
          <w:highlight w:val="none"/>
        </w:rPr>
        <w:t xml:space="preserve">  目、第 </w:t>
      </w:r>
      <w:r>
        <w:rPr>
          <w:rFonts w:hint="eastAsia" w:asciiTheme="minorEastAsia" w:hAnsiTheme="minorEastAsia" w:eastAsiaTheme="minorEastAsia" w:cstheme="minorEastAsia"/>
          <w:b/>
          <w:bCs/>
          <w:color w:val="auto"/>
          <w:spacing w:val="0"/>
          <w:sz w:val="21"/>
          <w:szCs w:val="21"/>
          <w:highlight w:val="none"/>
        </w:rPr>
        <w:t>10.3.2</w:t>
      </w:r>
      <w:r>
        <w:rPr>
          <w:rFonts w:hint="eastAsia" w:asciiTheme="minorEastAsia" w:hAnsiTheme="minorEastAsia" w:eastAsiaTheme="minorEastAsia" w:cstheme="minorEastAsia"/>
          <w:color w:val="auto"/>
          <w:spacing w:val="0"/>
          <w:sz w:val="21"/>
          <w:szCs w:val="21"/>
          <w:highlight w:val="none"/>
        </w:rPr>
        <w:t xml:space="preserve">  目、第 </w:t>
      </w:r>
      <w:r>
        <w:rPr>
          <w:rFonts w:hint="eastAsia" w:asciiTheme="minorEastAsia" w:hAnsiTheme="minorEastAsia" w:eastAsiaTheme="minorEastAsia" w:cstheme="minorEastAsia"/>
          <w:b/>
          <w:bCs/>
          <w:color w:val="auto"/>
          <w:spacing w:val="0"/>
          <w:sz w:val="21"/>
          <w:szCs w:val="21"/>
          <w:highlight w:val="none"/>
        </w:rPr>
        <w:t>10.4.3</w:t>
      </w:r>
      <w:r>
        <w:rPr>
          <w:rFonts w:hint="eastAsia" w:asciiTheme="minorEastAsia" w:hAnsiTheme="minorEastAsia" w:eastAsiaTheme="minorEastAsia" w:cstheme="minorEastAsia"/>
          <w:color w:val="auto"/>
          <w:spacing w:val="0"/>
          <w:sz w:val="21"/>
          <w:szCs w:val="21"/>
          <w:highlight w:val="none"/>
        </w:rPr>
        <w:t xml:space="preserve">  目中规定的“所有投标人均应提</w:t>
      </w:r>
      <w:bookmarkEnd w:id="95"/>
      <w:bookmarkEnd w:id="96"/>
      <w:bookmarkEnd w:id="97"/>
      <w:r>
        <w:rPr>
          <w:rFonts w:hint="eastAsia" w:asciiTheme="minorEastAsia" w:hAnsiTheme="minorEastAsia" w:eastAsiaTheme="minorEastAsia" w:cstheme="minorEastAsia"/>
          <w:color w:val="auto"/>
          <w:spacing w:val="0"/>
          <w:sz w:val="21"/>
          <w:szCs w:val="21"/>
          <w:highlight w:val="none"/>
        </w:rPr>
        <w:t>供 ”的组成内容（包括该组成内容的所附资料）是否完整、齐全</w:t>
      </w:r>
      <w:bookmarkEnd w:id="98"/>
      <w:r>
        <w:rPr>
          <w:rFonts w:hint="eastAsia" w:asciiTheme="minorEastAsia" w:hAnsiTheme="minorEastAsia" w:eastAsiaTheme="minorEastAsia" w:cstheme="minorEastAsia"/>
          <w:color w:val="auto"/>
          <w:spacing w:val="0"/>
          <w:sz w:val="21"/>
          <w:szCs w:val="21"/>
          <w:highlight w:val="none"/>
          <w:lang w:eastAsia="zh-CN"/>
        </w:rPr>
        <w:t>。</w:t>
      </w:r>
    </w:p>
    <w:p w14:paraId="05B14185">
      <w:pPr>
        <w:keepNext w:val="0"/>
        <w:keepLines w:val="0"/>
        <w:pageBreakBefore w:val="0"/>
        <w:wordWrap w:val="0"/>
        <w:overflowPunct/>
        <w:topLinePunct w:val="0"/>
        <w:bidi w:val="0"/>
        <w:spacing w:before="15" w:line="360" w:lineRule="auto"/>
        <w:ind w:right="2" w:firstLine="420" w:firstLineChars="200"/>
        <w:jc w:val="both"/>
        <w:outlineLvl w:val="9"/>
        <w:rPr>
          <w:rFonts w:hint="eastAsia" w:asciiTheme="minorEastAsia" w:hAnsiTheme="minorEastAsia" w:eastAsiaTheme="minorEastAsia" w:cstheme="minorEastAsia"/>
          <w:color w:val="auto"/>
          <w:spacing w:val="0"/>
          <w:sz w:val="21"/>
          <w:szCs w:val="21"/>
          <w:highlight w:val="none"/>
        </w:rPr>
      </w:pPr>
      <w:bookmarkStart w:id="99" w:name="_Toc15678"/>
      <w:bookmarkStart w:id="100" w:name="_Toc9581"/>
      <w:bookmarkStart w:id="101" w:name="_Toc22691"/>
      <w:bookmarkStart w:id="102" w:name="_Toc17918"/>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rPr>
        <w:t>施工组织设计采用“暗标 ”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bookmarkEnd w:id="99"/>
      <w:bookmarkEnd w:id="100"/>
      <w:bookmarkEnd w:id="101"/>
      <w:bookmarkEnd w:id="102"/>
    </w:p>
    <w:p w14:paraId="3977A564">
      <w:pPr>
        <w:keepNext w:val="0"/>
        <w:keepLines w:val="0"/>
        <w:pageBreakBefore w:val="0"/>
        <w:wordWrap w:val="0"/>
        <w:overflowPunct/>
        <w:topLinePunct w:val="0"/>
        <w:bidi w:val="0"/>
        <w:spacing w:before="15" w:line="360" w:lineRule="auto"/>
        <w:ind w:right="2" w:firstLine="422" w:firstLineChars="200"/>
        <w:jc w:val="both"/>
        <w:outlineLvl w:val="9"/>
        <w:rPr>
          <w:rFonts w:hint="eastAsia" w:asciiTheme="minorEastAsia" w:hAnsiTheme="minorEastAsia" w:eastAsiaTheme="minorEastAsia" w:cstheme="minorEastAsia"/>
          <w:color w:val="auto"/>
          <w:spacing w:val="0"/>
          <w:sz w:val="21"/>
          <w:szCs w:val="21"/>
          <w:highlight w:val="none"/>
        </w:rPr>
      </w:pPr>
      <w:bookmarkStart w:id="103" w:name="_Toc14202"/>
      <w:bookmarkStart w:id="104" w:name="_Toc22642"/>
      <w:bookmarkStart w:id="105" w:name="_Toc22562"/>
      <w:bookmarkStart w:id="106" w:name="_Toc16645"/>
      <w:r>
        <w:rPr>
          <w:rFonts w:hint="eastAsia" w:asciiTheme="minorEastAsia" w:hAnsiTheme="minorEastAsia" w:eastAsiaTheme="minorEastAsia" w:cstheme="minorEastAsia"/>
          <w:b/>
          <w:bCs/>
          <w:color w:val="auto"/>
          <w:spacing w:val="0"/>
          <w:sz w:val="21"/>
          <w:szCs w:val="21"/>
          <w:highlight w:val="none"/>
        </w:rPr>
        <w:t xml:space="preserve">15.4.3  </w:t>
      </w:r>
      <w:r>
        <w:rPr>
          <w:rFonts w:hint="eastAsia" w:asciiTheme="minorEastAsia" w:hAnsiTheme="minorEastAsia" w:eastAsiaTheme="minorEastAsia" w:cstheme="minorEastAsia"/>
          <w:color w:val="auto"/>
          <w:spacing w:val="0"/>
          <w:sz w:val="21"/>
          <w:szCs w:val="21"/>
          <w:highlight w:val="none"/>
        </w:rPr>
        <w:t xml:space="preserve">响应性评审环节 </w:t>
      </w:r>
    </w:p>
    <w:p w14:paraId="0F458088">
      <w:pPr>
        <w:keepNext w:val="0"/>
        <w:keepLines w:val="0"/>
        <w:pageBreakBefore w:val="0"/>
        <w:wordWrap w:val="0"/>
        <w:overflowPunct/>
        <w:topLinePunct w:val="0"/>
        <w:bidi w:val="0"/>
        <w:spacing w:before="15" w:line="360" w:lineRule="auto"/>
        <w:ind w:right="2" w:firstLine="420" w:firstLineChars="200"/>
        <w:jc w:val="both"/>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响应性评项包括：</w:t>
      </w:r>
      <w:bookmarkEnd w:id="103"/>
      <w:bookmarkEnd w:id="104"/>
      <w:bookmarkEnd w:id="105"/>
      <w:bookmarkEnd w:id="106"/>
    </w:p>
    <w:p w14:paraId="5561F996">
      <w:pPr>
        <w:keepNext w:val="0"/>
        <w:keepLines w:val="0"/>
        <w:pageBreakBefore w:val="0"/>
        <w:wordWrap w:val="0"/>
        <w:overflowPunct/>
        <w:topLinePunct w:val="0"/>
        <w:bidi w:val="0"/>
        <w:spacing w:before="155" w:line="360" w:lineRule="auto"/>
        <w:ind w:left="9"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（1）投标有效期、质量标准、工期等是否响应招标文件实质性要求；是否擅自修改、遗漏《投标函》《各项承诺一览表》的实质性内容。</w:t>
      </w:r>
    </w:p>
    <w:p w14:paraId="7775EB70">
      <w:pPr>
        <w:keepNext w:val="0"/>
        <w:keepLines w:val="0"/>
        <w:pageBreakBefore w:val="0"/>
        <w:wordWrap w:val="0"/>
        <w:overflowPunct/>
        <w:topLinePunct w:val="0"/>
        <w:bidi w:val="0"/>
        <w:spacing w:before="152" w:line="36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（2）编制《投标总价》的造价工程师，其注册证书是否合法、有效。</w:t>
      </w:r>
    </w:p>
    <w:p w14:paraId="2AFE4497">
      <w:pPr>
        <w:keepNext w:val="0"/>
        <w:keepLines w:val="0"/>
        <w:pageBreakBefore w:val="0"/>
        <w:wordWrap w:val="0"/>
        <w:overflowPunct/>
        <w:topLinePunct w:val="0"/>
        <w:bidi w:val="0"/>
        <w:spacing w:before="158" w:line="360" w:lineRule="auto"/>
        <w:ind w:left="21" w:right="2" w:firstLine="4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（3）投标人委托造价咨询单位编制《投标总价》的，是否在《投标总价扉页》（即扉—3）“投标人 ”栏目加盖造价咨询人公章；是否提供造价咨询人的营业执照副本彩色扫描件；</w:t>
      </w:r>
    </w:p>
    <w:p w14:paraId="4867CBE1">
      <w:pPr>
        <w:keepNext w:val="0"/>
        <w:keepLines w:val="0"/>
        <w:pageBreakBefore w:val="0"/>
        <w:wordWrap w:val="0"/>
        <w:overflowPunct/>
        <w:topLinePunct w:val="0"/>
        <w:bidi w:val="0"/>
        <w:spacing w:before="158" w:line="328" w:lineRule="auto"/>
        <w:ind w:left="9" w:firstLine="491"/>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（4）投标总价是否唯一；投标总价是否超出</w:t>
      </w:r>
      <w:r>
        <w:rPr>
          <w:rFonts w:hint="eastAsia" w:asciiTheme="minorEastAsia" w:hAnsiTheme="minorEastAsia" w:eastAsiaTheme="minorEastAsia" w:cstheme="minorEastAsia"/>
          <w:b/>
          <w:bCs/>
          <w:color w:val="auto"/>
          <w:spacing w:val="0"/>
          <w:sz w:val="21"/>
          <w:szCs w:val="21"/>
          <w:highlight w:val="none"/>
          <w:lang w:val="en-US" w:eastAsia="zh-CN"/>
        </w:rPr>
        <w:t>最高投标限价</w:t>
      </w:r>
      <w:r>
        <w:rPr>
          <w:rFonts w:hint="eastAsia" w:asciiTheme="minorEastAsia" w:hAnsiTheme="minorEastAsia" w:eastAsiaTheme="minorEastAsia" w:cstheme="minorEastAsia"/>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lang w:eastAsia="zh-CN"/>
        </w:rPr>
        <w:t>安全生产措施费</w:t>
      </w:r>
      <w:r>
        <w:rPr>
          <w:rFonts w:hint="eastAsia" w:asciiTheme="minorEastAsia" w:hAnsiTheme="minorEastAsia" w:eastAsiaTheme="minorEastAsia" w:cstheme="minorEastAsia"/>
          <w:color w:val="auto"/>
          <w:spacing w:val="0"/>
          <w:sz w:val="21"/>
          <w:szCs w:val="21"/>
          <w:highlight w:val="none"/>
        </w:rPr>
        <w:t>是否达到最低要求；暂列金额、暂估价是否按照招标工程量清单统一报价；投标人是否以低于成本的价格竞标。</w:t>
      </w:r>
    </w:p>
    <w:p w14:paraId="0AC8C74D">
      <w:pPr>
        <w:keepNext w:val="0"/>
        <w:keepLines w:val="0"/>
        <w:pageBreakBefore w:val="0"/>
        <w:wordWrap w:val="0"/>
        <w:overflowPunct/>
        <w:topLinePunct w:val="0"/>
        <w:bidi w:val="0"/>
        <w:spacing w:before="38" w:line="360" w:lineRule="auto"/>
        <w:ind w:right="2" w:firstLine="422" w:firstLineChars="200"/>
        <w:jc w:val="both"/>
        <w:rPr>
          <w:rFonts w:hint="eastAsia" w:asciiTheme="minorEastAsia" w:hAnsiTheme="minorEastAsia" w:eastAsiaTheme="minorEastAsia" w:cstheme="minorEastAsia"/>
          <w:color w:val="auto"/>
          <w:spacing w:val="0"/>
          <w:position w:val="-8"/>
          <w:sz w:val="21"/>
          <w:szCs w:val="21"/>
          <w:highlight w:val="none"/>
        </w:rPr>
      </w:pPr>
      <w:r>
        <w:rPr>
          <w:rFonts w:hint="eastAsia" w:asciiTheme="minorEastAsia" w:hAnsiTheme="minorEastAsia" w:eastAsiaTheme="minorEastAsia" w:cstheme="minorEastAsia"/>
          <w:b/>
          <w:bCs/>
          <w:color w:val="auto"/>
          <w:spacing w:val="0"/>
          <w:sz w:val="21"/>
          <w:szCs w:val="21"/>
          <w:highlight w:val="none"/>
        </w:rPr>
        <w:t>注：如果某投标人的投标总价下浮率超过</w:t>
      </w:r>
      <w:r>
        <w:rPr>
          <w:rFonts w:hint="eastAsia" w:asciiTheme="minorEastAsia" w:hAnsiTheme="minorEastAsia" w:eastAsiaTheme="minorEastAsia" w:cstheme="minorEastAsia"/>
          <w:color w:val="auto"/>
          <w:spacing w:val="0"/>
          <w:sz w:val="21"/>
          <w:szCs w:val="21"/>
          <w:highlight w:val="none"/>
        </w:rPr>
        <w:t xml:space="preserve"> </w:t>
      </w:r>
      <w:r>
        <w:rPr>
          <w:rFonts w:hint="eastAsia" w:asciiTheme="minorEastAsia" w:hAnsiTheme="minorEastAsia" w:eastAsiaTheme="minorEastAsia" w:cstheme="minorEastAsia"/>
          <w:b/>
          <w:bCs/>
          <w:color w:val="auto"/>
          <w:spacing w:val="0"/>
          <w:sz w:val="21"/>
          <w:szCs w:val="21"/>
          <w:highlight w:val="none"/>
        </w:rPr>
        <w:t>15% ，又未提供相应书面说明和佐证</w:t>
      </w:r>
      <w:bookmarkStart w:id="107" w:name="bookmark127"/>
      <w:bookmarkEnd w:id="107"/>
      <w:r>
        <w:rPr>
          <w:rFonts w:hint="eastAsia" w:asciiTheme="minorEastAsia" w:hAnsiTheme="minorEastAsia" w:eastAsiaTheme="minorEastAsia" w:cstheme="minorEastAsia"/>
          <w:b/>
          <w:bCs/>
          <w:color w:val="auto"/>
          <w:spacing w:val="0"/>
          <w:sz w:val="21"/>
          <w:szCs w:val="21"/>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Theme="minorEastAsia" w:hAnsiTheme="minorEastAsia" w:eastAsiaTheme="minorEastAsia" w:cstheme="minorEastAsia"/>
          <w:b/>
          <w:bCs/>
          <w:color w:val="auto"/>
          <w:spacing w:val="0"/>
          <w:sz w:val="21"/>
          <w:szCs w:val="21"/>
          <w:highlight w:val="none"/>
          <w:lang w:eastAsia="zh-CN"/>
        </w:rPr>
        <w:t>最高投标限价</w:t>
      </w:r>
      <w:r>
        <w:rPr>
          <w:rFonts w:hint="eastAsia" w:asciiTheme="minorEastAsia" w:hAnsiTheme="minorEastAsia" w:eastAsiaTheme="minorEastAsia" w:cstheme="minorEastAsia"/>
          <w:b/>
          <w:bCs/>
          <w:color w:val="auto"/>
          <w:spacing w:val="0"/>
          <w:sz w:val="21"/>
          <w:szCs w:val="21"/>
          <w:highlight w:val="none"/>
        </w:rPr>
        <w:t>）×100% 。</w:t>
      </w:r>
    </w:p>
    <w:p w14:paraId="286D49E6">
      <w:pPr>
        <w:keepNext w:val="0"/>
        <w:keepLines w:val="0"/>
        <w:pageBreakBefore w:val="0"/>
        <w:wordWrap w:val="0"/>
        <w:overflowPunct/>
        <w:topLinePunct w:val="0"/>
        <w:bidi w:val="0"/>
        <w:spacing w:before="157" w:line="360" w:lineRule="auto"/>
        <w:ind w:left="11" w:right="114" w:firstLine="438" w:firstLineChars="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（5）施工组织设计的质量、进度保障措施是否符合国家和省市现行有关规范、规定、标准，是否能实现工程质量、进度管理目标。</w:t>
      </w:r>
    </w:p>
    <w:p w14:paraId="725908AF">
      <w:pPr>
        <w:keepNext w:val="0"/>
        <w:keepLines w:val="0"/>
        <w:pageBreakBefore w:val="0"/>
        <w:wordWrap w:val="0"/>
        <w:overflowPunct/>
        <w:topLinePunct w:val="0"/>
        <w:bidi w:val="0"/>
        <w:spacing w:before="82" w:line="211" w:lineRule="auto"/>
        <w:ind w:left="580"/>
        <w:outlineLvl w:val="9"/>
        <w:rPr>
          <w:rFonts w:hint="eastAsia" w:asciiTheme="minorEastAsia" w:hAnsiTheme="minorEastAsia" w:eastAsiaTheme="minorEastAsia" w:cstheme="minorEastAsia"/>
          <w:color w:val="auto"/>
          <w:spacing w:val="0"/>
          <w:sz w:val="21"/>
          <w:szCs w:val="21"/>
          <w:highlight w:val="none"/>
        </w:rPr>
      </w:pPr>
      <w:bookmarkStart w:id="108" w:name="_Toc15367"/>
      <w:bookmarkStart w:id="109" w:name="_Toc18204"/>
      <w:bookmarkStart w:id="110" w:name="_Toc19814"/>
      <w:bookmarkStart w:id="111" w:name="_Toc32114"/>
      <w:r>
        <w:rPr>
          <w:rFonts w:hint="eastAsia" w:asciiTheme="minorEastAsia" w:hAnsiTheme="minorEastAsia" w:eastAsiaTheme="minorEastAsia" w:cstheme="minorEastAsia"/>
          <w:b/>
          <w:bCs/>
          <w:color w:val="auto"/>
          <w:spacing w:val="0"/>
          <w:sz w:val="21"/>
          <w:szCs w:val="21"/>
          <w:highlight w:val="none"/>
        </w:rPr>
        <w:t xml:space="preserve">15.4.4  </w:t>
      </w:r>
      <w:r>
        <w:rPr>
          <w:rFonts w:hint="eastAsia" w:asciiTheme="minorEastAsia" w:hAnsiTheme="minorEastAsia" w:eastAsiaTheme="minorEastAsia" w:cstheme="minorEastAsia"/>
          <w:color w:val="auto"/>
          <w:spacing w:val="0"/>
          <w:sz w:val="21"/>
          <w:szCs w:val="21"/>
          <w:highlight w:val="none"/>
        </w:rPr>
        <w:t>否决投标说明</w:t>
      </w:r>
      <w:bookmarkEnd w:id="108"/>
      <w:bookmarkEnd w:id="109"/>
      <w:bookmarkEnd w:id="110"/>
      <w:bookmarkEnd w:id="111"/>
    </w:p>
    <w:p w14:paraId="7081B84C">
      <w:pPr>
        <w:keepNext w:val="0"/>
        <w:keepLines w:val="0"/>
        <w:pageBreakBefore w:val="0"/>
        <w:wordWrap w:val="0"/>
        <w:overflowPunct/>
        <w:topLinePunct w:val="0"/>
        <w:bidi w:val="0"/>
        <w:spacing w:before="152" w:line="333" w:lineRule="auto"/>
        <w:ind w:left="11" w:right="175" w:firstLine="56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初步评审阶段各个环节否决投标的全部条件，在本章第四节“否决投标条件 ”第</w:t>
      </w:r>
      <w:r>
        <w:rPr>
          <w:rFonts w:hint="eastAsia" w:asciiTheme="minorEastAsia" w:hAnsiTheme="minorEastAsia" w:eastAsiaTheme="minorEastAsia" w:cstheme="minorEastAsia"/>
          <w:b/>
          <w:bCs/>
          <w:color w:val="auto"/>
          <w:spacing w:val="0"/>
          <w:sz w:val="21"/>
          <w:szCs w:val="21"/>
          <w:highlight w:val="none"/>
        </w:rPr>
        <w:t xml:space="preserve">1 </w:t>
      </w:r>
      <w:r>
        <w:rPr>
          <w:rFonts w:hint="eastAsia" w:asciiTheme="minorEastAsia" w:hAnsiTheme="minorEastAsia" w:eastAsiaTheme="minorEastAsia" w:cstheme="minorEastAsia"/>
          <w:color w:val="auto"/>
          <w:spacing w:val="0"/>
          <w:sz w:val="21"/>
          <w:szCs w:val="21"/>
          <w:highlight w:val="none"/>
        </w:rPr>
        <w:t xml:space="preserve">条至第 </w:t>
      </w:r>
      <w:r>
        <w:rPr>
          <w:rFonts w:hint="eastAsia" w:asciiTheme="minorEastAsia" w:hAnsiTheme="minorEastAsia" w:eastAsiaTheme="minorEastAsia" w:cstheme="minorEastAsia"/>
          <w:b/>
          <w:bCs/>
          <w:color w:val="auto"/>
          <w:spacing w:val="0"/>
          <w:sz w:val="21"/>
          <w:szCs w:val="21"/>
          <w:highlight w:val="none"/>
        </w:rPr>
        <w:t xml:space="preserve">4 </w:t>
      </w:r>
      <w:r>
        <w:rPr>
          <w:rFonts w:hint="eastAsia" w:asciiTheme="minorEastAsia" w:hAnsiTheme="minorEastAsia" w:eastAsiaTheme="minorEastAsia" w:cstheme="minorEastAsia"/>
          <w:color w:val="auto"/>
          <w:spacing w:val="0"/>
          <w:sz w:val="21"/>
          <w:szCs w:val="21"/>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评标委员会经评审，认为所有投标都不符合招标文件要求的，可否决所有投标，项目的所有投标被否决的，招标人应依法重新组织招标。</w:t>
      </w:r>
    </w:p>
    <w:p w14:paraId="574EB0D7">
      <w:pPr>
        <w:keepNext w:val="0"/>
        <w:keepLines w:val="0"/>
        <w:pageBreakBefore w:val="0"/>
        <w:wordWrap w:val="0"/>
        <w:overflowPunct/>
        <w:topLinePunct w:val="0"/>
        <w:bidi w:val="0"/>
        <w:spacing w:before="78" w:line="221" w:lineRule="auto"/>
        <w:ind w:left="57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drawing>
          <wp:anchor distT="0" distB="0" distL="114300" distR="114300" simplePos="0" relativeHeight="251663360"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9"/>
                    <a:stretch>
                      <a:fillRect/>
                    </a:stretch>
                  </pic:blipFill>
                  <pic:spPr>
                    <a:xfrm>
                      <a:off x="0" y="0"/>
                      <a:ext cx="6350" cy="279400"/>
                    </a:xfrm>
                    <a:prstGeom prst="rect">
                      <a:avLst/>
                    </a:prstGeom>
                    <a:noFill/>
                    <a:ln>
                      <a:noFill/>
                    </a:ln>
                  </pic:spPr>
                </pic:pic>
              </a:graphicData>
            </a:graphic>
          </wp:anchor>
        </w:drawing>
      </w:r>
      <w:bookmarkStart w:id="112" w:name="bookmark128"/>
      <w:bookmarkEnd w:id="112"/>
      <w:r>
        <w:rPr>
          <w:rFonts w:hint="eastAsia" w:asciiTheme="minorEastAsia" w:hAnsiTheme="minorEastAsia" w:eastAsiaTheme="minorEastAsia" w:cstheme="minorEastAsia"/>
          <w:b/>
          <w:bCs/>
          <w:color w:val="auto"/>
          <w:spacing w:val="0"/>
          <w:sz w:val="21"/>
          <w:szCs w:val="21"/>
          <w:highlight w:val="none"/>
        </w:rPr>
        <w:t xml:space="preserve">15.5  </w:t>
      </w:r>
      <w:r>
        <w:rPr>
          <w:rFonts w:hint="eastAsia" w:asciiTheme="minorEastAsia" w:hAnsiTheme="minorEastAsia" w:eastAsiaTheme="minorEastAsia" w:cstheme="minorEastAsia"/>
          <w:color w:val="auto"/>
          <w:spacing w:val="0"/>
          <w:sz w:val="21"/>
          <w:szCs w:val="21"/>
          <w:highlight w:val="none"/>
        </w:rPr>
        <w:t>详细评审阶段</w:t>
      </w:r>
    </w:p>
    <w:p w14:paraId="51ACD90B">
      <w:pPr>
        <w:keepNext w:val="0"/>
        <w:keepLines w:val="0"/>
        <w:pageBreakBefore w:val="0"/>
        <w:wordWrap w:val="0"/>
        <w:overflowPunct/>
        <w:topLinePunct w:val="0"/>
        <w:bidi w:val="0"/>
        <w:spacing w:before="81" w:line="211" w:lineRule="auto"/>
        <w:ind w:left="498"/>
        <w:outlineLvl w:val="9"/>
        <w:rPr>
          <w:rFonts w:hint="eastAsia" w:asciiTheme="minorEastAsia" w:hAnsiTheme="minorEastAsia" w:eastAsiaTheme="minorEastAsia" w:cstheme="minorEastAsia"/>
          <w:color w:val="auto"/>
          <w:spacing w:val="0"/>
          <w:sz w:val="21"/>
          <w:szCs w:val="21"/>
          <w:highlight w:val="none"/>
        </w:rPr>
      </w:pPr>
      <w:bookmarkStart w:id="113" w:name="_Toc10503"/>
      <w:bookmarkStart w:id="114" w:name="_Toc4119"/>
      <w:bookmarkStart w:id="115" w:name="_Toc28572"/>
      <w:bookmarkStart w:id="116" w:name="_Toc14991"/>
      <w:r>
        <w:rPr>
          <w:rFonts w:hint="eastAsia" w:asciiTheme="minorEastAsia" w:hAnsiTheme="minorEastAsia" w:eastAsiaTheme="minorEastAsia" w:cstheme="minorEastAsia"/>
          <w:b/>
          <w:bCs/>
          <w:color w:val="auto"/>
          <w:spacing w:val="0"/>
          <w:sz w:val="21"/>
          <w:szCs w:val="21"/>
          <w:highlight w:val="none"/>
        </w:rPr>
        <w:t xml:space="preserve">15.5.1  </w:t>
      </w:r>
      <w:r>
        <w:rPr>
          <w:rFonts w:hint="eastAsia" w:asciiTheme="minorEastAsia" w:hAnsiTheme="minorEastAsia" w:eastAsiaTheme="minorEastAsia" w:cstheme="minorEastAsia"/>
          <w:color w:val="auto"/>
          <w:spacing w:val="0"/>
          <w:sz w:val="21"/>
          <w:szCs w:val="21"/>
          <w:highlight w:val="none"/>
        </w:rPr>
        <w:t>“综合评估法 ”评审程序</w:t>
      </w:r>
      <w:bookmarkEnd w:id="113"/>
      <w:bookmarkEnd w:id="114"/>
      <w:bookmarkEnd w:id="115"/>
      <w:bookmarkEnd w:id="116"/>
    </w:p>
    <w:p w14:paraId="4F06FA8C">
      <w:pPr>
        <w:keepNext w:val="0"/>
        <w:keepLines w:val="0"/>
        <w:pageBreakBefore w:val="0"/>
        <w:wordWrap w:val="0"/>
        <w:overflowPunct/>
        <w:topLinePunct w:val="0"/>
        <w:bidi w:val="0"/>
        <w:spacing w:before="152" w:line="329" w:lineRule="auto"/>
        <w:ind w:left="14" w:right="81" w:firstLine="47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评审内容分为商务技术和投标报价两大部分。其中，商务技术合计满分</w:t>
      </w:r>
      <w:r>
        <w:rPr>
          <w:rFonts w:hint="eastAsia" w:asciiTheme="minorEastAsia" w:hAnsiTheme="minorEastAsia" w:eastAsiaTheme="minorEastAsia" w:cstheme="minorEastAsia"/>
          <w:color w:val="auto"/>
          <w:spacing w:val="0"/>
          <w:sz w:val="21"/>
          <w:szCs w:val="21"/>
          <w:highlight w:val="none"/>
          <w:lang w:eastAsia="zh-CN"/>
        </w:rPr>
        <w:t>100</w:t>
      </w:r>
      <w:r>
        <w:rPr>
          <w:rFonts w:hint="eastAsia" w:asciiTheme="minorEastAsia" w:hAnsiTheme="minorEastAsia" w:eastAsiaTheme="minorEastAsia" w:cstheme="minorEastAsia"/>
          <w:color w:val="auto"/>
          <w:spacing w:val="0"/>
          <w:sz w:val="21"/>
          <w:szCs w:val="21"/>
          <w:highlight w:val="none"/>
        </w:rPr>
        <w:t>分，权重为</w:t>
      </w:r>
      <w:r>
        <w:rPr>
          <w:rFonts w:hint="eastAsia" w:asciiTheme="minorEastAsia" w:hAnsiTheme="minorEastAsia" w:eastAsiaTheme="minorEastAsia" w:cstheme="minorEastAsia"/>
          <w:color w:val="auto"/>
          <w:spacing w:val="0"/>
          <w:sz w:val="21"/>
          <w:szCs w:val="21"/>
          <w:highlight w:val="none"/>
          <w:lang w:eastAsia="zh-CN"/>
        </w:rPr>
        <w:t>40</w:t>
      </w:r>
      <w:r>
        <w:rPr>
          <w:rFonts w:hint="eastAsia" w:asciiTheme="minorEastAsia" w:hAnsiTheme="minorEastAsia" w:eastAsiaTheme="minorEastAsia" w:cstheme="minorEastAsia"/>
          <w:color w:val="auto"/>
          <w:spacing w:val="0"/>
          <w:sz w:val="21"/>
          <w:szCs w:val="21"/>
          <w:highlight w:val="none"/>
        </w:rPr>
        <w:t>%；投标报价满分 100 分，权重为</w:t>
      </w:r>
      <w:r>
        <w:rPr>
          <w:rFonts w:hint="eastAsia" w:asciiTheme="minorEastAsia" w:hAnsiTheme="minorEastAsia" w:eastAsiaTheme="minorEastAsia" w:cstheme="minorEastAsia"/>
          <w:color w:val="auto"/>
          <w:spacing w:val="0"/>
          <w:sz w:val="21"/>
          <w:szCs w:val="21"/>
          <w:highlight w:val="none"/>
          <w:lang w:eastAsia="zh-CN"/>
        </w:rPr>
        <w:t>60</w:t>
      </w:r>
      <w:r>
        <w:rPr>
          <w:rFonts w:hint="eastAsia" w:asciiTheme="minorEastAsia" w:hAnsiTheme="minorEastAsia" w:eastAsiaTheme="minorEastAsia" w:cstheme="minorEastAsia"/>
          <w:color w:val="auto"/>
          <w:spacing w:val="0"/>
          <w:sz w:val="21"/>
          <w:szCs w:val="21"/>
          <w:highlight w:val="none"/>
        </w:rPr>
        <w:t>% 。两大部分权重之和应为 100%。</w:t>
      </w:r>
    </w:p>
    <w:p w14:paraId="0DB91FC1">
      <w:pPr>
        <w:keepNext w:val="0"/>
        <w:keepLines w:val="0"/>
        <w:pageBreakBefore w:val="0"/>
        <w:wordWrap w:val="0"/>
        <w:overflowPunct/>
        <w:topLinePunct w:val="0"/>
        <w:bidi w:val="0"/>
        <w:spacing w:before="153" w:line="324" w:lineRule="auto"/>
        <w:ind w:left="14" w:right="81"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除特别注明外，综合得分以及商务技术得分、投标报价得分的中间过程计算值和最终值，均按“ 四舍五入 ”原则精确到两位小数。</w:t>
      </w:r>
    </w:p>
    <w:p w14:paraId="348BB73C">
      <w:pPr>
        <w:keepNext w:val="0"/>
        <w:keepLines w:val="0"/>
        <w:pageBreakBefore w:val="0"/>
        <w:wordWrap w:val="0"/>
        <w:overflowPunct/>
        <w:topLinePunct w:val="0"/>
        <w:bidi w:val="0"/>
        <w:spacing w:before="38" w:line="220" w:lineRule="auto"/>
        <w:ind w:left="503"/>
        <w:outlineLvl w:val="9"/>
        <w:rPr>
          <w:rFonts w:hint="eastAsia" w:asciiTheme="minorEastAsia" w:hAnsiTheme="minorEastAsia" w:eastAsiaTheme="minorEastAsia" w:cstheme="minorEastAsia"/>
          <w:color w:val="auto"/>
          <w:spacing w:val="0"/>
          <w:sz w:val="21"/>
          <w:szCs w:val="21"/>
          <w:highlight w:val="none"/>
        </w:rPr>
      </w:pPr>
      <w:bookmarkStart w:id="117" w:name="_Toc22949"/>
      <w:bookmarkStart w:id="118" w:name="_Toc18029"/>
      <w:bookmarkStart w:id="119" w:name="_Toc17510"/>
      <w:bookmarkStart w:id="120" w:name="_Toc10398"/>
      <w:r>
        <w:rPr>
          <w:rFonts w:hint="eastAsia" w:asciiTheme="minorEastAsia" w:hAnsiTheme="minorEastAsia" w:eastAsiaTheme="minorEastAsia" w:cstheme="minorEastAsia"/>
          <w:color w:val="auto"/>
          <w:spacing w:val="0"/>
          <w:sz w:val="21"/>
          <w:szCs w:val="21"/>
          <w:highlight w:val="none"/>
        </w:rPr>
        <w:t>（1）商务技术得分 M</w:t>
      </w:r>
      <w:bookmarkEnd w:id="117"/>
      <w:bookmarkEnd w:id="118"/>
      <w:bookmarkEnd w:id="119"/>
      <w:bookmarkEnd w:id="120"/>
    </w:p>
    <w:p w14:paraId="5D54436B">
      <w:pPr>
        <w:keepNext w:val="0"/>
        <w:keepLines w:val="0"/>
        <w:pageBreakBefore w:val="0"/>
        <w:wordWrap w:val="0"/>
        <w:overflowPunct/>
        <w:topLinePunct w:val="0"/>
        <w:bidi w:val="0"/>
        <w:spacing w:before="153" w:line="279" w:lineRule="auto"/>
        <w:ind w:left="15" w:right="81" w:firstLine="47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a </w:t>
      </w:r>
      <w:r>
        <w:rPr>
          <w:rFonts w:hint="eastAsia" w:asciiTheme="minorEastAsia" w:hAnsiTheme="minorEastAsia" w:eastAsiaTheme="minorEastAsia" w:cstheme="minorEastAsia"/>
          <w:color w:val="auto"/>
          <w:spacing w:val="0"/>
          <w:sz w:val="21"/>
          <w:szCs w:val="21"/>
          <w:highlight w:val="none"/>
        </w:rPr>
        <w:t>．评标委员会按照《综合评分表》商务部分指定的评分标准对各评分因素进行打分。各评分因素得分之和即为某投标人的商务得分 M</w:t>
      </w:r>
      <w:r>
        <w:rPr>
          <w:rFonts w:hint="eastAsia" w:asciiTheme="minorEastAsia" w:hAnsiTheme="minorEastAsia" w:eastAsiaTheme="minorEastAsia" w:cstheme="minorEastAsia"/>
          <w:color w:val="auto"/>
          <w:spacing w:val="0"/>
          <w:position w:val="-1"/>
          <w:sz w:val="21"/>
          <w:szCs w:val="21"/>
          <w:highlight w:val="none"/>
        </w:rPr>
        <w:t>1</w:t>
      </w:r>
      <w:r>
        <w:rPr>
          <w:rFonts w:hint="eastAsia" w:asciiTheme="minorEastAsia" w:hAnsiTheme="minorEastAsia" w:eastAsiaTheme="minorEastAsia" w:cstheme="minorEastAsia"/>
          <w:color w:val="auto"/>
          <w:spacing w:val="0"/>
          <w:sz w:val="21"/>
          <w:szCs w:val="21"/>
          <w:highlight w:val="none"/>
        </w:rPr>
        <w:t>。</w:t>
      </w:r>
    </w:p>
    <w:p w14:paraId="314E5F20">
      <w:pPr>
        <w:keepNext w:val="0"/>
        <w:keepLines w:val="0"/>
        <w:pageBreakBefore w:val="0"/>
        <w:wordWrap w:val="0"/>
        <w:overflowPunct/>
        <w:topLinePunct w:val="0"/>
        <w:bidi w:val="0"/>
        <w:spacing w:before="154" w:line="299" w:lineRule="auto"/>
        <w:ind w:left="12" w:right="81" w:firstLine="47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b </w:t>
      </w:r>
      <w:r>
        <w:rPr>
          <w:rFonts w:hint="eastAsia" w:asciiTheme="minorEastAsia" w:hAnsiTheme="minorEastAsia" w:eastAsiaTheme="minorEastAsia" w:cstheme="minorEastAsia"/>
          <w:color w:val="auto"/>
          <w:spacing w:val="0"/>
          <w:sz w:val="21"/>
          <w:szCs w:val="21"/>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Theme="minorEastAsia" w:hAnsiTheme="minorEastAsia" w:eastAsiaTheme="minorEastAsia" w:cstheme="minorEastAsia"/>
          <w:color w:val="auto"/>
          <w:spacing w:val="0"/>
          <w:position w:val="-1"/>
          <w:sz w:val="21"/>
          <w:szCs w:val="21"/>
          <w:highlight w:val="none"/>
        </w:rPr>
        <w:t>2</w:t>
      </w:r>
      <w:r>
        <w:rPr>
          <w:rFonts w:hint="eastAsia" w:asciiTheme="minorEastAsia" w:hAnsiTheme="minorEastAsia" w:eastAsiaTheme="minorEastAsia" w:cstheme="minorEastAsia"/>
          <w:color w:val="auto"/>
          <w:spacing w:val="0"/>
          <w:sz w:val="21"/>
          <w:szCs w:val="21"/>
          <w:highlight w:val="none"/>
        </w:rPr>
        <w:t>。</w:t>
      </w:r>
    </w:p>
    <w:p w14:paraId="7EA87715">
      <w:pPr>
        <w:keepNext w:val="0"/>
        <w:keepLines w:val="0"/>
        <w:pageBreakBefore w:val="0"/>
        <w:wordWrap w:val="0"/>
        <w:overflowPunct/>
        <w:topLinePunct w:val="0"/>
        <w:bidi w:val="0"/>
        <w:spacing w:before="155" w:line="231" w:lineRule="auto"/>
        <w:ind w:left="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c </w:t>
      </w:r>
      <w:r>
        <w:rPr>
          <w:rFonts w:hint="eastAsia" w:asciiTheme="minorEastAsia" w:hAnsiTheme="minorEastAsia" w:eastAsiaTheme="minorEastAsia" w:cstheme="minorEastAsia"/>
          <w:color w:val="auto"/>
          <w:spacing w:val="0"/>
          <w:sz w:val="21"/>
          <w:szCs w:val="21"/>
          <w:highlight w:val="none"/>
        </w:rPr>
        <w:t>．M ＝M</w:t>
      </w:r>
      <w:r>
        <w:rPr>
          <w:rFonts w:hint="eastAsia" w:asciiTheme="minorEastAsia" w:hAnsiTheme="minorEastAsia" w:eastAsiaTheme="minorEastAsia" w:cstheme="minorEastAsia"/>
          <w:color w:val="auto"/>
          <w:spacing w:val="0"/>
          <w:position w:val="-1"/>
          <w:sz w:val="21"/>
          <w:szCs w:val="21"/>
          <w:highlight w:val="none"/>
        </w:rPr>
        <w:t>1</w:t>
      </w:r>
      <w:r>
        <w:rPr>
          <w:rFonts w:hint="eastAsia" w:asciiTheme="minorEastAsia" w:hAnsiTheme="minorEastAsia" w:eastAsiaTheme="minorEastAsia" w:cstheme="minorEastAsia"/>
          <w:color w:val="auto"/>
          <w:spacing w:val="0"/>
          <w:sz w:val="21"/>
          <w:szCs w:val="21"/>
          <w:highlight w:val="none"/>
        </w:rPr>
        <w:t>＋M</w:t>
      </w:r>
      <w:r>
        <w:rPr>
          <w:rFonts w:hint="eastAsia" w:asciiTheme="minorEastAsia" w:hAnsiTheme="minorEastAsia" w:eastAsiaTheme="minorEastAsia" w:cstheme="minorEastAsia"/>
          <w:color w:val="auto"/>
          <w:spacing w:val="0"/>
          <w:position w:val="-1"/>
          <w:sz w:val="21"/>
          <w:szCs w:val="21"/>
          <w:highlight w:val="none"/>
        </w:rPr>
        <w:t>2</w:t>
      </w:r>
    </w:p>
    <w:p w14:paraId="01ADAF08">
      <w:pPr>
        <w:keepNext w:val="0"/>
        <w:keepLines w:val="0"/>
        <w:pageBreakBefore w:val="0"/>
        <w:wordWrap w:val="0"/>
        <w:overflowPunct/>
        <w:topLinePunct w:val="0"/>
        <w:bidi w:val="0"/>
        <w:spacing w:before="139" w:line="220"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式中：M</w:t>
      </w:r>
      <w:r>
        <w:rPr>
          <w:rFonts w:hint="eastAsia" w:asciiTheme="minorEastAsia" w:hAnsiTheme="minorEastAsia" w:eastAsiaTheme="minorEastAsia" w:cstheme="minorEastAsia"/>
          <w:color w:val="auto"/>
          <w:spacing w:val="0"/>
          <w:position w:val="-1"/>
          <w:sz w:val="21"/>
          <w:szCs w:val="21"/>
          <w:highlight w:val="none"/>
        </w:rPr>
        <w:t>1</w:t>
      </w:r>
      <w:r>
        <w:rPr>
          <w:rFonts w:hint="eastAsia" w:asciiTheme="minorEastAsia" w:hAnsiTheme="minorEastAsia" w:eastAsiaTheme="minorEastAsia" w:cstheme="minorEastAsia"/>
          <w:color w:val="auto"/>
          <w:spacing w:val="0"/>
          <w:w w:val="101"/>
          <w:position w:val="-1"/>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为某投标人的商务得分，M</w:t>
      </w:r>
      <w:r>
        <w:rPr>
          <w:rFonts w:hint="eastAsia" w:asciiTheme="minorEastAsia" w:hAnsiTheme="minorEastAsia" w:eastAsiaTheme="minorEastAsia" w:cstheme="minorEastAsia"/>
          <w:color w:val="auto"/>
          <w:spacing w:val="0"/>
          <w:position w:val="-1"/>
          <w:sz w:val="21"/>
          <w:szCs w:val="21"/>
          <w:highlight w:val="none"/>
        </w:rPr>
        <w:t xml:space="preserve">2 </w:t>
      </w:r>
      <w:r>
        <w:rPr>
          <w:rFonts w:hint="eastAsia" w:asciiTheme="minorEastAsia" w:hAnsiTheme="minorEastAsia" w:eastAsiaTheme="minorEastAsia" w:cstheme="minorEastAsia"/>
          <w:color w:val="auto"/>
          <w:spacing w:val="0"/>
          <w:sz w:val="21"/>
          <w:szCs w:val="21"/>
          <w:highlight w:val="none"/>
        </w:rPr>
        <w:t>为某投标人的技术得分。</w:t>
      </w:r>
    </w:p>
    <w:p w14:paraId="358C8A85">
      <w:pPr>
        <w:keepNext w:val="0"/>
        <w:keepLines w:val="0"/>
        <w:pageBreakBefore w:val="0"/>
        <w:wordWrap w:val="0"/>
        <w:overflowPunct/>
        <w:topLinePunct w:val="0"/>
        <w:bidi w:val="0"/>
        <w:spacing w:before="153" w:line="219" w:lineRule="auto"/>
        <w:ind w:left="503"/>
        <w:outlineLvl w:val="9"/>
        <w:rPr>
          <w:rFonts w:hint="eastAsia" w:asciiTheme="minorEastAsia" w:hAnsiTheme="minorEastAsia" w:eastAsiaTheme="minorEastAsia" w:cstheme="minorEastAsia"/>
          <w:color w:val="auto"/>
          <w:spacing w:val="0"/>
          <w:sz w:val="21"/>
          <w:szCs w:val="21"/>
          <w:highlight w:val="none"/>
        </w:rPr>
      </w:pPr>
      <w:bookmarkStart w:id="121" w:name="_Toc16136"/>
      <w:bookmarkStart w:id="122" w:name="_Toc14059"/>
      <w:bookmarkStart w:id="123" w:name="_Toc27609"/>
      <w:bookmarkStart w:id="124" w:name="_Toc3958"/>
      <w:r>
        <w:rPr>
          <w:rFonts w:hint="eastAsia" w:asciiTheme="minorEastAsia" w:hAnsiTheme="minorEastAsia" w:eastAsiaTheme="minorEastAsia" w:cstheme="minorEastAsia"/>
          <w:color w:val="auto"/>
          <w:spacing w:val="0"/>
          <w:sz w:val="21"/>
          <w:szCs w:val="21"/>
          <w:highlight w:val="none"/>
        </w:rPr>
        <w:t>（2）投标报价得分 N</w:t>
      </w:r>
      <w:bookmarkEnd w:id="121"/>
      <w:bookmarkEnd w:id="122"/>
      <w:bookmarkEnd w:id="123"/>
      <w:bookmarkEnd w:id="124"/>
    </w:p>
    <w:p w14:paraId="5B68D2C7">
      <w:pPr>
        <w:keepNext w:val="0"/>
        <w:keepLines w:val="0"/>
        <w:pageBreakBefore w:val="0"/>
        <w:wordWrap w:val="0"/>
        <w:overflowPunct/>
        <w:topLinePunct w:val="0"/>
        <w:bidi w:val="0"/>
        <w:spacing w:before="157" w:line="219" w:lineRule="auto"/>
        <w:ind w:firstLine="422" w:firstLineChars="20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a </w:t>
      </w:r>
      <w:r>
        <w:rPr>
          <w:rFonts w:hint="eastAsia" w:asciiTheme="minorEastAsia" w:hAnsiTheme="minorEastAsia" w:eastAsiaTheme="minorEastAsia" w:cstheme="minorEastAsia"/>
          <w:color w:val="auto"/>
          <w:spacing w:val="0"/>
          <w:sz w:val="21"/>
          <w:szCs w:val="21"/>
          <w:highlight w:val="none"/>
        </w:rPr>
        <w:t>．评标委员会按照《综合评分表》投标报价部分指定的方法计算评标基准价 D。</w:t>
      </w:r>
    </w:p>
    <w:p w14:paraId="618435C8">
      <w:pPr>
        <w:keepNext w:val="0"/>
        <w:keepLines w:val="0"/>
        <w:pageBreakBefore w:val="0"/>
        <w:wordWrap w:val="0"/>
        <w:overflowPunct/>
        <w:topLinePunct w:val="0"/>
        <w:bidi w:val="0"/>
        <w:spacing w:before="155" w:line="299" w:lineRule="auto"/>
        <w:ind w:left="12" w:right="83" w:firstLine="47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b </w:t>
      </w:r>
      <w:r>
        <w:rPr>
          <w:rFonts w:hint="eastAsia" w:asciiTheme="minorEastAsia" w:hAnsiTheme="minorEastAsia" w:eastAsiaTheme="minorEastAsia" w:cstheme="minorEastAsia"/>
          <w:color w:val="auto"/>
          <w:spacing w:val="0"/>
          <w:sz w:val="21"/>
          <w:szCs w:val="21"/>
          <w:highlight w:val="none"/>
        </w:rPr>
        <w:t xml:space="preserve">．采用内插法计算某投标人的投标报价得分 N ，即当投标人的投标总价等于评标基准价时得 100 分，每高于评标基准价一个百分点扣 </w:t>
      </w:r>
      <w:r>
        <w:rPr>
          <w:rFonts w:hint="eastAsia" w:asciiTheme="minorEastAsia" w:hAnsiTheme="minorEastAsia" w:eastAsiaTheme="minorEastAsia" w:cstheme="minorEastAsia"/>
          <w:b/>
          <w:bCs/>
          <w:color w:val="auto"/>
          <w:spacing w:val="0"/>
          <w:sz w:val="21"/>
          <w:szCs w:val="21"/>
          <w:highlight w:val="none"/>
        </w:rPr>
        <w:t xml:space="preserve">1 分, </w:t>
      </w:r>
      <w:r>
        <w:rPr>
          <w:rFonts w:hint="eastAsia" w:asciiTheme="minorEastAsia" w:hAnsiTheme="minorEastAsia" w:eastAsiaTheme="minorEastAsia" w:cstheme="minorEastAsia"/>
          <w:color w:val="auto"/>
          <w:spacing w:val="0"/>
          <w:sz w:val="21"/>
          <w:szCs w:val="21"/>
          <w:highlight w:val="none"/>
        </w:rPr>
        <w:t xml:space="preserve">每低于评标基准价一个百分点扣 </w:t>
      </w:r>
      <w:r>
        <w:rPr>
          <w:rFonts w:hint="eastAsia" w:asciiTheme="minorEastAsia" w:hAnsiTheme="minorEastAsia" w:eastAsiaTheme="minorEastAsia" w:cstheme="minorEastAsia"/>
          <w:b/>
          <w:bCs/>
          <w:color w:val="auto"/>
          <w:spacing w:val="0"/>
          <w:sz w:val="21"/>
          <w:szCs w:val="21"/>
          <w:highlight w:val="none"/>
        </w:rPr>
        <w:t>0.5 分</w:t>
      </w:r>
      <w:r>
        <w:rPr>
          <w:rFonts w:hint="eastAsia" w:asciiTheme="minorEastAsia" w:hAnsiTheme="minorEastAsia" w:eastAsiaTheme="minorEastAsia" w:cstheme="minorEastAsia"/>
          <w:color w:val="auto"/>
          <w:spacing w:val="0"/>
          <w:sz w:val="21"/>
          <w:szCs w:val="21"/>
          <w:highlight w:val="none"/>
        </w:rPr>
        <w:t>，扣完为止。公式如下：</w:t>
      </w:r>
    </w:p>
    <w:p w14:paraId="785EFC6F">
      <w:pPr>
        <w:keepNext w:val="0"/>
        <w:keepLines w:val="0"/>
        <w:pageBreakBefore w:val="0"/>
        <w:wordWrap w:val="0"/>
        <w:overflowPunct/>
        <w:topLinePunct w:val="0"/>
        <w:bidi w:val="0"/>
        <w:spacing w:before="118" w:line="333" w:lineRule="exact"/>
        <w:ind w:left="241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position w:val="3"/>
          <w:sz w:val="21"/>
          <w:szCs w:val="21"/>
          <w:highlight w:val="none"/>
        </w:rPr>
        <w:t>N ＝100－（| Di－D | ÷D） × 100×E</w:t>
      </w:r>
    </w:p>
    <w:p w14:paraId="12EADF54">
      <w:pPr>
        <w:keepNext w:val="0"/>
        <w:keepLines w:val="0"/>
        <w:pageBreakBefore w:val="0"/>
        <w:wordWrap w:val="0"/>
        <w:overflowPunct/>
        <w:topLinePunct w:val="0"/>
        <w:bidi w:val="0"/>
        <w:spacing w:before="106" w:line="316" w:lineRule="auto"/>
        <w:ind w:left="7" w:right="17"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式中：D 为评标基准价；Di为某投标人的投标总价；E 为扣分因子，当 Di＞D时，E ＝</w:t>
      </w:r>
      <w:r>
        <w:rPr>
          <w:rFonts w:hint="eastAsia" w:asciiTheme="minorEastAsia" w:hAnsiTheme="minorEastAsia" w:eastAsiaTheme="minorEastAsia" w:cstheme="minorEastAsia"/>
          <w:b/>
          <w:bCs/>
          <w:color w:val="auto"/>
          <w:spacing w:val="0"/>
          <w:sz w:val="21"/>
          <w:szCs w:val="21"/>
          <w:highlight w:val="none"/>
        </w:rPr>
        <w:t>1 ；</w:t>
      </w:r>
      <w:r>
        <w:rPr>
          <w:rFonts w:hint="eastAsia" w:asciiTheme="minorEastAsia" w:hAnsiTheme="minorEastAsia" w:eastAsiaTheme="minorEastAsia" w:cstheme="minorEastAsia"/>
          <w:color w:val="auto"/>
          <w:spacing w:val="0"/>
          <w:sz w:val="21"/>
          <w:szCs w:val="21"/>
          <w:highlight w:val="none"/>
        </w:rPr>
        <w:t>当 Di＜D</w:t>
      </w:r>
      <w:r>
        <w:rPr>
          <w:rFonts w:hint="eastAsia" w:asciiTheme="minorEastAsia" w:hAnsiTheme="minorEastAsia" w:eastAsiaTheme="minorEastAsia" w:cstheme="minorEastAsia"/>
          <w:color w:val="auto"/>
          <w:spacing w:val="0"/>
          <w:w w:val="101"/>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 xml:space="preserve">时，E </w:t>
      </w:r>
      <w:r>
        <w:rPr>
          <w:rFonts w:hint="eastAsia" w:asciiTheme="minorEastAsia" w:hAnsiTheme="minorEastAsia" w:eastAsiaTheme="minorEastAsia" w:cstheme="minorEastAsia"/>
          <w:b/>
          <w:bCs/>
          <w:color w:val="auto"/>
          <w:spacing w:val="0"/>
          <w:sz w:val="21"/>
          <w:szCs w:val="21"/>
          <w:highlight w:val="none"/>
        </w:rPr>
        <w:t>＝0.5</w:t>
      </w:r>
      <w:r>
        <w:rPr>
          <w:rFonts w:hint="eastAsia" w:asciiTheme="minorEastAsia" w:hAnsiTheme="minorEastAsia" w:eastAsiaTheme="minorEastAsia" w:cstheme="minorEastAsia"/>
          <w:b/>
          <w:bCs/>
          <w:color w:val="auto"/>
          <w:spacing w:val="0"/>
          <w:sz w:val="21"/>
          <w:szCs w:val="21"/>
          <w:highlight w:val="none"/>
          <w:lang w:val="en-US" w:eastAsia="zh-CN"/>
        </w:rPr>
        <w:t xml:space="preserve"> </w:t>
      </w:r>
      <w:r>
        <w:rPr>
          <w:rFonts w:hint="eastAsia" w:asciiTheme="minorEastAsia" w:hAnsiTheme="minorEastAsia" w:eastAsiaTheme="minorEastAsia" w:cstheme="minorEastAsia"/>
          <w:b/>
          <w:bCs/>
          <w:color w:val="auto"/>
          <w:spacing w:val="0"/>
          <w:sz w:val="21"/>
          <w:szCs w:val="21"/>
          <w:highlight w:val="none"/>
        </w:rPr>
        <w:t>。</w:t>
      </w:r>
    </w:p>
    <w:p w14:paraId="3FAFF4D6">
      <w:pPr>
        <w:keepNext w:val="0"/>
        <w:keepLines w:val="0"/>
        <w:pageBreakBefore w:val="0"/>
        <w:wordWrap w:val="0"/>
        <w:overflowPunct/>
        <w:topLinePunct w:val="0"/>
        <w:bidi w:val="0"/>
        <w:spacing w:before="95" w:line="220" w:lineRule="auto"/>
        <w:ind w:left="503"/>
        <w:outlineLvl w:val="9"/>
        <w:rPr>
          <w:rFonts w:hint="eastAsia" w:asciiTheme="minorEastAsia" w:hAnsiTheme="minorEastAsia" w:eastAsiaTheme="minorEastAsia" w:cstheme="minorEastAsia"/>
          <w:color w:val="auto"/>
          <w:spacing w:val="0"/>
          <w:sz w:val="21"/>
          <w:szCs w:val="21"/>
          <w:highlight w:val="none"/>
        </w:rPr>
      </w:pPr>
      <w:bookmarkStart w:id="125" w:name="_Toc3861"/>
      <w:bookmarkStart w:id="126" w:name="_Toc7915"/>
      <w:bookmarkStart w:id="127" w:name="_Toc4990"/>
      <w:bookmarkStart w:id="128" w:name="_Toc576"/>
      <w:r>
        <w:rPr>
          <w:rFonts w:hint="eastAsia" w:asciiTheme="minorEastAsia" w:hAnsiTheme="minorEastAsia" w:eastAsiaTheme="minorEastAsia" w:cstheme="minorEastAsia"/>
          <w:color w:val="auto"/>
          <w:spacing w:val="0"/>
          <w:sz w:val="21"/>
          <w:szCs w:val="21"/>
          <w:highlight w:val="none"/>
        </w:rPr>
        <w:t>（3）综合得分</w:t>
      </w:r>
      <w:bookmarkEnd w:id="125"/>
      <w:bookmarkEnd w:id="126"/>
      <w:bookmarkEnd w:id="127"/>
      <w:bookmarkEnd w:id="128"/>
    </w:p>
    <w:p w14:paraId="289485C1">
      <w:pPr>
        <w:keepNext w:val="0"/>
        <w:keepLines w:val="0"/>
        <w:pageBreakBefore w:val="0"/>
        <w:wordWrap w:val="0"/>
        <w:overflowPunct/>
        <w:topLinePunct w:val="0"/>
        <w:bidi w:val="0"/>
        <w:spacing w:before="153" w:line="220" w:lineRule="auto"/>
        <w:ind w:left="49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综合得分换算为百分制，满分 100 分，公式如下：</w:t>
      </w:r>
    </w:p>
    <w:p w14:paraId="6516A1F1">
      <w:pPr>
        <w:keepNext w:val="0"/>
        <w:keepLines w:val="0"/>
        <w:pageBreakBefore w:val="0"/>
        <w:wordWrap w:val="0"/>
        <w:overflowPunct/>
        <w:topLinePunct w:val="0"/>
        <w:bidi w:val="0"/>
        <w:spacing w:before="155" w:line="324" w:lineRule="auto"/>
        <w:ind w:left="496" w:right="532" w:hanging="3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综合得分＝M÷商务技术合计满分×100×商务技术权重＋N×投标报价权重</w:t>
      </w:r>
    </w:p>
    <w:p w14:paraId="71542E4D">
      <w:pPr>
        <w:keepNext w:val="0"/>
        <w:keepLines w:val="0"/>
        <w:pageBreakBefore w:val="0"/>
        <w:wordWrap w:val="0"/>
        <w:overflowPunct/>
        <w:topLinePunct w:val="0"/>
        <w:bidi w:val="0"/>
        <w:spacing w:before="155" w:line="324" w:lineRule="auto"/>
        <w:ind w:left="496" w:right="532" w:hanging="3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式中：M 为商务技术得分，N 为投标报价得分。</w:t>
      </w:r>
    </w:p>
    <w:p w14:paraId="75D91033">
      <w:pPr>
        <w:keepNext w:val="0"/>
        <w:keepLines w:val="0"/>
        <w:pageBreakBefore w:val="0"/>
        <w:wordWrap w:val="0"/>
        <w:overflowPunct/>
        <w:topLinePunct w:val="0"/>
        <w:bidi w:val="0"/>
        <w:spacing w:before="37" w:line="219" w:lineRule="auto"/>
        <w:ind w:left="503"/>
        <w:outlineLvl w:val="9"/>
        <w:rPr>
          <w:rFonts w:hint="eastAsia" w:asciiTheme="minorEastAsia" w:hAnsiTheme="minorEastAsia" w:eastAsiaTheme="minorEastAsia" w:cstheme="minorEastAsia"/>
          <w:color w:val="auto"/>
          <w:spacing w:val="0"/>
          <w:sz w:val="21"/>
          <w:szCs w:val="21"/>
          <w:highlight w:val="none"/>
        </w:rPr>
      </w:pPr>
      <w:bookmarkStart w:id="129" w:name="_Toc32384"/>
      <w:bookmarkStart w:id="130" w:name="_Toc2885"/>
      <w:bookmarkStart w:id="131" w:name="_Toc30671"/>
      <w:bookmarkStart w:id="132" w:name="_Toc25214"/>
      <w:r>
        <w:rPr>
          <w:rFonts w:hint="eastAsia" w:asciiTheme="minorEastAsia" w:hAnsiTheme="minorEastAsia" w:eastAsiaTheme="minorEastAsia" w:cstheme="minorEastAsia"/>
          <w:color w:val="auto"/>
          <w:spacing w:val="0"/>
          <w:sz w:val="21"/>
          <w:szCs w:val="21"/>
          <w:highlight w:val="none"/>
        </w:rPr>
        <w:t>（4）评标委员会汇总、比较所有投标人的综合得分后，取综合得分最高的投标</w:t>
      </w:r>
      <w:bookmarkEnd w:id="129"/>
      <w:bookmarkEnd w:id="130"/>
      <w:bookmarkEnd w:id="131"/>
      <w:bookmarkEnd w:id="132"/>
    </w:p>
    <w:p w14:paraId="39F7CB87">
      <w:pPr>
        <w:keepNext w:val="0"/>
        <w:keepLines w:val="0"/>
        <w:pageBreakBefore w:val="0"/>
        <w:wordWrap w:val="0"/>
        <w:overflowPunct/>
        <w:topLinePunct w:val="0"/>
        <w:bidi w:val="0"/>
        <w:spacing w:before="78" w:line="329" w:lineRule="auto"/>
        <w:ind w:left="276" w:right="263" w:hanging="1"/>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人为第一中标候选人，取综合得分第二、第三高的投标人为第二、第三中标候选人。 如果最高综合得分相同，取投标总价低者为第一中标候选人，并依此确定第二、第三 中标候选人。如果最高综合得分相同，投标总价也相同，由评标委员会投票确定。</w:t>
      </w:r>
    </w:p>
    <w:p w14:paraId="0652F050">
      <w:pPr>
        <w:keepNext w:val="0"/>
        <w:keepLines w:val="0"/>
        <w:pageBreakBefore w:val="0"/>
        <w:wordWrap w:val="0"/>
        <w:overflowPunct/>
        <w:topLinePunct w:val="0"/>
        <w:bidi w:val="0"/>
        <w:rPr>
          <w:rFonts w:hint="eastAsia" w:asciiTheme="minorEastAsia" w:hAnsiTheme="minorEastAsia" w:eastAsiaTheme="minorEastAsia" w:cstheme="minorEastAsia"/>
          <w:b/>
          <w:bCs/>
          <w:color w:val="auto"/>
          <w:spacing w:val="0"/>
          <w:sz w:val="21"/>
          <w:szCs w:val="21"/>
          <w:highlight w:val="none"/>
        </w:rPr>
      </w:pPr>
      <w:bookmarkStart w:id="133" w:name="_Toc16801"/>
      <w:bookmarkStart w:id="134" w:name="_Toc17375"/>
      <w:bookmarkStart w:id="135" w:name="_Toc3020"/>
      <w:r>
        <w:rPr>
          <w:rFonts w:hint="eastAsia" w:asciiTheme="minorEastAsia" w:hAnsiTheme="minorEastAsia" w:eastAsiaTheme="minorEastAsia" w:cstheme="minorEastAsia"/>
          <w:b/>
          <w:bCs/>
          <w:color w:val="auto"/>
          <w:spacing w:val="0"/>
          <w:sz w:val="21"/>
          <w:szCs w:val="21"/>
          <w:highlight w:val="none"/>
        </w:rPr>
        <w:br w:type="page"/>
      </w:r>
    </w:p>
    <w:p w14:paraId="0BE6438C">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133"/>
      <w:bookmarkEnd w:id="134"/>
      <w:bookmarkEnd w:id="135"/>
    </w:p>
    <w:tbl>
      <w:tblPr>
        <w:tblStyle w:val="15"/>
        <w:tblW w:w="10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168"/>
        <w:gridCol w:w="3434"/>
        <w:gridCol w:w="5110"/>
      </w:tblGrid>
      <w:tr w14:paraId="56B3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10203" w:type="dxa"/>
            <w:gridSpan w:val="4"/>
            <w:tcBorders>
              <w:tl2br w:val="nil"/>
              <w:tr2bl w:val="nil"/>
            </w:tcBorders>
            <w:shd w:val="clear" w:color="auto" w:fill="D7D7D7"/>
            <w:noWrap w:val="0"/>
            <w:vAlign w:val="center"/>
          </w:tcPr>
          <w:p w14:paraId="1FA88949">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rPr>
                <w:rFonts w:hint="eastAsia" w:ascii="宋体" w:hAnsi="宋体" w:eastAsia="宋体" w:cs="宋体"/>
                <w:b/>
                <w:bCs/>
                <w:caps w:val="0"/>
                <w:smallCaps w:val="0"/>
                <w:snapToGrid w:val="0"/>
                <w:color w:val="auto"/>
                <w:spacing w:val="0"/>
                <w:kern w:val="0"/>
                <w:sz w:val="21"/>
                <w:szCs w:val="21"/>
                <w:highlight w:val="none"/>
                <w:lang w:eastAsia="zh-CN"/>
              </w:rPr>
            </w:pPr>
            <w:r>
              <w:rPr>
                <w:rFonts w:hint="eastAsia" w:ascii="宋体" w:hAnsi="宋体" w:eastAsia="宋体" w:cs="宋体"/>
                <w:b/>
                <w:bCs/>
                <w:caps w:val="0"/>
                <w:smallCaps w:val="0"/>
                <w:snapToGrid w:val="0"/>
                <w:color w:val="auto"/>
                <w:spacing w:val="0"/>
                <w:kern w:val="0"/>
                <w:sz w:val="21"/>
                <w:szCs w:val="21"/>
                <w:highlight w:val="none"/>
                <w:lang w:eastAsia="zh-CN"/>
              </w:rPr>
              <w:t>商务部分，满分：</w:t>
            </w:r>
            <w:r>
              <w:rPr>
                <w:rFonts w:hint="eastAsia" w:ascii="宋体" w:hAnsi="宋体" w:eastAsia="宋体" w:cs="宋体"/>
                <w:b/>
                <w:bCs/>
                <w:caps w:val="0"/>
                <w:smallCaps w:val="0"/>
                <w:snapToGrid w:val="0"/>
                <w:color w:val="auto"/>
                <w:spacing w:val="0"/>
                <w:kern w:val="0"/>
                <w:sz w:val="21"/>
                <w:szCs w:val="21"/>
                <w:highlight w:val="none"/>
                <w:u w:val="single"/>
                <w:lang w:val="en-US" w:eastAsia="zh-CN"/>
              </w:rPr>
              <w:t xml:space="preserve"> 80 </w:t>
            </w:r>
            <w:r>
              <w:rPr>
                <w:rFonts w:hint="eastAsia" w:ascii="宋体" w:hAnsi="宋体" w:eastAsia="宋体" w:cs="宋体"/>
                <w:b/>
                <w:bCs/>
                <w:caps w:val="0"/>
                <w:smallCaps w:val="0"/>
                <w:snapToGrid w:val="0"/>
                <w:color w:val="auto"/>
                <w:spacing w:val="0"/>
                <w:kern w:val="0"/>
                <w:sz w:val="21"/>
                <w:szCs w:val="21"/>
                <w:highlight w:val="none"/>
                <w:lang w:val="en-US" w:eastAsia="zh-CN"/>
              </w:rPr>
              <w:t>分。</w:t>
            </w:r>
          </w:p>
        </w:tc>
      </w:tr>
      <w:tr w14:paraId="11B5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1491" w:type="dxa"/>
            <w:tcBorders>
              <w:tl2br w:val="nil"/>
              <w:tr2bl w:val="nil"/>
            </w:tcBorders>
            <w:noWrap w:val="0"/>
            <w:vAlign w:val="center"/>
          </w:tcPr>
          <w:p w14:paraId="285666B9">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1"/>
                <w:szCs w:val="21"/>
                <w:highlight w:val="none"/>
                <w:lang w:eastAsia="zh-CN"/>
              </w:rPr>
            </w:pPr>
            <w:r>
              <w:rPr>
                <w:rFonts w:hint="eastAsia" w:ascii="宋体" w:hAnsi="宋体" w:eastAsia="宋体" w:cs="宋体"/>
                <w:b/>
                <w:bCs/>
                <w:caps w:val="0"/>
                <w:smallCaps w:val="0"/>
                <w:snapToGrid w:val="0"/>
                <w:color w:val="auto"/>
                <w:spacing w:val="0"/>
                <w:kern w:val="0"/>
                <w:sz w:val="21"/>
                <w:szCs w:val="21"/>
                <w:highlight w:val="none"/>
                <w:lang w:eastAsia="zh-CN"/>
              </w:rPr>
              <w:t>评分因素</w:t>
            </w:r>
          </w:p>
        </w:tc>
        <w:tc>
          <w:tcPr>
            <w:tcW w:w="3602" w:type="dxa"/>
            <w:gridSpan w:val="2"/>
            <w:tcBorders>
              <w:tl2br w:val="nil"/>
              <w:tr2bl w:val="nil"/>
            </w:tcBorders>
            <w:noWrap w:val="0"/>
            <w:vAlign w:val="center"/>
          </w:tcPr>
          <w:p w14:paraId="799C3484">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1"/>
                <w:szCs w:val="21"/>
                <w:highlight w:val="none"/>
                <w:lang w:eastAsia="zh-CN"/>
              </w:rPr>
            </w:pPr>
            <w:r>
              <w:rPr>
                <w:rFonts w:hint="eastAsia" w:ascii="宋体" w:hAnsi="宋体" w:eastAsia="宋体" w:cs="宋体"/>
                <w:b/>
                <w:bCs/>
                <w:caps w:val="0"/>
                <w:smallCaps w:val="0"/>
                <w:snapToGrid w:val="0"/>
                <w:color w:val="auto"/>
                <w:spacing w:val="0"/>
                <w:kern w:val="0"/>
                <w:sz w:val="21"/>
                <w:szCs w:val="21"/>
                <w:highlight w:val="none"/>
                <w:lang w:eastAsia="zh-CN"/>
              </w:rPr>
              <w:t>评分标准</w:t>
            </w:r>
          </w:p>
        </w:tc>
        <w:tc>
          <w:tcPr>
            <w:tcW w:w="5110" w:type="dxa"/>
            <w:tcBorders>
              <w:tl2br w:val="nil"/>
              <w:tr2bl w:val="nil"/>
            </w:tcBorders>
            <w:noWrap w:val="0"/>
            <w:vAlign w:val="center"/>
          </w:tcPr>
          <w:p w14:paraId="58FCC38A">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1"/>
                <w:szCs w:val="21"/>
                <w:highlight w:val="none"/>
                <w:lang w:val="en-US" w:eastAsia="zh-CN"/>
              </w:rPr>
            </w:pPr>
            <w:r>
              <w:rPr>
                <w:rFonts w:hint="eastAsia" w:ascii="宋体" w:hAnsi="宋体" w:eastAsia="宋体" w:cs="宋体"/>
                <w:b/>
                <w:bCs/>
                <w:caps w:val="0"/>
                <w:smallCaps w:val="0"/>
                <w:snapToGrid w:val="0"/>
                <w:color w:val="auto"/>
                <w:spacing w:val="0"/>
                <w:kern w:val="0"/>
                <w:sz w:val="21"/>
                <w:szCs w:val="21"/>
                <w:highlight w:val="none"/>
                <w:lang w:val="en-US" w:eastAsia="zh-CN"/>
              </w:rPr>
              <w:t>备注</w:t>
            </w:r>
          </w:p>
        </w:tc>
      </w:tr>
      <w:tr w14:paraId="151E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1" w:hRule="atLeast"/>
          <w:jc w:val="center"/>
        </w:trPr>
        <w:tc>
          <w:tcPr>
            <w:tcW w:w="1491" w:type="dxa"/>
            <w:tcBorders>
              <w:tl2br w:val="nil"/>
              <w:tr2bl w:val="nil"/>
            </w:tcBorders>
            <w:noWrap w:val="0"/>
            <w:vAlign w:val="center"/>
          </w:tcPr>
          <w:p w14:paraId="6F69A9FF">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val="en-US" w:eastAsia="zh-CN"/>
              </w:rPr>
              <w:t>企业奖项 (10分)</w:t>
            </w:r>
          </w:p>
          <w:p w14:paraId="0072AA32">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highlight w:val="none"/>
                <w:lang w:val="en-US" w:eastAsia="zh-CN" w:bidi="ar-SA"/>
              </w:rPr>
            </w:pPr>
          </w:p>
        </w:tc>
        <w:tc>
          <w:tcPr>
            <w:tcW w:w="3602" w:type="dxa"/>
            <w:gridSpan w:val="2"/>
            <w:tcBorders>
              <w:tl2br w:val="nil"/>
              <w:tr2bl w:val="nil"/>
            </w:tcBorders>
            <w:noWrap w:val="0"/>
            <w:vAlign w:val="center"/>
          </w:tcPr>
          <w:p w14:paraId="5A7E464E">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kern w:val="0"/>
                <w:sz w:val="21"/>
                <w:szCs w:val="21"/>
              </w:rPr>
              <w:t>企业近</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u w:val="single"/>
                <w:lang w:val="en-US" w:eastAsia="zh-CN"/>
              </w:rPr>
              <w:t>5</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年来（</w:t>
            </w:r>
            <w:r>
              <w:rPr>
                <w:rFonts w:hint="eastAsia" w:ascii="宋体" w:hAnsi="宋体" w:eastAsia="宋体" w:cs="宋体"/>
                <w:kern w:val="0"/>
                <w:sz w:val="21"/>
                <w:szCs w:val="21"/>
                <w:lang w:val="en-US" w:eastAsia="zh-CN"/>
              </w:rPr>
              <w:t>2020</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日至</w:t>
            </w:r>
            <w:r>
              <w:rPr>
                <w:rFonts w:hint="eastAsia" w:ascii="宋体" w:hAnsi="宋体" w:eastAsia="宋体" w:cs="宋体"/>
                <w:kern w:val="0"/>
                <w:sz w:val="21"/>
                <w:szCs w:val="21"/>
                <w:lang w:val="en-US" w:eastAsia="zh-CN"/>
              </w:rPr>
              <w:t>今</w:t>
            </w:r>
            <w:r>
              <w:rPr>
                <w:rFonts w:hint="eastAsia" w:ascii="宋体" w:hAnsi="宋体" w:eastAsia="宋体" w:cs="宋体"/>
                <w:kern w:val="0"/>
                <w:sz w:val="21"/>
                <w:szCs w:val="21"/>
              </w:rPr>
              <w:t>）获得</w:t>
            </w:r>
            <w:r>
              <w:rPr>
                <w:rFonts w:hint="eastAsia" w:ascii="宋体" w:hAnsi="宋体" w:eastAsia="宋体" w:cs="宋体"/>
                <w:kern w:val="0"/>
                <w:sz w:val="21"/>
                <w:szCs w:val="21"/>
                <w:u w:val="single"/>
              </w:rPr>
              <w:t xml:space="preserve"> 房屋建筑</w:t>
            </w:r>
            <w:r>
              <w:rPr>
                <w:rFonts w:hint="eastAsia" w:ascii="宋体" w:hAnsi="宋体" w:cs="宋体"/>
                <w:kern w:val="0"/>
                <w:sz w:val="21"/>
                <w:szCs w:val="21"/>
                <w:u w:val="single"/>
                <w:lang w:val="en-US" w:eastAsia="zh-CN"/>
              </w:rPr>
              <w:t>/市政</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工程类奖项情</w:t>
            </w:r>
            <w:r>
              <w:rPr>
                <w:rFonts w:hint="eastAsia" w:ascii="宋体" w:hAnsi="宋体" w:eastAsia="宋体" w:cs="宋体"/>
                <w:color w:val="auto"/>
                <w:kern w:val="0"/>
                <w:sz w:val="21"/>
                <w:szCs w:val="21"/>
              </w:rPr>
              <w:t xml:space="preserve">况：      </w:t>
            </w:r>
          </w:p>
          <w:p w14:paraId="67CA6EB7">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1．获得国家级奖项的，每个得</w:t>
            </w:r>
            <w:r>
              <w:rPr>
                <w:rFonts w:hint="eastAsia" w:ascii="宋体" w:hAnsi="宋体" w:eastAsia="宋体" w:cs="宋体"/>
                <w:color w:val="auto"/>
                <w:kern w:val="0"/>
                <w:sz w:val="21"/>
                <w:szCs w:val="21"/>
                <w:u w:val="single"/>
              </w:rPr>
              <w:t xml:space="preserve"> 8 </w:t>
            </w:r>
            <w:r>
              <w:rPr>
                <w:rFonts w:hint="eastAsia" w:ascii="宋体" w:hAnsi="宋体" w:eastAsia="宋体" w:cs="宋体"/>
                <w:color w:val="auto"/>
                <w:kern w:val="0"/>
                <w:sz w:val="21"/>
                <w:szCs w:val="21"/>
              </w:rPr>
              <w:t>分。</w:t>
            </w:r>
          </w:p>
          <w:p w14:paraId="6FA840D3">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2．获得省级奖项的，每</w:t>
            </w:r>
            <w:r>
              <w:rPr>
                <w:rFonts w:hint="eastAsia" w:ascii="宋体" w:hAnsi="宋体" w:eastAsia="宋体" w:cs="宋体"/>
                <w:color w:val="auto"/>
                <w:kern w:val="0"/>
                <w:sz w:val="21"/>
                <w:szCs w:val="21"/>
                <w:u w:val="single"/>
              </w:rPr>
              <w:t xml:space="preserve">个得 </w:t>
            </w:r>
            <w:r>
              <w:rPr>
                <w:rFonts w:hint="eastAsia" w:ascii="宋体" w:hAnsi="宋体" w:eastAsia="宋体" w:cs="宋体"/>
                <w:color w:val="auto"/>
                <w:kern w:val="0"/>
                <w:sz w:val="21"/>
                <w:szCs w:val="21"/>
                <w:u w:val="single"/>
                <w:lang w:val="en-US" w:eastAsia="zh-CN"/>
              </w:rPr>
              <w:t>4</w:t>
            </w:r>
            <w:r>
              <w:rPr>
                <w:rFonts w:hint="eastAsia" w:ascii="宋体" w:hAnsi="宋体" w:eastAsia="宋体" w:cs="宋体"/>
                <w:color w:val="auto"/>
                <w:kern w:val="0"/>
                <w:sz w:val="21"/>
                <w:szCs w:val="21"/>
                <w:u w:val="single"/>
              </w:rPr>
              <w:t xml:space="preserve"> 分</w:t>
            </w:r>
            <w:r>
              <w:rPr>
                <w:rFonts w:hint="eastAsia" w:ascii="宋体" w:hAnsi="宋体" w:eastAsia="宋体" w:cs="宋体"/>
                <w:color w:val="auto"/>
                <w:kern w:val="0"/>
                <w:sz w:val="21"/>
                <w:szCs w:val="21"/>
              </w:rPr>
              <w:t>。</w:t>
            </w:r>
          </w:p>
          <w:p w14:paraId="7C884C2A">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3．获得地市级奖项的，每个</w:t>
            </w:r>
            <w:r>
              <w:rPr>
                <w:rFonts w:hint="eastAsia" w:ascii="宋体" w:hAnsi="宋体" w:eastAsia="宋体" w:cs="宋体"/>
                <w:color w:val="auto"/>
                <w:kern w:val="0"/>
                <w:sz w:val="21"/>
                <w:szCs w:val="21"/>
                <w:u w:val="single"/>
              </w:rPr>
              <w:t>得</w:t>
            </w:r>
            <w:r>
              <w:rPr>
                <w:rFonts w:hint="eastAsia" w:ascii="宋体" w:hAnsi="宋体" w:eastAsia="宋体" w:cs="宋体"/>
                <w:color w:val="auto"/>
                <w:kern w:val="0"/>
                <w:sz w:val="21"/>
                <w:szCs w:val="21"/>
                <w:u w:val="single"/>
                <w:lang w:val="en-US" w:eastAsia="zh-CN"/>
              </w:rPr>
              <w:t xml:space="preserve"> 2</w:t>
            </w:r>
            <w:r>
              <w:rPr>
                <w:rFonts w:hint="eastAsia" w:ascii="宋体" w:hAnsi="宋体" w:eastAsia="宋体" w:cs="宋体"/>
                <w:color w:val="auto"/>
                <w:kern w:val="0"/>
                <w:sz w:val="21"/>
                <w:szCs w:val="21"/>
                <w:u w:val="single"/>
              </w:rPr>
              <w:t xml:space="preserve"> 分</w:t>
            </w:r>
            <w:r>
              <w:rPr>
                <w:rFonts w:hint="eastAsia" w:ascii="宋体" w:hAnsi="宋体" w:eastAsia="宋体" w:cs="宋体"/>
                <w:color w:val="auto"/>
                <w:kern w:val="0"/>
                <w:sz w:val="21"/>
                <w:szCs w:val="21"/>
              </w:rPr>
              <w:t>。</w:t>
            </w:r>
          </w:p>
          <w:p w14:paraId="50421E4E">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4．以上奖项均未获得的，不予计分。</w:t>
            </w:r>
          </w:p>
          <w:p w14:paraId="7452B46B">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5．本项最高得10分。</w:t>
            </w:r>
          </w:p>
          <w:p w14:paraId="13160C83">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highlight w:val="none"/>
                <w:lang w:val="en-US" w:eastAsia="zh-CN" w:bidi="ar-SA"/>
              </w:rPr>
            </w:pPr>
          </w:p>
        </w:tc>
        <w:tc>
          <w:tcPr>
            <w:tcW w:w="5110" w:type="dxa"/>
            <w:tcBorders>
              <w:tl2br w:val="nil"/>
              <w:tr2bl w:val="nil"/>
            </w:tcBorders>
            <w:noWrap w:val="0"/>
            <w:vAlign w:val="center"/>
          </w:tcPr>
          <w:p w14:paraId="4A18D251">
            <w:pPr>
              <w:widowControl/>
              <w:spacing w:beforeAutospacing="0" w:after="0" w:afterAutospacing="0"/>
              <w:ind w:left="0" w:firstLine="0"/>
              <w:jc w:val="both"/>
              <w:rPr>
                <w:rFonts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kern w:val="0"/>
                <w:sz w:val="21"/>
                <w:szCs w:val="21"/>
                <w:highlight w:val="none"/>
                <w:u w:val="none"/>
                <w:lang w:val="en-US" w:eastAsia="zh-CN" w:bidi="ar"/>
              </w:rPr>
              <w:t>1.允许投标人提交多个业绩，但同一业绩只按最高级别奖项计分一次。</w:t>
            </w:r>
          </w:p>
          <w:p w14:paraId="28717B74">
            <w:pPr>
              <w:widowControl/>
              <w:spacing w:beforeAutospacing="0" w:after="0" w:afterAutospacing="0"/>
              <w:ind w:lef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kern w:val="0"/>
                <w:sz w:val="21"/>
                <w:szCs w:val="21"/>
                <w:highlight w:val="none"/>
                <w:u w:val="none"/>
                <w:lang w:val="en-US" w:eastAsia="zh-CN" w:bidi="ar"/>
              </w:rPr>
              <w:t>2.需附有关奖项证明扫描件，</w:t>
            </w:r>
            <w:r>
              <w:rPr>
                <w:rFonts w:hint="eastAsia" w:ascii="宋体" w:hAnsi="宋体" w:eastAsia="宋体" w:cs="宋体"/>
                <w:b/>
                <w:i w:val="0"/>
                <w:caps w:val="0"/>
                <w:color w:val="auto"/>
                <w:spacing w:val="0"/>
                <w:kern w:val="0"/>
                <w:sz w:val="21"/>
                <w:szCs w:val="21"/>
                <w:highlight w:val="none"/>
                <w:u w:val="none"/>
                <w:lang w:val="en-US" w:eastAsia="zh-CN" w:bidi="ar"/>
              </w:rPr>
              <w:t>同时提供原件核查。</w:t>
            </w:r>
          </w:p>
          <w:p w14:paraId="10BCE676">
            <w:pPr>
              <w:widowControl/>
              <w:spacing w:beforeAutospacing="0" w:after="0" w:afterAutospacing="0"/>
              <w:ind w:lef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kern w:val="0"/>
                <w:sz w:val="21"/>
                <w:szCs w:val="21"/>
                <w:highlight w:val="none"/>
                <w:u w:val="none"/>
                <w:lang w:val="en-US" w:eastAsia="zh-CN" w:bidi="ar"/>
              </w:rPr>
              <w:t>3.颁发机构限定以下范围：</w:t>
            </w:r>
          </w:p>
          <w:p w14:paraId="7E883BCA">
            <w:pPr>
              <w:pStyle w:val="13"/>
              <w:widowControl/>
              <w:spacing w:beforeAutospacing="0" w:after="90" w:afterAutospacing="0" w:line="216" w:lineRule="atLeast"/>
              <w:ind w:left="0" w:righ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sz w:val="21"/>
                <w:szCs w:val="21"/>
                <w:highlight w:val="none"/>
                <w:u w:val="none"/>
              </w:rPr>
              <w:t>①国家级奖项：</w:t>
            </w:r>
            <w:r>
              <w:rPr>
                <w:rFonts w:hint="eastAsia" w:ascii="宋体" w:hAnsi="宋体" w:eastAsia="宋体" w:cs="宋体"/>
                <w:i w:val="0"/>
                <w:caps w:val="0"/>
                <w:color w:val="auto"/>
                <w:spacing w:val="0"/>
                <w:sz w:val="21"/>
                <w:szCs w:val="21"/>
                <w:highlight w:val="none"/>
                <w:u w:val="single"/>
              </w:rPr>
              <w:t>国务院、住建部、国家级建筑行业协会、国家级市政类行业协会；（相关协会需经民政部门备案）；</w:t>
            </w:r>
          </w:p>
          <w:p w14:paraId="370967F9">
            <w:pPr>
              <w:pStyle w:val="13"/>
              <w:widowControl/>
              <w:spacing w:beforeAutospacing="0" w:after="90" w:afterAutospacing="0" w:line="216" w:lineRule="atLeast"/>
              <w:ind w:left="0" w:righ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sz w:val="21"/>
                <w:szCs w:val="21"/>
                <w:highlight w:val="none"/>
                <w:u w:val="none"/>
              </w:rPr>
              <w:t>②省级奖项：</w:t>
            </w:r>
            <w:r>
              <w:rPr>
                <w:rFonts w:hint="eastAsia" w:ascii="宋体" w:hAnsi="宋体" w:eastAsia="宋体" w:cs="宋体"/>
                <w:i w:val="0"/>
                <w:caps w:val="0"/>
                <w:color w:val="auto"/>
                <w:spacing w:val="0"/>
                <w:sz w:val="21"/>
                <w:szCs w:val="21"/>
                <w:highlight w:val="none"/>
                <w:u w:val="single"/>
              </w:rPr>
              <w:t>省级人民政府、省级住建部门、省级建筑行业协会、省级市政类行业协会；（相关协会需经民政部门备案）；</w:t>
            </w:r>
          </w:p>
          <w:p w14:paraId="45520BC2">
            <w:pPr>
              <w:pStyle w:val="13"/>
              <w:widowControl/>
              <w:spacing w:beforeAutospacing="0" w:after="90" w:afterAutospacing="0" w:line="216" w:lineRule="atLeast"/>
              <w:ind w:left="0" w:righ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sz w:val="21"/>
                <w:szCs w:val="21"/>
                <w:highlight w:val="none"/>
                <w:u w:val="none"/>
              </w:rPr>
              <w:t>③地市级奖项：</w:t>
            </w:r>
            <w:r>
              <w:rPr>
                <w:rFonts w:hint="eastAsia" w:ascii="宋体" w:hAnsi="宋体" w:eastAsia="宋体" w:cs="宋体"/>
                <w:i w:val="0"/>
                <w:caps w:val="0"/>
                <w:color w:val="auto"/>
                <w:spacing w:val="0"/>
                <w:sz w:val="21"/>
                <w:szCs w:val="21"/>
                <w:highlight w:val="none"/>
                <w:u w:val="single"/>
              </w:rPr>
              <w:t>地市级人民政府、地市级住建部门、市级建筑行业协会、市级市政类行业协会。（相关协会需经民政部门备案）。</w:t>
            </w:r>
          </w:p>
          <w:p w14:paraId="095A2128">
            <w:pPr>
              <w:widowControl/>
              <w:spacing w:beforeAutospacing="0" w:after="0" w:afterAutospacing="0"/>
              <w:ind w:lef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kern w:val="0"/>
                <w:sz w:val="21"/>
                <w:szCs w:val="21"/>
                <w:highlight w:val="none"/>
                <w:u w:val="none"/>
                <w:lang w:val="en-US" w:eastAsia="zh-CN" w:bidi="ar"/>
              </w:rPr>
              <w:t>4.获奖时间以奖项证明的落款日期为准。</w:t>
            </w:r>
          </w:p>
          <w:p w14:paraId="47CD5FF5">
            <w:pPr>
              <w:pStyle w:val="13"/>
              <w:widowControl/>
              <w:spacing w:beforeAutospacing="0" w:after="0" w:afterAutospacing="0" w:line="216" w:lineRule="atLeast"/>
              <w:ind w:left="0" w:righ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sz w:val="21"/>
                <w:szCs w:val="21"/>
                <w:highlight w:val="none"/>
                <w:u w:val="none"/>
              </w:rPr>
              <w:t>5．任一奖项有以下情形之一的，该奖项视为无效，不予计分：</w:t>
            </w:r>
          </w:p>
          <w:p w14:paraId="0E1B5EA4">
            <w:pPr>
              <w:pStyle w:val="13"/>
              <w:widowControl/>
              <w:spacing w:beforeAutospacing="0" w:after="0" w:afterAutospacing="0" w:line="216" w:lineRule="atLeast"/>
              <w:ind w:left="0" w:righ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sz w:val="21"/>
                <w:szCs w:val="21"/>
                <w:highlight w:val="none"/>
                <w:u w:val="none"/>
              </w:rPr>
              <w:t>①奖项不属于指定类别的；</w:t>
            </w:r>
          </w:p>
          <w:p w14:paraId="19F8DD80">
            <w:pPr>
              <w:pStyle w:val="13"/>
              <w:widowControl/>
              <w:spacing w:beforeAutospacing="0" w:after="0" w:afterAutospacing="0" w:line="216" w:lineRule="atLeast"/>
              <w:ind w:left="0" w:righ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sz w:val="21"/>
                <w:szCs w:val="21"/>
                <w:highlight w:val="none"/>
                <w:u w:val="none"/>
              </w:rPr>
              <w:t>②颁发机构不符合要求的；</w:t>
            </w:r>
          </w:p>
          <w:p w14:paraId="4D2AD16D">
            <w:pPr>
              <w:pStyle w:val="13"/>
              <w:widowControl/>
              <w:spacing w:beforeAutospacing="0" w:after="0" w:afterAutospacing="0" w:line="216" w:lineRule="atLeast"/>
              <w:ind w:left="0" w:righ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sz w:val="21"/>
                <w:szCs w:val="21"/>
                <w:highlight w:val="none"/>
                <w:u w:val="none"/>
              </w:rPr>
              <w:t>③获奖时间不符合要求的；</w:t>
            </w:r>
          </w:p>
          <w:p w14:paraId="328C837F">
            <w:pPr>
              <w:pStyle w:val="13"/>
              <w:widowControl/>
              <w:spacing w:beforeAutospacing="0" w:after="0" w:afterAutospacing="0" w:line="216" w:lineRule="atLeast"/>
              <w:ind w:left="0" w:right="0" w:firstLine="0"/>
              <w:jc w:val="both"/>
              <w:rPr>
                <w:rFonts w:hint="default" w:ascii="-webkit-standard" w:hAnsi="-webkit-standard" w:eastAsia="-webkit-standard" w:cs="-webkit-standard"/>
                <w:i w:val="0"/>
                <w:caps w:val="0"/>
                <w:color w:val="auto"/>
                <w:spacing w:val="0"/>
                <w:sz w:val="21"/>
                <w:szCs w:val="21"/>
                <w:highlight w:val="none"/>
                <w:u w:val="none"/>
              </w:rPr>
            </w:pPr>
            <w:r>
              <w:rPr>
                <w:rFonts w:hint="eastAsia" w:ascii="宋体" w:hAnsi="宋体" w:eastAsia="宋体" w:cs="宋体"/>
                <w:i w:val="0"/>
                <w:caps w:val="0"/>
                <w:color w:val="auto"/>
                <w:spacing w:val="0"/>
                <w:sz w:val="21"/>
                <w:szCs w:val="21"/>
                <w:highlight w:val="none"/>
                <w:u w:val="none"/>
              </w:rPr>
              <w:t>④未提供奖项证明材料原件的。</w:t>
            </w:r>
          </w:p>
          <w:p w14:paraId="775DAB8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400" w:lineRule="exact"/>
              <w:ind w:left="0" w:leftChars="0" w:right="0" w:rightChars="0"/>
              <w:jc w:val="both"/>
              <w:textAlignment w:val="auto"/>
              <w:rPr>
                <w:rFonts w:hint="eastAsia" w:ascii="宋体" w:hAnsi="宋体" w:eastAsia="宋体" w:cs="宋体"/>
                <w:color w:val="auto"/>
                <w:sz w:val="21"/>
                <w:szCs w:val="21"/>
                <w:highlight w:val="none"/>
                <w:lang w:val="en-US" w:eastAsia="zh-CN"/>
              </w:rPr>
            </w:pPr>
          </w:p>
        </w:tc>
      </w:tr>
      <w:tr w14:paraId="064D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1491" w:type="dxa"/>
            <w:tcBorders>
              <w:tl2br w:val="nil"/>
              <w:tr2bl w:val="nil"/>
            </w:tcBorders>
            <w:noWrap w:val="0"/>
            <w:vAlign w:val="center"/>
          </w:tcPr>
          <w:p w14:paraId="0496A2DB">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0D2D691D">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综合素质</w:t>
            </w:r>
          </w:p>
          <w:p w14:paraId="295F2CCE">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tc>
        <w:tc>
          <w:tcPr>
            <w:tcW w:w="3602" w:type="dxa"/>
            <w:gridSpan w:val="2"/>
            <w:tcBorders>
              <w:tl2br w:val="nil"/>
              <w:tr2bl w:val="nil"/>
            </w:tcBorders>
            <w:noWrap w:val="0"/>
            <w:vAlign w:val="center"/>
          </w:tcPr>
          <w:p w14:paraId="465DEC10">
            <w:pPr>
              <w:pStyle w:val="5"/>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项目经理工程类技术职称情况：</w:t>
            </w:r>
          </w:p>
          <w:p w14:paraId="491A4419">
            <w:pPr>
              <w:pStyle w:val="5"/>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具备工程师</w:t>
            </w:r>
            <w:r>
              <w:rPr>
                <w:rFonts w:hint="eastAsia" w:ascii="宋体" w:hAnsi="宋体" w:eastAsia="宋体" w:cs="宋体"/>
                <w:snapToGrid w:val="0"/>
                <w:color w:val="auto"/>
                <w:kern w:val="0"/>
                <w:sz w:val="21"/>
                <w:szCs w:val="21"/>
                <w:highlight w:val="none"/>
                <w:lang w:val="en-US" w:eastAsia="zh-CN"/>
              </w:rPr>
              <w:t>或以上职称的，</w:t>
            </w:r>
            <w:r>
              <w:rPr>
                <w:rFonts w:hint="eastAsia" w:ascii="宋体" w:hAnsi="宋体" w:eastAsia="宋体" w:cs="宋体"/>
                <w:snapToGrid w:val="0"/>
                <w:color w:val="auto"/>
                <w:kern w:val="0"/>
                <w:sz w:val="21"/>
                <w:szCs w:val="21"/>
                <w:highlight w:val="none"/>
              </w:rPr>
              <w:t>得</w:t>
            </w:r>
            <w:r>
              <w:rPr>
                <w:rFonts w:hint="eastAsia" w:ascii="宋体" w:hAnsi="宋体" w:eastAsia="宋体" w:cs="宋体"/>
                <w:snapToGrid w:val="0"/>
                <w:color w:val="auto"/>
                <w:kern w:val="0"/>
                <w:sz w:val="21"/>
                <w:szCs w:val="21"/>
                <w:highlight w:val="none"/>
                <w:u w:val="single"/>
                <w:lang w:val="en-US" w:eastAsia="zh-CN"/>
              </w:rPr>
              <w:t>10</w:t>
            </w:r>
            <w:r>
              <w:rPr>
                <w:rFonts w:hint="eastAsia" w:ascii="宋体" w:hAnsi="宋体" w:eastAsia="宋体" w:cs="宋体"/>
                <w:snapToGrid w:val="0"/>
                <w:color w:val="auto"/>
                <w:kern w:val="0"/>
                <w:sz w:val="21"/>
                <w:szCs w:val="21"/>
                <w:highlight w:val="none"/>
              </w:rPr>
              <w:t>分。</w:t>
            </w:r>
          </w:p>
          <w:p w14:paraId="2231B758">
            <w:pPr>
              <w:pStyle w:val="5"/>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2.具备</w:t>
            </w:r>
            <w:r>
              <w:rPr>
                <w:rFonts w:hint="eastAsia" w:ascii="宋体" w:hAnsi="宋体" w:cs="宋体"/>
                <w:snapToGrid w:val="0"/>
                <w:color w:val="auto"/>
                <w:kern w:val="0"/>
                <w:sz w:val="21"/>
                <w:szCs w:val="21"/>
                <w:highlight w:val="none"/>
                <w:lang w:val="en-US" w:eastAsia="zh-CN"/>
              </w:rPr>
              <w:t>助理</w:t>
            </w:r>
            <w:r>
              <w:rPr>
                <w:rFonts w:hint="eastAsia" w:ascii="宋体" w:hAnsi="宋体" w:eastAsia="宋体" w:cs="宋体"/>
                <w:snapToGrid w:val="0"/>
                <w:color w:val="auto"/>
                <w:kern w:val="0"/>
                <w:sz w:val="21"/>
                <w:szCs w:val="21"/>
                <w:highlight w:val="none"/>
              </w:rPr>
              <w:t>工程师职称的，</w:t>
            </w:r>
            <w:r>
              <w:rPr>
                <w:rFonts w:hint="eastAsia" w:ascii="宋体" w:hAnsi="宋体" w:eastAsia="宋体" w:cs="宋体"/>
                <w:snapToGrid w:val="0"/>
                <w:color w:val="auto"/>
                <w:kern w:val="0"/>
                <w:sz w:val="21"/>
                <w:szCs w:val="21"/>
                <w:highlight w:val="none"/>
                <w:lang w:val="en-US" w:eastAsia="zh-CN"/>
              </w:rPr>
              <w:t>得</w:t>
            </w:r>
            <w:r>
              <w:rPr>
                <w:rFonts w:hint="eastAsia" w:ascii="宋体" w:hAnsi="宋体" w:eastAsia="宋体" w:cs="宋体"/>
                <w:snapToGrid w:val="0"/>
                <w:color w:val="auto"/>
                <w:kern w:val="0"/>
                <w:sz w:val="21"/>
                <w:szCs w:val="21"/>
                <w:highlight w:val="none"/>
                <w:u w:val="single"/>
                <w:lang w:val="en-US" w:eastAsia="zh-CN"/>
              </w:rPr>
              <w:t xml:space="preserve"> 5 </w:t>
            </w:r>
            <w:r>
              <w:rPr>
                <w:rFonts w:hint="eastAsia" w:ascii="宋体" w:hAnsi="宋体" w:eastAsia="宋体" w:cs="宋体"/>
                <w:snapToGrid w:val="0"/>
                <w:color w:val="auto"/>
                <w:kern w:val="0"/>
                <w:sz w:val="21"/>
                <w:szCs w:val="21"/>
                <w:highlight w:val="none"/>
                <w:lang w:val="en-US" w:eastAsia="zh-CN"/>
              </w:rPr>
              <w:t>分。</w:t>
            </w:r>
          </w:p>
          <w:p w14:paraId="2FA22572">
            <w:pPr>
              <w:pStyle w:val="5"/>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不具备以上职称的不予计分。</w:t>
            </w:r>
          </w:p>
          <w:p w14:paraId="3A9D7962">
            <w:pPr>
              <w:pStyle w:val="5"/>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eastAsia="zh-CN"/>
              </w:rPr>
              <w:t>本项</w:t>
            </w:r>
            <w:r>
              <w:rPr>
                <w:rFonts w:hint="eastAsia" w:ascii="宋体" w:hAnsi="宋体" w:eastAsia="宋体" w:cs="宋体"/>
                <w:snapToGrid w:val="0"/>
                <w:color w:val="auto"/>
                <w:kern w:val="0"/>
                <w:sz w:val="21"/>
                <w:szCs w:val="21"/>
                <w:highlight w:val="none"/>
              </w:rPr>
              <w:t>最高得</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tc>
        <w:tc>
          <w:tcPr>
            <w:tcW w:w="5110" w:type="dxa"/>
            <w:tcBorders>
              <w:tl2br w:val="nil"/>
              <w:tr2bl w:val="nil"/>
            </w:tcBorders>
            <w:noWrap w:val="0"/>
            <w:vAlign w:val="center"/>
          </w:tcPr>
          <w:p w14:paraId="356C8D61">
            <w:pPr>
              <w:pStyle w:val="5"/>
              <w:wordWrap w:val="0"/>
              <w:adjustRightInd w:val="0"/>
              <w:snapToGrid w:val="0"/>
              <w:spacing w:after="0" w:line="400" w:lineRule="exac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需附职称证</w:t>
            </w:r>
            <w:r>
              <w:rPr>
                <w:rFonts w:hint="eastAsia" w:ascii="宋体" w:hAnsi="宋体" w:eastAsia="宋体" w:cs="宋体"/>
                <w:caps w:val="0"/>
                <w:smallCaps w:val="0"/>
                <w:snapToGrid w:val="0"/>
                <w:color w:val="auto"/>
                <w:spacing w:val="0"/>
                <w:kern w:val="0"/>
                <w:sz w:val="21"/>
                <w:szCs w:val="21"/>
                <w:highlight w:val="none"/>
                <w:lang w:val="en-US" w:eastAsia="zh-CN"/>
              </w:rPr>
              <w:t>彩色扫描件，</w:t>
            </w:r>
            <w:r>
              <w:rPr>
                <w:rFonts w:hint="eastAsia" w:ascii="宋体" w:hAnsi="宋体" w:eastAsia="宋体" w:cs="宋体"/>
                <w:b/>
                <w:bCs/>
                <w:snapToGrid w:val="0"/>
                <w:color w:val="auto"/>
                <w:kern w:val="0"/>
                <w:sz w:val="21"/>
                <w:szCs w:val="21"/>
                <w:highlight w:val="none"/>
              </w:rPr>
              <w:t>同时提供原件供核对（职称证为电子证书打印件的除外）</w:t>
            </w:r>
            <w:r>
              <w:rPr>
                <w:rFonts w:hint="eastAsia" w:ascii="宋体" w:hAnsi="宋体" w:eastAsia="宋体" w:cs="宋体"/>
                <w:snapToGrid w:val="0"/>
                <w:color w:val="auto"/>
                <w:kern w:val="0"/>
                <w:sz w:val="21"/>
                <w:szCs w:val="21"/>
                <w:highlight w:val="none"/>
              </w:rPr>
              <w:t>。</w:t>
            </w:r>
          </w:p>
          <w:p w14:paraId="7EBC6357">
            <w:pPr>
              <w:pStyle w:val="5"/>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1"/>
                <w:szCs w:val="21"/>
                <w:highlight w:val="none"/>
                <w:lang w:val="en-US" w:eastAsia="zh-CN"/>
              </w:rPr>
            </w:pPr>
          </w:p>
        </w:tc>
      </w:tr>
      <w:tr w14:paraId="3E9A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491" w:type="dxa"/>
            <w:tcBorders>
              <w:tl2br w:val="nil"/>
              <w:tr2bl w:val="nil"/>
            </w:tcBorders>
            <w:noWrap w:val="0"/>
            <w:vAlign w:val="center"/>
          </w:tcPr>
          <w:p w14:paraId="7CD1110D">
            <w:pPr>
              <w:pStyle w:val="5"/>
              <w:pageBreakBefore w:val="0"/>
              <w:kinsoku/>
              <w:wordWrap w:val="0"/>
              <w:overflowPunct/>
              <w:topLinePunct w:val="0"/>
              <w:bidi w:val="0"/>
              <w:adjustRightInd w:val="0"/>
              <w:snapToGrid w:val="0"/>
              <w:spacing w:after="0" w:afterLines="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企业业绩</w:t>
            </w:r>
          </w:p>
          <w:p w14:paraId="66BD8880">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rPr>
              <w:t>分）</w:t>
            </w:r>
          </w:p>
        </w:tc>
        <w:tc>
          <w:tcPr>
            <w:tcW w:w="3602" w:type="dxa"/>
            <w:gridSpan w:val="2"/>
            <w:tcBorders>
              <w:tl2br w:val="nil"/>
              <w:tr2bl w:val="nil"/>
            </w:tcBorders>
            <w:noWrap w:val="0"/>
            <w:vAlign w:val="center"/>
          </w:tcPr>
          <w:p w14:paraId="4E2DC062">
            <w:pPr>
              <w:pageBreakBefore w:val="0"/>
              <w:kinsoku/>
              <w:overflowPunct/>
              <w:topLinePunct w:val="0"/>
              <w:bidi w:val="0"/>
              <w:snapToGrid w:val="0"/>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aps w:val="0"/>
                <w:smallCaps w:val="0"/>
                <w:snapToGrid w:val="0"/>
                <w:color w:val="auto"/>
                <w:spacing w:val="0"/>
                <w:kern w:val="0"/>
                <w:sz w:val="21"/>
                <w:szCs w:val="21"/>
                <w:highlight w:val="none"/>
              </w:rPr>
              <w:t>企业</w:t>
            </w:r>
            <w:r>
              <w:rPr>
                <w:rFonts w:hint="eastAsia" w:ascii="宋体" w:hAnsi="宋体" w:eastAsia="宋体" w:cs="宋体"/>
                <w:caps w:val="0"/>
                <w:smallCaps w:val="0"/>
                <w:snapToGrid w:val="0"/>
                <w:color w:val="auto"/>
                <w:spacing w:val="0"/>
                <w:kern w:val="0"/>
                <w:sz w:val="21"/>
                <w:szCs w:val="21"/>
                <w:highlight w:val="none"/>
              </w:rPr>
              <w:t>近</w:t>
            </w:r>
            <w:r>
              <w:rPr>
                <w:rFonts w:hint="eastAsia" w:ascii="宋体" w:hAnsi="宋体" w:eastAsia="宋体" w:cs="宋体"/>
                <w:caps w:val="0"/>
                <w:smallCaps w:val="0"/>
                <w:snapToGrid w:val="0"/>
                <w:color w:val="auto"/>
                <w:spacing w:val="0"/>
                <w:kern w:val="0"/>
                <w:sz w:val="21"/>
                <w:szCs w:val="21"/>
                <w:highlight w:val="none"/>
                <w:lang w:val="en-US" w:eastAsia="zh-CN"/>
              </w:rPr>
              <w:t>5</w:t>
            </w:r>
            <w:r>
              <w:rPr>
                <w:rFonts w:hint="eastAsia" w:ascii="宋体" w:hAnsi="宋体" w:eastAsia="宋体" w:cs="宋体"/>
                <w:caps w:val="0"/>
                <w:smallCaps w:val="0"/>
                <w:snapToGrid w:val="0"/>
                <w:color w:val="auto"/>
                <w:spacing w:val="0"/>
                <w:kern w:val="0"/>
                <w:sz w:val="21"/>
                <w:szCs w:val="21"/>
                <w:highlight w:val="none"/>
              </w:rPr>
              <w:t>年来（202</w:t>
            </w:r>
            <w:r>
              <w:rPr>
                <w:rFonts w:hint="eastAsia" w:ascii="宋体" w:hAnsi="宋体" w:eastAsia="宋体" w:cs="宋体"/>
                <w:caps w:val="0"/>
                <w:smallCaps w:val="0"/>
                <w:snapToGrid w:val="0"/>
                <w:color w:val="auto"/>
                <w:spacing w:val="0"/>
                <w:kern w:val="0"/>
                <w:sz w:val="21"/>
                <w:szCs w:val="21"/>
                <w:highlight w:val="none"/>
                <w:lang w:val="en-US" w:eastAsia="zh-CN"/>
              </w:rPr>
              <w:t>0</w:t>
            </w:r>
            <w:r>
              <w:rPr>
                <w:rFonts w:hint="eastAsia" w:ascii="宋体" w:hAnsi="宋体" w:eastAsia="宋体" w:cs="宋体"/>
                <w:caps w:val="0"/>
                <w:smallCaps w:val="0"/>
                <w:snapToGrid w:val="0"/>
                <w:color w:val="auto"/>
                <w:spacing w:val="0"/>
                <w:kern w:val="0"/>
                <w:sz w:val="21"/>
                <w:szCs w:val="21"/>
                <w:highlight w:val="none"/>
              </w:rPr>
              <w:t>年1月1</w:t>
            </w:r>
            <w:r>
              <w:rPr>
                <w:rFonts w:hint="eastAsia" w:ascii="宋体" w:hAnsi="宋体" w:eastAsia="宋体" w:cs="宋体"/>
                <w:caps w:val="0"/>
                <w:smallCaps w:val="0"/>
                <w:snapToGrid w:val="0"/>
                <w:color w:val="auto"/>
                <w:spacing w:val="0"/>
                <w:kern w:val="0"/>
                <w:sz w:val="21"/>
                <w:szCs w:val="21"/>
                <w:highlight w:val="none"/>
              </w:rPr>
              <w:t>日至今）</w:t>
            </w:r>
            <w:r>
              <w:rPr>
                <w:rFonts w:hint="eastAsia" w:ascii="宋体" w:hAnsi="宋体" w:eastAsia="宋体" w:cs="宋体"/>
                <w:color w:val="auto"/>
                <w:sz w:val="21"/>
                <w:szCs w:val="21"/>
                <w:highlight w:val="none"/>
              </w:rPr>
              <w:t>业绩情况：</w:t>
            </w:r>
          </w:p>
          <w:p w14:paraId="7B3794A9">
            <w:pPr>
              <w:pStyle w:val="5"/>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u w:val="single"/>
              </w:rPr>
              <w:t xml:space="preserve"> 承接 </w:t>
            </w:r>
            <w:r>
              <w:rPr>
                <w:rFonts w:hint="eastAsia" w:ascii="宋体" w:hAnsi="宋体" w:eastAsia="宋体" w:cs="宋体"/>
                <w:snapToGrid w:val="0"/>
                <w:color w:val="auto"/>
                <w:kern w:val="0"/>
                <w:sz w:val="21"/>
                <w:szCs w:val="21"/>
                <w:highlight w:val="none"/>
              </w:rPr>
              <w:t>过类似工程的，每个得</w:t>
            </w:r>
            <w:r>
              <w:rPr>
                <w:rFonts w:hint="eastAsia" w:ascii="宋体" w:hAnsi="宋体" w:eastAsia="宋体" w:cs="宋体"/>
                <w:snapToGrid w:val="0"/>
                <w:color w:val="auto"/>
                <w:kern w:val="0"/>
                <w:sz w:val="21"/>
                <w:szCs w:val="21"/>
                <w:highlight w:val="none"/>
                <w:u w:val="single"/>
              </w:rPr>
              <w:t xml:space="preserve"> 5</w:t>
            </w:r>
            <w:r>
              <w:rPr>
                <w:rFonts w:hint="eastAsia" w:ascii="宋体" w:hAnsi="宋体" w:eastAsia="宋体" w:cs="宋体"/>
                <w:snapToGrid w:val="0"/>
                <w:color w:val="auto"/>
                <w:kern w:val="0"/>
                <w:sz w:val="21"/>
                <w:szCs w:val="21"/>
                <w:highlight w:val="none"/>
              </w:rPr>
              <w:t>分。</w:t>
            </w:r>
          </w:p>
          <w:p w14:paraId="0891A4C5">
            <w:pPr>
              <w:pStyle w:val="5"/>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2．未</w:t>
            </w:r>
            <w:r>
              <w:rPr>
                <w:rFonts w:hint="eastAsia" w:ascii="宋体" w:hAnsi="宋体" w:eastAsia="宋体" w:cs="宋体"/>
                <w:snapToGrid w:val="0"/>
                <w:color w:val="auto"/>
                <w:kern w:val="0"/>
                <w:sz w:val="21"/>
                <w:szCs w:val="21"/>
                <w:highlight w:val="none"/>
                <w:u w:val="single"/>
              </w:rPr>
              <w:t xml:space="preserve"> 承接 </w:t>
            </w:r>
            <w:r>
              <w:rPr>
                <w:rFonts w:hint="eastAsia" w:ascii="宋体" w:hAnsi="宋体" w:eastAsia="宋体" w:cs="宋体"/>
                <w:snapToGrid w:val="0"/>
                <w:color w:val="auto"/>
                <w:kern w:val="0"/>
                <w:sz w:val="21"/>
                <w:szCs w:val="21"/>
                <w:highlight w:val="none"/>
              </w:rPr>
              <w:t>过类似工程的，不予计分。</w:t>
            </w:r>
          </w:p>
          <w:p w14:paraId="1E83A9CE">
            <w:pPr>
              <w:pStyle w:val="5"/>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3．本项最高得</w:t>
            </w: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0分。</w:t>
            </w:r>
          </w:p>
        </w:tc>
        <w:tc>
          <w:tcPr>
            <w:tcW w:w="5110" w:type="dxa"/>
            <w:tcBorders>
              <w:tl2br w:val="nil"/>
              <w:tr2bl w:val="nil"/>
            </w:tcBorders>
            <w:noWrap w:val="0"/>
            <w:vAlign w:val="center"/>
          </w:tcPr>
          <w:p w14:paraId="1FF90F2A">
            <w:pPr>
              <w:spacing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1.类似工程指：</w:t>
            </w:r>
            <w:r>
              <w:rPr>
                <w:rFonts w:hint="eastAsia" w:ascii="宋体" w:hAnsi="宋体" w:eastAsia="宋体" w:cs="宋体"/>
                <w:kern w:val="0"/>
                <w:sz w:val="21"/>
                <w:szCs w:val="21"/>
                <w:u w:val="single"/>
              </w:rPr>
              <w:t>房屋建筑</w:t>
            </w:r>
            <w:r>
              <w:rPr>
                <w:rFonts w:hint="eastAsia" w:ascii="宋体" w:hAnsi="宋体" w:cs="宋体"/>
                <w:kern w:val="0"/>
                <w:sz w:val="21"/>
                <w:szCs w:val="21"/>
                <w:u w:val="single"/>
                <w:lang w:val="en-US" w:eastAsia="zh-CN"/>
              </w:rPr>
              <w:t>/市政</w:t>
            </w:r>
            <w:r>
              <w:rPr>
                <w:rFonts w:hint="eastAsia" w:ascii="宋体" w:hAnsi="宋体" w:eastAsia="宋体" w:cs="宋体"/>
                <w:snapToGrid w:val="0"/>
                <w:color w:val="auto"/>
                <w:kern w:val="0"/>
                <w:sz w:val="21"/>
                <w:szCs w:val="21"/>
                <w:highlight w:val="none"/>
                <w:u w:val="single"/>
                <w:lang w:val="en-US" w:eastAsia="zh-CN"/>
              </w:rPr>
              <w:t>工程</w:t>
            </w:r>
            <w:r>
              <w:rPr>
                <w:rFonts w:hint="eastAsia" w:hAnsi="宋体" w:cs="宋体"/>
                <w:kern w:val="0"/>
                <w:sz w:val="21"/>
                <w:szCs w:val="21"/>
                <w:u w:val="single"/>
                <w:lang w:val="en-US" w:eastAsia="zh-CN"/>
              </w:rPr>
              <w:t>类</w:t>
            </w:r>
            <w:r>
              <w:rPr>
                <w:rFonts w:hint="eastAsia" w:ascii="宋体" w:hAnsi="宋体" w:eastAsia="宋体" w:cs="宋体"/>
                <w:snapToGrid w:val="0"/>
                <w:color w:val="auto"/>
                <w:kern w:val="0"/>
                <w:sz w:val="21"/>
                <w:szCs w:val="21"/>
                <w:highlight w:val="none"/>
                <w:u w:val="single"/>
                <w:lang w:val="en-US" w:eastAsia="zh-CN"/>
              </w:rPr>
              <w:t>项目。</w:t>
            </w:r>
          </w:p>
          <w:p w14:paraId="0B5F5BC8">
            <w:pPr>
              <w:pStyle w:val="5"/>
              <w:wordWrap w:val="0"/>
              <w:adjustRightInd w:val="0"/>
              <w:snapToGrid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需附</w:t>
            </w:r>
            <w:r>
              <w:rPr>
                <w:rFonts w:hint="eastAsia" w:ascii="宋体" w:hAnsi="宋体" w:eastAsia="宋体" w:cs="宋体"/>
                <w:color w:val="auto"/>
                <w:sz w:val="21"/>
                <w:szCs w:val="21"/>
                <w:highlight w:val="none"/>
                <w:lang w:val="en-US" w:eastAsia="zh-CN"/>
              </w:rPr>
              <w:t>有关业绩</w:t>
            </w:r>
            <w:r>
              <w:rPr>
                <w:rFonts w:hint="eastAsia" w:ascii="宋体" w:hAnsi="宋体" w:eastAsia="宋体" w:cs="宋体"/>
                <w:snapToGrid w:val="0"/>
                <w:color w:val="auto"/>
                <w:kern w:val="0"/>
                <w:sz w:val="21"/>
                <w:szCs w:val="21"/>
                <w:highlight w:val="none"/>
              </w:rPr>
              <w:t>（仅限于</w:t>
            </w:r>
            <w:r>
              <w:rPr>
                <w:rFonts w:hint="eastAsia" w:ascii="宋体" w:hAnsi="宋体" w:eastAsia="宋体" w:cs="宋体"/>
                <w:snapToGrid w:val="0"/>
                <w:color w:val="auto"/>
                <w:kern w:val="0"/>
                <w:sz w:val="21"/>
                <w:szCs w:val="21"/>
                <w:highlight w:val="none"/>
                <w:lang w:val="en-US" w:eastAsia="zh-CN"/>
              </w:rPr>
              <w:t>以</w:t>
            </w:r>
            <w:r>
              <w:rPr>
                <w:rFonts w:hint="eastAsia" w:ascii="宋体" w:hAnsi="宋体" w:eastAsia="宋体" w:cs="宋体"/>
                <w:snapToGrid w:val="0"/>
                <w:color w:val="auto"/>
                <w:kern w:val="0"/>
                <w:sz w:val="21"/>
                <w:szCs w:val="21"/>
                <w:highlight w:val="none"/>
              </w:rPr>
              <w:t>施工</w:t>
            </w:r>
            <w:r>
              <w:rPr>
                <w:rFonts w:hint="eastAsia" w:ascii="宋体" w:hAnsi="宋体" w:eastAsia="宋体" w:cs="宋体"/>
                <w:snapToGrid w:val="0"/>
                <w:color w:val="auto"/>
                <w:kern w:val="0"/>
                <w:sz w:val="21"/>
                <w:szCs w:val="21"/>
                <w:highlight w:val="none"/>
                <w:u w:val="single"/>
              </w:rPr>
              <w:t xml:space="preserve"> 总承包单位 </w:t>
            </w:r>
            <w:r>
              <w:rPr>
                <w:rFonts w:hint="eastAsia" w:ascii="宋体" w:hAnsi="宋体" w:eastAsia="宋体" w:cs="宋体"/>
                <w:snapToGrid w:val="0"/>
                <w:color w:val="auto"/>
                <w:kern w:val="0"/>
                <w:sz w:val="21"/>
                <w:szCs w:val="21"/>
                <w:highlight w:val="none"/>
              </w:rPr>
              <w:t>身份</w:t>
            </w:r>
            <w:r>
              <w:rPr>
                <w:rFonts w:hint="eastAsia" w:ascii="宋体" w:hAnsi="宋体" w:eastAsia="宋体" w:cs="宋体"/>
                <w:snapToGrid w:val="0"/>
                <w:color w:val="auto"/>
                <w:kern w:val="0"/>
                <w:sz w:val="21"/>
                <w:szCs w:val="21"/>
                <w:highlight w:val="none"/>
                <w:lang w:val="en-US" w:eastAsia="zh-CN"/>
              </w:rPr>
              <w:t>承</w:t>
            </w:r>
            <w:r>
              <w:rPr>
                <w:rFonts w:hint="eastAsia" w:ascii="宋体" w:hAnsi="宋体" w:eastAsia="宋体" w:cs="宋体"/>
                <w:snapToGrid w:val="0"/>
                <w:color w:val="auto"/>
                <w:kern w:val="0"/>
                <w:sz w:val="21"/>
                <w:szCs w:val="21"/>
                <w:highlight w:val="none"/>
              </w:rPr>
              <w:t>建的项目）</w:t>
            </w:r>
            <w:r>
              <w:rPr>
                <w:rFonts w:hint="eastAsia" w:ascii="宋体" w:hAnsi="宋体" w:eastAsia="宋体" w:cs="宋体"/>
                <w:color w:val="auto"/>
                <w:sz w:val="21"/>
                <w:szCs w:val="21"/>
                <w:highlight w:val="none"/>
                <w:lang w:val="en-US" w:eastAsia="zh-CN"/>
              </w:rPr>
              <w:t>中标通知书或</w:t>
            </w:r>
            <w:r>
              <w:rPr>
                <w:rFonts w:hint="eastAsia" w:ascii="宋体" w:hAnsi="宋体" w:eastAsia="宋体" w:cs="宋体"/>
                <w:color w:val="auto"/>
                <w:sz w:val="21"/>
                <w:szCs w:val="21"/>
                <w:highlight w:val="none"/>
              </w:rPr>
              <w:t>合同</w:t>
            </w:r>
            <w:r>
              <w:rPr>
                <w:rFonts w:hint="eastAsia" w:ascii="宋体" w:hAnsi="宋体" w:eastAsia="宋体" w:cs="宋体"/>
                <w:color w:val="auto"/>
                <w:sz w:val="21"/>
                <w:szCs w:val="21"/>
                <w:highlight w:val="none"/>
                <w:lang w:val="en-US" w:eastAsia="zh-CN"/>
              </w:rPr>
              <w:t>协议书</w:t>
            </w:r>
            <w:r>
              <w:rPr>
                <w:rFonts w:hint="eastAsia" w:ascii="宋体" w:hAnsi="宋体" w:eastAsia="宋体" w:cs="宋体"/>
                <w:color w:val="auto"/>
                <w:sz w:val="21"/>
                <w:szCs w:val="21"/>
                <w:highlight w:val="none"/>
              </w:rPr>
              <w:t>关键页</w:t>
            </w:r>
            <w:r>
              <w:rPr>
                <w:rFonts w:hint="eastAsia" w:ascii="宋体" w:hAnsi="宋体" w:eastAsia="宋体" w:cs="宋体"/>
                <w:color w:val="auto"/>
                <w:sz w:val="21"/>
                <w:szCs w:val="21"/>
                <w:highlight w:val="none"/>
                <w:lang w:val="en-US" w:eastAsia="zh-CN"/>
              </w:rPr>
              <w:t>的彩色扫描件（或打印件）</w:t>
            </w:r>
            <w:r>
              <w:rPr>
                <w:rFonts w:hint="eastAsia" w:ascii="宋体" w:hAnsi="宋体" w:eastAsia="宋体" w:cs="宋体"/>
                <w:snapToGrid w:val="0"/>
                <w:color w:val="auto"/>
                <w:kern w:val="0"/>
                <w:sz w:val="21"/>
                <w:szCs w:val="21"/>
                <w:highlight w:val="none"/>
              </w:rPr>
              <w:t>，</w:t>
            </w:r>
            <w:r>
              <w:rPr>
                <w:rFonts w:hint="eastAsia" w:ascii="宋体" w:hAnsi="宋体" w:eastAsia="宋体" w:cs="宋体"/>
                <w:b/>
                <w:bCs/>
                <w:snapToGrid w:val="0"/>
                <w:color w:val="auto"/>
                <w:kern w:val="0"/>
                <w:sz w:val="21"/>
                <w:szCs w:val="21"/>
                <w:highlight w:val="none"/>
              </w:rPr>
              <w:t>同时提供原件供核对</w:t>
            </w:r>
            <w:r>
              <w:rPr>
                <w:rFonts w:hint="eastAsia" w:ascii="宋体" w:hAnsi="宋体" w:eastAsia="宋体" w:cs="宋体"/>
                <w:snapToGrid w:val="0"/>
                <w:color w:val="auto"/>
                <w:kern w:val="0"/>
                <w:sz w:val="21"/>
                <w:szCs w:val="21"/>
                <w:highlight w:val="none"/>
              </w:rPr>
              <w:t>。</w:t>
            </w:r>
          </w:p>
          <w:p w14:paraId="630F36EF">
            <w:pPr>
              <w:pageBreakBefore w:val="0"/>
              <w:numPr>
                <w:ilvl w:val="0"/>
                <w:numId w:val="0"/>
              </w:numPr>
              <w:kinsoku/>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3.业绩</w:t>
            </w:r>
            <w:r>
              <w:rPr>
                <w:rFonts w:hint="eastAsia" w:ascii="宋体" w:hAnsi="宋体" w:eastAsia="宋体" w:cs="宋体"/>
                <w:color w:val="auto"/>
                <w:sz w:val="21"/>
                <w:szCs w:val="21"/>
                <w:highlight w:val="none"/>
              </w:rPr>
              <w:t>时间以</w:t>
            </w:r>
            <w:r>
              <w:rPr>
                <w:rFonts w:hint="eastAsia" w:ascii="宋体" w:hAnsi="宋体" w:eastAsia="宋体" w:cs="宋体"/>
                <w:color w:val="auto"/>
                <w:sz w:val="21"/>
                <w:szCs w:val="21"/>
                <w:highlight w:val="none"/>
                <w:lang w:val="en-US" w:eastAsia="zh-CN"/>
              </w:rPr>
              <w:t>中标通知书颁发或合同签署日期</w:t>
            </w:r>
            <w:r>
              <w:rPr>
                <w:rFonts w:hint="eastAsia" w:ascii="宋体" w:hAnsi="宋体" w:eastAsia="宋体" w:cs="宋体"/>
                <w:color w:val="auto"/>
                <w:sz w:val="21"/>
                <w:szCs w:val="21"/>
                <w:highlight w:val="none"/>
              </w:rPr>
              <w:t>为准。</w:t>
            </w:r>
          </w:p>
          <w:p w14:paraId="679E53E8">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val="en-US" w:eastAsia="zh-CN"/>
              </w:rPr>
              <w:t>4.任一业绩有以下情形之一的，该业绩视为无效，不予计分</w:t>
            </w:r>
            <w:r>
              <w:rPr>
                <w:rFonts w:hint="eastAsia" w:ascii="宋体" w:hAnsi="宋体" w:eastAsia="宋体" w:cs="宋体"/>
                <w:caps w:val="0"/>
                <w:smallCaps w:val="0"/>
                <w:snapToGrid w:val="0"/>
                <w:color w:val="auto"/>
                <w:spacing w:val="0"/>
                <w:kern w:val="0"/>
                <w:sz w:val="21"/>
                <w:szCs w:val="21"/>
                <w:highlight w:val="none"/>
                <w:lang w:eastAsia="zh-CN"/>
              </w:rPr>
              <w:t>：</w:t>
            </w:r>
          </w:p>
          <w:p w14:paraId="7C76A6B1">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eastAsia="zh-CN"/>
              </w:rPr>
              <w:t>①业绩不属于类似工程的；</w:t>
            </w:r>
          </w:p>
          <w:p w14:paraId="1C662332">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eastAsia="zh-CN"/>
              </w:rPr>
              <w:t>②</w:t>
            </w:r>
            <w:r>
              <w:rPr>
                <w:rFonts w:hint="eastAsia" w:ascii="宋体" w:hAnsi="宋体" w:eastAsia="宋体" w:cs="宋体"/>
                <w:snapToGrid w:val="0"/>
                <w:color w:val="auto"/>
                <w:kern w:val="0"/>
                <w:sz w:val="21"/>
                <w:szCs w:val="21"/>
                <w:highlight w:val="none"/>
              </w:rPr>
              <w:t>不是以指定身份参建的</w:t>
            </w:r>
            <w:r>
              <w:rPr>
                <w:rFonts w:hint="eastAsia" w:ascii="宋体" w:hAnsi="宋体" w:eastAsia="宋体" w:cs="宋体"/>
                <w:caps w:val="0"/>
                <w:smallCaps w:val="0"/>
                <w:snapToGrid w:val="0"/>
                <w:color w:val="auto"/>
                <w:spacing w:val="0"/>
                <w:kern w:val="0"/>
                <w:sz w:val="21"/>
                <w:szCs w:val="21"/>
                <w:highlight w:val="none"/>
                <w:lang w:eastAsia="zh-CN"/>
              </w:rPr>
              <w:t>；</w:t>
            </w:r>
          </w:p>
          <w:p w14:paraId="6E14AE0D">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eastAsia="zh-CN"/>
              </w:rPr>
              <w:t>③</w:t>
            </w:r>
            <w:r>
              <w:rPr>
                <w:rFonts w:hint="eastAsia" w:ascii="宋体" w:hAnsi="宋体" w:eastAsia="宋体" w:cs="宋体"/>
                <w:caps w:val="0"/>
                <w:smallCaps w:val="0"/>
                <w:snapToGrid w:val="0"/>
                <w:color w:val="auto"/>
                <w:spacing w:val="0"/>
                <w:kern w:val="0"/>
                <w:sz w:val="21"/>
                <w:szCs w:val="21"/>
                <w:highlight w:val="none"/>
                <w:lang w:val="en-US" w:eastAsia="zh-CN"/>
              </w:rPr>
              <w:t>业绩时间不符合要求的。</w:t>
            </w:r>
          </w:p>
        </w:tc>
      </w:tr>
      <w:tr w14:paraId="271A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atLeast"/>
          <w:jc w:val="center"/>
        </w:trPr>
        <w:tc>
          <w:tcPr>
            <w:tcW w:w="1491" w:type="dxa"/>
            <w:tcBorders>
              <w:tl2br w:val="nil"/>
              <w:tr2bl w:val="nil"/>
            </w:tcBorders>
            <w:noWrap w:val="0"/>
            <w:vAlign w:val="center"/>
          </w:tcPr>
          <w:p w14:paraId="40781C7D">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企业银行</w:t>
            </w:r>
          </w:p>
          <w:p w14:paraId="23BA31E5">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资信评级</w:t>
            </w:r>
          </w:p>
          <w:p w14:paraId="7B4F4BC2">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rPr>
              <w:t>（5分）</w:t>
            </w:r>
          </w:p>
        </w:tc>
        <w:tc>
          <w:tcPr>
            <w:tcW w:w="3602" w:type="dxa"/>
            <w:gridSpan w:val="2"/>
            <w:tcBorders>
              <w:tl2br w:val="nil"/>
              <w:tr2bl w:val="nil"/>
            </w:tcBorders>
            <w:noWrap w:val="0"/>
            <w:vAlign w:val="center"/>
          </w:tcPr>
          <w:p w14:paraId="4100F427">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1．银行资信评级</w:t>
            </w:r>
            <w:r>
              <w:rPr>
                <w:rFonts w:hint="eastAsia" w:ascii="宋体" w:hAnsi="宋体" w:eastAsia="宋体" w:cs="宋体"/>
                <w:color w:val="auto"/>
                <w:kern w:val="0"/>
                <w:sz w:val="21"/>
                <w:szCs w:val="21"/>
                <w:u w:val="single"/>
              </w:rPr>
              <w:t>AAA</w:t>
            </w:r>
            <w:r>
              <w:rPr>
                <w:rFonts w:hint="eastAsia" w:ascii="宋体" w:hAnsi="宋体" w:eastAsia="宋体" w:cs="宋体"/>
                <w:color w:val="auto"/>
                <w:kern w:val="0"/>
                <w:sz w:val="21"/>
                <w:szCs w:val="21"/>
              </w:rPr>
              <w:t>的，得</w:t>
            </w:r>
            <w:r>
              <w:rPr>
                <w:rFonts w:hint="eastAsia" w:ascii="宋体" w:hAnsi="宋体" w:eastAsia="宋体" w:cs="宋体"/>
                <w:color w:val="auto"/>
                <w:kern w:val="0"/>
                <w:sz w:val="21"/>
                <w:szCs w:val="21"/>
                <w:u w:val="single"/>
              </w:rPr>
              <w:t xml:space="preserve"> 5 </w:t>
            </w:r>
            <w:r>
              <w:rPr>
                <w:rFonts w:hint="eastAsia" w:ascii="宋体" w:hAnsi="宋体" w:eastAsia="宋体" w:cs="宋体"/>
                <w:color w:val="auto"/>
                <w:kern w:val="0"/>
                <w:sz w:val="21"/>
                <w:szCs w:val="21"/>
              </w:rPr>
              <w:t>分；</w:t>
            </w:r>
          </w:p>
          <w:p w14:paraId="4761600C">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2．银行资信评级AA（含AA＋、AA－）的，得</w:t>
            </w:r>
            <w:r>
              <w:rPr>
                <w:rFonts w:hint="eastAsia" w:ascii="宋体" w:hAnsi="宋体" w:eastAsia="宋体" w:cs="宋体"/>
                <w:color w:val="auto"/>
                <w:kern w:val="0"/>
                <w:sz w:val="21"/>
                <w:szCs w:val="21"/>
                <w:u w:val="single"/>
              </w:rPr>
              <w:t>4</w:t>
            </w:r>
            <w:r>
              <w:rPr>
                <w:rFonts w:hint="eastAsia" w:ascii="宋体" w:hAnsi="宋体" w:eastAsia="宋体" w:cs="宋体"/>
                <w:color w:val="auto"/>
                <w:kern w:val="0"/>
                <w:sz w:val="21"/>
                <w:szCs w:val="21"/>
              </w:rPr>
              <w:t>分。</w:t>
            </w:r>
          </w:p>
          <w:p w14:paraId="582BD1A9">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3．银行资信评级A（含A＋、A－）的，得</w:t>
            </w:r>
            <w:r>
              <w:rPr>
                <w:rFonts w:hint="eastAsia" w:ascii="宋体" w:hAnsi="宋体" w:eastAsia="宋体" w:cs="宋体"/>
                <w:color w:val="auto"/>
                <w:kern w:val="0"/>
                <w:sz w:val="21"/>
                <w:szCs w:val="21"/>
                <w:u w:val="single"/>
              </w:rPr>
              <w:t>3</w:t>
            </w:r>
            <w:r>
              <w:rPr>
                <w:rFonts w:hint="eastAsia" w:ascii="宋体" w:hAnsi="宋体" w:eastAsia="宋体" w:cs="宋体"/>
                <w:color w:val="auto"/>
                <w:kern w:val="0"/>
                <w:sz w:val="21"/>
                <w:szCs w:val="21"/>
              </w:rPr>
              <w:t>分。</w:t>
            </w:r>
          </w:p>
          <w:p w14:paraId="0AEEA0FA">
            <w:pPr>
              <w:pStyle w:val="5"/>
              <w:wordWrap w:val="0"/>
              <w:spacing w:before="0" w:beforeAutospacing="0" w:after="0" w:line="400" w:lineRule="exac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kern w:val="0"/>
                <w:sz w:val="21"/>
                <w:szCs w:val="21"/>
              </w:rPr>
              <w:t>4．未获得过以上评级的，或评级证书无效的，不予计分。</w:t>
            </w:r>
          </w:p>
        </w:tc>
        <w:tc>
          <w:tcPr>
            <w:tcW w:w="5110" w:type="dxa"/>
            <w:tcBorders>
              <w:tl2br w:val="nil"/>
              <w:tr2bl w:val="nil"/>
            </w:tcBorders>
            <w:noWrap w:val="0"/>
            <w:vAlign w:val="center"/>
          </w:tcPr>
          <w:p w14:paraId="34A24745">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1．需附在有效期内的资信评级证书（证明）彩色扫描件，</w:t>
            </w:r>
            <w:r>
              <w:rPr>
                <w:rFonts w:hint="eastAsia" w:ascii="宋体" w:hAnsi="宋体" w:eastAsia="宋体" w:cs="宋体"/>
                <w:b/>
                <w:bCs/>
                <w:color w:val="auto"/>
                <w:kern w:val="0"/>
                <w:sz w:val="21"/>
                <w:szCs w:val="21"/>
              </w:rPr>
              <w:t>同时提供原件供核对</w:t>
            </w:r>
            <w:r>
              <w:rPr>
                <w:rFonts w:hint="eastAsia" w:ascii="宋体" w:hAnsi="宋体" w:eastAsia="宋体" w:cs="宋体"/>
                <w:color w:val="auto"/>
                <w:kern w:val="0"/>
                <w:sz w:val="21"/>
                <w:szCs w:val="21"/>
              </w:rPr>
              <w:t>。</w:t>
            </w:r>
          </w:p>
          <w:p w14:paraId="37C1F118">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2．评级证书（证明）须由</w:t>
            </w:r>
            <w:r>
              <w:rPr>
                <w:rFonts w:hint="eastAsia" w:ascii="宋体" w:hAnsi="宋体" w:eastAsia="宋体" w:cs="宋体"/>
                <w:color w:val="auto"/>
                <w:kern w:val="0"/>
                <w:sz w:val="21"/>
                <w:szCs w:val="21"/>
                <w:u w:val="single"/>
              </w:rPr>
              <w:t>市级或以上金融机构</w:t>
            </w:r>
            <w:r>
              <w:rPr>
                <w:rFonts w:hint="eastAsia" w:ascii="宋体" w:hAnsi="宋体" w:eastAsia="宋体" w:cs="宋体"/>
                <w:color w:val="auto"/>
                <w:kern w:val="0"/>
                <w:sz w:val="21"/>
                <w:szCs w:val="21"/>
              </w:rPr>
              <w:t>出具。</w:t>
            </w:r>
          </w:p>
          <w:p w14:paraId="3F4A8707">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3．评级证书（证明）有以下情形之一的，视为无效：</w:t>
            </w:r>
          </w:p>
          <w:p w14:paraId="2F9840D3">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①未提供评级证书（证明）原件的；</w:t>
            </w:r>
          </w:p>
          <w:p w14:paraId="1AA6694C">
            <w:pPr>
              <w:pStyle w:val="5"/>
              <w:wordWrap w:val="0"/>
              <w:spacing w:before="0" w:beforeAutospacing="0" w:after="0"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②评级证书（证明）不在有效期内的；</w:t>
            </w:r>
          </w:p>
          <w:p w14:paraId="7678BC51">
            <w:pPr>
              <w:pStyle w:val="5"/>
              <w:wordWrap w:val="0"/>
              <w:spacing w:before="0" w:beforeAutospacing="0" w:after="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rPr>
              <w:t>③出具机构不符合要求的。</w:t>
            </w:r>
          </w:p>
        </w:tc>
      </w:tr>
      <w:tr w14:paraId="3655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491" w:type="dxa"/>
            <w:tcBorders>
              <w:tl2br w:val="nil"/>
              <w:tr2bl w:val="nil"/>
            </w:tcBorders>
            <w:noWrap w:val="0"/>
            <w:vAlign w:val="center"/>
          </w:tcPr>
          <w:p w14:paraId="44E68740">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企业管理</w:t>
            </w:r>
          </w:p>
          <w:p w14:paraId="28245553">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体系认证</w:t>
            </w:r>
          </w:p>
          <w:p w14:paraId="1DBC8AF8">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c>
          <w:tcPr>
            <w:tcW w:w="3602" w:type="dxa"/>
            <w:gridSpan w:val="2"/>
            <w:tcBorders>
              <w:tl2br w:val="nil"/>
              <w:tr2bl w:val="nil"/>
            </w:tcBorders>
            <w:noWrap w:val="0"/>
            <w:vAlign w:val="center"/>
          </w:tcPr>
          <w:p w14:paraId="79BFAE28">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质量管理体系认证、职业健康安全管理体系认证、环境管理体系认证</w:t>
            </w:r>
            <w:r>
              <w:rPr>
                <w:rFonts w:hint="eastAsia" w:ascii="宋体" w:hAnsi="宋体" w:eastAsia="宋体" w:cs="宋体"/>
                <w:color w:val="auto"/>
                <w:sz w:val="21"/>
                <w:szCs w:val="21"/>
                <w:highlight w:val="none"/>
                <w:lang w:val="en-US" w:eastAsia="zh-CN"/>
              </w:rPr>
              <w:t>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每</w:t>
            </w:r>
            <w:r>
              <w:rPr>
                <w:rFonts w:hint="eastAsia" w:ascii="宋体" w:hAnsi="宋体" w:eastAsia="宋体" w:cs="宋体"/>
                <w:color w:val="auto"/>
                <w:sz w:val="21"/>
                <w:szCs w:val="21"/>
                <w:highlight w:val="none"/>
                <w:lang w:eastAsia="zh-CN"/>
              </w:rPr>
              <w:t>获得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项认证</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；最高得</w:t>
            </w:r>
            <w:r>
              <w:rPr>
                <w:rFonts w:hint="eastAsia" w:ascii="宋体" w:hAnsi="宋体" w:eastAsia="宋体" w:cs="宋体"/>
                <w:color w:val="auto"/>
                <w:sz w:val="21"/>
                <w:szCs w:val="21"/>
                <w:highlight w:val="none"/>
                <w:lang w:val="en-US" w:eastAsia="zh-CN"/>
              </w:rPr>
              <w:t>6分。</w:t>
            </w:r>
          </w:p>
          <w:p w14:paraId="618D1345">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2.未获得以上认证的，不予计分。</w:t>
            </w:r>
          </w:p>
        </w:tc>
        <w:tc>
          <w:tcPr>
            <w:tcW w:w="5110" w:type="dxa"/>
            <w:tcBorders>
              <w:tl2br w:val="nil"/>
              <w:tr2bl w:val="nil"/>
            </w:tcBorders>
            <w:noWrap w:val="0"/>
            <w:vAlign w:val="center"/>
          </w:tcPr>
          <w:p w14:paraId="17AB3783">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需附在有效期内的认证证书</w:t>
            </w:r>
            <w:r>
              <w:rPr>
                <w:rFonts w:hint="eastAsia" w:ascii="宋体" w:hAnsi="宋体" w:eastAsia="宋体" w:cs="宋体"/>
                <w:color w:val="auto"/>
                <w:sz w:val="21"/>
                <w:szCs w:val="21"/>
                <w:highlight w:val="none"/>
                <w:lang w:eastAsia="zh-CN"/>
              </w:rPr>
              <w:t>彩色扫描件</w:t>
            </w:r>
            <w:r>
              <w:rPr>
                <w:rFonts w:hint="eastAsia" w:ascii="宋体" w:hAnsi="宋体" w:eastAsia="宋体" w:cs="宋体"/>
                <w:color w:val="auto"/>
                <w:sz w:val="21"/>
                <w:szCs w:val="21"/>
                <w:highlight w:val="none"/>
              </w:rPr>
              <w:t>，同时提供原件供核对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证书为电子证书的除外）</w:t>
            </w:r>
            <w:r>
              <w:rPr>
                <w:rFonts w:hint="eastAsia" w:ascii="宋体" w:hAnsi="宋体" w:eastAsia="宋体" w:cs="宋体"/>
                <w:color w:val="auto"/>
                <w:sz w:val="21"/>
                <w:szCs w:val="21"/>
                <w:highlight w:val="none"/>
              </w:rPr>
              <w:t>。</w:t>
            </w:r>
          </w:p>
          <w:p w14:paraId="0314B902">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任一认证证书有以下情形之一的，该认证证书视为无效，不予计分：</w:t>
            </w:r>
          </w:p>
          <w:p w14:paraId="78E72FEF">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①未提供认证证书原件的；</w:t>
            </w:r>
          </w:p>
          <w:p w14:paraId="7348E636">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rPr>
              <w:t>②认证证书不在有效期内的。</w:t>
            </w:r>
          </w:p>
        </w:tc>
      </w:tr>
      <w:tr w14:paraId="01EB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4" w:hRule="atLeast"/>
          <w:jc w:val="center"/>
        </w:trPr>
        <w:tc>
          <w:tcPr>
            <w:tcW w:w="1491" w:type="dxa"/>
            <w:tcBorders>
              <w:tl2br w:val="nil"/>
              <w:tr2bl w:val="nil"/>
            </w:tcBorders>
            <w:noWrap w:val="0"/>
            <w:vAlign w:val="center"/>
          </w:tcPr>
          <w:p w14:paraId="3F55881C">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w:t>
            </w:r>
          </w:p>
          <w:p w14:paraId="7EAC2B1B">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财务状况</w:t>
            </w:r>
          </w:p>
          <w:p w14:paraId="65A10312">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tc>
        <w:tc>
          <w:tcPr>
            <w:tcW w:w="3602" w:type="dxa"/>
            <w:gridSpan w:val="2"/>
            <w:tcBorders>
              <w:tl2br w:val="nil"/>
              <w:tr2bl w:val="nil"/>
            </w:tcBorders>
            <w:noWrap w:val="0"/>
            <w:vAlign w:val="center"/>
          </w:tcPr>
          <w:p w14:paraId="54E01D8D">
            <w:pPr>
              <w:pStyle w:val="5"/>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1.提供不少于</w:t>
            </w:r>
            <w:r>
              <w:rPr>
                <w:rFonts w:hint="eastAsia" w:ascii="宋体" w:hAnsi="宋体" w:eastAsia="宋体" w:cs="宋体"/>
                <w:snapToGrid w:val="0"/>
                <w:color w:val="auto"/>
                <w:kern w:val="0"/>
                <w:sz w:val="21"/>
                <w:szCs w:val="21"/>
                <w:highlight w:val="none"/>
                <w:u w:val="single"/>
                <w:lang w:val="en-US" w:eastAsia="zh-CN" w:bidi="ar-SA"/>
              </w:rPr>
              <w:t>50</w:t>
            </w:r>
            <w:r>
              <w:rPr>
                <w:rFonts w:hint="eastAsia" w:ascii="宋体" w:hAnsi="宋体" w:eastAsia="宋体" w:cs="宋体"/>
                <w:snapToGrid w:val="0"/>
                <w:color w:val="auto"/>
                <w:kern w:val="0"/>
                <w:sz w:val="21"/>
                <w:szCs w:val="21"/>
                <w:highlight w:val="none"/>
                <w:lang w:val="en-US" w:eastAsia="zh-CN" w:bidi="ar-SA"/>
              </w:rPr>
              <w:t>万元银行授信证明的，得</w:t>
            </w:r>
            <w:r>
              <w:rPr>
                <w:rFonts w:hint="eastAsia" w:ascii="宋体" w:hAnsi="宋体" w:eastAsia="宋体" w:cs="宋体"/>
                <w:snapToGrid w:val="0"/>
                <w:color w:val="auto"/>
                <w:kern w:val="0"/>
                <w:sz w:val="21"/>
                <w:szCs w:val="21"/>
                <w:highlight w:val="none"/>
                <w:u w:val="single"/>
                <w:lang w:val="en-US" w:eastAsia="zh-CN" w:bidi="ar-SA"/>
              </w:rPr>
              <w:t xml:space="preserve"> 4 </w:t>
            </w:r>
            <w:r>
              <w:rPr>
                <w:rFonts w:hint="eastAsia" w:ascii="宋体" w:hAnsi="宋体" w:eastAsia="宋体" w:cs="宋体"/>
                <w:snapToGrid w:val="0"/>
                <w:color w:val="auto"/>
                <w:kern w:val="0"/>
                <w:sz w:val="21"/>
                <w:szCs w:val="21"/>
                <w:highlight w:val="none"/>
                <w:lang w:val="en-US" w:eastAsia="zh-CN" w:bidi="ar-SA"/>
              </w:rPr>
              <w:t>分。</w:t>
            </w:r>
          </w:p>
          <w:p w14:paraId="45F247B2">
            <w:pPr>
              <w:pStyle w:val="5"/>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2.提供投标人基本账户在本项目招标公告发布之日起至投标截止时间期间出现过至少连续3日不少于</w:t>
            </w:r>
            <w:r>
              <w:rPr>
                <w:rFonts w:hint="eastAsia" w:ascii="宋体" w:hAnsi="宋体" w:eastAsia="宋体" w:cs="宋体"/>
                <w:snapToGrid w:val="0"/>
                <w:color w:val="auto"/>
                <w:kern w:val="0"/>
                <w:sz w:val="21"/>
                <w:szCs w:val="21"/>
                <w:highlight w:val="none"/>
                <w:u w:val="single"/>
                <w:lang w:val="en-US" w:eastAsia="zh-CN" w:bidi="ar-SA"/>
              </w:rPr>
              <w:t>50</w:t>
            </w:r>
            <w:r>
              <w:rPr>
                <w:rFonts w:hint="eastAsia" w:ascii="宋体" w:hAnsi="宋体" w:eastAsia="宋体" w:cs="宋体"/>
                <w:snapToGrid w:val="0"/>
                <w:color w:val="auto"/>
                <w:kern w:val="0"/>
                <w:sz w:val="21"/>
                <w:szCs w:val="21"/>
                <w:highlight w:val="none"/>
                <w:lang w:val="en-US" w:eastAsia="zh-CN" w:bidi="ar-SA"/>
              </w:rPr>
              <w:t>万元存款余额资金流水证明的，得</w:t>
            </w:r>
            <w:r>
              <w:rPr>
                <w:rFonts w:hint="eastAsia" w:ascii="宋体" w:hAnsi="宋体" w:eastAsia="宋体" w:cs="宋体"/>
                <w:snapToGrid w:val="0"/>
                <w:color w:val="auto"/>
                <w:kern w:val="0"/>
                <w:sz w:val="21"/>
                <w:szCs w:val="21"/>
                <w:highlight w:val="none"/>
                <w:u w:val="single"/>
                <w:lang w:val="en-US" w:eastAsia="zh-CN" w:bidi="ar-SA"/>
              </w:rPr>
              <w:t>5</w:t>
            </w:r>
            <w:r>
              <w:rPr>
                <w:rFonts w:hint="eastAsia" w:ascii="宋体" w:hAnsi="宋体" w:eastAsia="宋体" w:cs="宋体"/>
                <w:snapToGrid w:val="0"/>
                <w:color w:val="auto"/>
                <w:kern w:val="0"/>
                <w:sz w:val="21"/>
                <w:szCs w:val="21"/>
                <w:highlight w:val="none"/>
                <w:lang w:val="en-US" w:eastAsia="zh-CN" w:bidi="ar-SA"/>
              </w:rPr>
              <w:t>分。</w:t>
            </w:r>
          </w:p>
          <w:p w14:paraId="085092C6">
            <w:pPr>
              <w:pStyle w:val="5"/>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bidi="ar-SA"/>
              </w:rPr>
            </w:pPr>
          </w:p>
        </w:tc>
        <w:tc>
          <w:tcPr>
            <w:tcW w:w="5110" w:type="dxa"/>
            <w:tcBorders>
              <w:tl2br w:val="nil"/>
              <w:tr2bl w:val="nil"/>
            </w:tcBorders>
            <w:noWrap w:val="0"/>
            <w:vAlign w:val="center"/>
          </w:tcPr>
          <w:p w14:paraId="2129DB27">
            <w:pPr>
              <w:pStyle w:val="5"/>
              <w:wordWrap w:val="0"/>
              <w:spacing w:before="0" w:beforeAutospacing="0" w:after="0" w:line="400" w:lineRule="exact"/>
              <w:rPr>
                <w:rFonts w:hint="eastAsia" w:ascii="宋体" w:hAnsi="宋体" w:eastAsia="宋体" w:cs="宋体"/>
                <w:caps w:val="0"/>
                <w:smallCaps w:val="0"/>
                <w:snapToGrid w:val="0"/>
                <w:color w:val="auto"/>
                <w:spacing w:val="0"/>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val="en-US" w:eastAsia="zh-CN"/>
              </w:rPr>
              <w:t>1．需附在有效期内的有关证明扫描件</w:t>
            </w:r>
            <w:r>
              <w:rPr>
                <w:rFonts w:hint="eastAsia" w:hAnsi="宋体" w:cs="宋体"/>
                <w:caps w:val="0"/>
                <w:smallCaps w:val="0"/>
                <w:snapToGrid w:val="0"/>
                <w:color w:val="auto"/>
                <w:spacing w:val="0"/>
                <w:kern w:val="0"/>
                <w:sz w:val="21"/>
                <w:szCs w:val="21"/>
                <w:highlight w:val="none"/>
                <w:lang w:val="en-US" w:eastAsia="zh-CN"/>
              </w:rPr>
              <w:t>，</w:t>
            </w:r>
            <w:r>
              <w:rPr>
                <w:rFonts w:hint="eastAsia" w:hAnsi="宋体"/>
                <w:b/>
                <w:bCs/>
                <w:color w:val="auto"/>
                <w:kern w:val="0"/>
                <w:sz w:val="21"/>
                <w:szCs w:val="21"/>
                <w:highlight w:val="none"/>
              </w:rPr>
              <w:t>同时提供原件供核对</w:t>
            </w:r>
            <w:r>
              <w:rPr>
                <w:rFonts w:hint="eastAsia" w:hAnsi="宋体"/>
                <w:color w:val="auto"/>
                <w:kern w:val="0"/>
                <w:sz w:val="21"/>
                <w:szCs w:val="21"/>
                <w:highlight w:val="none"/>
              </w:rPr>
              <w:t>。</w:t>
            </w:r>
          </w:p>
          <w:p w14:paraId="3AD86708">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val="en-US" w:eastAsia="zh-CN"/>
              </w:rPr>
              <w:t>2．</w:t>
            </w:r>
            <w:r>
              <w:rPr>
                <w:rFonts w:hint="eastAsia" w:ascii="宋体" w:hAnsi="宋体" w:eastAsia="宋体" w:cs="宋体"/>
                <w:caps w:val="0"/>
                <w:smallCaps w:val="0"/>
                <w:snapToGrid w:val="0"/>
                <w:color w:val="auto"/>
                <w:spacing w:val="0"/>
                <w:kern w:val="0"/>
                <w:sz w:val="21"/>
                <w:szCs w:val="21"/>
                <w:highlight w:val="none"/>
                <w:lang w:val="en-US" w:eastAsia="zh-CN" w:bidi="ar-SA"/>
              </w:rPr>
              <w:t>银行授信证明</w:t>
            </w:r>
            <w:r>
              <w:rPr>
                <w:rFonts w:hint="eastAsia" w:ascii="宋体" w:hAnsi="宋体" w:eastAsia="宋体" w:cs="宋体"/>
                <w:caps w:val="0"/>
                <w:smallCaps w:val="0"/>
                <w:snapToGrid w:val="0"/>
                <w:color w:val="auto"/>
                <w:spacing w:val="0"/>
                <w:kern w:val="0"/>
                <w:sz w:val="21"/>
                <w:szCs w:val="21"/>
                <w:highlight w:val="none"/>
                <w:lang w:val="en-US" w:eastAsia="zh-CN"/>
              </w:rPr>
              <w:t>有以下情形之一的，视为无效，不予计分</w:t>
            </w:r>
            <w:r>
              <w:rPr>
                <w:rFonts w:hint="eastAsia" w:ascii="宋体" w:hAnsi="宋体" w:eastAsia="宋体" w:cs="宋体"/>
                <w:caps w:val="0"/>
                <w:smallCaps w:val="0"/>
                <w:snapToGrid w:val="0"/>
                <w:color w:val="auto"/>
                <w:spacing w:val="0"/>
                <w:kern w:val="0"/>
                <w:sz w:val="21"/>
                <w:szCs w:val="21"/>
                <w:highlight w:val="none"/>
                <w:lang w:eastAsia="zh-CN"/>
              </w:rPr>
              <w:t>：</w:t>
            </w:r>
          </w:p>
          <w:p w14:paraId="7E1CFF18">
            <w:pPr>
              <w:pStyle w:val="5"/>
              <w:wordWrap w:val="0"/>
              <w:spacing w:before="0" w:beforeAutospacing="0" w:after="0" w:line="400" w:lineRule="exact"/>
              <w:rPr>
                <w:rFonts w:hint="eastAsia"/>
                <w:color w:val="auto"/>
                <w:sz w:val="21"/>
                <w:szCs w:val="21"/>
                <w:highlight w:val="none"/>
                <w:lang w:eastAsia="zh-CN"/>
              </w:rPr>
            </w:pPr>
            <w:r>
              <w:rPr>
                <w:rFonts w:hint="eastAsia" w:hAnsi="宋体"/>
                <w:color w:val="auto"/>
                <w:kern w:val="0"/>
                <w:sz w:val="21"/>
                <w:szCs w:val="21"/>
                <w:highlight w:val="none"/>
              </w:rPr>
              <w:t>①未提供授信证明原件的；</w:t>
            </w:r>
          </w:p>
          <w:p w14:paraId="2928879B">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val="en-US" w:eastAsia="zh-CN"/>
              </w:rPr>
              <w:t>②授信证明不在有效期内的；</w:t>
            </w:r>
          </w:p>
          <w:p w14:paraId="7EB913E6">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rPr>
              <w:t>③</w:t>
            </w:r>
            <w:r>
              <w:rPr>
                <w:rFonts w:hint="eastAsia" w:ascii="宋体" w:hAnsi="宋体" w:eastAsia="宋体" w:cs="宋体"/>
                <w:caps w:val="0"/>
                <w:smallCaps w:val="0"/>
                <w:snapToGrid w:val="0"/>
                <w:color w:val="auto"/>
                <w:spacing w:val="0"/>
                <w:kern w:val="0"/>
                <w:sz w:val="21"/>
                <w:szCs w:val="21"/>
                <w:highlight w:val="none"/>
                <w:lang w:val="en-US" w:eastAsia="zh-CN" w:bidi="ar-SA"/>
              </w:rPr>
              <w:t>授信额度不符合要求的；</w:t>
            </w:r>
          </w:p>
          <w:p w14:paraId="5EA41968">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val="en-US" w:eastAsia="zh-CN"/>
              </w:rPr>
              <w:t>3.存款余额资金流水证明有以下情形之一的，视为无效，不予计分。</w:t>
            </w:r>
          </w:p>
          <w:p w14:paraId="1D391F67">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val="en-US" w:eastAsia="zh-CN"/>
              </w:rPr>
              <w:t>①未提供存款证明原件的；</w:t>
            </w:r>
          </w:p>
          <w:p w14:paraId="6A165E81">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val="en-US" w:eastAsia="zh-CN"/>
              </w:rPr>
              <w:t>②存款账户不是基本账户的；</w:t>
            </w:r>
          </w:p>
          <w:p w14:paraId="086970A5">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rPr>
              <w:t>③</w:t>
            </w:r>
            <w:r>
              <w:rPr>
                <w:rFonts w:hint="eastAsia" w:ascii="宋体" w:hAnsi="宋体" w:eastAsia="宋体" w:cs="宋体"/>
                <w:caps w:val="0"/>
                <w:smallCaps w:val="0"/>
                <w:snapToGrid w:val="0"/>
                <w:color w:val="auto"/>
                <w:spacing w:val="0"/>
                <w:kern w:val="0"/>
                <w:sz w:val="21"/>
                <w:szCs w:val="21"/>
                <w:highlight w:val="none"/>
                <w:lang w:val="en-US" w:eastAsia="zh-CN" w:bidi="ar-SA"/>
              </w:rPr>
              <w:t>存款时间不符合要求的；</w:t>
            </w:r>
          </w:p>
          <w:p w14:paraId="0E403D9C">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val="en-US" w:eastAsia="zh-CN"/>
              </w:rPr>
              <w:t>④</w:t>
            </w:r>
            <w:r>
              <w:rPr>
                <w:rFonts w:hint="eastAsia" w:ascii="宋体" w:hAnsi="宋体" w:eastAsia="宋体" w:cs="宋体"/>
                <w:caps w:val="0"/>
                <w:smallCaps w:val="0"/>
                <w:snapToGrid w:val="0"/>
                <w:color w:val="auto"/>
                <w:spacing w:val="0"/>
                <w:kern w:val="0"/>
                <w:sz w:val="21"/>
                <w:szCs w:val="21"/>
                <w:highlight w:val="none"/>
                <w:lang w:val="en-US" w:eastAsia="zh-CN" w:bidi="ar-SA"/>
              </w:rPr>
              <w:t>存款额度不符合要求</w:t>
            </w:r>
            <w:r>
              <w:rPr>
                <w:rFonts w:hint="eastAsia" w:ascii="宋体" w:hAnsi="宋体" w:eastAsia="宋体" w:cs="宋体"/>
                <w:caps w:val="0"/>
                <w:smallCaps w:val="0"/>
                <w:snapToGrid w:val="0"/>
                <w:color w:val="auto"/>
                <w:spacing w:val="0"/>
                <w:kern w:val="0"/>
                <w:sz w:val="21"/>
                <w:szCs w:val="21"/>
                <w:highlight w:val="none"/>
                <w:lang w:val="en-US" w:eastAsia="zh-CN"/>
              </w:rPr>
              <w:t>的。</w:t>
            </w:r>
          </w:p>
        </w:tc>
      </w:tr>
      <w:tr w14:paraId="6ACD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jc w:val="center"/>
        </w:trPr>
        <w:tc>
          <w:tcPr>
            <w:tcW w:w="1491" w:type="dxa"/>
            <w:vMerge w:val="restart"/>
            <w:tcBorders>
              <w:tl2br w:val="nil"/>
              <w:tr2bl w:val="nil"/>
            </w:tcBorders>
            <w:noWrap w:val="0"/>
            <w:vAlign w:val="center"/>
          </w:tcPr>
          <w:p w14:paraId="4408EBA4">
            <w:pPr>
              <w:pStyle w:val="55"/>
              <w:pageBreakBefore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bidi="ar"/>
              </w:rPr>
            </w:pPr>
          </w:p>
          <w:p w14:paraId="421ECAA4">
            <w:pPr>
              <w:pStyle w:val="55"/>
              <w:pageBreakBefore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bidi="ar"/>
              </w:rPr>
            </w:pPr>
          </w:p>
          <w:p w14:paraId="54DE4EB2">
            <w:pPr>
              <w:pStyle w:val="55"/>
              <w:pageBreakBefore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bidi="ar"/>
              </w:rPr>
            </w:pPr>
          </w:p>
          <w:p w14:paraId="4CF08460">
            <w:pPr>
              <w:pStyle w:val="55"/>
              <w:pageBreakBefore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
              </w:rPr>
              <w:t>招标人自选项（</w:t>
            </w:r>
            <w:r>
              <w:rPr>
                <w:rFonts w:hint="eastAsia" w:hAnsi="宋体" w:cs="宋体"/>
                <w:snapToGrid w:val="0"/>
                <w:color w:val="auto"/>
                <w:kern w:val="0"/>
                <w:sz w:val="21"/>
                <w:szCs w:val="21"/>
                <w:highlight w:val="none"/>
                <w:lang w:val="en-US" w:eastAsia="zh-CN" w:bidi="ar"/>
              </w:rPr>
              <w:t>30</w:t>
            </w:r>
            <w:r>
              <w:rPr>
                <w:rFonts w:hint="eastAsia" w:ascii="宋体" w:hAnsi="宋体" w:eastAsia="宋体" w:cs="宋体"/>
                <w:snapToGrid w:val="0"/>
                <w:color w:val="auto"/>
                <w:kern w:val="0"/>
                <w:sz w:val="21"/>
                <w:szCs w:val="21"/>
                <w:highlight w:val="none"/>
                <w:lang w:val="en-US" w:eastAsia="zh-CN" w:bidi="ar"/>
              </w:rPr>
              <w:t>分）</w:t>
            </w:r>
          </w:p>
        </w:tc>
        <w:tc>
          <w:tcPr>
            <w:tcW w:w="3602" w:type="dxa"/>
            <w:gridSpan w:val="2"/>
            <w:tcBorders>
              <w:tl2br w:val="nil"/>
              <w:tr2bl w:val="nil"/>
            </w:tcBorders>
            <w:noWrap w:val="0"/>
            <w:vAlign w:val="center"/>
          </w:tcPr>
          <w:p w14:paraId="6C4C7DE1">
            <w:pPr>
              <w:pStyle w:val="45"/>
              <w:wordWrap w:val="0"/>
              <w:spacing w:line="360" w:lineRule="exact"/>
              <w:ind w:firstLine="420" w:firstLineChars="200"/>
              <w:jc w:val="left"/>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1.企业近 3年度（2022年度~至今）连续3年获得省级或以上商业联合会颁发的诚信兴商企业证书的得5分；</w:t>
            </w:r>
          </w:p>
          <w:p w14:paraId="610D4F99">
            <w:pPr>
              <w:pStyle w:val="5"/>
              <w:wordWrap w:val="0"/>
              <w:spacing w:after="0" w:line="360" w:lineRule="exact"/>
              <w:ind w:firstLine="420" w:firstLineChars="2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
              </w:rPr>
              <w:t>2.其他情形的，不予计分。</w:t>
            </w:r>
          </w:p>
        </w:tc>
        <w:tc>
          <w:tcPr>
            <w:tcW w:w="5110" w:type="dxa"/>
            <w:tcBorders>
              <w:tl2br w:val="nil"/>
              <w:tr2bl w:val="nil"/>
            </w:tcBorders>
            <w:noWrap w:val="0"/>
            <w:vAlign w:val="center"/>
          </w:tcPr>
          <w:p w14:paraId="237ED80F">
            <w:pPr>
              <w:pStyle w:val="5"/>
              <w:wordWrap w:val="0"/>
              <w:spacing w:after="0" w:line="360" w:lineRule="exact"/>
              <w:rPr>
                <w:rFonts w:hint="eastAsia" w:ascii="宋体"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1</w:t>
            </w:r>
            <w:r>
              <w:rPr>
                <w:rFonts w:hint="eastAsia" w:ascii="宋体" w:hAnsi="宋体" w:eastAsia="宋体" w:cs="宋体"/>
                <w:snapToGrid w:val="0"/>
                <w:color w:val="auto"/>
                <w:kern w:val="0"/>
                <w:sz w:val="21"/>
                <w:szCs w:val="21"/>
                <w:highlight w:val="none"/>
                <w:lang w:val="en-US" w:eastAsia="zh-CN" w:bidi="ar"/>
              </w:rPr>
              <w:t>．须提供有关证书彩色扫描件，同时提供原件核对。</w:t>
            </w:r>
          </w:p>
          <w:p w14:paraId="1E9EB085">
            <w:pPr>
              <w:keepNext w:val="0"/>
              <w:keepLines w:val="0"/>
              <w:widowControl/>
              <w:suppressLineNumbers w:val="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
              </w:rPr>
              <w:t>2．未提供原件的，颁发机构不符合要求的，按第2项标准处理。</w:t>
            </w:r>
          </w:p>
        </w:tc>
      </w:tr>
      <w:tr w14:paraId="69C7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1491" w:type="dxa"/>
            <w:vMerge w:val="continue"/>
            <w:tcBorders>
              <w:tl2br w:val="nil"/>
              <w:tr2bl w:val="nil"/>
            </w:tcBorders>
            <w:noWrap w:val="0"/>
            <w:vAlign w:val="center"/>
          </w:tcPr>
          <w:p w14:paraId="35B453CD">
            <w:pPr>
              <w:pStyle w:val="55"/>
              <w:pageBreakBefore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bidi="ar"/>
              </w:rPr>
            </w:pPr>
          </w:p>
        </w:tc>
        <w:tc>
          <w:tcPr>
            <w:tcW w:w="3602" w:type="dxa"/>
            <w:gridSpan w:val="2"/>
            <w:tcBorders>
              <w:tl2br w:val="nil"/>
              <w:tr2bl w:val="nil"/>
            </w:tcBorders>
            <w:noWrap w:val="0"/>
            <w:vAlign w:val="center"/>
          </w:tcPr>
          <w:p w14:paraId="19B55B4F">
            <w:pPr>
              <w:pStyle w:val="45"/>
              <w:numPr>
                <w:ilvl w:val="0"/>
                <w:numId w:val="0"/>
              </w:numPr>
              <w:wordWrap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投标人具有有效的服务体系认证：</w:t>
            </w:r>
          </w:p>
          <w:p w14:paraId="481015BD">
            <w:pPr>
              <w:pStyle w:val="45"/>
              <w:numPr>
                <w:ilvl w:val="0"/>
                <w:numId w:val="0"/>
              </w:numPr>
              <w:wordWrap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①工程总承包管理体系认证；</w:t>
            </w:r>
          </w:p>
          <w:p w14:paraId="5FBCF392">
            <w:pPr>
              <w:pStyle w:val="45"/>
              <w:numPr>
                <w:ilvl w:val="0"/>
                <w:numId w:val="0"/>
              </w:numPr>
              <w:wordWrap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②反贿赂管理体系认证；</w:t>
            </w:r>
          </w:p>
          <w:p w14:paraId="069C589E">
            <w:pPr>
              <w:pStyle w:val="45"/>
              <w:numPr>
                <w:ilvl w:val="0"/>
                <w:numId w:val="0"/>
              </w:numPr>
              <w:wordWrap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全部具备得5分，缺少1项扣2.5分</w:t>
            </w:r>
          </w:p>
        </w:tc>
        <w:tc>
          <w:tcPr>
            <w:tcW w:w="5110" w:type="dxa"/>
            <w:tcBorders>
              <w:tl2br w:val="nil"/>
              <w:tr2bl w:val="nil"/>
            </w:tcBorders>
            <w:noWrap w:val="0"/>
            <w:vAlign w:val="center"/>
          </w:tcPr>
          <w:p w14:paraId="102FA7DB">
            <w:pPr>
              <w:keepNext w:val="0"/>
              <w:keepLines w:val="0"/>
              <w:pageBreakBefore w:val="0"/>
              <w:widowControl/>
              <w:kinsoku/>
              <w:overflowPunct/>
              <w:topLinePunct w:val="0"/>
              <w:autoSpaceDE/>
              <w:autoSpaceDN/>
              <w:bidi w:val="0"/>
              <w:adjustRightInd w:val="0"/>
              <w:snapToGrid/>
              <w:spacing w:line="312"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需附在有效期内的认证证书</w:t>
            </w:r>
            <w:r>
              <w:rPr>
                <w:rFonts w:hint="eastAsia" w:asciiTheme="minorEastAsia" w:hAnsiTheme="minorEastAsia" w:eastAsiaTheme="minorEastAsia" w:cstheme="minorEastAsia"/>
                <w:color w:val="auto"/>
                <w:sz w:val="21"/>
                <w:szCs w:val="21"/>
                <w:highlight w:val="none"/>
                <w:lang w:eastAsia="zh-CN"/>
              </w:rPr>
              <w:t>彩色扫描件</w:t>
            </w:r>
            <w:r>
              <w:rPr>
                <w:rFonts w:hint="eastAsia" w:asciiTheme="minorEastAsia" w:hAnsiTheme="minorEastAsia" w:eastAsiaTheme="minorEastAsia" w:cstheme="minorEastAsia"/>
                <w:color w:val="auto"/>
                <w:sz w:val="21"/>
                <w:szCs w:val="21"/>
                <w:highlight w:val="none"/>
              </w:rPr>
              <w:t>，同时提供原件供核对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证书为电子证书的除外）</w:t>
            </w:r>
            <w:r>
              <w:rPr>
                <w:rFonts w:hint="eastAsia" w:asciiTheme="minorEastAsia" w:hAnsiTheme="minorEastAsia" w:eastAsiaTheme="minorEastAsia" w:cstheme="minorEastAsia"/>
                <w:color w:val="auto"/>
                <w:sz w:val="21"/>
                <w:szCs w:val="21"/>
                <w:highlight w:val="none"/>
              </w:rPr>
              <w:t>。</w:t>
            </w:r>
          </w:p>
          <w:p w14:paraId="711A5AB8">
            <w:pPr>
              <w:pStyle w:val="5"/>
              <w:keepNext w:val="0"/>
              <w:keepLines w:val="0"/>
              <w:pageBreakBefore w:val="0"/>
              <w:widowControl/>
              <w:wordWrap w:val="0"/>
              <w:overflowPunct/>
              <w:topLinePunct w:val="0"/>
              <w:bidi w:val="0"/>
              <w:adjustRightInd w:val="0"/>
              <w:snapToGrid w:val="0"/>
              <w:spacing w:after="0" w:line="312"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“工程总承包管理体系认证”为达到GB/T 50358-2017的要求，并获得相对应的“工程总承包管理体系认证”，不符合要求不得分。</w:t>
            </w:r>
          </w:p>
          <w:p w14:paraId="71F9253B">
            <w:pPr>
              <w:pStyle w:val="5"/>
              <w:keepNext w:val="0"/>
              <w:keepLines w:val="0"/>
              <w:pageBreakBefore w:val="0"/>
              <w:widowControl/>
              <w:wordWrap w:val="0"/>
              <w:overflowPunct/>
              <w:topLinePunct w:val="0"/>
              <w:bidi w:val="0"/>
              <w:adjustRightInd w:val="0"/>
              <w:snapToGrid w:val="0"/>
              <w:spacing w:after="0" w:line="312" w:lineRule="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“反贿赂管理体系认证”</w:t>
            </w:r>
            <w:r>
              <w:rPr>
                <w:rFonts w:hint="eastAsia" w:asciiTheme="minorEastAsia" w:hAnsiTheme="minorEastAsia" w:eastAsiaTheme="minorEastAsia" w:cstheme="minorEastAsia"/>
                <w:snapToGrid w:val="0"/>
                <w:color w:val="auto"/>
                <w:kern w:val="0"/>
                <w:sz w:val="21"/>
                <w:szCs w:val="21"/>
                <w:highlight w:val="none"/>
              </w:rPr>
              <w:t>为达到</w:t>
            </w:r>
            <w:r>
              <w:rPr>
                <w:rFonts w:hint="eastAsia" w:asciiTheme="minorEastAsia" w:hAnsiTheme="minorEastAsia" w:eastAsiaTheme="minorEastAsia" w:cstheme="minorEastAsia"/>
                <w:snapToGrid w:val="0"/>
                <w:color w:val="auto"/>
                <w:kern w:val="0"/>
                <w:sz w:val="21"/>
                <w:szCs w:val="21"/>
                <w:highlight w:val="none"/>
                <w:lang w:val="en-US" w:eastAsia="zh-CN"/>
              </w:rPr>
              <w:t>ISO 37001-2016</w:t>
            </w:r>
            <w:r>
              <w:rPr>
                <w:rFonts w:hint="eastAsia" w:asciiTheme="minorEastAsia" w:hAnsiTheme="minorEastAsia" w:eastAsiaTheme="minorEastAsia" w:cstheme="minorEastAsia"/>
                <w:snapToGrid w:val="0"/>
                <w:color w:val="auto"/>
                <w:kern w:val="0"/>
                <w:sz w:val="21"/>
                <w:szCs w:val="21"/>
                <w:highlight w:val="none"/>
              </w:rPr>
              <w:t>的要求，并获得相对应的“</w:t>
            </w:r>
            <w:r>
              <w:rPr>
                <w:rFonts w:hint="eastAsia" w:asciiTheme="minorEastAsia" w:hAnsiTheme="minorEastAsia" w:eastAsiaTheme="minorEastAsia" w:cstheme="minorEastAsia"/>
                <w:snapToGrid w:val="0"/>
                <w:color w:val="auto"/>
                <w:kern w:val="0"/>
                <w:sz w:val="21"/>
                <w:szCs w:val="21"/>
                <w:highlight w:val="none"/>
                <w:lang w:eastAsia="zh-CN"/>
              </w:rPr>
              <w:t>反贿赂管理体系认证</w:t>
            </w:r>
            <w:r>
              <w:rPr>
                <w:rFonts w:hint="eastAsia" w:asciiTheme="minorEastAsia" w:hAnsiTheme="minorEastAsia" w:eastAsiaTheme="minorEastAsia" w:cstheme="minorEastAsia"/>
                <w:snapToGrid w:val="0"/>
                <w:color w:val="auto"/>
                <w:kern w:val="0"/>
                <w:sz w:val="21"/>
                <w:szCs w:val="21"/>
                <w:highlight w:val="none"/>
              </w:rPr>
              <w:t>”，不符合要求不得分。</w:t>
            </w:r>
          </w:p>
          <w:p w14:paraId="590F7728">
            <w:pPr>
              <w:keepNext w:val="0"/>
              <w:keepLines w:val="0"/>
              <w:pageBreakBefore w:val="0"/>
              <w:widowControl/>
              <w:kinsoku/>
              <w:overflowPunct/>
              <w:topLinePunct w:val="0"/>
              <w:autoSpaceDE/>
              <w:autoSpaceDN/>
              <w:bidi w:val="0"/>
              <w:adjustRightInd w:val="0"/>
              <w:snapToGrid/>
              <w:spacing w:line="312"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任一认证证书有以下情形之一的，该认证证书视为无效，不予计分：</w:t>
            </w:r>
          </w:p>
          <w:p w14:paraId="4D4AADD2">
            <w:pPr>
              <w:keepNext w:val="0"/>
              <w:keepLines w:val="0"/>
              <w:pageBreakBefore w:val="0"/>
              <w:widowControl/>
              <w:kinsoku/>
              <w:overflowPunct/>
              <w:topLinePunct w:val="0"/>
              <w:autoSpaceDE/>
              <w:autoSpaceDN/>
              <w:bidi w:val="0"/>
              <w:adjustRightInd w:val="0"/>
              <w:snapToGrid/>
              <w:spacing w:line="312"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①未提供认证证书原件的；</w:t>
            </w:r>
          </w:p>
          <w:p w14:paraId="4EA261E5">
            <w:pPr>
              <w:pStyle w:val="5"/>
              <w:keepNext w:val="0"/>
              <w:keepLines w:val="0"/>
              <w:pageBreakBefore w:val="0"/>
              <w:widowControl/>
              <w:wordWrap w:val="0"/>
              <w:overflowPunct/>
              <w:topLinePunct w:val="0"/>
              <w:bidi w:val="0"/>
              <w:adjustRightInd w:val="0"/>
              <w:snapToGrid w:val="0"/>
              <w:spacing w:line="312"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②认证证书不在有效期内的。</w:t>
            </w:r>
          </w:p>
        </w:tc>
      </w:tr>
      <w:tr w14:paraId="63F5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jc w:val="center"/>
        </w:trPr>
        <w:tc>
          <w:tcPr>
            <w:tcW w:w="1491" w:type="dxa"/>
            <w:vMerge w:val="continue"/>
            <w:tcBorders>
              <w:tl2br w:val="nil"/>
              <w:tr2bl w:val="nil"/>
            </w:tcBorders>
            <w:noWrap w:val="0"/>
            <w:vAlign w:val="center"/>
          </w:tcPr>
          <w:p w14:paraId="5935D26C">
            <w:pPr>
              <w:pStyle w:val="55"/>
              <w:pageBreakBefore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rPr>
            </w:pPr>
          </w:p>
        </w:tc>
        <w:tc>
          <w:tcPr>
            <w:tcW w:w="3602" w:type="dxa"/>
            <w:gridSpan w:val="2"/>
            <w:tcBorders>
              <w:tl2br w:val="nil"/>
              <w:tr2bl w:val="nil"/>
            </w:tcBorders>
            <w:noWrap w:val="0"/>
            <w:vAlign w:val="center"/>
          </w:tcPr>
          <w:p w14:paraId="5686BB33">
            <w:pPr>
              <w:pStyle w:val="45"/>
              <w:numPr>
                <w:ilvl w:val="0"/>
                <w:numId w:val="0"/>
              </w:numPr>
              <w:wordWrap w:val="0"/>
              <w:adjustRightInd w:val="0"/>
              <w:snapToGrid w:val="0"/>
              <w:spacing w:line="360" w:lineRule="auto"/>
              <w:ind w:firstLine="420" w:firstLineChars="200"/>
              <w:jc w:val="left"/>
              <w:rPr>
                <w:rFonts w:hint="eastAsia" w:ascii="宋体" w:hAnsi="宋体" w:eastAsia="宋体" w:cs="宋体"/>
                <w:b w:val="0"/>
                <w:bCs w:val="0"/>
                <w:caps w:val="0"/>
                <w:smallCaps w:val="0"/>
                <w:snapToGrid w:val="0"/>
                <w:color w:val="auto"/>
                <w:spacing w:val="0"/>
                <w:kern w:val="0"/>
                <w:sz w:val="21"/>
                <w:szCs w:val="21"/>
                <w:highlight w:val="none"/>
                <w:u w:val="none"/>
                <w:lang w:val="en-US" w:eastAsia="zh-CN"/>
              </w:rPr>
            </w:pPr>
            <w:r>
              <w:rPr>
                <w:rFonts w:hint="eastAsia" w:ascii="宋体" w:hAnsi="宋体" w:eastAsia="宋体" w:cs="宋体"/>
                <w:b w:val="0"/>
                <w:bCs w:val="0"/>
                <w:caps w:val="0"/>
                <w:smallCaps w:val="0"/>
                <w:snapToGrid w:val="0"/>
                <w:color w:val="auto"/>
                <w:spacing w:val="0"/>
                <w:kern w:val="0"/>
                <w:sz w:val="21"/>
                <w:szCs w:val="21"/>
                <w:highlight w:val="none"/>
                <w:lang w:val="en-US" w:eastAsia="zh-CN"/>
              </w:rPr>
              <w:t>1.</w:t>
            </w:r>
            <w:r>
              <w:rPr>
                <w:rFonts w:hint="eastAsia" w:ascii="宋体" w:hAnsi="宋体" w:eastAsia="宋体" w:cs="宋体"/>
                <w:b w:val="0"/>
                <w:bCs w:val="0"/>
                <w:caps w:val="0"/>
                <w:smallCaps w:val="0"/>
                <w:snapToGrid w:val="0"/>
                <w:color w:val="auto"/>
                <w:spacing w:val="0"/>
                <w:kern w:val="0"/>
                <w:sz w:val="21"/>
                <w:szCs w:val="21"/>
                <w:highlight w:val="none"/>
              </w:rPr>
              <w:t>企业近 3 年（2022年至今）</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rPr>
              <w:t>获得过中国建筑业协会中小企业分会或中国建筑业协会中小企业与供应链分会颁发的 AAA 级企业信用等级证书的得 5分。</w:t>
            </w:r>
          </w:p>
          <w:p w14:paraId="467F34BE">
            <w:pPr>
              <w:pStyle w:val="5"/>
              <w:numPr>
                <w:ilvl w:val="0"/>
                <w:numId w:val="0"/>
              </w:numPr>
              <w:snapToGrid w:val="0"/>
              <w:spacing w:after="0" w:line="360" w:lineRule="auto"/>
              <w:ind w:left="0" w:leftChars="0" w:firstLine="420" w:firstLineChars="200"/>
              <w:jc w:val="left"/>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stheme="minorEastAsia"/>
                <w:b w:val="0"/>
                <w:bCs w:val="0"/>
                <w:i w:val="0"/>
                <w:iCs w:val="0"/>
                <w:snapToGrid w:val="0"/>
                <w:color w:val="auto"/>
                <w:kern w:val="0"/>
                <w:sz w:val="21"/>
                <w:szCs w:val="21"/>
                <w:highlight w:val="none"/>
                <w:lang w:val="en-US" w:eastAsia="zh-CN"/>
              </w:rPr>
              <w:t>2</w:t>
            </w:r>
            <w:r>
              <w:rPr>
                <w:rFonts w:hint="eastAsia" w:hAnsi="宋体" w:cs="宋体"/>
                <w:b w:val="0"/>
                <w:bCs w:val="0"/>
                <w:i w:val="0"/>
                <w:iCs w:val="0"/>
                <w:snapToGrid w:val="0"/>
                <w:color w:val="auto"/>
                <w:kern w:val="0"/>
                <w:sz w:val="21"/>
                <w:szCs w:val="21"/>
                <w:highlight w:val="none"/>
                <w:lang w:val="en-US" w:eastAsia="zh-CN"/>
              </w:rPr>
              <w:t>.</w:t>
            </w:r>
            <w:r>
              <w:rPr>
                <w:rFonts w:hint="eastAsia" w:ascii="宋体" w:hAnsi="宋体" w:eastAsia="宋体" w:cs="宋体"/>
                <w:b w:val="0"/>
                <w:bCs w:val="0"/>
                <w:i w:val="0"/>
                <w:iCs w:val="0"/>
                <w:snapToGrid w:val="0"/>
                <w:color w:val="auto"/>
                <w:kern w:val="0"/>
                <w:sz w:val="21"/>
                <w:szCs w:val="21"/>
                <w:highlight w:val="none"/>
              </w:rPr>
              <w:t>其他情形的，不予计分。</w:t>
            </w:r>
          </w:p>
        </w:tc>
        <w:tc>
          <w:tcPr>
            <w:tcW w:w="5110" w:type="dxa"/>
            <w:tcBorders>
              <w:tl2br w:val="nil"/>
              <w:tr2bl w:val="nil"/>
            </w:tcBorders>
            <w:noWrap w:val="0"/>
            <w:vAlign w:val="center"/>
          </w:tcPr>
          <w:p w14:paraId="606A4BB1">
            <w:pPr>
              <w:pStyle w:val="5"/>
              <w:keepNext w:val="0"/>
              <w:keepLines w:val="0"/>
              <w:pageBreakBefore w:val="0"/>
              <w:widowControl/>
              <w:wordWrap w:val="0"/>
              <w:overflowPunct/>
              <w:topLinePunct w:val="0"/>
              <w:bidi w:val="0"/>
              <w:adjustRightInd w:val="0"/>
              <w:snapToGrid w:val="0"/>
              <w:spacing w:after="0" w:line="312" w:lineRule="auto"/>
              <w:rPr>
                <w:rFonts w:hint="eastAsia" w:asciiTheme="minorEastAsia" w:hAnsiTheme="minorEastAsia" w:eastAsiaTheme="minorEastAsia" w:cstheme="minorEastAsia"/>
                <w:b w:val="0"/>
                <w:bCs w:val="0"/>
                <w:snapToGrid w:val="0"/>
                <w:color w:val="auto"/>
                <w:kern w:val="0"/>
                <w:sz w:val="21"/>
                <w:szCs w:val="21"/>
                <w:highlight w:val="none"/>
              </w:rPr>
            </w:pPr>
            <w:r>
              <w:rPr>
                <w:rFonts w:hint="eastAsia" w:asciiTheme="minorEastAsia" w:hAnsiTheme="minorEastAsia" w:eastAsiaTheme="minorEastAsia" w:cstheme="minorEastAsia"/>
                <w:b w:val="0"/>
                <w:bCs w:val="0"/>
                <w:snapToGrid w:val="0"/>
                <w:color w:val="auto"/>
                <w:kern w:val="0"/>
                <w:sz w:val="21"/>
                <w:szCs w:val="21"/>
                <w:highlight w:val="none"/>
                <w:lang w:val="en-US" w:eastAsia="zh-CN"/>
              </w:rPr>
              <w:t>1.</w:t>
            </w:r>
            <w:r>
              <w:rPr>
                <w:rFonts w:hint="eastAsia" w:asciiTheme="minorEastAsia" w:hAnsiTheme="minorEastAsia" w:eastAsiaTheme="minorEastAsia" w:cstheme="minorEastAsia"/>
                <w:b w:val="0"/>
                <w:bCs w:val="0"/>
                <w:snapToGrid w:val="0"/>
                <w:color w:val="auto"/>
                <w:kern w:val="0"/>
                <w:sz w:val="21"/>
                <w:szCs w:val="21"/>
                <w:highlight w:val="none"/>
              </w:rPr>
              <w:t>证书由“中国建筑业协会中小企业分会或中国建筑业协会中小企业与供应链分会”颁发，须提供有关证书彩色扫描件，同时提供原件核对。</w:t>
            </w:r>
          </w:p>
          <w:p w14:paraId="55E7B9AA">
            <w:pPr>
              <w:pStyle w:val="5"/>
              <w:keepNext w:val="0"/>
              <w:keepLines w:val="0"/>
              <w:pageBreakBefore w:val="0"/>
              <w:widowControl/>
              <w:wordWrap w:val="0"/>
              <w:overflowPunct/>
              <w:topLinePunct w:val="0"/>
              <w:bidi w:val="0"/>
              <w:adjustRightInd w:val="0"/>
              <w:snapToGrid w:val="0"/>
              <w:spacing w:after="0" w:line="312" w:lineRule="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val="0"/>
                <w:bCs w:val="0"/>
                <w:snapToGrid w:val="0"/>
                <w:color w:val="auto"/>
                <w:kern w:val="0"/>
                <w:sz w:val="21"/>
                <w:szCs w:val="21"/>
                <w:highlight w:val="none"/>
              </w:rPr>
              <w:t>2</w:t>
            </w:r>
            <w:r>
              <w:rPr>
                <w:rFonts w:hint="eastAsia" w:asciiTheme="minorEastAsia" w:hAnsiTheme="minorEastAsia" w:eastAsiaTheme="minorEastAsia" w:cstheme="minorEastAsia"/>
                <w:b w:val="0"/>
                <w:bCs w:val="0"/>
                <w:snapToGrid w:val="0"/>
                <w:color w:val="auto"/>
                <w:kern w:val="0"/>
                <w:sz w:val="21"/>
                <w:szCs w:val="21"/>
                <w:highlight w:val="none"/>
                <w:lang w:val="en-US" w:eastAsia="zh-CN"/>
              </w:rPr>
              <w:t>.</w:t>
            </w:r>
            <w:r>
              <w:rPr>
                <w:rFonts w:hint="eastAsia" w:asciiTheme="minorEastAsia" w:hAnsiTheme="minorEastAsia" w:eastAsiaTheme="minorEastAsia" w:cstheme="minorEastAsia"/>
                <w:b w:val="0"/>
                <w:bCs w:val="0"/>
                <w:snapToGrid w:val="0"/>
                <w:color w:val="auto"/>
                <w:kern w:val="0"/>
                <w:sz w:val="21"/>
                <w:szCs w:val="21"/>
                <w:highlight w:val="none"/>
              </w:rPr>
              <w:t>未提供原件的，颁发机构不符合要求的，按第 2 项标准处理。</w:t>
            </w:r>
          </w:p>
        </w:tc>
      </w:tr>
      <w:tr w14:paraId="421C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1491" w:type="dxa"/>
            <w:vMerge w:val="continue"/>
            <w:tcBorders>
              <w:tl2br w:val="nil"/>
              <w:tr2bl w:val="nil"/>
            </w:tcBorders>
            <w:noWrap w:val="0"/>
            <w:vAlign w:val="center"/>
          </w:tcPr>
          <w:p w14:paraId="55D8AD06">
            <w:pPr>
              <w:pStyle w:val="55"/>
              <w:pageBreakBefore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rPr>
            </w:pPr>
          </w:p>
        </w:tc>
        <w:tc>
          <w:tcPr>
            <w:tcW w:w="3602" w:type="dxa"/>
            <w:gridSpan w:val="2"/>
            <w:tcBorders>
              <w:tl2br w:val="nil"/>
              <w:tr2bl w:val="nil"/>
            </w:tcBorders>
            <w:noWrap w:val="0"/>
            <w:vAlign w:val="center"/>
          </w:tcPr>
          <w:p w14:paraId="7672973C">
            <w:pPr>
              <w:pStyle w:val="45"/>
              <w:numPr>
                <w:ilvl w:val="0"/>
                <w:numId w:val="0"/>
              </w:numPr>
              <w:wordWrap w:val="0"/>
              <w:adjustRightInd w:val="0"/>
              <w:snapToGrid w:val="0"/>
              <w:spacing w:line="360" w:lineRule="auto"/>
              <w:ind w:left="0" w:leftChars="0"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rPr>
              <w:t>2023 年至 2025 年连续 1 年获得“用户满意企业”的，得 5 分。</w:t>
            </w:r>
          </w:p>
        </w:tc>
        <w:tc>
          <w:tcPr>
            <w:tcW w:w="5110" w:type="dxa"/>
            <w:tcBorders>
              <w:tl2br w:val="nil"/>
              <w:tr2bl w:val="nil"/>
            </w:tcBorders>
            <w:noWrap w:val="0"/>
            <w:vAlign w:val="center"/>
          </w:tcPr>
          <w:p w14:paraId="11057B87">
            <w:pPr>
              <w:pStyle w:val="5"/>
              <w:keepNext w:val="0"/>
              <w:keepLines w:val="0"/>
              <w:pageBreakBefore w:val="0"/>
              <w:widowControl/>
              <w:wordWrap w:val="0"/>
              <w:overflowPunct/>
              <w:topLinePunct w:val="0"/>
              <w:bidi w:val="0"/>
              <w:adjustRightInd w:val="0"/>
              <w:snapToGrid w:val="0"/>
              <w:spacing w:after="0" w:line="312" w:lineRule="auto"/>
              <w:rPr>
                <w:rFonts w:hint="eastAsia" w:asciiTheme="minorEastAsia" w:hAnsiTheme="minorEastAsia" w:eastAsiaTheme="minorEastAsia" w:cstheme="minorEastAsia"/>
                <w:b w:val="0"/>
                <w:bCs w:val="0"/>
                <w:snapToGrid w:val="0"/>
                <w:color w:val="auto"/>
                <w:kern w:val="0"/>
                <w:sz w:val="21"/>
                <w:szCs w:val="21"/>
                <w:highlight w:val="none"/>
              </w:rPr>
            </w:pPr>
            <w:r>
              <w:rPr>
                <w:rFonts w:hint="eastAsia" w:asciiTheme="minorEastAsia" w:hAnsiTheme="minorEastAsia" w:eastAsiaTheme="minorEastAsia" w:cstheme="minorEastAsia"/>
                <w:b w:val="0"/>
                <w:bCs w:val="0"/>
                <w:snapToGrid w:val="0"/>
                <w:color w:val="auto"/>
                <w:kern w:val="0"/>
                <w:sz w:val="21"/>
                <w:szCs w:val="21"/>
                <w:highlight w:val="none"/>
                <w:lang w:val="en-US" w:eastAsia="zh-CN"/>
              </w:rPr>
              <w:t xml:space="preserve">1．需附证书彩色扫描件及相关网页截图及网址供查询，同时提供原件供核对。 </w:t>
            </w:r>
          </w:p>
          <w:p w14:paraId="4AA1E21F">
            <w:pPr>
              <w:pStyle w:val="5"/>
              <w:keepNext w:val="0"/>
              <w:keepLines w:val="0"/>
              <w:pageBreakBefore w:val="0"/>
              <w:widowControl/>
              <w:wordWrap w:val="0"/>
              <w:overflowPunct/>
              <w:topLinePunct w:val="0"/>
              <w:bidi w:val="0"/>
              <w:adjustRightInd w:val="0"/>
              <w:snapToGrid w:val="0"/>
              <w:spacing w:after="0" w:line="312" w:lineRule="auto"/>
              <w:rPr>
                <w:rFonts w:hint="eastAsia" w:asciiTheme="minorEastAsia" w:hAnsiTheme="minorEastAsia" w:eastAsiaTheme="minorEastAsia" w:cstheme="minorEastAsia"/>
                <w:b w:val="0"/>
                <w:bCs w:val="0"/>
                <w:snapToGrid w:val="0"/>
                <w:color w:val="auto"/>
                <w:kern w:val="0"/>
                <w:sz w:val="21"/>
                <w:szCs w:val="21"/>
                <w:highlight w:val="none"/>
              </w:rPr>
            </w:pPr>
            <w:r>
              <w:rPr>
                <w:rFonts w:hint="eastAsia" w:asciiTheme="minorEastAsia" w:hAnsiTheme="minorEastAsia" w:eastAsiaTheme="minorEastAsia" w:cstheme="minorEastAsia"/>
                <w:b w:val="0"/>
                <w:bCs w:val="0"/>
                <w:snapToGrid w:val="0"/>
                <w:color w:val="auto"/>
                <w:kern w:val="0"/>
                <w:sz w:val="21"/>
                <w:szCs w:val="21"/>
                <w:highlight w:val="none"/>
                <w:lang w:val="en-US" w:eastAsia="zh-CN"/>
              </w:rPr>
              <w:t xml:space="preserve">2．证书须由省级/国级质量协会颁发。 </w:t>
            </w:r>
          </w:p>
          <w:p w14:paraId="4A7990C6">
            <w:pPr>
              <w:pStyle w:val="5"/>
              <w:keepNext w:val="0"/>
              <w:keepLines w:val="0"/>
              <w:pageBreakBefore w:val="0"/>
              <w:widowControl/>
              <w:wordWrap w:val="0"/>
              <w:overflowPunct/>
              <w:topLinePunct w:val="0"/>
              <w:bidi w:val="0"/>
              <w:adjustRightInd w:val="0"/>
              <w:snapToGrid w:val="0"/>
              <w:spacing w:after="0" w:line="312" w:lineRule="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val="0"/>
                <w:bCs w:val="0"/>
                <w:snapToGrid w:val="0"/>
                <w:color w:val="auto"/>
                <w:kern w:val="0"/>
                <w:sz w:val="21"/>
                <w:szCs w:val="21"/>
                <w:highlight w:val="none"/>
                <w:lang w:val="en-US" w:eastAsia="zh-CN"/>
              </w:rPr>
              <w:t>3．未提供原件的；颁发机构、获奖时间不符合评分标准和备注规定的，不予得分。</w:t>
            </w:r>
          </w:p>
        </w:tc>
      </w:tr>
      <w:tr w14:paraId="3C3E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1491" w:type="dxa"/>
            <w:vMerge w:val="continue"/>
            <w:tcBorders>
              <w:tl2br w:val="nil"/>
              <w:tr2bl w:val="nil"/>
            </w:tcBorders>
            <w:noWrap w:val="0"/>
            <w:vAlign w:val="center"/>
          </w:tcPr>
          <w:p w14:paraId="0B264CEA">
            <w:pPr>
              <w:pStyle w:val="5"/>
              <w:pageBreakBefore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rPr>
            </w:pPr>
          </w:p>
        </w:tc>
        <w:tc>
          <w:tcPr>
            <w:tcW w:w="3602" w:type="dxa"/>
            <w:gridSpan w:val="2"/>
            <w:tcBorders>
              <w:tl2br w:val="nil"/>
              <w:tr2bl w:val="nil"/>
            </w:tcBorders>
            <w:noWrap w:val="0"/>
            <w:vAlign w:val="center"/>
          </w:tcPr>
          <w:p w14:paraId="4E3A7EA2">
            <w:pPr>
              <w:pStyle w:val="5"/>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企业近 3 年度（2022年度至今）获得过中国市政工程协会颁发的企业信用等级 AAA级证书的得5 分；</w:t>
            </w:r>
          </w:p>
          <w:p w14:paraId="6800D6E4">
            <w:pPr>
              <w:pStyle w:val="45"/>
              <w:wordWrap w:val="0"/>
              <w:adjustRightInd w:val="0"/>
              <w:snapToGrid w:val="0"/>
              <w:spacing w:line="400" w:lineRule="exact"/>
              <w:ind w:firstLine="420" w:firstLineChars="200"/>
              <w:jc w:val="left"/>
              <w:rPr>
                <w:rFonts w:hint="default" w:hAnsi="宋体" w:cs="宋体"/>
                <w:snapToGrid w:val="0"/>
                <w:color w:val="auto"/>
                <w:kern w:val="0"/>
                <w:sz w:val="21"/>
                <w:szCs w:val="21"/>
                <w:highlight w:val="none"/>
                <w:lang w:val="en-US" w:eastAsia="zh-CN"/>
              </w:rPr>
            </w:pPr>
            <w:r>
              <w:rPr>
                <w:rFonts w:hint="eastAsia" w:asciiTheme="minorEastAsia" w:hAnsiTheme="minorEastAsia" w:eastAsiaTheme="minorEastAsia" w:cstheme="minorEastAsia"/>
                <w:b w:val="0"/>
                <w:bCs w:val="0"/>
                <w:i w:val="0"/>
                <w:iCs w:val="0"/>
                <w:snapToGrid w:val="0"/>
                <w:color w:val="auto"/>
                <w:kern w:val="0"/>
                <w:sz w:val="21"/>
                <w:szCs w:val="21"/>
                <w:highlight w:val="none"/>
                <w:lang w:val="en-US" w:eastAsia="zh-CN"/>
              </w:rPr>
              <w:t>2.</w:t>
            </w:r>
            <w:r>
              <w:rPr>
                <w:rFonts w:hint="eastAsia" w:ascii="宋体" w:hAnsi="宋体" w:eastAsia="宋体" w:cs="宋体"/>
                <w:b w:val="0"/>
                <w:bCs w:val="0"/>
                <w:i w:val="0"/>
                <w:iCs w:val="0"/>
                <w:snapToGrid w:val="0"/>
                <w:color w:val="auto"/>
                <w:kern w:val="0"/>
                <w:sz w:val="21"/>
                <w:szCs w:val="21"/>
                <w:highlight w:val="none"/>
              </w:rPr>
              <w:t>其他情形的，不予计分。</w:t>
            </w:r>
          </w:p>
        </w:tc>
        <w:tc>
          <w:tcPr>
            <w:tcW w:w="5110" w:type="dxa"/>
            <w:tcBorders>
              <w:tl2br w:val="nil"/>
              <w:tr2bl w:val="nil"/>
            </w:tcBorders>
            <w:noWrap w:val="0"/>
            <w:vAlign w:val="center"/>
          </w:tcPr>
          <w:p w14:paraId="165065E8">
            <w:pPr>
              <w:pStyle w:val="5"/>
              <w:keepNext w:val="0"/>
              <w:keepLines w:val="0"/>
              <w:pageBreakBefore w:val="0"/>
              <w:widowControl/>
              <w:wordWrap w:val="0"/>
              <w:overflowPunct/>
              <w:topLinePunct w:val="0"/>
              <w:bidi w:val="0"/>
              <w:adjustRightInd w:val="0"/>
              <w:snapToGrid w:val="0"/>
              <w:spacing w:line="312"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1.证书由“中国市政工程协会”颁发，须提供有关证书彩色扫描件，同时提供原件核对。</w:t>
            </w:r>
          </w:p>
          <w:p w14:paraId="044515DB">
            <w:pPr>
              <w:pStyle w:val="5"/>
              <w:keepNext w:val="0"/>
              <w:keepLines w:val="0"/>
              <w:pageBreakBefore w:val="0"/>
              <w:widowControl/>
              <w:wordWrap w:val="0"/>
              <w:overflowPunct/>
              <w:topLinePunct w:val="0"/>
              <w:bidi w:val="0"/>
              <w:adjustRightInd w:val="0"/>
              <w:snapToGrid w:val="0"/>
              <w:spacing w:line="312" w:lineRule="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2</w:t>
            </w:r>
            <w:r>
              <w:rPr>
                <w:rFonts w:hint="eastAsia" w:asciiTheme="minorEastAsia" w:hAnsiTheme="minorEastAsia" w:eastAsiaTheme="minorEastAsia" w:cstheme="minorEastAsia"/>
                <w:snapToGrid w:val="0"/>
                <w:color w:val="auto"/>
                <w:kern w:val="0"/>
                <w:sz w:val="21"/>
                <w:szCs w:val="21"/>
                <w:highlight w:val="none"/>
                <w:lang w:val="en-US" w:eastAsia="zh-CN"/>
              </w:rPr>
              <w:t>.</w:t>
            </w:r>
            <w:r>
              <w:rPr>
                <w:rFonts w:hint="eastAsia" w:asciiTheme="minorEastAsia" w:hAnsiTheme="minorEastAsia" w:eastAsiaTheme="minorEastAsia" w:cstheme="minorEastAsia"/>
                <w:snapToGrid w:val="0"/>
                <w:color w:val="auto"/>
                <w:kern w:val="0"/>
                <w:sz w:val="21"/>
                <w:szCs w:val="21"/>
                <w:highlight w:val="none"/>
              </w:rPr>
              <w:t>未提供原件的，颁发机构不符合要求的，按第2项标准处理。</w:t>
            </w:r>
          </w:p>
        </w:tc>
      </w:tr>
      <w:tr w14:paraId="5F62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jc w:val="center"/>
        </w:trPr>
        <w:tc>
          <w:tcPr>
            <w:tcW w:w="1491" w:type="dxa"/>
            <w:vMerge w:val="continue"/>
            <w:tcBorders>
              <w:tl2br w:val="nil"/>
              <w:tr2bl w:val="nil"/>
            </w:tcBorders>
            <w:noWrap w:val="0"/>
            <w:vAlign w:val="center"/>
          </w:tcPr>
          <w:p w14:paraId="542960CB">
            <w:pPr>
              <w:pStyle w:val="5"/>
              <w:pageBreakBefore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rPr>
            </w:pPr>
          </w:p>
        </w:tc>
        <w:tc>
          <w:tcPr>
            <w:tcW w:w="3602" w:type="dxa"/>
            <w:gridSpan w:val="2"/>
            <w:tcBorders>
              <w:tl2br w:val="nil"/>
              <w:tr2bl w:val="nil"/>
            </w:tcBorders>
            <w:noWrap w:val="0"/>
            <w:vAlign w:val="center"/>
          </w:tcPr>
          <w:p w14:paraId="0F0E1E05">
            <w:pPr>
              <w:pStyle w:val="45"/>
              <w:wordWrap w:val="0"/>
              <w:adjustRightInd w:val="0"/>
              <w:snapToGrid w:val="0"/>
              <w:spacing w:line="400" w:lineRule="exact"/>
              <w:ind w:firstLine="420" w:firstLineChars="200"/>
              <w:jc w:val="left"/>
              <w:rPr>
                <w:rFonts w:hint="default" w:ascii="宋体" w:hAnsi="宋体" w:eastAsia="宋体" w:cs="宋体"/>
                <w:snapToGrid w:val="0"/>
                <w:color w:val="auto"/>
                <w:kern w:val="0"/>
                <w:sz w:val="21"/>
                <w:szCs w:val="21"/>
                <w:lang w:val="en-US" w:eastAsia="zh-CN" w:bidi="ar-SA"/>
              </w:rPr>
            </w:pPr>
            <w:r>
              <w:rPr>
                <w:rFonts w:hint="eastAsia" w:ascii="宋体" w:hAnsi="宋体" w:eastAsia="宋体" w:cs="宋体"/>
                <w:b w:val="0"/>
                <w:bCs w:val="0"/>
                <w:i w:val="0"/>
                <w:iCs w:val="0"/>
                <w:snapToGrid w:val="0"/>
                <w:color w:val="auto"/>
                <w:kern w:val="0"/>
                <w:sz w:val="21"/>
                <w:szCs w:val="21"/>
                <w:highlight w:val="none"/>
                <w:lang w:val="en-US" w:eastAsia="zh-CN"/>
              </w:rPr>
              <w:t>企业近 3 年（2022年至今）获得过国家级“AAA级信用企业”称号的得3分，每复审一次的加2分。本项最高得5分。</w:t>
            </w:r>
          </w:p>
        </w:tc>
        <w:tc>
          <w:tcPr>
            <w:tcW w:w="5110" w:type="dxa"/>
            <w:tcBorders>
              <w:tl2br w:val="nil"/>
              <w:tr2bl w:val="nil"/>
            </w:tcBorders>
            <w:noWrap w:val="0"/>
            <w:vAlign w:val="center"/>
          </w:tcPr>
          <w:p w14:paraId="00AF2E3B">
            <w:pPr>
              <w:pStyle w:val="5"/>
              <w:keepNext w:val="0"/>
              <w:keepLines w:val="0"/>
              <w:pageBreakBefore w:val="0"/>
              <w:widowControl/>
              <w:wordWrap w:val="0"/>
              <w:overflowPunct/>
              <w:topLinePunct w:val="0"/>
              <w:bidi w:val="0"/>
              <w:adjustRightInd w:val="0"/>
              <w:snapToGrid w:val="0"/>
              <w:spacing w:after="0" w:line="312" w:lineRule="auto"/>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bidi="ar"/>
              </w:rPr>
              <w:t>1.需附相关证书彩色扫描件</w:t>
            </w:r>
            <w:r>
              <w:rPr>
                <w:rFonts w:hint="eastAsia" w:asciiTheme="minorEastAsia" w:hAnsiTheme="minorEastAsia" w:eastAsiaTheme="minorEastAsia" w:cstheme="minorEastAsia"/>
                <w:snapToGrid w:val="0"/>
                <w:color w:val="auto"/>
                <w:kern w:val="0"/>
                <w:sz w:val="21"/>
                <w:szCs w:val="21"/>
                <w:highlight w:val="none"/>
              </w:rPr>
              <w:t>（或打印件）</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val="0"/>
                <w:bCs w:val="0"/>
                <w:color w:val="auto"/>
                <w:kern w:val="0"/>
                <w:sz w:val="21"/>
                <w:szCs w:val="21"/>
                <w:highlight w:val="none"/>
                <w:lang w:val="en-US" w:eastAsia="zh-CN" w:bidi="ar"/>
              </w:rPr>
              <w:t>同时提供原件供核对</w:t>
            </w:r>
            <w:r>
              <w:rPr>
                <w:rFonts w:hint="eastAsia" w:asciiTheme="minorEastAsia" w:hAnsiTheme="minorEastAsia" w:eastAsiaTheme="minorEastAsia" w:cstheme="minorEastAsia"/>
                <w:b/>
                <w:bCs/>
                <w:snapToGrid w:val="0"/>
                <w:color w:val="auto"/>
                <w:kern w:val="0"/>
                <w:sz w:val="21"/>
                <w:szCs w:val="21"/>
                <w:highlight w:val="none"/>
              </w:rPr>
              <w:t>。</w:t>
            </w:r>
          </w:p>
          <w:p w14:paraId="7C4CB565">
            <w:pPr>
              <w:pStyle w:val="5"/>
              <w:keepNext w:val="0"/>
              <w:keepLines w:val="0"/>
              <w:pageBreakBefore w:val="0"/>
              <w:widowControl/>
              <w:kinsoku/>
              <w:wordWrap w:val="0"/>
              <w:overflowPunct/>
              <w:topLinePunct w:val="0"/>
              <w:autoSpaceDE/>
              <w:autoSpaceDN/>
              <w:bidi w:val="0"/>
              <w:adjustRightInd w:val="0"/>
              <w:snapToGrid w:val="0"/>
              <w:spacing w:line="312" w:lineRule="auto"/>
              <w:textAlignment w:val="baseline"/>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snapToGrid w:val="0"/>
                <w:color w:val="auto"/>
                <w:kern w:val="0"/>
                <w:sz w:val="21"/>
                <w:szCs w:val="21"/>
                <w:highlight w:val="none"/>
                <w:lang w:val="en-US" w:eastAsia="zh-CN" w:bidi="ar"/>
              </w:rPr>
              <w:t>2.证书须由国级企业联合会和企业家协会同时颁发。</w:t>
            </w:r>
          </w:p>
          <w:p w14:paraId="5CC1AFF5">
            <w:pPr>
              <w:pStyle w:val="5"/>
              <w:keepNext w:val="0"/>
              <w:keepLines w:val="0"/>
              <w:pageBreakBefore w:val="0"/>
              <w:widowControl/>
              <w:wordWrap w:val="0"/>
              <w:overflowPunct/>
              <w:topLinePunct w:val="0"/>
              <w:bidi w:val="0"/>
              <w:adjustRightInd w:val="0"/>
              <w:snapToGrid w:val="0"/>
              <w:spacing w:line="312"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bidi="ar"/>
              </w:rPr>
              <w:t>3.颁发机构、</w:t>
            </w:r>
            <w:r>
              <w:rPr>
                <w:rFonts w:hint="eastAsia" w:asciiTheme="minorEastAsia" w:hAnsiTheme="minorEastAsia" w:eastAsiaTheme="minorEastAsia" w:cstheme="minorEastAsia"/>
                <w:snapToGrid w:val="0"/>
                <w:color w:val="auto"/>
                <w:kern w:val="0"/>
                <w:sz w:val="21"/>
                <w:szCs w:val="21"/>
                <w:highlight w:val="none"/>
              </w:rPr>
              <w:t>颁发</w:t>
            </w:r>
            <w:r>
              <w:rPr>
                <w:rFonts w:hint="eastAsia" w:asciiTheme="minorEastAsia" w:hAnsiTheme="minorEastAsia" w:eastAsiaTheme="minorEastAsia" w:cstheme="minorEastAsia"/>
                <w:snapToGrid w:val="0"/>
                <w:color w:val="auto"/>
                <w:kern w:val="0"/>
                <w:sz w:val="21"/>
                <w:szCs w:val="21"/>
                <w:highlight w:val="none"/>
                <w:lang w:val="en-US" w:eastAsia="zh-CN" w:bidi="ar"/>
              </w:rPr>
              <w:t>时间不符合评分标准和备注规定的，不予得分。</w:t>
            </w:r>
          </w:p>
        </w:tc>
      </w:tr>
      <w:tr w14:paraId="4041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10203" w:type="dxa"/>
            <w:gridSpan w:val="4"/>
            <w:tcBorders>
              <w:tl2br w:val="nil"/>
              <w:tr2bl w:val="nil"/>
            </w:tcBorders>
            <w:shd w:val="clear" w:color="auto" w:fill="D9D9D9"/>
            <w:noWrap w:val="0"/>
            <w:vAlign w:val="center"/>
          </w:tcPr>
          <w:p w14:paraId="0A573A0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left"/>
              <w:textAlignment w:val="auto"/>
              <w:outlineLvl w:val="9"/>
              <w:rPr>
                <w:rFonts w:hint="eastAsia" w:ascii="宋体" w:hAnsi="宋体" w:eastAsia="宋体" w:cs="宋体"/>
                <w:b/>
                <w:bCs/>
                <w:caps w:val="0"/>
                <w:smallCaps w:val="0"/>
                <w:snapToGrid w:val="0"/>
                <w:color w:val="auto"/>
                <w:spacing w:val="0"/>
                <w:kern w:val="0"/>
                <w:sz w:val="21"/>
                <w:szCs w:val="21"/>
                <w:highlight w:val="none"/>
              </w:rPr>
            </w:pPr>
            <w:r>
              <w:rPr>
                <w:rFonts w:hint="eastAsia" w:ascii="宋体" w:hAnsi="宋体" w:eastAsia="宋体" w:cs="宋体"/>
                <w:b/>
                <w:bCs/>
                <w:caps w:val="0"/>
                <w:smallCaps w:val="0"/>
                <w:snapToGrid w:val="0"/>
                <w:color w:val="auto"/>
                <w:spacing w:val="0"/>
                <w:kern w:val="0"/>
                <w:sz w:val="21"/>
                <w:szCs w:val="21"/>
                <w:highlight w:val="none"/>
                <w:lang w:eastAsia="zh-CN"/>
              </w:rPr>
              <w:t>技术部分（施工组织设计），满分：</w:t>
            </w:r>
            <w:r>
              <w:rPr>
                <w:rFonts w:hint="eastAsia" w:ascii="宋体" w:hAnsi="宋体" w:eastAsia="宋体" w:cs="宋体"/>
                <w:b/>
                <w:bCs/>
                <w:caps w:val="0"/>
                <w:smallCaps w:val="0"/>
                <w:snapToGrid w:val="0"/>
                <w:color w:val="auto"/>
                <w:spacing w:val="0"/>
                <w:kern w:val="0"/>
                <w:sz w:val="21"/>
                <w:szCs w:val="21"/>
                <w:highlight w:val="none"/>
                <w:u w:val="single"/>
                <w:lang w:val="en-US" w:eastAsia="zh-CN"/>
              </w:rPr>
              <w:t xml:space="preserve">  20  </w:t>
            </w:r>
            <w:r>
              <w:rPr>
                <w:rFonts w:hint="eastAsia" w:ascii="宋体" w:hAnsi="宋体" w:eastAsia="宋体" w:cs="宋体"/>
                <w:b/>
                <w:bCs/>
                <w:caps w:val="0"/>
                <w:smallCaps w:val="0"/>
                <w:snapToGrid w:val="0"/>
                <w:color w:val="auto"/>
                <w:spacing w:val="0"/>
                <w:kern w:val="0"/>
                <w:sz w:val="21"/>
                <w:szCs w:val="21"/>
                <w:highlight w:val="none"/>
                <w:lang w:val="en-US" w:eastAsia="zh-CN"/>
              </w:rPr>
              <w:t>分。</w:t>
            </w:r>
          </w:p>
        </w:tc>
      </w:tr>
      <w:tr w14:paraId="573F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1491" w:type="dxa"/>
            <w:tcBorders>
              <w:tl2br w:val="nil"/>
              <w:tr2bl w:val="nil"/>
            </w:tcBorders>
            <w:noWrap w:val="0"/>
            <w:vAlign w:val="center"/>
          </w:tcPr>
          <w:p w14:paraId="57B3FE2E">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1"/>
                <w:szCs w:val="21"/>
                <w:highlight w:val="none"/>
              </w:rPr>
            </w:pPr>
            <w:r>
              <w:rPr>
                <w:rFonts w:hint="eastAsia" w:ascii="宋体" w:hAnsi="宋体" w:eastAsia="宋体" w:cs="宋体"/>
                <w:b/>
                <w:bCs/>
                <w:caps w:val="0"/>
                <w:smallCaps w:val="0"/>
                <w:snapToGrid w:val="0"/>
                <w:color w:val="auto"/>
                <w:spacing w:val="0"/>
                <w:kern w:val="0"/>
                <w:sz w:val="21"/>
                <w:szCs w:val="21"/>
                <w:highlight w:val="none"/>
              </w:rPr>
              <w:t>评分因素</w:t>
            </w:r>
          </w:p>
        </w:tc>
        <w:tc>
          <w:tcPr>
            <w:tcW w:w="3602" w:type="dxa"/>
            <w:gridSpan w:val="2"/>
            <w:tcBorders>
              <w:tl2br w:val="nil"/>
              <w:tr2bl w:val="nil"/>
            </w:tcBorders>
            <w:noWrap w:val="0"/>
            <w:vAlign w:val="center"/>
          </w:tcPr>
          <w:p w14:paraId="3FB85B28">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1"/>
                <w:szCs w:val="21"/>
                <w:highlight w:val="none"/>
              </w:rPr>
            </w:pPr>
            <w:r>
              <w:rPr>
                <w:rFonts w:hint="eastAsia" w:ascii="宋体" w:hAnsi="宋体" w:eastAsia="宋体" w:cs="宋体"/>
                <w:b/>
                <w:bCs/>
                <w:caps w:val="0"/>
                <w:smallCaps w:val="0"/>
                <w:snapToGrid w:val="0"/>
                <w:color w:val="auto"/>
                <w:spacing w:val="0"/>
                <w:kern w:val="0"/>
                <w:sz w:val="21"/>
                <w:szCs w:val="21"/>
                <w:highlight w:val="none"/>
              </w:rPr>
              <w:t>评分标准</w:t>
            </w:r>
          </w:p>
        </w:tc>
        <w:tc>
          <w:tcPr>
            <w:tcW w:w="5110" w:type="dxa"/>
            <w:tcBorders>
              <w:tl2br w:val="nil"/>
              <w:tr2bl w:val="nil"/>
            </w:tcBorders>
            <w:noWrap w:val="0"/>
            <w:vAlign w:val="center"/>
          </w:tcPr>
          <w:p w14:paraId="29C26D78">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1"/>
                <w:szCs w:val="21"/>
                <w:highlight w:val="none"/>
                <w:lang w:eastAsia="zh-CN"/>
              </w:rPr>
            </w:pPr>
            <w:r>
              <w:rPr>
                <w:rFonts w:hint="eastAsia" w:ascii="宋体" w:hAnsi="宋体" w:eastAsia="宋体" w:cs="宋体"/>
                <w:b/>
                <w:bCs/>
                <w:caps w:val="0"/>
                <w:smallCaps w:val="0"/>
                <w:snapToGrid w:val="0"/>
                <w:color w:val="auto"/>
                <w:spacing w:val="0"/>
                <w:kern w:val="0"/>
                <w:sz w:val="21"/>
                <w:szCs w:val="21"/>
                <w:highlight w:val="none"/>
                <w:lang w:eastAsia="zh-CN"/>
              </w:rPr>
              <w:t>备注</w:t>
            </w:r>
          </w:p>
        </w:tc>
      </w:tr>
      <w:tr w14:paraId="6FF3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491" w:type="dxa"/>
            <w:tcBorders>
              <w:tl2br w:val="nil"/>
              <w:tr2bl w:val="nil"/>
            </w:tcBorders>
            <w:noWrap w:val="0"/>
            <w:vAlign w:val="center"/>
          </w:tcPr>
          <w:p w14:paraId="6AC9292B">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 xml:space="preserve"> 总体概述</w:t>
            </w:r>
          </w:p>
          <w:p w14:paraId="09A559B4">
            <w:pPr>
              <w:keepNext w:val="0"/>
              <w:keepLines w:val="0"/>
              <w:pageBreakBefore w:val="0"/>
              <w:widowControl w:val="0"/>
              <w:kinsoku/>
              <w:wordWrap w:val="0"/>
              <w:overflowPunct/>
              <w:topLinePunct w:val="0"/>
              <w:autoSpaceDE/>
              <w:autoSpaceDN/>
              <w:bidi w:val="0"/>
              <w:adjustRightInd w:val="0"/>
              <w:snapToGrid w:val="0"/>
              <w:spacing w:before="0" w:afterAutospacing="0" w:line="40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1"/>
                <w:szCs w:val="21"/>
                <w:highlight w:val="none"/>
                <w:lang w:val="en-US" w:eastAsia="zh-CN" w:bidi="ar-SA"/>
              </w:rPr>
              <w:t>分）</w:t>
            </w:r>
          </w:p>
        </w:tc>
        <w:tc>
          <w:tcPr>
            <w:tcW w:w="3602" w:type="dxa"/>
            <w:gridSpan w:val="2"/>
            <w:tcBorders>
              <w:tl2br w:val="nil"/>
              <w:tr2bl w:val="nil"/>
            </w:tcBorders>
            <w:noWrap w:val="0"/>
            <w:vAlign w:val="center"/>
          </w:tcPr>
          <w:p w14:paraId="66131783">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【优】得该项评分因素分值的90%～100%（含90%）。</w:t>
            </w:r>
          </w:p>
          <w:p w14:paraId="4F2D936D">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【良】得该项评分因素分值的80%～90%（含80%）。</w:t>
            </w:r>
          </w:p>
          <w:p w14:paraId="2FA4E571">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【中】得该项评分因素分值的70%～80%（含70%）。</w:t>
            </w:r>
          </w:p>
          <w:p w14:paraId="57E62FD4">
            <w:pPr>
              <w:keepNext w:val="0"/>
              <w:keepLines w:val="0"/>
              <w:pageBreakBefore w:val="0"/>
              <w:widowControl w:val="0"/>
              <w:kinsoku/>
              <w:wordWrap w:val="0"/>
              <w:overflowPunct/>
              <w:topLinePunct w:val="0"/>
              <w:autoSpaceDE/>
              <w:autoSpaceDN/>
              <w:bidi w:val="0"/>
              <w:adjustRightInd w:val="0"/>
              <w:snapToGrid w:val="0"/>
              <w:spacing w:before="0" w:afterAutospacing="0" w:line="40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【差】得该项评分因素分值的60～70%（含60%）。</w:t>
            </w:r>
          </w:p>
        </w:tc>
        <w:tc>
          <w:tcPr>
            <w:tcW w:w="5110" w:type="dxa"/>
            <w:tcBorders>
              <w:tl2br w:val="nil"/>
              <w:tr2bl w:val="nil"/>
            </w:tcBorders>
            <w:noWrap w:val="0"/>
            <w:vAlign w:val="center"/>
          </w:tcPr>
          <w:p w14:paraId="204489B3">
            <w:pPr>
              <w:spacing w:before="141" w:line="364" w:lineRule="auto"/>
              <w:ind w:left="112" w:right="38" w:hanging="4"/>
              <w:jc w:val="both"/>
              <w:rPr>
                <w:rFonts w:ascii="宋体" w:hAnsi="宋体" w:eastAsia="宋体" w:cs="宋体"/>
                <w:sz w:val="21"/>
                <w:szCs w:val="21"/>
              </w:rPr>
            </w:pPr>
            <w:r>
              <w:rPr>
                <w:rFonts w:ascii="宋体" w:hAnsi="宋体" w:eastAsia="宋体" w:cs="宋体"/>
                <w:spacing w:val="-1"/>
                <w:sz w:val="21"/>
                <w:szCs w:val="21"/>
              </w:rPr>
              <w:t>【优】对项目总体有深刻认识，表述清晰、完整、</w:t>
            </w:r>
            <w:r>
              <w:rPr>
                <w:rFonts w:ascii="宋体" w:hAnsi="宋体" w:eastAsia="宋体" w:cs="宋体"/>
                <w:spacing w:val="5"/>
                <w:sz w:val="21"/>
                <w:szCs w:val="21"/>
              </w:rPr>
              <w:t>严谨、合理，措施先进、具体、有效、成熟，采用了新技术、新工艺、新材料、新设备；施工段划分呼应总体表述，划分清晰、合理，符合规范</w:t>
            </w:r>
            <w:r>
              <w:rPr>
                <w:rFonts w:ascii="宋体" w:hAnsi="宋体" w:eastAsia="宋体" w:cs="宋体"/>
                <w:spacing w:val="3"/>
                <w:sz w:val="21"/>
                <w:szCs w:val="21"/>
              </w:rPr>
              <w:t>要求。</w:t>
            </w:r>
          </w:p>
          <w:p w14:paraId="168CDA6A">
            <w:pPr>
              <w:spacing w:before="29" w:line="360" w:lineRule="auto"/>
              <w:ind w:left="113" w:right="52" w:hanging="5"/>
              <w:jc w:val="both"/>
              <w:rPr>
                <w:rFonts w:ascii="宋体" w:hAnsi="宋体" w:eastAsia="宋体" w:cs="宋体"/>
                <w:sz w:val="21"/>
                <w:szCs w:val="21"/>
              </w:rPr>
            </w:pPr>
            <w:r>
              <w:rPr>
                <w:rFonts w:ascii="宋体" w:hAnsi="宋体" w:eastAsia="宋体" w:cs="宋体"/>
                <w:spacing w:val="-2"/>
                <w:sz w:val="21"/>
                <w:szCs w:val="21"/>
              </w:rPr>
              <w:t>【良】对项目总体有一定认识，表述清晰、完整，</w:t>
            </w:r>
            <w:r>
              <w:rPr>
                <w:rFonts w:ascii="宋体" w:hAnsi="宋体" w:eastAsia="宋体" w:cs="宋体"/>
                <w:spacing w:val="5"/>
                <w:sz w:val="21"/>
                <w:szCs w:val="21"/>
              </w:rPr>
              <w:t>措施具体有效；施工段划分呼应总体表述，划分</w:t>
            </w:r>
            <w:r>
              <w:rPr>
                <w:rFonts w:ascii="宋体" w:hAnsi="宋体" w:eastAsia="宋体" w:cs="宋体"/>
                <w:spacing w:val="8"/>
                <w:sz w:val="21"/>
                <w:szCs w:val="21"/>
              </w:rPr>
              <w:t>清晰，符合规范要求。</w:t>
            </w:r>
          </w:p>
          <w:p w14:paraId="56F03295">
            <w:pPr>
              <w:spacing w:before="30" w:line="355" w:lineRule="auto"/>
              <w:ind w:left="116" w:right="109" w:hanging="8"/>
              <w:rPr>
                <w:rFonts w:ascii="宋体" w:hAnsi="宋体" w:eastAsia="宋体" w:cs="宋体"/>
                <w:sz w:val="21"/>
                <w:szCs w:val="21"/>
              </w:rPr>
            </w:pPr>
            <w:r>
              <w:rPr>
                <w:rFonts w:ascii="宋体" w:hAnsi="宋体" w:eastAsia="宋体" w:cs="宋体"/>
                <w:spacing w:val="5"/>
                <w:sz w:val="21"/>
                <w:szCs w:val="21"/>
              </w:rPr>
              <w:t>【中】对项目总体有认识，有一定的措施但部分</w:t>
            </w:r>
            <w:r>
              <w:rPr>
                <w:rFonts w:ascii="宋体" w:hAnsi="宋体" w:eastAsia="宋体" w:cs="宋体"/>
                <w:spacing w:val="8"/>
                <w:sz w:val="21"/>
                <w:szCs w:val="21"/>
              </w:rPr>
              <w:t>不具体；施工段划分较合理，符合规范要求。</w:t>
            </w:r>
          </w:p>
          <w:p w14:paraId="19DFDDFE">
            <w:pPr>
              <w:keepNext w:val="0"/>
              <w:keepLines w:val="0"/>
              <w:pageBreakBefore w:val="0"/>
              <w:widowControl w:val="0"/>
              <w:kinsoku/>
              <w:wordWrap w:val="0"/>
              <w:overflowPunct/>
              <w:topLinePunct w:val="0"/>
              <w:autoSpaceDE/>
              <w:autoSpaceDN/>
              <w:bidi w:val="0"/>
              <w:adjustRightInd w:val="0"/>
              <w:snapToGrid w:val="0"/>
              <w:spacing w:before="0" w:afterAutospacing="0" w:line="40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1"/>
                <w:szCs w:val="21"/>
                <w:highlight w:val="none"/>
              </w:rPr>
            </w:pPr>
            <w:r>
              <w:rPr>
                <w:rFonts w:ascii="宋体" w:hAnsi="宋体" w:eastAsia="宋体" w:cs="宋体"/>
                <w:spacing w:val="5"/>
                <w:sz w:val="21"/>
                <w:szCs w:val="21"/>
              </w:rPr>
              <w:t>【差】对项目认识不足，表述不清晰，措施不具</w:t>
            </w:r>
            <w:r>
              <w:rPr>
                <w:rFonts w:ascii="宋体" w:hAnsi="宋体" w:eastAsia="宋体" w:cs="宋体"/>
                <w:spacing w:val="8"/>
                <w:sz w:val="21"/>
                <w:szCs w:val="21"/>
              </w:rPr>
              <w:t>体；施工段划分不合理。</w:t>
            </w:r>
          </w:p>
        </w:tc>
      </w:tr>
      <w:tr w14:paraId="6D44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491" w:type="dxa"/>
            <w:tcBorders>
              <w:tl2br w:val="nil"/>
              <w:tr2bl w:val="nil"/>
            </w:tcBorders>
            <w:noWrap w:val="0"/>
            <w:vAlign w:val="center"/>
          </w:tcPr>
          <w:p w14:paraId="5A4CB606">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施工总进</w:t>
            </w:r>
          </w:p>
          <w:p w14:paraId="6F1F6B7A">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度计划及</w:t>
            </w:r>
          </w:p>
          <w:p w14:paraId="4EE25486">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保证措施</w:t>
            </w:r>
          </w:p>
          <w:p w14:paraId="565F9B08">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3 </w:t>
            </w:r>
            <w:r>
              <w:rPr>
                <w:rFonts w:hint="eastAsia" w:ascii="宋体" w:hAnsi="宋体" w:eastAsia="宋体" w:cs="宋体"/>
                <w:caps w:val="0"/>
                <w:smallCaps w:val="0"/>
                <w:snapToGrid w:val="0"/>
                <w:color w:val="auto"/>
                <w:spacing w:val="0"/>
                <w:kern w:val="0"/>
                <w:sz w:val="21"/>
                <w:szCs w:val="21"/>
                <w:highlight w:val="none"/>
                <w:lang w:val="en-US" w:eastAsia="zh-CN" w:bidi="ar-SA"/>
              </w:rPr>
              <w:t>分）</w:t>
            </w:r>
          </w:p>
        </w:tc>
        <w:tc>
          <w:tcPr>
            <w:tcW w:w="3602" w:type="dxa"/>
            <w:gridSpan w:val="2"/>
            <w:tcBorders>
              <w:tl2br w:val="nil"/>
              <w:tr2bl w:val="nil"/>
            </w:tcBorders>
            <w:noWrap w:val="0"/>
            <w:vAlign w:val="center"/>
          </w:tcPr>
          <w:p w14:paraId="1D458F48">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【优】得该项评分因素分值的90%～100%（含90%）。</w:t>
            </w:r>
          </w:p>
          <w:p w14:paraId="31B172C8">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【良】得该项评分因素分值的80%～90%（含80%）。</w:t>
            </w:r>
          </w:p>
          <w:p w14:paraId="31B09A46">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【中】得该项评分因素分值的70%～80%（含70%）。</w:t>
            </w:r>
          </w:p>
          <w:p w14:paraId="7C4145BD">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【差】得该项评分因素分值的60～70%（含60%）。</w:t>
            </w:r>
          </w:p>
        </w:tc>
        <w:tc>
          <w:tcPr>
            <w:tcW w:w="5110" w:type="dxa"/>
            <w:tcBorders>
              <w:tl2br w:val="nil"/>
              <w:tr2bl w:val="nil"/>
            </w:tcBorders>
            <w:noWrap w:val="0"/>
            <w:vAlign w:val="center"/>
          </w:tcPr>
          <w:p w14:paraId="50452C53">
            <w:pPr>
              <w:spacing w:before="141" w:line="364" w:lineRule="auto"/>
              <w:ind w:left="113" w:right="109" w:hanging="5"/>
              <w:jc w:val="left"/>
              <w:rPr>
                <w:rFonts w:ascii="宋体" w:hAnsi="宋体" w:eastAsia="宋体" w:cs="宋体"/>
                <w:color w:val="auto"/>
                <w:sz w:val="21"/>
                <w:szCs w:val="21"/>
              </w:rPr>
            </w:pPr>
            <w:r>
              <w:rPr>
                <w:rFonts w:ascii="宋体" w:hAnsi="宋体" w:eastAsia="宋体" w:cs="宋体"/>
                <w:color w:val="auto"/>
                <w:spacing w:val="5"/>
                <w:sz w:val="21"/>
                <w:szCs w:val="21"/>
              </w:rPr>
              <w:t>【优】关键线路清晰、准确、完整，计划编制合理、可行。关键节点的控制措施有力、合理、可行。人、材、机需求和进场计划与进度计划相呼应，较好满足施工需要，调配投入计划合理、准</w:t>
            </w:r>
            <w:r>
              <w:rPr>
                <w:rFonts w:ascii="宋体" w:hAnsi="宋体" w:eastAsia="宋体" w:cs="宋体"/>
                <w:color w:val="auto"/>
                <w:spacing w:val="8"/>
                <w:sz w:val="21"/>
                <w:szCs w:val="21"/>
              </w:rPr>
              <w:t>确。进度违约责任承诺具体，</w:t>
            </w:r>
            <w:r>
              <w:rPr>
                <w:rFonts w:ascii="宋体" w:hAnsi="宋体" w:eastAsia="宋体" w:cs="宋体"/>
                <w:b/>
                <w:bCs/>
                <w:color w:val="auto"/>
                <w:spacing w:val="8"/>
                <w:sz w:val="21"/>
                <w:szCs w:val="21"/>
              </w:rPr>
              <w:t>经济赔偿合理。</w:t>
            </w:r>
          </w:p>
          <w:p w14:paraId="6F22F85A">
            <w:pPr>
              <w:spacing w:before="145" w:line="359" w:lineRule="auto"/>
              <w:ind w:left="112" w:right="109"/>
              <w:jc w:val="left"/>
              <w:rPr>
                <w:rFonts w:ascii="宋体" w:hAnsi="宋体" w:eastAsia="宋体" w:cs="宋体"/>
                <w:color w:val="auto"/>
                <w:sz w:val="21"/>
                <w:szCs w:val="21"/>
              </w:rPr>
            </w:pPr>
            <w:r>
              <w:rPr>
                <w:rFonts w:ascii="宋体" w:hAnsi="宋体" w:eastAsia="宋体" w:cs="宋体"/>
                <w:color w:val="auto"/>
                <w:spacing w:val="5"/>
                <w:sz w:val="21"/>
                <w:szCs w:val="21"/>
              </w:rPr>
              <w:t>【良】关键线路清晰、准确、完整，计划编制可</w:t>
            </w:r>
            <w:r>
              <w:rPr>
                <w:rFonts w:ascii="宋体" w:hAnsi="宋体" w:eastAsia="宋体" w:cs="宋体"/>
                <w:color w:val="auto"/>
                <w:spacing w:val="7"/>
                <w:sz w:val="21"/>
                <w:szCs w:val="21"/>
              </w:rPr>
              <w:t>行。关键节点的控制措施合理、可行。人、材、</w:t>
            </w:r>
            <w:r>
              <w:rPr>
                <w:rFonts w:ascii="宋体" w:hAnsi="宋体" w:eastAsia="宋体" w:cs="宋体"/>
                <w:color w:val="auto"/>
                <w:spacing w:val="5"/>
                <w:sz w:val="21"/>
                <w:szCs w:val="21"/>
              </w:rPr>
              <w:t>机需求和进场计划与进度计划相呼应，基本满足施工需要，调配投入计划基本合理、准确。进度</w:t>
            </w:r>
            <w:r>
              <w:rPr>
                <w:rFonts w:ascii="宋体" w:hAnsi="宋体" w:eastAsia="宋体" w:cs="宋体"/>
                <w:color w:val="auto"/>
                <w:spacing w:val="8"/>
                <w:sz w:val="21"/>
                <w:szCs w:val="21"/>
              </w:rPr>
              <w:t>违约责任承诺具体，</w:t>
            </w:r>
            <w:r>
              <w:rPr>
                <w:rFonts w:ascii="宋体" w:hAnsi="宋体" w:eastAsia="宋体" w:cs="宋体"/>
                <w:b/>
                <w:bCs/>
                <w:color w:val="auto"/>
                <w:spacing w:val="8"/>
                <w:sz w:val="21"/>
                <w:szCs w:val="21"/>
              </w:rPr>
              <w:t>经济赔偿较合理。</w:t>
            </w:r>
          </w:p>
          <w:p w14:paraId="50A30841">
            <w:pPr>
              <w:spacing w:before="34" w:line="363" w:lineRule="auto"/>
              <w:ind w:left="114" w:right="49" w:hanging="6"/>
              <w:jc w:val="left"/>
              <w:rPr>
                <w:rFonts w:ascii="宋体" w:hAnsi="宋体" w:eastAsia="宋体" w:cs="宋体"/>
                <w:sz w:val="21"/>
                <w:szCs w:val="21"/>
              </w:rPr>
            </w:pPr>
            <w:r>
              <w:rPr>
                <w:rFonts w:ascii="宋体" w:hAnsi="宋体" w:eastAsia="宋体" w:cs="宋体"/>
                <w:spacing w:val="8"/>
                <w:sz w:val="21"/>
                <w:szCs w:val="21"/>
              </w:rPr>
              <w:t>【中】关键线路基本准确，计划编制基本合理。</w:t>
            </w:r>
            <w:r>
              <w:rPr>
                <w:rFonts w:ascii="宋体" w:hAnsi="宋体" w:eastAsia="宋体" w:cs="宋体"/>
                <w:spacing w:val="5"/>
                <w:sz w:val="21"/>
                <w:szCs w:val="21"/>
              </w:rPr>
              <w:t>关键节点的控制措施基本可行。人、材、机需求和进场计划与进度计划相呼应，基本满足施工需要，调配投入计划基本合理。进度违约责任承诺</w:t>
            </w:r>
            <w:r>
              <w:rPr>
                <w:rFonts w:ascii="宋体" w:hAnsi="宋体" w:eastAsia="宋体" w:cs="宋体"/>
                <w:spacing w:val="2"/>
                <w:sz w:val="21"/>
                <w:szCs w:val="21"/>
              </w:rPr>
              <w:t>具体。</w:t>
            </w:r>
          </w:p>
          <w:p w14:paraId="5F59A9EE">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1"/>
                <w:szCs w:val="21"/>
                <w:highlight w:val="none"/>
              </w:rPr>
            </w:pPr>
            <w:r>
              <w:rPr>
                <w:rFonts w:ascii="宋体" w:hAnsi="宋体" w:eastAsia="宋体" w:cs="宋体"/>
                <w:spacing w:val="5"/>
                <w:sz w:val="21"/>
                <w:szCs w:val="21"/>
              </w:rPr>
              <w:t>【差】关键线路不准确，计划编制不合理。关键节点的控制不可行。人、材、机需求和进场计划与进度计划不相呼应，不能满足施工需要。没有</w:t>
            </w:r>
            <w:r>
              <w:rPr>
                <w:rFonts w:ascii="宋体" w:hAnsi="宋体" w:eastAsia="宋体" w:cs="宋体"/>
                <w:spacing w:val="7"/>
                <w:sz w:val="21"/>
                <w:szCs w:val="21"/>
              </w:rPr>
              <w:t>违约责任承诺。</w:t>
            </w:r>
          </w:p>
        </w:tc>
      </w:tr>
      <w:tr w14:paraId="0F98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atLeast"/>
          <w:jc w:val="center"/>
        </w:trPr>
        <w:tc>
          <w:tcPr>
            <w:tcW w:w="1491" w:type="dxa"/>
            <w:tcBorders>
              <w:tl2br w:val="nil"/>
              <w:tr2bl w:val="nil"/>
            </w:tcBorders>
            <w:noWrap w:val="0"/>
            <w:vAlign w:val="center"/>
          </w:tcPr>
          <w:p w14:paraId="122ED9B9">
            <w:pPr>
              <w:pStyle w:val="34"/>
              <w:pageBreakBefore w:val="0"/>
              <w:kinsoku/>
              <w:wordWrap w:val="0"/>
              <w:overflowPunct/>
              <w:topLinePunct w:val="0"/>
              <w:autoSpaceDE/>
              <w:autoSpaceDN/>
              <w:bidi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14:paraId="71FC8D3C">
            <w:pPr>
              <w:pStyle w:val="34"/>
              <w:pageBreakBefore w:val="0"/>
              <w:kinsoku/>
              <w:wordWrap w:val="0"/>
              <w:overflowPunct/>
              <w:topLinePunct w:val="0"/>
              <w:autoSpaceDE/>
              <w:autoSpaceDN/>
              <w:bidi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5120EB33">
            <w:pPr>
              <w:pStyle w:val="34"/>
              <w:pageBreakBefore w:val="0"/>
              <w:kinsoku/>
              <w:wordWrap w:val="0"/>
              <w:overflowPunct/>
              <w:topLinePunct w:val="0"/>
              <w:autoSpaceDE/>
              <w:autoSpaceDN/>
              <w:bidi w:val="0"/>
              <w:spacing w:line="400" w:lineRule="exact"/>
              <w:jc w:val="center"/>
              <w:textAlignment w:val="auto"/>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snapToGrid w:val="0"/>
                <w:color w:val="auto"/>
                <w:kern w:val="0"/>
                <w:sz w:val="21"/>
                <w:szCs w:val="21"/>
                <w:highlight w:val="none"/>
              </w:rPr>
              <w:t>（4分）</w:t>
            </w:r>
          </w:p>
        </w:tc>
        <w:tc>
          <w:tcPr>
            <w:tcW w:w="3602" w:type="dxa"/>
            <w:gridSpan w:val="2"/>
            <w:tcBorders>
              <w:tl2br w:val="nil"/>
              <w:tr2bl w:val="nil"/>
            </w:tcBorders>
            <w:noWrap w:val="0"/>
            <w:vAlign w:val="center"/>
          </w:tcPr>
          <w:p w14:paraId="4CD2DF5E">
            <w:pPr>
              <w:pStyle w:val="33"/>
              <w:pageBreakBefore w:val="0"/>
              <w:kinsoku/>
              <w:wordWrap w:val="0"/>
              <w:overflowPunct/>
              <w:topLinePunct w:val="0"/>
              <w:autoSpaceDE/>
              <w:autoSpaceDN/>
              <w:bidi w:val="0"/>
              <w:spacing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1D6C96EC">
            <w:pPr>
              <w:pStyle w:val="33"/>
              <w:pageBreakBefore w:val="0"/>
              <w:kinsoku/>
              <w:wordWrap w:val="0"/>
              <w:overflowPunct/>
              <w:topLinePunct w:val="0"/>
              <w:autoSpaceDE/>
              <w:autoSpaceDN/>
              <w:bidi w:val="0"/>
              <w:spacing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63413303">
            <w:pPr>
              <w:pStyle w:val="33"/>
              <w:pageBreakBefore w:val="0"/>
              <w:kinsoku/>
              <w:wordWrap w:val="0"/>
              <w:overflowPunct/>
              <w:topLinePunct w:val="0"/>
              <w:autoSpaceDE/>
              <w:autoSpaceDN/>
              <w:bidi w:val="0"/>
              <w:spacing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7AAC5A0C">
            <w:pPr>
              <w:pStyle w:val="35"/>
              <w:pageBreakBefore w:val="0"/>
              <w:kinsoku/>
              <w:wordWrap w:val="0"/>
              <w:overflowPunct/>
              <w:topLinePunct w:val="0"/>
              <w:autoSpaceDE/>
              <w:autoSpaceDN/>
              <w:bidi w:val="0"/>
              <w:spacing w:line="400" w:lineRule="exact"/>
              <w:textAlignment w:val="auto"/>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5110" w:type="dxa"/>
            <w:tcBorders>
              <w:tl2br w:val="nil"/>
              <w:tr2bl w:val="nil"/>
            </w:tcBorders>
            <w:noWrap w:val="0"/>
            <w:vAlign w:val="center"/>
          </w:tcPr>
          <w:p w14:paraId="5016222D">
            <w:pPr>
              <w:spacing w:before="143" w:line="364" w:lineRule="auto"/>
              <w:ind w:left="112" w:right="37" w:hanging="4"/>
              <w:jc w:val="both"/>
              <w:rPr>
                <w:rFonts w:ascii="宋体" w:hAnsi="宋体" w:eastAsia="宋体" w:cs="宋体"/>
                <w:sz w:val="21"/>
                <w:szCs w:val="21"/>
              </w:rPr>
            </w:pPr>
            <w:r>
              <w:rPr>
                <w:rFonts w:ascii="宋体" w:hAnsi="宋体" w:eastAsia="宋体" w:cs="宋体"/>
                <w:spacing w:val="8"/>
                <w:sz w:val="21"/>
                <w:szCs w:val="21"/>
              </w:rPr>
              <w:t>【优】应用新技术、新工艺、新材料、新设备，</w:t>
            </w:r>
            <w:r>
              <w:rPr>
                <w:rFonts w:ascii="宋体" w:hAnsi="宋体" w:eastAsia="宋体" w:cs="宋体"/>
                <w:spacing w:val="-1"/>
                <w:sz w:val="21"/>
                <w:szCs w:val="21"/>
              </w:rPr>
              <w:t>针对项目实际提出先进、可行、具体的保证措施。</w:t>
            </w:r>
            <w:r>
              <w:rPr>
                <w:rFonts w:ascii="宋体" w:hAnsi="宋体" w:eastAsia="宋体" w:cs="宋体"/>
                <w:spacing w:val="4"/>
                <w:sz w:val="21"/>
                <w:szCs w:val="21"/>
              </w:rPr>
              <w:t>超过招标文件的质量要求。</w:t>
            </w:r>
            <w:r>
              <w:rPr>
                <w:rFonts w:ascii="宋体" w:hAnsi="宋体" w:eastAsia="宋体" w:cs="宋体"/>
                <w:b/>
                <w:bCs/>
                <w:spacing w:val="4"/>
                <w:sz w:val="21"/>
                <w:szCs w:val="21"/>
              </w:rPr>
              <w:t>投标人企业注册地或</w:t>
            </w:r>
            <w:r>
              <w:rPr>
                <w:rFonts w:ascii="宋体" w:hAnsi="宋体" w:eastAsia="宋体" w:cs="宋体"/>
                <w:b/>
                <w:bCs/>
                <w:spacing w:val="13"/>
                <w:sz w:val="21"/>
                <w:szCs w:val="21"/>
              </w:rPr>
              <w:t>分支机构所在地与项目所在地的距离或全资子</w:t>
            </w:r>
            <w:r>
              <w:rPr>
                <w:rFonts w:ascii="宋体" w:hAnsi="宋体" w:eastAsia="宋体" w:cs="宋体"/>
                <w:b/>
                <w:bCs/>
                <w:spacing w:val="9"/>
                <w:sz w:val="21"/>
                <w:szCs w:val="21"/>
              </w:rPr>
              <w:t>公司与项目所在地距离</w:t>
            </w:r>
            <w:r>
              <w:rPr>
                <w:rFonts w:ascii="宋体" w:hAnsi="宋体" w:eastAsia="宋体" w:cs="宋体"/>
                <w:spacing w:val="-2"/>
                <w:sz w:val="21"/>
                <w:szCs w:val="21"/>
              </w:rPr>
              <w:t xml:space="preserve"> </w:t>
            </w:r>
            <w:r>
              <w:rPr>
                <w:rFonts w:ascii="宋体" w:hAnsi="宋体" w:eastAsia="宋体" w:cs="宋体"/>
                <w:b/>
                <w:bCs/>
                <w:spacing w:val="9"/>
                <w:sz w:val="21"/>
                <w:szCs w:val="21"/>
              </w:rPr>
              <w:t>100</w:t>
            </w:r>
            <w:r>
              <w:rPr>
                <w:rFonts w:ascii="宋体" w:hAnsi="宋体" w:eastAsia="宋体" w:cs="宋体"/>
                <w:spacing w:val="-27"/>
                <w:sz w:val="21"/>
                <w:szCs w:val="21"/>
              </w:rPr>
              <w:t xml:space="preserve"> </w:t>
            </w:r>
            <w:r>
              <w:rPr>
                <w:rFonts w:ascii="宋体" w:hAnsi="宋体" w:eastAsia="宋体" w:cs="宋体"/>
                <w:b/>
                <w:bCs/>
                <w:spacing w:val="9"/>
                <w:sz w:val="21"/>
                <w:szCs w:val="21"/>
              </w:rPr>
              <w:t>公里内、投标人在</w:t>
            </w:r>
            <w:r>
              <w:rPr>
                <w:rFonts w:ascii="宋体" w:hAnsi="宋体" w:eastAsia="宋体" w:cs="宋体"/>
                <w:b/>
                <w:bCs/>
                <w:spacing w:val="7"/>
                <w:sz w:val="21"/>
                <w:szCs w:val="21"/>
              </w:rPr>
              <w:t>相同地质条件业绩情况等相关证明资料。</w:t>
            </w:r>
          </w:p>
          <w:p w14:paraId="1C558527">
            <w:pPr>
              <w:spacing w:before="34" w:line="364" w:lineRule="auto"/>
              <w:ind w:left="113" w:right="109" w:hanging="5"/>
              <w:rPr>
                <w:rFonts w:ascii="宋体" w:hAnsi="宋体" w:eastAsia="宋体" w:cs="宋体"/>
                <w:sz w:val="21"/>
                <w:szCs w:val="21"/>
              </w:rPr>
            </w:pPr>
            <w:r>
              <w:rPr>
                <w:rFonts w:ascii="宋体" w:hAnsi="宋体" w:eastAsia="宋体" w:cs="宋体"/>
                <w:spacing w:val="5"/>
                <w:sz w:val="21"/>
                <w:szCs w:val="21"/>
              </w:rPr>
              <w:t>【良】针对项目实际提出先进、可行、具体的保</w:t>
            </w:r>
            <w:r>
              <w:rPr>
                <w:rFonts w:ascii="宋体" w:hAnsi="宋体" w:eastAsia="宋体" w:cs="宋体"/>
                <w:spacing w:val="4"/>
                <w:sz w:val="21"/>
                <w:szCs w:val="21"/>
              </w:rPr>
              <w:t>证措施。满足招标文件的质量要求。</w:t>
            </w:r>
            <w:r>
              <w:rPr>
                <w:rFonts w:ascii="宋体" w:hAnsi="宋体" w:eastAsia="宋体" w:cs="宋体"/>
                <w:b/>
                <w:bCs/>
                <w:spacing w:val="4"/>
                <w:sz w:val="21"/>
                <w:szCs w:val="21"/>
              </w:rPr>
              <w:t>投标人企业</w:t>
            </w:r>
            <w:r>
              <w:rPr>
                <w:rFonts w:ascii="宋体" w:hAnsi="宋体" w:eastAsia="宋体" w:cs="宋体"/>
                <w:b/>
                <w:bCs/>
                <w:spacing w:val="13"/>
                <w:sz w:val="21"/>
                <w:szCs w:val="21"/>
              </w:rPr>
              <w:t>注册地或分支机构所在地与项目所在地的距离</w:t>
            </w:r>
            <w:r>
              <w:rPr>
                <w:rFonts w:ascii="宋体" w:hAnsi="宋体" w:eastAsia="宋体" w:cs="宋体"/>
                <w:b/>
                <w:bCs/>
                <w:spacing w:val="10"/>
                <w:sz w:val="21"/>
                <w:szCs w:val="21"/>
              </w:rPr>
              <w:t>或全资子公司与项目所在地距离200</w:t>
            </w:r>
            <w:r>
              <w:rPr>
                <w:rFonts w:ascii="宋体" w:hAnsi="宋体" w:eastAsia="宋体" w:cs="宋体"/>
                <w:spacing w:val="-24"/>
                <w:sz w:val="21"/>
                <w:szCs w:val="21"/>
              </w:rPr>
              <w:t xml:space="preserve"> </w:t>
            </w:r>
            <w:r>
              <w:rPr>
                <w:rFonts w:ascii="宋体" w:hAnsi="宋体" w:eastAsia="宋体" w:cs="宋体"/>
                <w:b/>
                <w:bCs/>
                <w:spacing w:val="10"/>
                <w:sz w:val="21"/>
                <w:szCs w:val="21"/>
              </w:rPr>
              <w:t>公里内、</w:t>
            </w:r>
            <w:r>
              <w:rPr>
                <w:rFonts w:ascii="宋体" w:hAnsi="宋体" w:eastAsia="宋体" w:cs="宋体"/>
                <w:b/>
                <w:bCs/>
                <w:spacing w:val="13"/>
                <w:sz w:val="21"/>
                <w:szCs w:val="21"/>
              </w:rPr>
              <w:t>投标人在相同地质条件业绩情况等相关证明资</w:t>
            </w:r>
            <w:r>
              <w:rPr>
                <w:rFonts w:ascii="宋体" w:hAnsi="宋体" w:eastAsia="宋体" w:cs="宋体"/>
                <w:b/>
                <w:bCs/>
                <w:spacing w:val="-2"/>
                <w:sz w:val="21"/>
                <w:szCs w:val="21"/>
              </w:rPr>
              <w:t>料。</w:t>
            </w:r>
          </w:p>
          <w:p w14:paraId="098DD0CB">
            <w:pPr>
              <w:spacing w:before="32" w:line="228" w:lineRule="auto"/>
              <w:ind w:right="12"/>
              <w:jc w:val="right"/>
              <w:rPr>
                <w:rFonts w:ascii="宋体" w:hAnsi="宋体" w:eastAsia="宋体" w:cs="宋体"/>
                <w:sz w:val="21"/>
                <w:szCs w:val="21"/>
              </w:rPr>
            </w:pPr>
            <w:r>
              <w:rPr>
                <w:rFonts w:ascii="宋体" w:hAnsi="宋体" w:eastAsia="宋体" w:cs="宋体"/>
                <w:sz w:val="21"/>
                <w:szCs w:val="21"/>
              </w:rPr>
              <w:t>【中】具体措施可行。满足招标文件的质量要求。</w:t>
            </w:r>
          </w:p>
          <w:p w14:paraId="43AC031E">
            <w:pPr>
              <w:spacing w:before="154" w:line="353" w:lineRule="auto"/>
              <w:ind w:left="112" w:right="109" w:firstLine="3"/>
              <w:rPr>
                <w:rFonts w:ascii="宋体" w:hAnsi="宋体" w:eastAsia="宋体" w:cs="宋体"/>
                <w:sz w:val="21"/>
                <w:szCs w:val="21"/>
              </w:rPr>
            </w:pPr>
            <w:r>
              <w:rPr>
                <w:rFonts w:ascii="宋体" w:hAnsi="宋体" w:eastAsia="宋体" w:cs="宋体"/>
                <w:b/>
                <w:bCs/>
                <w:spacing w:val="13"/>
                <w:sz w:val="21"/>
                <w:szCs w:val="21"/>
              </w:rPr>
              <w:t>投标人企业注册地或分支机构所在地与项目所</w:t>
            </w:r>
            <w:r>
              <w:rPr>
                <w:rFonts w:ascii="宋体" w:hAnsi="宋体" w:eastAsia="宋体" w:cs="宋体"/>
                <w:b/>
                <w:bCs/>
                <w:spacing w:val="9"/>
                <w:sz w:val="21"/>
                <w:szCs w:val="21"/>
              </w:rPr>
              <w:t>在地的距离或全资子公司与项目所在地距离30</w:t>
            </w:r>
            <w:r>
              <w:rPr>
                <w:rFonts w:ascii="宋体" w:hAnsi="宋体" w:eastAsia="宋体" w:cs="宋体"/>
                <w:b/>
                <w:bCs/>
                <w:spacing w:val="4"/>
                <w:sz w:val="21"/>
                <w:szCs w:val="21"/>
              </w:rPr>
              <w:t>0公里内、投标人在相同地质条件业绩情况等相关证明资料。</w:t>
            </w:r>
          </w:p>
          <w:p w14:paraId="4E20DB08">
            <w:pPr>
              <w:pStyle w:val="35"/>
              <w:pageBreakBefore w:val="0"/>
              <w:kinsoku/>
              <w:wordWrap w:val="0"/>
              <w:overflowPunct/>
              <w:topLinePunct w:val="0"/>
              <w:autoSpaceDE/>
              <w:autoSpaceDN/>
              <w:bidi w:val="0"/>
              <w:spacing w:line="400" w:lineRule="exact"/>
              <w:textAlignment w:val="auto"/>
              <w:rPr>
                <w:rFonts w:hint="eastAsia" w:ascii="宋体" w:hAnsi="宋体" w:eastAsia="宋体" w:cs="宋体"/>
                <w:caps w:val="0"/>
                <w:smallCaps w:val="0"/>
                <w:snapToGrid w:val="0"/>
                <w:color w:val="auto"/>
                <w:spacing w:val="0"/>
                <w:kern w:val="0"/>
                <w:sz w:val="21"/>
                <w:szCs w:val="21"/>
                <w:highlight w:val="none"/>
              </w:rPr>
            </w:pPr>
            <w:r>
              <w:rPr>
                <w:rFonts w:ascii="宋体" w:hAnsi="宋体" w:eastAsia="宋体" w:cs="宋体"/>
                <w:spacing w:val="9"/>
                <w:sz w:val="21"/>
                <w:szCs w:val="21"/>
              </w:rPr>
              <w:t>【差】措施不可行，没有质量违约责任承诺。</w:t>
            </w:r>
          </w:p>
        </w:tc>
      </w:tr>
      <w:tr w14:paraId="7D10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491" w:type="dxa"/>
            <w:tcBorders>
              <w:tl2br w:val="nil"/>
              <w:tr2bl w:val="nil"/>
            </w:tcBorders>
            <w:noWrap w:val="0"/>
            <w:vAlign w:val="center"/>
          </w:tcPr>
          <w:p w14:paraId="0895F813">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施工</w:t>
            </w:r>
          </w:p>
          <w:p w14:paraId="5527EDBE">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技术措施</w:t>
            </w:r>
          </w:p>
          <w:p w14:paraId="667147F5">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val="en-US" w:eastAsia="zh-CN" w:bidi="ar-SA"/>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1"/>
                <w:szCs w:val="21"/>
                <w:highlight w:val="none"/>
                <w:lang w:val="en-US" w:eastAsia="zh-CN" w:bidi="ar-SA"/>
              </w:rPr>
              <w:t>分）</w:t>
            </w:r>
          </w:p>
        </w:tc>
        <w:tc>
          <w:tcPr>
            <w:tcW w:w="3602" w:type="dxa"/>
            <w:gridSpan w:val="2"/>
            <w:tcBorders>
              <w:tl2br w:val="nil"/>
              <w:tr2bl w:val="nil"/>
            </w:tcBorders>
            <w:noWrap w:val="0"/>
            <w:vAlign w:val="center"/>
          </w:tcPr>
          <w:p w14:paraId="68B90239">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【优】得该项评分因素分值的90%～100%（含90%）。</w:t>
            </w:r>
          </w:p>
          <w:p w14:paraId="39792CFD">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【良】得该项评分因素分值的80%～90%（含80%）。</w:t>
            </w:r>
          </w:p>
          <w:p w14:paraId="73E1FC14">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【中】得该项评分因素分值的70%～80%（含70%）。</w:t>
            </w:r>
          </w:p>
          <w:p w14:paraId="796BA819">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【差】得该项评分因素分值的60～70%（含60%）。</w:t>
            </w:r>
          </w:p>
        </w:tc>
        <w:tc>
          <w:tcPr>
            <w:tcW w:w="5110" w:type="dxa"/>
            <w:tcBorders>
              <w:tl2br w:val="nil"/>
              <w:tr2bl w:val="nil"/>
            </w:tcBorders>
            <w:noWrap w:val="0"/>
            <w:vAlign w:val="center"/>
          </w:tcPr>
          <w:p w14:paraId="722B4BAC">
            <w:pPr>
              <w:spacing w:before="145" w:line="359" w:lineRule="auto"/>
              <w:ind w:left="115" w:right="50" w:hanging="2"/>
              <w:jc w:val="both"/>
              <w:rPr>
                <w:rFonts w:ascii="宋体" w:hAnsi="宋体" w:eastAsia="宋体" w:cs="宋体"/>
                <w:color w:val="auto"/>
                <w:sz w:val="21"/>
                <w:szCs w:val="21"/>
              </w:rPr>
            </w:pPr>
            <w:r>
              <w:rPr>
                <w:rFonts w:ascii="宋体" w:hAnsi="宋体" w:eastAsia="宋体" w:cs="宋体"/>
                <w:color w:val="auto"/>
                <w:spacing w:val="5"/>
                <w:sz w:val="21"/>
                <w:szCs w:val="21"/>
              </w:rPr>
              <w:t>【优】对项目关键技术、工艺有深入的表述，对</w:t>
            </w:r>
            <w:r>
              <w:rPr>
                <w:rFonts w:ascii="宋体" w:hAnsi="宋体" w:eastAsia="宋体" w:cs="宋体"/>
                <w:color w:val="auto"/>
                <w:spacing w:val="-1"/>
                <w:sz w:val="21"/>
                <w:szCs w:val="21"/>
              </w:rPr>
              <w:t>重点、难点有先进、合理的建议，解决方案完</w:t>
            </w:r>
            <w:r>
              <w:rPr>
                <w:rFonts w:ascii="宋体" w:hAnsi="宋体" w:eastAsia="宋体" w:cs="宋体"/>
                <w:color w:val="auto"/>
                <w:spacing w:val="-2"/>
                <w:sz w:val="21"/>
                <w:szCs w:val="21"/>
              </w:rPr>
              <w:t>整、</w:t>
            </w:r>
            <w:r>
              <w:rPr>
                <w:rFonts w:ascii="宋体" w:hAnsi="宋体" w:eastAsia="宋体" w:cs="宋体"/>
                <w:color w:val="auto"/>
                <w:spacing w:val="5"/>
                <w:sz w:val="21"/>
                <w:szCs w:val="21"/>
              </w:rPr>
              <w:t>经济、安全、切实可行，措施得力。针对项目实际，提出采用新技术的具体措施。新技术的验证</w:t>
            </w:r>
            <w:r>
              <w:rPr>
                <w:rFonts w:ascii="宋体" w:hAnsi="宋体" w:eastAsia="宋体" w:cs="宋体"/>
                <w:color w:val="auto"/>
                <w:spacing w:val="7"/>
                <w:sz w:val="21"/>
                <w:szCs w:val="21"/>
              </w:rPr>
              <w:t>材料可靠，对节约投资和工期的保证措施得力、</w:t>
            </w:r>
            <w:r>
              <w:rPr>
                <w:rFonts w:ascii="宋体" w:hAnsi="宋体" w:eastAsia="宋体" w:cs="宋体"/>
                <w:color w:val="auto"/>
                <w:spacing w:val="5"/>
                <w:sz w:val="21"/>
                <w:szCs w:val="21"/>
              </w:rPr>
              <w:t>具体、严谨。对采用新技术可能产生的风险</w:t>
            </w:r>
            <w:r>
              <w:rPr>
                <w:rFonts w:ascii="宋体" w:hAnsi="宋体" w:eastAsia="宋体" w:cs="宋体"/>
                <w:color w:val="auto"/>
                <w:spacing w:val="4"/>
                <w:sz w:val="21"/>
                <w:szCs w:val="21"/>
              </w:rPr>
              <w:t>有充</w:t>
            </w:r>
            <w:r>
              <w:rPr>
                <w:rFonts w:ascii="宋体" w:hAnsi="宋体" w:eastAsia="宋体" w:cs="宋体"/>
                <w:color w:val="auto"/>
                <w:spacing w:val="8"/>
                <w:sz w:val="21"/>
                <w:szCs w:val="21"/>
              </w:rPr>
              <w:t>分的预见，违约承诺具体，</w:t>
            </w:r>
            <w:r>
              <w:rPr>
                <w:rFonts w:ascii="宋体" w:hAnsi="宋体" w:eastAsia="宋体" w:cs="宋体"/>
                <w:b/>
                <w:bCs/>
                <w:color w:val="auto"/>
                <w:spacing w:val="8"/>
                <w:sz w:val="21"/>
                <w:szCs w:val="21"/>
              </w:rPr>
              <w:t>经济赔偿合理。</w:t>
            </w:r>
          </w:p>
          <w:p w14:paraId="2630426C">
            <w:pPr>
              <w:spacing w:before="29" w:line="366" w:lineRule="auto"/>
              <w:ind w:left="113" w:right="38" w:hanging="5"/>
              <w:jc w:val="both"/>
              <w:rPr>
                <w:rFonts w:ascii="宋体" w:hAnsi="宋体" w:eastAsia="宋体" w:cs="宋体"/>
                <w:color w:val="auto"/>
                <w:sz w:val="21"/>
                <w:szCs w:val="21"/>
              </w:rPr>
            </w:pPr>
            <w:r>
              <w:rPr>
                <w:rFonts w:ascii="宋体" w:hAnsi="宋体" w:eastAsia="宋体" w:cs="宋体"/>
                <w:color w:val="auto"/>
                <w:spacing w:val="5"/>
                <w:sz w:val="21"/>
                <w:szCs w:val="21"/>
              </w:rPr>
              <w:t>【良】对项目关键技术、工艺有深入的表述，对</w:t>
            </w:r>
            <w:r>
              <w:rPr>
                <w:rFonts w:ascii="宋体" w:hAnsi="宋体" w:eastAsia="宋体" w:cs="宋体"/>
                <w:color w:val="auto"/>
                <w:spacing w:val="-1"/>
                <w:sz w:val="21"/>
                <w:szCs w:val="21"/>
              </w:rPr>
              <w:t>重点、难点有合理的建议，解决方案经济、安全、</w:t>
            </w:r>
            <w:r>
              <w:rPr>
                <w:rFonts w:ascii="宋体" w:hAnsi="宋体" w:eastAsia="宋体" w:cs="宋体"/>
                <w:color w:val="auto"/>
                <w:spacing w:val="5"/>
                <w:sz w:val="21"/>
                <w:szCs w:val="21"/>
              </w:rPr>
              <w:t>基本可行。针对项目实际，提出采用新技术的具体措施。新技术的验证材料可靠，对节约投资和工期有保证措施。对采用新技术可能产生的风险</w:t>
            </w:r>
            <w:r>
              <w:rPr>
                <w:rFonts w:ascii="宋体" w:hAnsi="宋体" w:eastAsia="宋体" w:cs="宋体"/>
                <w:color w:val="auto"/>
                <w:spacing w:val="4"/>
                <w:sz w:val="21"/>
                <w:szCs w:val="21"/>
              </w:rPr>
              <w:t>有一定的预见，违约责任承诺具体，</w:t>
            </w:r>
            <w:r>
              <w:rPr>
                <w:rFonts w:ascii="宋体" w:hAnsi="宋体" w:eastAsia="宋体" w:cs="宋体"/>
                <w:b/>
                <w:bCs/>
                <w:color w:val="auto"/>
                <w:spacing w:val="4"/>
                <w:sz w:val="21"/>
                <w:szCs w:val="21"/>
              </w:rPr>
              <w:t>经济赔偿较</w:t>
            </w:r>
            <w:r>
              <w:rPr>
                <w:rFonts w:ascii="宋体" w:hAnsi="宋体" w:eastAsia="宋体" w:cs="宋体"/>
                <w:b/>
                <w:bCs/>
                <w:color w:val="auto"/>
                <w:spacing w:val="1"/>
                <w:sz w:val="21"/>
                <w:szCs w:val="21"/>
              </w:rPr>
              <w:t>合理。</w:t>
            </w:r>
          </w:p>
          <w:p w14:paraId="55973479">
            <w:pPr>
              <w:spacing w:before="29" w:line="363" w:lineRule="auto"/>
              <w:ind w:left="111" w:right="64" w:hanging="3"/>
              <w:jc w:val="both"/>
              <w:rPr>
                <w:rFonts w:ascii="宋体" w:hAnsi="宋体" w:eastAsia="宋体" w:cs="宋体"/>
                <w:color w:val="auto"/>
                <w:sz w:val="21"/>
                <w:szCs w:val="21"/>
              </w:rPr>
            </w:pPr>
            <w:r>
              <w:rPr>
                <w:rFonts w:ascii="宋体" w:hAnsi="宋体" w:eastAsia="宋体" w:cs="宋体"/>
                <w:color w:val="auto"/>
                <w:spacing w:val="5"/>
                <w:sz w:val="21"/>
                <w:szCs w:val="21"/>
              </w:rPr>
              <w:t>【中】对项目关键技术有一定了解，对重点、难</w:t>
            </w:r>
            <w:r>
              <w:rPr>
                <w:rFonts w:ascii="宋体" w:hAnsi="宋体" w:eastAsia="宋体" w:cs="宋体"/>
                <w:color w:val="auto"/>
                <w:spacing w:val="7"/>
                <w:sz w:val="21"/>
                <w:szCs w:val="21"/>
              </w:rPr>
              <w:t>点有建议，解决方案基本可行。有新技术措施，</w:t>
            </w:r>
            <w:r>
              <w:rPr>
                <w:rFonts w:ascii="宋体" w:hAnsi="宋体" w:eastAsia="宋体" w:cs="宋体"/>
                <w:color w:val="auto"/>
                <w:spacing w:val="5"/>
                <w:sz w:val="21"/>
                <w:szCs w:val="21"/>
              </w:rPr>
              <w:t>但验证材料不充分，对节约投资和工期可能有一定收益，但对采用的新技术可能产生的风险预见</w:t>
            </w:r>
            <w:r>
              <w:rPr>
                <w:rFonts w:ascii="宋体" w:hAnsi="宋体" w:eastAsia="宋体" w:cs="宋体"/>
                <w:color w:val="auto"/>
                <w:spacing w:val="8"/>
                <w:sz w:val="21"/>
                <w:szCs w:val="21"/>
              </w:rPr>
              <w:t>不足。有违约责任承诺。</w:t>
            </w:r>
          </w:p>
          <w:p w14:paraId="26DBDBF2">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ascii="宋体" w:hAnsi="宋体" w:eastAsia="宋体" w:cs="宋体"/>
                <w:color w:val="auto"/>
                <w:spacing w:val="5"/>
                <w:sz w:val="21"/>
                <w:szCs w:val="21"/>
              </w:rPr>
              <w:t>【差】对项目关键技术有表述，对重点、难点有建议，解决方案不可行。采用的新技术针对性不强或验证材料不可靠，对节约投资、工期没有具</w:t>
            </w:r>
            <w:r>
              <w:rPr>
                <w:rFonts w:ascii="宋体" w:hAnsi="宋体" w:eastAsia="宋体" w:cs="宋体"/>
                <w:color w:val="auto"/>
                <w:spacing w:val="8"/>
                <w:sz w:val="21"/>
                <w:szCs w:val="21"/>
              </w:rPr>
              <w:t>体收益。无违约责任承诺。</w:t>
            </w:r>
          </w:p>
        </w:tc>
      </w:tr>
      <w:tr w14:paraId="7079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jc w:val="center"/>
        </w:trPr>
        <w:tc>
          <w:tcPr>
            <w:tcW w:w="1491" w:type="dxa"/>
            <w:tcBorders>
              <w:tl2br w:val="nil"/>
              <w:tr2bl w:val="nil"/>
            </w:tcBorders>
            <w:noWrap w:val="0"/>
            <w:vAlign w:val="center"/>
          </w:tcPr>
          <w:p w14:paraId="7DCCE43A">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绿色施工、</w:t>
            </w:r>
          </w:p>
          <w:p w14:paraId="6672A0C9">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安全防护、</w:t>
            </w:r>
          </w:p>
          <w:p w14:paraId="4BA5CF17">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文明施工</w:t>
            </w:r>
          </w:p>
          <w:p w14:paraId="7DF998B9">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措施计划</w:t>
            </w:r>
          </w:p>
          <w:p w14:paraId="5436A28A">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1"/>
                <w:szCs w:val="21"/>
                <w:highlight w:val="none"/>
                <w:lang w:val="en-US" w:eastAsia="zh-CN" w:bidi="ar-SA"/>
              </w:rPr>
              <w:t>分）</w:t>
            </w:r>
          </w:p>
        </w:tc>
        <w:tc>
          <w:tcPr>
            <w:tcW w:w="3602" w:type="dxa"/>
            <w:gridSpan w:val="2"/>
            <w:tcBorders>
              <w:tl2br w:val="nil"/>
              <w:tr2bl w:val="nil"/>
            </w:tcBorders>
            <w:noWrap w:val="0"/>
            <w:vAlign w:val="center"/>
          </w:tcPr>
          <w:p w14:paraId="5DB750A2">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【优】得该项评分因素分值的90%～100%（含90%）。</w:t>
            </w:r>
          </w:p>
          <w:p w14:paraId="1BDD109C">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【良】得该项评分因素分值的80%～90%（含80%）。</w:t>
            </w:r>
          </w:p>
          <w:p w14:paraId="460A3A2C">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【中】得该项评分因素分值的70%～80%（含70%）。</w:t>
            </w:r>
          </w:p>
          <w:p w14:paraId="62F9C9FF">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【差】得该项评分因素分值的60～70%（含60%）。</w:t>
            </w:r>
          </w:p>
        </w:tc>
        <w:tc>
          <w:tcPr>
            <w:tcW w:w="5110" w:type="dxa"/>
            <w:tcBorders>
              <w:tl2br w:val="nil"/>
              <w:tr2bl w:val="nil"/>
            </w:tcBorders>
            <w:noWrap w:val="0"/>
            <w:vAlign w:val="center"/>
          </w:tcPr>
          <w:p w14:paraId="0DCB4E11">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【优】针对项目实际情况，有先进、具体、完整、可行的措施，采用规范准确、清晰。</w:t>
            </w:r>
          </w:p>
          <w:p w14:paraId="6CC3AD30">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【良】针对项目实际情况，有合理的措施且具体、完整，采用规范准确。</w:t>
            </w:r>
          </w:p>
          <w:p w14:paraId="4BF60AF6">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【中】有基本合理的措施，采用规范准确。</w:t>
            </w:r>
          </w:p>
          <w:p w14:paraId="4DD5149C">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【差】措施不力，采用规范不正确。</w:t>
            </w:r>
          </w:p>
        </w:tc>
      </w:tr>
      <w:tr w14:paraId="74EC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8" w:hRule="atLeast"/>
          <w:jc w:val="center"/>
        </w:trPr>
        <w:tc>
          <w:tcPr>
            <w:tcW w:w="1491" w:type="dxa"/>
            <w:tcBorders>
              <w:tl2br w:val="nil"/>
              <w:tr2bl w:val="nil"/>
            </w:tcBorders>
            <w:noWrap w:val="0"/>
            <w:vAlign w:val="center"/>
          </w:tcPr>
          <w:p w14:paraId="64A8A02D">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施工平面</w:t>
            </w:r>
          </w:p>
          <w:p w14:paraId="4241CE76">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布置和临时设施布置</w:t>
            </w:r>
          </w:p>
          <w:p w14:paraId="75D99DC5">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val="en-US" w:eastAsia="zh-CN" w:bidi="ar-SA"/>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1"/>
                <w:szCs w:val="21"/>
                <w:highlight w:val="none"/>
                <w:lang w:val="en-US" w:eastAsia="zh-CN" w:bidi="ar-SA"/>
              </w:rPr>
              <w:t>分）</w:t>
            </w:r>
          </w:p>
        </w:tc>
        <w:tc>
          <w:tcPr>
            <w:tcW w:w="3602" w:type="dxa"/>
            <w:gridSpan w:val="2"/>
            <w:tcBorders>
              <w:tl2br w:val="nil"/>
              <w:tr2bl w:val="nil"/>
            </w:tcBorders>
            <w:noWrap w:val="0"/>
            <w:vAlign w:val="center"/>
          </w:tcPr>
          <w:p w14:paraId="5F82639E">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【优】得该项评分因素分值的90%～100%（含90%）。</w:t>
            </w:r>
          </w:p>
          <w:p w14:paraId="6F5D957F">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【良】得该项评分因素分值的80%～90%（含80%）。</w:t>
            </w:r>
          </w:p>
          <w:p w14:paraId="72FA2B37">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【中】得该项评分因素分值的70%～80%（含70%）。</w:t>
            </w:r>
          </w:p>
          <w:p w14:paraId="1DEAF305">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【差】得该项评分因素分值的60～70%（含60%）。</w:t>
            </w:r>
          </w:p>
        </w:tc>
        <w:tc>
          <w:tcPr>
            <w:tcW w:w="5110" w:type="dxa"/>
            <w:tcBorders>
              <w:tl2br w:val="nil"/>
              <w:tr2bl w:val="nil"/>
            </w:tcBorders>
            <w:noWrap w:val="0"/>
            <w:vAlign w:val="center"/>
          </w:tcPr>
          <w:p w14:paraId="0A782748">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【优】总体布置有针对性、合理，较好满足施工需要，符合绿色施工、安全防护、文明施工要求。</w:t>
            </w:r>
          </w:p>
          <w:p w14:paraId="22197A7E">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【良】总体布置合理，能满足施工需要，基本符合绿色施工、安全防护、文明施工要求。</w:t>
            </w:r>
          </w:p>
          <w:p w14:paraId="51E00BF8">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【中】总体布置基本合理，基本满足施工需要。</w:t>
            </w:r>
          </w:p>
          <w:p w14:paraId="7EE1B50E">
            <w:pPr>
              <w:keepNext w:val="0"/>
              <w:keepLines w:val="0"/>
              <w:pageBreakBefore w:val="0"/>
              <w:widowControl w:val="0"/>
              <w:kinsoku/>
              <w:wordWrap w:val="0"/>
              <w:overflowPunct/>
              <w:topLinePunct w:val="0"/>
              <w:autoSpaceDE/>
              <w:autoSpaceDN/>
              <w:bidi w:val="0"/>
              <w:adjustRightInd w:val="0"/>
              <w:snapToGrid w:val="0"/>
              <w:spacing w:before="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【差】总体布置不合理，不符合绿色施工、安全防护、文明施工要求。</w:t>
            </w:r>
          </w:p>
        </w:tc>
      </w:tr>
      <w:tr w14:paraId="32D0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491" w:type="dxa"/>
            <w:tcBorders>
              <w:tl2br w:val="nil"/>
              <w:tr2bl w:val="nil"/>
            </w:tcBorders>
            <w:noWrap w:val="0"/>
            <w:vAlign w:val="center"/>
          </w:tcPr>
          <w:p w14:paraId="66045E3B">
            <w:pPr>
              <w:pStyle w:val="34"/>
              <w:pageBreakBefore w:val="0"/>
              <w:kinsoku/>
              <w:wordWrap w:val="0"/>
              <w:overflowPunct/>
              <w:topLinePunct w:val="0"/>
              <w:autoSpaceDE/>
              <w:autoSpaceDN/>
              <w:bidi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626FE386">
            <w:pPr>
              <w:pStyle w:val="34"/>
              <w:pageBreakBefore w:val="0"/>
              <w:kinsoku/>
              <w:wordWrap w:val="0"/>
              <w:overflowPunct/>
              <w:topLinePunct w:val="0"/>
              <w:autoSpaceDE/>
              <w:autoSpaceDN/>
              <w:bidi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72CF9EEE">
            <w:pPr>
              <w:pStyle w:val="34"/>
              <w:pageBreakBefore w:val="0"/>
              <w:kinsoku/>
              <w:wordWrap w:val="0"/>
              <w:overflowPunct/>
              <w:topLinePunct w:val="0"/>
              <w:autoSpaceDE/>
              <w:autoSpaceDN/>
              <w:bidi w:val="0"/>
              <w:spacing w:line="400" w:lineRule="exact"/>
              <w:jc w:val="center"/>
              <w:textAlignment w:val="auto"/>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602" w:type="dxa"/>
            <w:gridSpan w:val="2"/>
            <w:tcBorders>
              <w:tl2br w:val="nil"/>
              <w:tr2bl w:val="nil"/>
            </w:tcBorders>
            <w:noWrap w:val="0"/>
            <w:vAlign w:val="center"/>
          </w:tcPr>
          <w:p w14:paraId="51B746AB">
            <w:pPr>
              <w:pStyle w:val="35"/>
              <w:pageBreakBefore w:val="0"/>
              <w:kinsoku/>
              <w:wordWrap w:val="0"/>
              <w:overflowPunct/>
              <w:topLinePunct w:val="0"/>
              <w:autoSpaceDE/>
              <w:autoSpaceDN/>
              <w:bidi w:val="0"/>
              <w:spacing w:line="400" w:lineRule="exact"/>
              <w:textAlignment w:val="auto"/>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 优 】得该项评分 因素分值 的 9 0%～100%（含 90%）。</w:t>
            </w:r>
          </w:p>
          <w:p w14:paraId="4ED86E83">
            <w:pPr>
              <w:pStyle w:val="35"/>
              <w:pageBreakBefore w:val="0"/>
              <w:kinsoku/>
              <w:wordWrap w:val="0"/>
              <w:overflowPunct/>
              <w:topLinePunct w:val="0"/>
              <w:autoSpaceDE/>
              <w:autoSpaceDN/>
              <w:bidi w:val="0"/>
              <w:spacing w:line="400" w:lineRule="exact"/>
              <w:textAlignment w:val="auto"/>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 良 】得该项评分 因素分值 的 8 0%～90%（含 80%）。</w:t>
            </w:r>
          </w:p>
          <w:p w14:paraId="3614D616">
            <w:pPr>
              <w:pStyle w:val="35"/>
              <w:pageBreakBefore w:val="0"/>
              <w:kinsoku/>
              <w:wordWrap w:val="0"/>
              <w:overflowPunct/>
              <w:topLinePunct w:val="0"/>
              <w:autoSpaceDE/>
              <w:autoSpaceDN/>
              <w:bidi w:val="0"/>
              <w:spacing w:line="400" w:lineRule="exact"/>
              <w:textAlignment w:val="auto"/>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 中 】得该项评分 因素分值 的 7 0%～80%（含 70%）。</w:t>
            </w:r>
          </w:p>
          <w:p w14:paraId="2EE87B18">
            <w:pPr>
              <w:pStyle w:val="35"/>
              <w:pageBreakBefore w:val="0"/>
              <w:kinsoku/>
              <w:wordWrap w:val="0"/>
              <w:overflowPunct/>
              <w:topLinePunct w:val="0"/>
              <w:autoSpaceDE/>
              <w:autoSpaceDN/>
              <w:bidi w:val="0"/>
              <w:spacing w:line="400" w:lineRule="exact"/>
              <w:textAlignment w:val="auto"/>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【差】得该项评分因素分值的 60～7 0%（含 60%）。</w:t>
            </w:r>
          </w:p>
        </w:tc>
        <w:tc>
          <w:tcPr>
            <w:tcW w:w="5110" w:type="dxa"/>
            <w:tcBorders>
              <w:tl2br w:val="nil"/>
              <w:tr2bl w:val="nil"/>
            </w:tcBorders>
            <w:noWrap w:val="0"/>
            <w:vAlign w:val="center"/>
          </w:tcPr>
          <w:p w14:paraId="587E154D">
            <w:pPr>
              <w:pStyle w:val="35"/>
              <w:pageBreakBefore w:val="0"/>
              <w:kinsoku/>
              <w:wordWrap w:val="0"/>
              <w:overflowPunct/>
              <w:topLinePunct w:val="0"/>
              <w:autoSpaceDE/>
              <w:autoSpaceDN/>
              <w:bidi w:val="0"/>
              <w:spacing w:line="400" w:lineRule="exact"/>
              <w:textAlignment w:val="auto"/>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【优】组织机构形式合理，有完善的指挥系统，生产及质量、绿色施工、安全、文明施工、创优达标监控系统、联络协调系统，项目管理人员内 高级职称人员 20%（含 20%）以上、中级职称人员及以上职称60%（含 60%）以上。</w:t>
            </w:r>
          </w:p>
          <w:p w14:paraId="548355BE">
            <w:pPr>
              <w:pStyle w:val="35"/>
              <w:pageBreakBefore w:val="0"/>
              <w:kinsoku/>
              <w:wordWrap w:val="0"/>
              <w:overflowPunct/>
              <w:topLinePunct w:val="0"/>
              <w:autoSpaceDE/>
              <w:autoSpaceDN/>
              <w:bidi w:val="0"/>
              <w:spacing w:line="400" w:lineRule="exact"/>
              <w:textAlignment w:val="auto"/>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【良】组织机构形式合理，指挥系统，生产及质量、绿色施工、安全、文明施工、创优达标监控系统、联络协调系统齐全，项目管理人员内高级职称人员 15%～20%（含 15%）、中级职称及以上职称人员 50%～60%（含 50%）。</w:t>
            </w:r>
          </w:p>
          <w:p w14:paraId="46D2A416">
            <w:pPr>
              <w:pStyle w:val="35"/>
              <w:pageBreakBefore w:val="0"/>
              <w:kinsoku/>
              <w:wordWrap w:val="0"/>
              <w:overflowPunct/>
              <w:topLinePunct w:val="0"/>
              <w:autoSpaceDE/>
              <w:autoSpaceDN/>
              <w:bidi w:val="0"/>
              <w:spacing w:line="400" w:lineRule="exact"/>
              <w:textAlignment w:val="auto"/>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【中】组织机构形式基本合理，有指挥系统，生产及质量、绿色施工、安全、文明施工、创优达标监控系统、联络协调系统，项目管理人员内高级职称人员 10%～15%（含 10%）、中级职称人员及以上职称 40%～50%（含 40%）。</w:t>
            </w:r>
          </w:p>
          <w:p w14:paraId="12167C9E">
            <w:pPr>
              <w:pStyle w:val="35"/>
              <w:pageBreakBefore w:val="0"/>
              <w:kinsoku/>
              <w:wordWrap w:val="0"/>
              <w:overflowPunct/>
              <w:topLinePunct w:val="0"/>
              <w:autoSpaceDE/>
              <w:autoSpaceDN/>
              <w:bidi w:val="0"/>
              <w:spacing w:line="400" w:lineRule="exact"/>
              <w:textAlignment w:val="auto"/>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rPr>
              <w:t>【差】组织机构形式合理，指挥系统，生产及质量、绿色施工、安全、文明施工、创优达标监控系统、联络协调系统不齐全，项目管理人员内高级职称人员 10%以下、中级职称人员及以上职称40%以下。</w:t>
            </w:r>
          </w:p>
        </w:tc>
      </w:tr>
      <w:tr w14:paraId="081B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10203" w:type="dxa"/>
            <w:gridSpan w:val="4"/>
            <w:tcBorders>
              <w:tl2br w:val="nil"/>
              <w:tr2bl w:val="nil"/>
            </w:tcBorders>
            <w:shd w:val="clear" w:color="auto" w:fill="D9D9D9"/>
            <w:noWrap w:val="0"/>
            <w:vAlign w:val="center"/>
          </w:tcPr>
          <w:p w14:paraId="44D4A06E">
            <w:pPr>
              <w:pageBreakBefore w:val="0"/>
              <w:kinsoku/>
              <w:wordWrap w:val="0"/>
              <w:overflowPunct/>
              <w:topLinePunct w:val="0"/>
              <w:autoSpaceDE/>
              <w:autoSpaceDN/>
              <w:bidi w:val="0"/>
              <w:adjustRightInd w:val="0"/>
              <w:snapToGrid w:val="0"/>
              <w:spacing w:line="400" w:lineRule="exact"/>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投标报价部分，满分：100分。</w:t>
            </w:r>
          </w:p>
        </w:tc>
      </w:tr>
      <w:tr w14:paraId="29EE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jc w:val="center"/>
        </w:trPr>
        <w:tc>
          <w:tcPr>
            <w:tcW w:w="1659" w:type="dxa"/>
            <w:gridSpan w:val="2"/>
            <w:tcBorders>
              <w:tl2br w:val="nil"/>
              <w:tr2bl w:val="nil"/>
            </w:tcBorders>
            <w:noWrap w:val="0"/>
            <w:vAlign w:val="center"/>
          </w:tcPr>
          <w:p w14:paraId="250B18EE">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评分事项</w:t>
            </w:r>
          </w:p>
        </w:tc>
        <w:tc>
          <w:tcPr>
            <w:tcW w:w="8544" w:type="dxa"/>
            <w:gridSpan w:val="2"/>
            <w:tcBorders>
              <w:tl2br w:val="nil"/>
              <w:tr2bl w:val="nil"/>
            </w:tcBorders>
            <w:noWrap w:val="0"/>
            <w:vAlign w:val="center"/>
          </w:tcPr>
          <w:p w14:paraId="58153496">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评分方法</w:t>
            </w:r>
          </w:p>
        </w:tc>
      </w:tr>
      <w:tr w14:paraId="2FF0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1659" w:type="dxa"/>
            <w:gridSpan w:val="2"/>
            <w:tcBorders>
              <w:tl2br w:val="nil"/>
              <w:tr2bl w:val="nil"/>
            </w:tcBorders>
            <w:noWrap w:val="0"/>
            <w:vAlign w:val="center"/>
          </w:tcPr>
          <w:p w14:paraId="3CB3B1AA">
            <w:pPr>
              <w:pageBreakBefore w:val="0"/>
              <w:kinsoku/>
              <w:overflowPunct/>
              <w:topLinePunct w:val="0"/>
              <w:autoSpaceDE/>
              <w:autoSpaceDN/>
              <w:bidi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评标基准价D</w:t>
            </w:r>
          </w:p>
        </w:tc>
        <w:tc>
          <w:tcPr>
            <w:tcW w:w="8544" w:type="dxa"/>
            <w:gridSpan w:val="2"/>
            <w:tcBorders>
              <w:tl2br w:val="nil"/>
              <w:tr2bl w:val="nil"/>
            </w:tcBorders>
            <w:noWrap w:val="0"/>
            <w:vAlign w:val="center"/>
          </w:tcPr>
          <w:p w14:paraId="70AC918E">
            <w:pPr>
              <w:pageBreakBefore w:val="0"/>
              <w:numPr>
                <w:ilvl w:val="0"/>
                <w:numId w:val="1"/>
              </w:numPr>
              <w:kinsoku/>
              <w:wordWrap w:val="0"/>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确定</w:t>
            </w:r>
            <w:r>
              <w:rPr>
                <w:rFonts w:hint="eastAsia" w:ascii="宋体" w:hAnsi="宋体" w:eastAsia="宋体" w:cs="宋体"/>
                <w:snapToGrid w:val="0"/>
                <w:color w:val="auto"/>
                <w:kern w:val="0"/>
                <w:sz w:val="21"/>
                <w:szCs w:val="21"/>
                <w:highlight w:val="none"/>
                <w:lang w:val="en-US" w:eastAsia="zh-CN"/>
              </w:rPr>
              <w:t>招标控制价</w:t>
            </w:r>
            <w:r>
              <w:rPr>
                <w:rFonts w:hint="eastAsia" w:ascii="宋体" w:hAnsi="宋体" w:eastAsia="宋体" w:cs="宋体"/>
                <w:snapToGrid w:val="0"/>
                <w:color w:val="auto"/>
                <w:kern w:val="0"/>
                <w:sz w:val="21"/>
                <w:szCs w:val="21"/>
                <w:highlight w:val="none"/>
              </w:rPr>
              <w:t>下浮系数n：用1～21号球分别代表一个下浮系数，由评委代表从这21个号码中随机抽取</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次，每次抽取1个号码，抽出的号球不参与下次抽取。所抽取的</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个号码对应下浮系数的算术平均值作为</w:t>
            </w:r>
            <w:r>
              <w:rPr>
                <w:rFonts w:hint="eastAsia" w:ascii="宋体" w:hAnsi="宋体" w:eastAsia="宋体" w:cs="宋体"/>
                <w:snapToGrid w:val="0"/>
                <w:color w:val="auto"/>
                <w:kern w:val="0"/>
                <w:sz w:val="21"/>
                <w:szCs w:val="21"/>
                <w:highlight w:val="none"/>
                <w:lang w:val="en-US" w:eastAsia="zh-CN"/>
              </w:rPr>
              <w:t>招标控制价</w:t>
            </w:r>
            <w:r>
              <w:rPr>
                <w:rFonts w:hint="eastAsia" w:ascii="宋体" w:hAnsi="宋体" w:eastAsia="宋体" w:cs="宋体"/>
                <w:snapToGrid w:val="0"/>
                <w:color w:val="auto"/>
                <w:kern w:val="0"/>
                <w:sz w:val="21"/>
                <w:szCs w:val="21"/>
                <w:highlight w:val="none"/>
              </w:rPr>
              <w:t>下浮系数n。具体号码对应的下浮系数详见下表：</w:t>
            </w:r>
          </w:p>
          <w:tbl>
            <w:tblPr>
              <w:tblStyle w:val="15"/>
              <w:tblW w:w="0" w:type="auto"/>
              <w:jc w:val="center"/>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193DAD1D">
              <w:tblPrEx>
                <w:tblCellMar>
                  <w:top w:w="0" w:type="dxa"/>
                  <w:left w:w="108" w:type="dxa"/>
                  <w:bottom w:w="0" w:type="dxa"/>
                  <w:right w:w="108" w:type="dxa"/>
                </w:tblCellMar>
              </w:tblPrEx>
              <w:trPr>
                <w:trHeight w:val="248"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94D63DA">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20F8215">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63AD543">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396312F">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3AA11F7B">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3284637">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748FA01">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1459B70">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7</w:t>
                  </w:r>
                </w:p>
              </w:tc>
            </w:tr>
            <w:tr w14:paraId="72CF0B20">
              <w:tblPrEx>
                <w:tblCellMar>
                  <w:top w:w="0" w:type="dxa"/>
                  <w:left w:w="108" w:type="dxa"/>
                  <w:bottom w:w="0" w:type="dxa"/>
                  <w:right w:w="108" w:type="dxa"/>
                </w:tblCellMar>
              </w:tblPrEx>
              <w:trPr>
                <w:trHeight w:val="47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A7E7D95">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9BECF18">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50731B8">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B9FCC11">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1154B2D">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E5DE693">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6048915">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EDB527E">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r>
            <w:tr w14:paraId="2B99506F">
              <w:tblPrEx>
                <w:tblCellMar>
                  <w:top w:w="0" w:type="dxa"/>
                  <w:left w:w="108" w:type="dxa"/>
                  <w:bottom w:w="0" w:type="dxa"/>
                  <w:right w:w="108" w:type="dxa"/>
                </w:tblCellMar>
              </w:tblPrEx>
              <w:trPr>
                <w:trHeight w:val="51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9E61B26">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330F8A32">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05294BB">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086CB6D">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F0E1891">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7BE33DF">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0412D26">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7A6CEC8">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w:t>
                  </w:r>
                </w:p>
              </w:tc>
            </w:tr>
            <w:tr w14:paraId="5256FE62">
              <w:tblPrEx>
                <w:tblCellMar>
                  <w:top w:w="0" w:type="dxa"/>
                  <w:left w:w="108" w:type="dxa"/>
                  <w:bottom w:w="0" w:type="dxa"/>
                  <w:right w:w="108" w:type="dxa"/>
                </w:tblCellMar>
              </w:tblPrEx>
              <w:trPr>
                <w:trHeight w:val="43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E0B944C">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E75187C">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4250540">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57B7756">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AFFC3ED">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38FE2E0">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723C487">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7D725C0">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2.3</w:t>
                  </w:r>
                </w:p>
              </w:tc>
            </w:tr>
            <w:tr w14:paraId="221BA115">
              <w:tblPrEx>
                <w:tblCellMar>
                  <w:top w:w="0" w:type="dxa"/>
                  <w:left w:w="108" w:type="dxa"/>
                  <w:bottom w:w="0" w:type="dxa"/>
                  <w:right w:w="108" w:type="dxa"/>
                </w:tblCellMar>
              </w:tblPrEx>
              <w:trPr>
                <w:trHeight w:val="47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174C59A">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5903A1B">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D2E457A">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5CEA639">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012734A2">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1074286">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7FE0150">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B0FABBE">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21</w:t>
                  </w:r>
                </w:p>
              </w:tc>
            </w:tr>
            <w:tr w14:paraId="545A6D86">
              <w:tblPrEx>
                <w:tblCellMar>
                  <w:top w:w="0" w:type="dxa"/>
                  <w:left w:w="108" w:type="dxa"/>
                  <w:bottom w:w="0" w:type="dxa"/>
                  <w:right w:w="108" w:type="dxa"/>
                </w:tblCellMar>
              </w:tblPrEx>
              <w:trPr>
                <w:trHeight w:val="51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F9F1348">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DEADCFE">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5A0B2BA">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CDAF4DE">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3EA582DB">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E9F64AD">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D149562">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10AF6A4">
                  <w:pPr>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3.0</w:t>
                  </w:r>
                </w:p>
              </w:tc>
            </w:tr>
          </w:tbl>
          <w:p w14:paraId="75E668D1">
            <w:pPr>
              <w:pageBreakBefore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（2）评标基准价D＝</w:t>
            </w:r>
            <w:r>
              <w:rPr>
                <w:rFonts w:hint="eastAsia" w:ascii="宋体" w:hAnsi="宋体" w:eastAsia="宋体" w:cs="宋体"/>
                <w:snapToGrid w:val="0"/>
                <w:color w:val="auto"/>
                <w:kern w:val="0"/>
                <w:sz w:val="21"/>
                <w:szCs w:val="21"/>
                <w:highlight w:val="none"/>
                <w:lang w:val="en-US" w:eastAsia="zh-CN"/>
              </w:rPr>
              <w:t>招标控制价</w:t>
            </w:r>
            <w:r>
              <w:rPr>
                <w:rFonts w:hint="eastAsia" w:ascii="宋体" w:hAnsi="宋体" w:eastAsia="宋体" w:cs="宋体"/>
                <w:snapToGrid w:val="0"/>
                <w:color w:val="auto"/>
                <w:kern w:val="0"/>
                <w:sz w:val="21"/>
                <w:szCs w:val="21"/>
                <w:highlight w:val="none"/>
              </w:rPr>
              <w:t>×（1－n）</w:t>
            </w:r>
          </w:p>
        </w:tc>
      </w:tr>
      <w:tr w14:paraId="565C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6" w:hRule="atLeast"/>
          <w:jc w:val="center"/>
        </w:trPr>
        <w:tc>
          <w:tcPr>
            <w:tcW w:w="1659" w:type="dxa"/>
            <w:gridSpan w:val="2"/>
            <w:tcBorders>
              <w:tl2br w:val="nil"/>
              <w:tr2bl w:val="nil"/>
            </w:tcBorders>
            <w:noWrap w:val="0"/>
            <w:vAlign w:val="center"/>
          </w:tcPr>
          <w:p w14:paraId="6D3F11FD">
            <w:pPr>
              <w:pageBreakBefore w:val="0"/>
              <w:kinsoku/>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1E746E22">
            <w:pPr>
              <w:pageBreakBefore w:val="0"/>
              <w:kinsoku/>
              <w:overflowPunct/>
              <w:topLinePunct w:val="0"/>
              <w:autoSpaceDE/>
              <w:autoSpaceDN/>
              <w:bidi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得分N</w:t>
            </w:r>
          </w:p>
        </w:tc>
        <w:tc>
          <w:tcPr>
            <w:tcW w:w="8544" w:type="dxa"/>
            <w:gridSpan w:val="2"/>
            <w:tcBorders>
              <w:tl2br w:val="nil"/>
              <w:tr2bl w:val="nil"/>
            </w:tcBorders>
            <w:noWrap w:val="0"/>
            <w:vAlign w:val="center"/>
          </w:tcPr>
          <w:p w14:paraId="0ABD05CC">
            <w:pPr>
              <w:pageBreakBefore w:val="0"/>
              <w:kinsoku/>
              <w:wordWrap w:val="0"/>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采用内插法计算某投标人的投标报价得分N，即当投标人的投标总价等于评标基准价时得100分，每高于评标基准价一个百分点扣1 分，每低于评标基准价一个百分点扣0.5分，扣完为止。公式如下：</w:t>
            </w:r>
          </w:p>
          <w:p w14:paraId="4F8675E6">
            <w:pPr>
              <w:pageBreakBefore w:val="0"/>
              <w:kinsoku/>
              <w:wordWrap w:val="0"/>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71088AFC">
            <w:pPr>
              <w:pageBreakBefore w:val="0"/>
              <w:kinsoku/>
              <w:overflowPunct/>
              <w:topLinePunct w:val="0"/>
              <w:autoSpaceDE/>
              <w:autoSpaceDN/>
              <w:bidi w:val="0"/>
              <w:spacing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 ；当Di＜D时，E＝0.5。</w:t>
            </w:r>
          </w:p>
        </w:tc>
      </w:tr>
    </w:tbl>
    <w:p w14:paraId="311F1DA0">
      <w:pPr>
        <w:keepNext w:val="0"/>
        <w:keepLines w:val="0"/>
        <w:pageBreakBefore w:val="0"/>
        <w:wordWrap w:val="0"/>
        <w:overflowPunct/>
        <w:topLinePunct w:val="0"/>
        <w:bidi w:val="0"/>
        <w:spacing w:before="98" w:line="221" w:lineRule="auto"/>
        <w:outlineLvl w:val="9"/>
        <w:rPr>
          <w:rFonts w:hint="eastAsia" w:ascii="宋体" w:hAnsi="宋体" w:eastAsia="宋体" w:cs="宋体"/>
          <w:color w:val="auto"/>
          <w:spacing w:val="0"/>
          <w:sz w:val="30"/>
          <w:szCs w:val="30"/>
          <w:highlight w:val="none"/>
        </w:rPr>
      </w:pPr>
    </w:p>
    <w:p w14:paraId="269076E8">
      <w:pPr>
        <w:keepNext w:val="0"/>
        <w:keepLines w:val="0"/>
        <w:pageBreakBefore w:val="0"/>
        <w:wordWrap w:val="0"/>
        <w:overflowPunct/>
        <w:topLinePunct w:val="0"/>
        <w:bidi w:val="0"/>
        <w:spacing w:before="5"/>
        <w:rPr>
          <w:rFonts w:hint="eastAsia" w:ascii="宋体" w:hAnsi="宋体" w:eastAsia="宋体" w:cs="宋体"/>
          <w:color w:val="auto"/>
          <w:spacing w:val="0"/>
          <w:highlight w:val="none"/>
        </w:rPr>
      </w:pPr>
    </w:p>
    <w:p w14:paraId="7CA41C68">
      <w:pPr>
        <w:keepNext w:val="0"/>
        <w:keepLines w:val="0"/>
        <w:pageBreakBefore w:val="0"/>
        <w:wordWrap w:val="0"/>
        <w:overflowPunct/>
        <w:topLinePunct w:val="0"/>
        <w:bidi w:val="0"/>
        <w:ind w:firstLine="482" w:firstLineChars="200"/>
        <w:rPr>
          <w:rFonts w:hint="eastAsia" w:ascii="宋体" w:hAnsi="宋体" w:eastAsia="宋体" w:cs="宋体"/>
          <w:color w:val="auto"/>
          <w:spacing w:val="0"/>
          <w:sz w:val="25"/>
          <w:szCs w:val="25"/>
          <w:highlight w:val="none"/>
        </w:rPr>
      </w:pPr>
      <w:bookmarkStart w:id="136" w:name="_Toc31744"/>
      <w:bookmarkStart w:id="137" w:name="_Toc17436"/>
      <w:bookmarkStart w:id="138" w:name="_Toc9725"/>
      <w:bookmarkStart w:id="139" w:name="_Toc5769"/>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bookmarkEnd w:id="136"/>
      <w:bookmarkEnd w:id="137"/>
      <w:bookmarkEnd w:id="138"/>
      <w:bookmarkEnd w:id="139"/>
    </w:p>
    <w:p w14:paraId="30330E14">
      <w:pPr>
        <w:keepNext w:val="0"/>
        <w:keepLines w:val="0"/>
        <w:pageBreakBefore w:val="0"/>
        <w:wordWrap w:val="0"/>
        <w:overflowPunct/>
        <w:topLinePunct w:val="0"/>
        <w:bidi w:val="0"/>
        <w:spacing w:before="150" w:line="332"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619192A7">
      <w:pPr>
        <w:keepNext w:val="0"/>
        <w:keepLines w:val="0"/>
        <w:pageBreakBefore w:val="0"/>
        <w:wordWrap w:val="0"/>
        <w:overflowPunct/>
        <w:topLinePunct w:val="0"/>
        <w:bidi w:val="0"/>
        <w:spacing w:before="59" w:line="33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6CFE09DE">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140" w:name="bookmark137"/>
      <w:bookmarkEnd w:id="140"/>
      <w:bookmarkStart w:id="141" w:name="_Toc16384"/>
      <w:bookmarkStart w:id="142" w:name="_Toc15145"/>
      <w:r>
        <w:rPr>
          <w:rFonts w:hint="eastAsia" w:ascii="宋体" w:hAnsi="宋体" w:eastAsia="宋体" w:cs="宋体"/>
          <w:b/>
          <w:bCs/>
          <w:color w:val="auto"/>
          <w:spacing w:val="0"/>
          <w:sz w:val="24"/>
          <w:szCs w:val="24"/>
          <w:highlight w:val="none"/>
        </w:rPr>
        <w:t>16 ．中标候选人公示</w:t>
      </w:r>
      <w:bookmarkEnd w:id="141"/>
      <w:bookmarkEnd w:id="142"/>
    </w:p>
    <w:p w14:paraId="68FED0DD">
      <w:pPr>
        <w:keepNext w:val="0"/>
        <w:keepLines w:val="0"/>
        <w:pageBreakBefore w:val="0"/>
        <w:wordWrap w:val="0"/>
        <w:overflowPunct/>
        <w:topLinePunct w:val="0"/>
        <w:bidi w:val="0"/>
        <w:spacing w:before="135" w:line="316"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16.1  </w:t>
      </w:r>
      <w:r>
        <w:rPr>
          <w:rFonts w:hint="eastAsia" w:ascii="宋体" w:hAnsi="宋体" w:eastAsia="宋体" w:cs="宋体"/>
          <w:color w:val="auto"/>
          <w:spacing w:val="0"/>
          <w:sz w:val="24"/>
          <w:szCs w:val="24"/>
          <w:highlight w:val="none"/>
        </w:rPr>
        <w:t>招标人自收到评标委员会提交的书面评标报告和中标候选人名单之日起 3  日 内，将评标结果（即中标候选人名单）、中标候选人投标文件（指商务标书分册）、评标过程（评标专家姓名用代码标记）一并在广东省招标投标监管网（http://zbtb.gd.gov.cn）、全国公共资源交易平台（广东省 ·韶关市）（https://ygp.gdzwfw.gov.cn/ggzy-portal/#/440200/index）进行公示，公示期不得少于 3 天。</w:t>
      </w:r>
    </w:p>
    <w:p w14:paraId="1E768734">
      <w:pPr>
        <w:keepNext w:val="0"/>
        <w:keepLines w:val="0"/>
        <w:pageBreakBefore w:val="0"/>
        <w:wordWrap w:val="0"/>
        <w:overflowPunct/>
        <w:topLinePunct w:val="0"/>
        <w:bidi w:val="0"/>
        <w:spacing w:before="135" w:line="316"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16.2 投标人对评标结果、中标候选人投标文件、评标过程有异议的，必须在以上内容公示期间向招标人提出</w:t>
      </w:r>
      <w:r>
        <w:rPr>
          <w:rFonts w:hint="eastAsia" w:ascii="宋体" w:hAnsi="宋体" w:eastAsia="宋体" w:cs="宋体"/>
          <w:b/>
          <w:bCs/>
          <w:color w:val="auto"/>
          <w:spacing w:val="0"/>
          <w:sz w:val="24"/>
          <w:szCs w:val="24"/>
          <w:highlight w:val="none"/>
        </w:rPr>
        <w:t>书面异议</w:t>
      </w:r>
      <w:r>
        <w:rPr>
          <w:rFonts w:hint="eastAsia" w:ascii="宋体" w:hAnsi="宋体" w:eastAsia="宋体" w:cs="宋体"/>
          <w:color w:val="auto"/>
          <w:spacing w:val="0"/>
          <w:sz w:val="24"/>
          <w:szCs w:val="24"/>
          <w:highlight w:val="none"/>
        </w:rPr>
        <w:t>，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FAA503C">
      <w:pPr>
        <w:keepNext w:val="0"/>
        <w:keepLines w:val="0"/>
        <w:pageBreakBefore w:val="0"/>
        <w:wordWrap w:val="0"/>
        <w:overflowPunct/>
        <w:topLinePunct w:val="0"/>
        <w:bidi w:val="0"/>
        <w:spacing w:before="135" w:line="316"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16.3 中标候选人公示期满无异议（投诉）后，招标人确定第一中标候选人为中标人，并在中标人确定之日起 7日内向中标人发出中标通知书。在中标通知书发出后5个工作 日内，韶关市公共资源交易中心将投标保证金（或银行保函）退还给中标候选人以外的投标人。</w:t>
      </w:r>
    </w:p>
    <w:p w14:paraId="648E71AA">
      <w:pPr>
        <w:keepNext w:val="0"/>
        <w:keepLines w:val="0"/>
        <w:pageBreakBefore w:val="0"/>
        <w:wordWrap w:val="0"/>
        <w:overflowPunct/>
        <w:topLinePunct w:val="0"/>
        <w:bidi w:val="0"/>
        <w:spacing w:line="309" w:lineRule="auto"/>
        <w:rPr>
          <w:rFonts w:hint="eastAsia" w:ascii="宋体" w:hAnsi="宋体" w:eastAsia="宋体" w:cs="宋体"/>
          <w:color w:val="auto"/>
          <w:spacing w:val="0"/>
          <w:sz w:val="24"/>
          <w:szCs w:val="24"/>
          <w:highlight w:val="none"/>
        </w:rPr>
        <w:sectPr>
          <w:headerReference r:id="rId9" w:type="default"/>
          <w:footerReference r:id="rId10" w:type="default"/>
          <w:pgSz w:w="11906" w:h="16839"/>
          <w:pgMar w:top="1440" w:right="1253" w:bottom="1440" w:left="1253" w:header="0" w:footer="1020" w:gutter="0"/>
          <w:pgBorders>
            <w:top w:val="none" w:sz="0" w:space="0"/>
            <w:left w:val="none" w:sz="0" w:space="0"/>
            <w:bottom w:val="none" w:sz="0" w:space="0"/>
            <w:right w:val="none" w:sz="0" w:space="0"/>
          </w:pgBorders>
          <w:pgNumType w:fmt="decimal"/>
          <w:cols w:space="720" w:num="1"/>
          <w:rtlGutter w:val="0"/>
          <w:docGrid w:linePitch="0" w:charSpace="0"/>
        </w:sectPr>
      </w:pPr>
    </w:p>
    <w:p w14:paraId="43ABA158">
      <w:pPr>
        <w:keepNext w:val="0"/>
        <w:keepLines w:val="0"/>
        <w:pageBreakBefore w:val="0"/>
        <w:wordWrap w:val="0"/>
        <w:overflowPunct/>
        <w:topLinePunct w:val="0"/>
        <w:bidi w:val="0"/>
        <w:spacing w:before="78" w:line="220" w:lineRule="auto"/>
        <w:ind w:left="9"/>
        <w:jc w:val="center"/>
        <w:outlineLvl w:val="1"/>
        <w:rPr>
          <w:rFonts w:hint="eastAsia" w:ascii="宋体" w:hAnsi="宋体" w:eastAsia="宋体" w:cs="宋体"/>
          <w:color w:val="auto"/>
          <w:spacing w:val="0"/>
          <w:sz w:val="24"/>
          <w:szCs w:val="24"/>
          <w:highlight w:val="none"/>
        </w:rPr>
      </w:pPr>
      <w:bookmarkStart w:id="143" w:name="bookmark138"/>
      <w:bookmarkEnd w:id="143"/>
      <w:bookmarkStart w:id="144" w:name="_Toc29548"/>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44"/>
    </w:p>
    <w:p w14:paraId="1049A250">
      <w:pPr>
        <w:pStyle w:val="5"/>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1AD303BE">
      <w:pPr>
        <w:keepNext w:val="0"/>
        <w:keepLines w:val="0"/>
        <w:pageBreakBefore w:val="0"/>
        <w:wordWrap w:val="0"/>
        <w:overflowPunct/>
        <w:topLinePunct w:val="0"/>
        <w:bidi w:val="0"/>
        <w:spacing w:before="78" w:line="33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472C9A10">
      <w:pPr>
        <w:keepNext w:val="0"/>
        <w:keepLines w:val="0"/>
        <w:pageBreakBefore w:val="0"/>
        <w:wordWrap w:val="0"/>
        <w:overflowPunct/>
        <w:topLinePunct w:val="0"/>
        <w:bidi w:val="0"/>
        <w:spacing w:before="34" w:line="220" w:lineRule="auto"/>
        <w:ind w:left="495"/>
        <w:outlineLvl w:val="2"/>
        <w:rPr>
          <w:rFonts w:hint="eastAsia" w:ascii="宋体" w:hAnsi="宋体" w:eastAsia="宋体" w:cs="宋体"/>
          <w:color w:val="auto"/>
          <w:spacing w:val="0"/>
          <w:sz w:val="24"/>
          <w:szCs w:val="24"/>
          <w:highlight w:val="none"/>
        </w:rPr>
      </w:pPr>
      <w:bookmarkStart w:id="145" w:name="_Toc29452"/>
      <w:r>
        <w:rPr>
          <w:rFonts w:hint="eastAsia" w:ascii="宋体" w:hAnsi="宋体" w:eastAsia="宋体" w:cs="宋体"/>
          <w:b/>
          <w:bCs/>
          <w:color w:val="auto"/>
          <w:spacing w:val="0"/>
          <w:sz w:val="24"/>
          <w:szCs w:val="24"/>
          <w:highlight w:val="none"/>
        </w:rPr>
        <w:t>1 ．资格评审环节</w:t>
      </w:r>
      <w:bookmarkEnd w:id="145"/>
    </w:p>
    <w:p w14:paraId="197456DF">
      <w:pPr>
        <w:keepNext w:val="0"/>
        <w:keepLines w:val="0"/>
        <w:pageBreakBefore w:val="0"/>
        <w:wordWrap w:val="0"/>
        <w:overflowPunct/>
        <w:topLinePunct w:val="0"/>
        <w:bidi w:val="0"/>
        <w:spacing w:before="152" w:line="327"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61E65E1C">
      <w:pPr>
        <w:keepNext w:val="0"/>
        <w:keepLines w:val="0"/>
        <w:pageBreakBefore w:val="0"/>
        <w:wordWrap w:val="0"/>
        <w:overflowPunct/>
        <w:topLinePunct w:val="0"/>
        <w:bidi w:val="0"/>
        <w:spacing w:before="32" w:line="219"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4028C156">
      <w:pPr>
        <w:keepNext w:val="0"/>
        <w:keepLines w:val="0"/>
        <w:pageBreakBefore w:val="0"/>
        <w:wordWrap w:val="0"/>
        <w:overflowPunct/>
        <w:topLinePunct w:val="0"/>
        <w:bidi w:val="0"/>
        <w:spacing w:before="154" w:line="22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359116CD">
      <w:pPr>
        <w:keepNext w:val="0"/>
        <w:keepLines w:val="0"/>
        <w:pageBreakBefore w:val="0"/>
        <w:wordWrap w:val="0"/>
        <w:overflowPunct/>
        <w:topLinePunct w:val="0"/>
        <w:bidi w:val="0"/>
        <w:spacing w:before="153" w:line="315"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31C32578">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09BED039">
      <w:pPr>
        <w:keepNext w:val="0"/>
        <w:keepLines w:val="0"/>
        <w:pageBreakBefore w:val="0"/>
        <w:wordWrap w:val="0"/>
        <w:overflowPunct/>
        <w:topLinePunct w:val="0"/>
        <w:bidi w:val="0"/>
        <w:spacing w:before="32" w:line="325"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7171ED3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1C66B755">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0FF092B1">
      <w:pPr>
        <w:keepNext w:val="0"/>
        <w:keepLines w:val="0"/>
        <w:pageBreakBefore w:val="0"/>
        <w:wordWrap w:val="0"/>
        <w:overflowPunct/>
        <w:topLinePunct w:val="0"/>
        <w:bidi w:val="0"/>
        <w:spacing w:before="1" w:line="293"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3E50C910">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b/>
          <w:bCs/>
          <w:color w:val="auto"/>
          <w:spacing w:val="0"/>
          <w:sz w:val="24"/>
          <w:szCs w:val="24"/>
          <w:highlight w:val="none"/>
        </w:rPr>
      </w:pPr>
      <w:bookmarkStart w:id="146"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47" w:name="bookmark139"/>
      <w:bookmarkEnd w:id="147"/>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46"/>
    </w:p>
    <w:p w14:paraId="3890660E">
      <w:pPr>
        <w:keepNext w:val="0"/>
        <w:keepLines w:val="0"/>
        <w:pageBreakBefore w:val="0"/>
        <w:wordWrap w:val="0"/>
        <w:overflowPunct/>
        <w:topLinePunct w:val="0"/>
        <w:bidi w:val="0"/>
        <w:spacing w:before="146" w:line="22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4CDAD45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77FDF7F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7771188E">
      <w:pPr>
        <w:keepNext w:val="0"/>
        <w:keepLines w:val="0"/>
        <w:pageBreakBefore w:val="0"/>
        <w:wordWrap w:val="0"/>
        <w:overflowPunct/>
        <w:topLinePunct w:val="0"/>
        <w:bidi w:val="0"/>
        <w:spacing w:before="154" w:line="221" w:lineRule="auto"/>
        <w:ind w:left="477"/>
        <w:outlineLvl w:val="2"/>
        <w:rPr>
          <w:rFonts w:hint="eastAsia" w:ascii="宋体" w:hAnsi="宋体" w:eastAsia="宋体" w:cs="宋体"/>
          <w:color w:val="auto"/>
          <w:spacing w:val="0"/>
          <w:sz w:val="24"/>
          <w:szCs w:val="24"/>
          <w:highlight w:val="none"/>
        </w:rPr>
      </w:pPr>
      <w:bookmarkStart w:id="148" w:name="_Toc28964"/>
      <w:r>
        <w:rPr>
          <w:rFonts w:hint="eastAsia" w:ascii="宋体" w:hAnsi="宋体" w:eastAsia="宋体" w:cs="宋体"/>
          <w:b/>
          <w:bCs/>
          <w:color w:val="auto"/>
          <w:spacing w:val="0"/>
          <w:sz w:val="24"/>
          <w:szCs w:val="24"/>
          <w:highlight w:val="none"/>
        </w:rPr>
        <w:t>2 ．形式评审环节</w:t>
      </w:r>
      <w:bookmarkEnd w:id="148"/>
    </w:p>
    <w:p w14:paraId="67F1F770">
      <w:pPr>
        <w:keepNext w:val="0"/>
        <w:keepLines w:val="0"/>
        <w:pageBreakBefore w:val="0"/>
        <w:wordWrap w:val="0"/>
        <w:overflowPunct/>
        <w:topLinePunct w:val="0"/>
        <w:bidi w:val="0"/>
        <w:spacing w:before="151" w:line="327"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49440733">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3F0142BB">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w:t>
      </w:r>
      <w:r>
        <w:rPr>
          <w:rFonts w:hint="eastAsia" w:ascii="宋体" w:hAnsi="宋体" w:eastAsia="宋体" w:cs="宋体"/>
          <w:b/>
          <w:bCs/>
          <w:color w:val="auto"/>
          <w:spacing w:val="0"/>
          <w:sz w:val="24"/>
          <w:szCs w:val="24"/>
          <w:highlight w:val="none"/>
        </w:rPr>
        <w:t xml:space="preserve"> 10.3.2 </w:t>
      </w:r>
      <w:r>
        <w:rPr>
          <w:rFonts w:hint="eastAsia" w:ascii="宋体" w:hAnsi="宋体" w:eastAsia="宋体" w:cs="宋体"/>
          <w:color w:val="auto"/>
          <w:spacing w:val="0"/>
          <w:sz w:val="24"/>
          <w:szCs w:val="24"/>
          <w:highlight w:val="none"/>
        </w:rPr>
        <w:t>目、第</w:t>
      </w:r>
      <w:r>
        <w:rPr>
          <w:rFonts w:hint="eastAsia" w:ascii="宋体" w:hAnsi="宋体" w:eastAsia="宋体" w:cs="宋体"/>
          <w:b/>
          <w:bCs/>
          <w:color w:val="auto"/>
          <w:spacing w:val="0"/>
          <w:sz w:val="24"/>
          <w:szCs w:val="24"/>
          <w:highlight w:val="none"/>
        </w:rPr>
        <w:t xml:space="preserve"> 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0D2776A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5A13B982">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6CE968B5">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（5）招标文件规定施工组织设计采用“暗标 ”方式进行评审，但施工组织设计的规格颜色、文字排版、正文篇幅（若有）不符合规定的；其任何部位出现手写以及涂改、 行间插字或删除痕迹的；其任何部位出现投标人的名称和其它可识别投标人身份的字符、徽标、人员名称以及其他特殊标记的。</w:t>
      </w:r>
    </w:p>
    <w:p w14:paraId="7AA23746">
      <w:pPr>
        <w:keepNext w:val="0"/>
        <w:keepLines w:val="0"/>
        <w:pageBreakBefore w:val="0"/>
        <w:wordWrap w:val="0"/>
        <w:overflowPunct/>
        <w:topLinePunct w:val="0"/>
        <w:bidi w:val="0"/>
        <w:spacing w:before="227" w:line="221" w:lineRule="auto"/>
        <w:ind w:left="475"/>
        <w:outlineLvl w:val="2"/>
        <w:rPr>
          <w:rFonts w:hint="eastAsia" w:ascii="宋体" w:hAnsi="宋体" w:eastAsia="宋体" w:cs="宋体"/>
          <w:color w:val="auto"/>
          <w:spacing w:val="0"/>
          <w:sz w:val="24"/>
          <w:szCs w:val="24"/>
          <w:highlight w:val="none"/>
        </w:rPr>
      </w:pPr>
      <w:bookmarkStart w:id="149" w:name="_Toc23907"/>
      <w:r>
        <w:rPr>
          <w:rFonts w:hint="eastAsia" w:ascii="宋体" w:hAnsi="宋体" w:eastAsia="宋体" w:cs="宋体"/>
          <w:b/>
          <w:bCs/>
          <w:color w:val="auto"/>
          <w:spacing w:val="0"/>
          <w:sz w:val="24"/>
          <w:szCs w:val="24"/>
          <w:highlight w:val="none"/>
        </w:rPr>
        <w:t>3 ．响应性评审环节</w:t>
      </w:r>
      <w:bookmarkEnd w:id="149"/>
    </w:p>
    <w:p w14:paraId="5875D191">
      <w:pPr>
        <w:keepNext w:val="0"/>
        <w:keepLines w:val="0"/>
        <w:pageBreakBefore w:val="0"/>
        <w:wordWrap w:val="0"/>
        <w:overflowPunct/>
        <w:topLinePunct w:val="0"/>
        <w:bidi w:val="0"/>
        <w:spacing w:before="151" w:line="327"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431E4EC2">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23124DF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56FF79BC">
      <w:pPr>
        <w:keepNext w:val="0"/>
        <w:keepLines w:val="0"/>
        <w:pageBreakBefore w:val="0"/>
        <w:wordWrap w:val="0"/>
        <w:overflowPunct/>
        <w:topLinePunct w:val="0"/>
        <w:bidi w:val="0"/>
        <w:spacing w:before="156" w:line="329"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6F42668A">
      <w:pPr>
        <w:keepNext w:val="0"/>
        <w:keepLines w:val="0"/>
        <w:pageBreakBefore w:val="0"/>
        <w:wordWrap w:val="0"/>
        <w:overflowPunct/>
        <w:topLinePunct w:val="0"/>
        <w:bidi w:val="0"/>
        <w:spacing w:before="78" w:line="299"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0608EF2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02B75232">
      <w:pPr>
        <w:keepNext w:val="0"/>
        <w:keepLines w:val="0"/>
        <w:pageBreakBefore w:val="0"/>
        <w:wordWrap w:val="0"/>
        <w:overflowPunct/>
        <w:topLinePunct w:val="0"/>
        <w:bidi w:val="0"/>
        <w:spacing w:before="156" w:line="299"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20E8AE54">
      <w:pPr>
        <w:keepNext w:val="0"/>
        <w:keepLines w:val="0"/>
        <w:pageBreakBefore w:val="0"/>
        <w:wordWrap w:val="0"/>
        <w:overflowPunct/>
        <w:topLinePunct w:val="0"/>
        <w:bidi w:val="0"/>
        <w:spacing w:before="151" w:line="221" w:lineRule="auto"/>
        <w:ind w:left="476"/>
        <w:outlineLvl w:val="2"/>
        <w:rPr>
          <w:rFonts w:hint="eastAsia" w:ascii="宋体" w:hAnsi="宋体" w:eastAsia="宋体" w:cs="宋体"/>
          <w:color w:val="auto"/>
          <w:spacing w:val="0"/>
          <w:sz w:val="24"/>
          <w:szCs w:val="24"/>
          <w:highlight w:val="none"/>
        </w:rPr>
      </w:pPr>
      <w:bookmarkStart w:id="150" w:name="_Toc3267"/>
      <w:r>
        <w:rPr>
          <w:rFonts w:hint="eastAsia" w:ascii="宋体" w:hAnsi="宋体" w:eastAsia="宋体" w:cs="宋体"/>
          <w:b/>
          <w:bCs/>
          <w:color w:val="auto"/>
          <w:spacing w:val="0"/>
          <w:sz w:val="24"/>
          <w:szCs w:val="24"/>
          <w:highlight w:val="none"/>
        </w:rPr>
        <w:t>4 ．其他</w:t>
      </w:r>
      <w:bookmarkEnd w:id="150"/>
    </w:p>
    <w:p w14:paraId="66807331">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6E27FED4">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6AAF765E">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6E47AF5E">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79EF53E4">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729AEB1A">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2BA8BF7C">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05586F84">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00316D68">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086F168F">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6B016A26">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63890CCC">
      <w:pPr>
        <w:pStyle w:val="7"/>
        <w:spacing w:line="360" w:lineRule="auto"/>
        <w:ind w:firstLine="482" w:firstLineChars="200"/>
        <w:rPr>
          <w:rFonts w:hint="eastAsia"/>
          <w:b/>
          <w:bCs/>
          <w:color w:val="auto"/>
          <w:sz w:val="24"/>
          <w:szCs w:val="24"/>
          <w:highlight w:val="none"/>
        </w:rPr>
      </w:pPr>
      <w:r>
        <w:rPr>
          <w:rFonts w:hint="eastAsia" w:eastAsia="宋体"/>
          <w:b/>
          <w:bCs/>
          <w:color w:val="auto"/>
          <w:sz w:val="24"/>
          <w:szCs w:val="24"/>
          <w:highlight w:val="none"/>
          <w:lang w:val="en-US" w:eastAsia="zh-CN"/>
        </w:rPr>
        <w:t>⑨监督部门于韶关市公共交易一体化平台发现系统提示风险预警，如提示投标单位上传投标文件使用的电脑IP地址一致等。</w:t>
      </w:r>
    </w:p>
    <w:p w14:paraId="15E37657">
      <w:pPr>
        <w:pStyle w:val="25"/>
        <w:keepNext w:val="0"/>
        <w:keepLines w:val="0"/>
        <w:pageBreakBefore w:val="0"/>
        <w:wordWrap w:val="0"/>
        <w:overflowPunct/>
        <w:topLinePunct w:val="0"/>
        <w:bidi w:val="0"/>
        <w:rPr>
          <w:rFonts w:hint="eastAsia"/>
          <w:color w:val="auto"/>
          <w:spacing w:val="0"/>
          <w:highlight w:val="none"/>
        </w:rPr>
      </w:pPr>
    </w:p>
    <w:p w14:paraId="17A8C0AD">
      <w:pPr>
        <w:keepNext w:val="0"/>
        <w:keepLines w:val="0"/>
        <w:pageBreakBefore w:val="0"/>
        <w:wordWrap w:val="0"/>
        <w:overflowPunct/>
        <w:topLinePunct w:val="0"/>
        <w:bidi w:val="0"/>
        <w:spacing w:line="299" w:lineRule="auto"/>
        <w:rPr>
          <w:rFonts w:hint="eastAsia" w:ascii="宋体" w:hAnsi="宋体" w:eastAsia="宋体" w:cs="宋体"/>
          <w:color w:val="auto"/>
          <w:spacing w:val="0"/>
          <w:sz w:val="24"/>
          <w:szCs w:val="24"/>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7151654">
      <w:pPr>
        <w:keepNext w:val="0"/>
        <w:keepLines w:val="0"/>
        <w:pageBreakBefore w:val="0"/>
        <w:wordWrap w:val="0"/>
        <w:overflowPunct/>
        <w:topLinePunct w:val="0"/>
        <w:bidi w:val="0"/>
        <w:spacing w:before="78" w:line="219" w:lineRule="auto"/>
        <w:ind w:left="3525"/>
        <w:outlineLvl w:val="0"/>
        <w:rPr>
          <w:rFonts w:hint="eastAsia" w:ascii="宋体" w:hAnsi="宋体" w:eastAsia="宋体" w:cs="宋体"/>
          <w:color w:val="auto"/>
          <w:spacing w:val="0"/>
          <w:sz w:val="24"/>
          <w:szCs w:val="24"/>
          <w:highlight w:val="none"/>
        </w:rPr>
      </w:pPr>
      <w:bookmarkStart w:id="151" w:name="bookmark57"/>
      <w:bookmarkEnd w:id="151"/>
      <w:bookmarkStart w:id="152" w:name="_Toc27450"/>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52"/>
    </w:p>
    <w:p w14:paraId="778DE754">
      <w:pPr>
        <w:keepNext w:val="0"/>
        <w:keepLines w:val="0"/>
        <w:pageBreakBefore w:val="0"/>
        <w:wordWrap w:val="0"/>
        <w:overflowPunct/>
        <w:topLinePunct w:val="0"/>
        <w:bidi w:val="0"/>
        <w:spacing w:before="78" w:line="219" w:lineRule="auto"/>
        <w:ind w:left="582"/>
        <w:outlineLvl w:val="2"/>
        <w:rPr>
          <w:rFonts w:hint="eastAsia" w:ascii="宋体" w:hAnsi="宋体" w:eastAsia="宋体" w:cs="宋体"/>
          <w:color w:val="auto"/>
          <w:spacing w:val="0"/>
          <w:sz w:val="24"/>
          <w:szCs w:val="24"/>
          <w:highlight w:val="none"/>
        </w:rPr>
      </w:pPr>
      <w:bookmarkStart w:id="153" w:name="_Toc28479"/>
      <w:r>
        <w:rPr>
          <w:rFonts w:hint="eastAsia" w:ascii="宋体" w:hAnsi="宋体" w:eastAsia="宋体" w:cs="宋体"/>
          <w:b/>
          <w:bCs/>
          <w:color w:val="auto"/>
          <w:spacing w:val="0"/>
          <w:sz w:val="24"/>
          <w:szCs w:val="24"/>
          <w:highlight w:val="none"/>
        </w:rPr>
        <w:t>1 ．中标通知书</w:t>
      </w:r>
      <w:bookmarkEnd w:id="153"/>
    </w:p>
    <w:p w14:paraId="58639F65">
      <w:pPr>
        <w:keepNext w:val="0"/>
        <w:keepLines w:val="0"/>
        <w:pageBreakBefore w:val="0"/>
        <w:wordWrap w:val="0"/>
        <w:overflowPunct/>
        <w:topLinePunct w:val="0"/>
        <w:bidi w:val="0"/>
        <w:spacing w:before="152" w:line="332"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招标人确定第一中标候选人为中标人，并在中标人确定之日起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31DB1DBE">
      <w:pPr>
        <w:keepNext w:val="0"/>
        <w:keepLines w:val="0"/>
        <w:pageBreakBefore w:val="0"/>
        <w:wordWrap w:val="0"/>
        <w:overflowPunct/>
        <w:topLinePunct w:val="0"/>
        <w:bidi w:val="0"/>
        <w:spacing w:before="78" w:line="221" w:lineRule="auto"/>
        <w:ind w:left="572"/>
        <w:outlineLvl w:val="2"/>
        <w:rPr>
          <w:rFonts w:hint="eastAsia" w:ascii="宋体" w:hAnsi="宋体" w:eastAsia="宋体" w:cs="宋体"/>
          <w:color w:val="auto"/>
          <w:spacing w:val="0"/>
          <w:sz w:val="24"/>
          <w:szCs w:val="24"/>
          <w:highlight w:val="none"/>
        </w:rPr>
      </w:pPr>
      <w:bookmarkStart w:id="154" w:name="_Toc5475"/>
      <w:r>
        <w:rPr>
          <w:rFonts w:hint="eastAsia" w:ascii="宋体" w:hAnsi="宋体" w:eastAsia="宋体" w:cs="宋体"/>
          <w:b/>
          <w:bCs/>
          <w:color w:val="auto"/>
          <w:spacing w:val="0"/>
          <w:sz w:val="24"/>
          <w:szCs w:val="24"/>
          <w:highlight w:val="none"/>
        </w:rPr>
        <w:t>2 ．中标结果公示</w:t>
      </w:r>
      <w:bookmarkEnd w:id="154"/>
    </w:p>
    <w:p w14:paraId="5B885753">
      <w:pPr>
        <w:keepNext w:val="0"/>
        <w:keepLines w:val="0"/>
        <w:pageBreakBefore w:val="0"/>
        <w:wordWrap w:val="0"/>
        <w:overflowPunct/>
        <w:topLinePunct w:val="0"/>
        <w:bidi w:val="0"/>
        <w:spacing w:before="115" w:line="316"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276A8806">
      <w:pPr>
        <w:keepNext w:val="0"/>
        <w:keepLines w:val="0"/>
        <w:pageBreakBefore w:val="0"/>
        <w:wordWrap w:val="0"/>
        <w:overflowPunct/>
        <w:topLinePunct w:val="0"/>
        <w:bidi w:val="0"/>
        <w:spacing w:before="79" w:line="221" w:lineRule="auto"/>
        <w:ind w:left="570"/>
        <w:outlineLvl w:val="2"/>
        <w:rPr>
          <w:rFonts w:hint="eastAsia" w:ascii="宋体" w:hAnsi="宋体" w:eastAsia="宋体" w:cs="宋体"/>
          <w:color w:val="auto"/>
          <w:spacing w:val="0"/>
          <w:sz w:val="24"/>
          <w:szCs w:val="24"/>
          <w:highlight w:val="none"/>
        </w:rPr>
      </w:pPr>
      <w:bookmarkStart w:id="155" w:name="_Toc6923"/>
      <w:r>
        <w:rPr>
          <w:rFonts w:hint="eastAsia" w:ascii="宋体" w:hAnsi="宋体" w:eastAsia="宋体" w:cs="宋体"/>
          <w:b/>
          <w:bCs/>
          <w:color w:val="auto"/>
          <w:spacing w:val="0"/>
          <w:sz w:val="24"/>
          <w:szCs w:val="24"/>
          <w:highlight w:val="none"/>
        </w:rPr>
        <w:t>3 ．履约保证</w:t>
      </w:r>
      <w:bookmarkEnd w:id="155"/>
    </w:p>
    <w:p w14:paraId="69F31777">
      <w:pPr>
        <w:keepNext w:val="0"/>
        <w:keepLines w:val="0"/>
        <w:pageBreakBefore w:val="0"/>
        <w:widowControl/>
        <w:kinsoku w:val="0"/>
        <w:wordWrap w:val="0"/>
        <w:overflowPunct/>
        <w:topLinePunct w:val="0"/>
        <w:autoSpaceDE w:val="0"/>
        <w:autoSpaceDN w:val="0"/>
        <w:bidi w:val="0"/>
        <w:adjustRightInd w:val="0"/>
        <w:snapToGrid w:val="0"/>
        <w:spacing w:before="153" w:line="312"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3</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38F92E7A">
      <w:pPr>
        <w:keepNext w:val="0"/>
        <w:keepLines w:val="0"/>
        <w:pageBreakBefore w:val="0"/>
        <w:wordWrap w:val="0"/>
        <w:overflowPunct/>
        <w:topLinePunct w:val="0"/>
        <w:bidi w:val="0"/>
        <w:spacing w:before="89" w:line="286"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143077D3">
      <w:pPr>
        <w:keepNext w:val="0"/>
        <w:keepLines w:val="0"/>
        <w:pageBreakBefore w:val="0"/>
        <w:wordWrap w:val="0"/>
        <w:overflowPunct/>
        <w:topLinePunct w:val="0"/>
        <w:bidi w:val="0"/>
        <w:spacing w:line="440" w:lineRule="exact"/>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7EA8DA9A">
      <w:pPr>
        <w:keepNext w:val="0"/>
        <w:keepLines w:val="0"/>
        <w:pageBreakBefore w:val="0"/>
        <w:wordWrap w:val="0"/>
        <w:overflowPunct/>
        <w:topLinePunct w:val="0"/>
        <w:bidi w:val="0"/>
        <w:spacing w:before="145" w:line="319"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64BBABFF">
      <w:pPr>
        <w:keepNext w:val="0"/>
        <w:keepLines w:val="0"/>
        <w:pageBreakBefore w:val="0"/>
        <w:wordWrap w:val="0"/>
        <w:overflowPunct/>
        <w:topLinePunct w:val="0"/>
        <w:bidi w:val="0"/>
        <w:spacing w:before="152" w:line="299"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6F4B3E45">
      <w:pPr>
        <w:keepNext w:val="0"/>
        <w:keepLines w:val="0"/>
        <w:pageBreakBefore w:val="0"/>
        <w:wordWrap w:val="0"/>
        <w:overflowPunct/>
        <w:topLinePunct w:val="0"/>
        <w:bidi w:val="0"/>
        <w:spacing w:before="154" w:line="22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13CCF271">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69778D2">
      <w:pPr>
        <w:keepNext w:val="0"/>
        <w:keepLines w:val="0"/>
        <w:pageBreakBefore w:val="0"/>
        <w:wordWrap w:val="0"/>
        <w:overflowPunct/>
        <w:topLinePunct w:val="0"/>
        <w:bidi w:val="0"/>
        <w:spacing w:before="78" w:line="222" w:lineRule="auto"/>
        <w:ind w:left="488"/>
        <w:outlineLvl w:val="2"/>
        <w:rPr>
          <w:rFonts w:hint="eastAsia" w:ascii="宋体" w:hAnsi="宋体" w:eastAsia="宋体" w:cs="宋体"/>
          <w:color w:val="auto"/>
          <w:spacing w:val="0"/>
          <w:sz w:val="24"/>
          <w:szCs w:val="24"/>
          <w:highlight w:val="none"/>
        </w:rPr>
      </w:pPr>
      <w:bookmarkStart w:id="156" w:name="_Toc13767"/>
      <w:r>
        <w:rPr>
          <w:rFonts w:hint="eastAsia" w:ascii="宋体" w:hAnsi="宋体" w:eastAsia="宋体" w:cs="宋体"/>
          <w:b/>
          <w:bCs/>
          <w:color w:val="auto"/>
          <w:spacing w:val="0"/>
          <w:sz w:val="24"/>
          <w:szCs w:val="24"/>
          <w:highlight w:val="none"/>
        </w:rPr>
        <w:t>4 ．合同订立</w:t>
      </w:r>
      <w:bookmarkEnd w:id="156"/>
    </w:p>
    <w:p w14:paraId="76C6FD89">
      <w:pPr>
        <w:keepNext w:val="0"/>
        <w:keepLines w:val="0"/>
        <w:pageBreakBefore w:val="0"/>
        <w:widowControl/>
        <w:kinsoku w:val="0"/>
        <w:wordWrap w:val="0"/>
        <w:overflowPunct/>
        <w:topLinePunct w:val="0"/>
        <w:autoSpaceDE w:val="0"/>
        <w:autoSpaceDN w:val="0"/>
        <w:bidi w:val="0"/>
        <w:adjustRightInd w:val="0"/>
        <w:snapToGrid w:val="0"/>
        <w:spacing w:before="150" w:line="30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6A840825">
      <w:pPr>
        <w:keepNext w:val="0"/>
        <w:keepLines w:val="0"/>
        <w:pageBreakBefore w:val="0"/>
        <w:wordWrap w:val="0"/>
        <w:overflowPunct/>
        <w:topLinePunct w:val="0"/>
        <w:bidi w:val="0"/>
        <w:spacing w:before="156"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2D940266">
      <w:pPr>
        <w:keepNext w:val="0"/>
        <w:keepLines w:val="0"/>
        <w:pageBreakBefore w:val="0"/>
        <w:wordWrap w:val="0"/>
        <w:overflowPunct/>
        <w:topLinePunct w:val="0"/>
        <w:bidi w:val="0"/>
        <w:spacing w:before="154" w:line="299"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eastAsia="zh-CN"/>
        </w:rPr>
        <w:t>最高投标限价</w:t>
      </w:r>
      <w:r>
        <w:rPr>
          <w:rFonts w:hint="eastAsia" w:ascii="宋体" w:hAnsi="宋体" w:eastAsia="宋体" w:cs="宋体"/>
          <w:color w:val="auto"/>
          <w:spacing w:val="0"/>
          <w:sz w:val="24"/>
          <w:szCs w:val="24"/>
          <w:highlight w:val="none"/>
        </w:rPr>
        <w:t>的造价咨询单位实施。</w:t>
      </w:r>
    </w:p>
    <w:p w14:paraId="621F36D4">
      <w:pPr>
        <w:keepNext w:val="0"/>
        <w:keepLines w:val="0"/>
        <w:pageBreakBefore w:val="0"/>
        <w:wordWrap w:val="0"/>
        <w:overflowPunct/>
        <w:topLinePunct w:val="0"/>
        <w:bidi w:val="0"/>
        <w:spacing w:before="121" w:line="309"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00778F9D">
      <w:pPr>
        <w:keepNext w:val="0"/>
        <w:keepLines w:val="0"/>
        <w:pageBreakBefore w:val="0"/>
        <w:wordWrap w:val="0"/>
        <w:overflowPunct/>
        <w:topLinePunct w:val="0"/>
        <w:bidi w:val="0"/>
        <w:spacing w:before="157" w:line="279"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1D30B3AC">
      <w:pPr>
        <w:keepNext w:val="0"/>
        <w:keepLines w:val="0"/>
        <w:pageBreakBefore w:val="0"/>
        <w:wordWrap w:val="0"/>
        <w:overflowPunct/>
        <w:topLinePunct w:val="0"/>
        <w:bidi w:val="0"/>
        <w:spacing w:before="121" w:line="360" w:lineRule="auto"/>
        <w:ind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4.2.4  </w:t>
      </w:r>
      <w:r>
        <w:rPr>
          <w:rFonts w:hint="eastAsia" w:ascii="宋体" w:hAnsi="宋体" w:eastAsia="宋体" w:cs="宋体"/>
          <w:color w:val="auto"/>
          <w:spacing w:val="0"/>
          <w:sz w:val="24"/>
          <w:szCs w:val="24"/>
          <w:highlight w:val="none"/>
        </w:rPr>
        <w:t>不平衡报价的认定。经修正算术性错误后的中标人已标价工程量清单中，</w:t>
      </w:r>
      <w:r>
        <w:rPr>
          <w:rFonts w:hint="eastAsia" w:ascii="宋体" w:hAnsi="宋体" w:eastAsia="宋体" w:cs="宋体"/>
          <w:color w:val="auto"/>
          <w:spacing w:val="0"/>
          <w:sz w:val="24"/>
          <w:szCs w:val="24"/>
          <w:highlight w:val="none"/>
          <w:u w:val="single"/>
        </w:rPr>
        <w:t>对于投标报价中综合单价相对</w:t>
      </w:r>
      <w:r>
        <w:rPr>
          <w:rFonts w:hint="eastAsia" w:ascii="宋体" w:hAnsi="宋体" w:eastAsia="宋体" w:cs="宋体"/>
          <w:color w:val="auto"/>
          <w:spacing w:val="0"/>
          <w:sz w:val="24"/>
          <w:szCs w:val="24"/>
          <w:highlight w:val="none"/>
          <w:u w:val="single"/>
          <w:lang w:eastAsia="zh-CN"/>
        </w:rPr>
        <w:t>最高投标限价</w:t>
      </w:r>
      <w:r>
        <w:rPr>
          <w:rFonts w:hint="eastAsia" w:ascii="宋体" w:hAnsi="宋体" w:eastAsia="宋体" w:cs="宋体"/>
          <w:color w:val="auto"/>
          <w:spacing w:val="0"/>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0"/>
          <w:sz w:val="24"/>
          <w:szCs w:val="24"/>
          <w:highlight w:val="none"/>
          <w:u w:val="none"/>
        </w:rPr>
        <w:t>的清单项目</w:t>
      </w:r>
      <w:r>
        <w:rPr>
          <w:rFonts w:hint="eastAsia" w:ascii="宋体" w:hAnsi="宋体" w:eastAsia="宋体" w:cs="宋体"/>
          <w:color w:val="auto"/>
          <w:spacing w:val="0"/>
          <w:sz w:val="24"/>
          <w:szCs w:val="24"/>
          <w:highlight w:val="none"/>
        </w:rPr>
        <w:t>，视为不平衡报价项目。</w:t>
      </w:r>
    </w:p>
    <w:p w14:paraId="5712FA21">
      <w:pPr>
        <w:keepNext w:val="0"/>
        <w:keepLines w:val="0"/>
        <w:pageBreakBefore w:val="0"/>
        <w:wordWrap w:val="0"/>
        <w:overflowPunct/>
        <w:topLinePunct w:val="0"/>
        <w:bidi w:val="0"/>
        <w:spacing w:before="146" w:line="330" w:lineRule="auto"/>
        <w:ind w:left="10" w:right="65" w:firstLine="478"/>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4.2.5 </w:t>
      </w:r>
      <w:r>
        <w:rPr>
          <w:rFonts w:hint="eastAsia" w:ascii="宋体" w:hAnsi="宋体" w:eastAsia="宋体" w:cs="宋体"/>
          <w:color w:val="auto"/>
          <w:spacing w:val="0"/>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20EC4B0A">
      <w:pPr>
        <w:keepNext w:val="0"/>
        <w:keepLines w:val="0"/>
        <w:pageBreakBefore w:val="0"/>
        <w:wordWrap w:val="0"/>
        <w:overflowPunct/>
        <w:topLinePunct w:val="0"/>
        <w:bidi w:val="0"/>
        <w:spacing w:before="34" w:line="326" w:lineRule="auto"/>
        <w:ind w:left="12" w:right="65"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4.2.6 合同履行过程中，被认定为错漏项的清单项目，结算时按照第三章“拟签订合同的主要条款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”规定处理。</w:t>
      </w:r>
    </w:p>
    <w:p w14:paraId="33221246">
      <w:pPr>
        <w:keepNext w:val="0"/>
        <w:keepLines w:val="0"/>
        <w:pageBreakBefore w:val="0"/>
        <w:wordWrap w:val="0"/>
        <w:overflowPunct/>
        <w:topLinePunct w:val="0"/>
        <w:bidi w:val="0"/>
        <w:spacing w:before="33" w:line="317" w:lineRule="auto"/>
        <w:ind w:left="12" w:right="38" w:firstLine="476"/>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”有关规定调整合同价款。</w:t>
      </w:r>
    </w:p>
    <w:p w14:paraId="2C39EFA3">
      <w:pPr>
        <w:keepNext w:val="0"/>
        <w:keepLines w:val="0"/>
        <w:pageBreakBefore w:val="0"/>
        <w:wordWrap w:val="0"/>
        <w:overflowPunct/>
        <w:topLinePunct w:val="0"/>
        <w:bidi w:val="0"/>
        <w:spacing w:before="87" w:line="276"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4.3  </w:t>
      </w:r>
      <w:r>
        <w:rPr>
          <w:rFonts w:hint="eastAsia" w:ascii="宋体" w:hAnsi="宋体" w:eastAsia="宋体" w:cs="宋体"/>
          <w:color w:val="auto"/>
          <w:spacing w:val="0"/>
          <w:sz w:val="24"/>
          <w:szCs w:val="24"/>
          <w:highlight w:val="none"/>
        </w:rPr>
        <w:t>本招标项目合同计价方式为：</w:t>
      </w:r>
      <w:r>
        <w:rPr>
          <w:rFonts w:hint="eastAsia" w:ascii="宋体" w:hAnsi="宋体" w:eastAsia="宋体" w:cs="宋体"/>
          <w:color w:val="auto"/>
          <w:spacing w:val="0"/>
          <w:sz w:val="24"/>
          <w:szCs w:val="24"/>
          <w:highlight w:val="none"/>
          <w:u w:val="single"/>
        </w:rPr>
        <w:t xml:space="preserve"> 单价 </w:t>
      </w:r>
      <w:r>
        <w:rPr>
          <w:rFonts w:hint="eastAsia" w:ascii="宋体" w:hAnsi="宋体" w:eastAsia="宋体" w:cs="宋体"/>
          <w:color w:val="auto"/>
          <w:spacing w:val="0"/>
          <w:sz w:val="24"/>
          <w:szCs w:val="24"/>
          <w:highlight w:val="none"/>
        </w:rPr>
        <w:t>合同。</w:t>
      </w:r>
    </w:p>
    <w:p w14:paraId="5B4EA265">
      <w:pPr>
        <w:keepNext w:val="0"/>
        <w:keepLines w:val="0"/>
        <w:pageBreakBefore w:val="0"/>
        <w:wordWrap w:val="0"/>
        <w:overflowPunct/>
        <w:topLinePunct w:val="0"/>
        <w:bidi w:val="0"/>
        <w:spacing w:before="120" w:line="298" w:lineRule="auto"/>
        <w:ind w:left="11" w:right="28"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4.4  </w:t>
      </w:r>
      <w:r>
        <w:rPr>
          <w:rFonts w:hint="eastAsia" w:ascii="宋体" w:hAnsi="宋体" w:eastAsia="宋体" w:cs="宋体"/>
          <w:color w:val="auto"/>
          <w:spacing w:val="0"/>
          <w:sz w:val="24"/>
          <w:szCs w:val="24"/>
          <w:highlight w:val="none"/>
        </w:rPr>
        <w:t>合同的标的、质量、履行期限条款和合同的价款、单价、比例条款等主要条款，应当与招标文件、中标人的投标文件的内容一致。中标人在签订合同时不得向招标人提出附加条件。</w:t>
      </w:r>
    </w:p>
    <w:p w14:paraId="239FDC81">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4.5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0B224693">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4.6  在书面合同订立之日起 2 个工作日内，由中标人或招标代理机构将合同上传至建设工程交易系统，并发起退还投标保证的申请。韶关市公共资源交易中心在收到申请之日起 3 个工作日内，将投标保证金（或银行保函）退还给中标人和其他中标候选人。</w:t>
      </w:r>
    </w:p>
    <w:p w14:paraId="79C62424">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157" w:name="_Toc26282"/>
      <w:r>
        <w:rPr>
          <w:rFonts w:hint="eastAsia" w:ascii="宋体" w:hAnsi="宋体" w:eastAsia="宋体" w:cs="宋体"/>
          <w:b/>
          <w:bCs/>
          <w:color w:val="auto"/>
          <w:spacing w:val="0"/>
          <w:sz w:val="24"/>
          <w:szCs w:val="24"/>
          <w:highlight w:val="none"/>
        </w:rPr>
        <w:t>5 ．放弃中标的处理</w:t>
      </w:r>
      <w:bookmarkEnd w:id="157"/>
    </w:p>
    <w:p w14:paraId="78479EC8">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5.1</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 招标人重新招标的，招标人可不接受该弃标人再次投标。同时，</w:t>
      </w:r>
      <w:r>
        <w:rPr>
          <w:rFonts w:hint="eastAsia" w:ascii="宋体" w:hAnsi="宋体" w:eastAsia="宋体" w:cs="宋体"/>
          <w:b/>
          <w:bCs/>
          <w:color w:val="auto"/>
          <w:spacing w:val="0"/>
          <w:sz w:val="24"/>
          <w:szCs w:val="24"/>
          <w:highlight w:val="none"/>
        </w:rPr>
        <w:t>招标人应将该弃标人的失信行为向行政监督部门报告。</w:t>
      </w:r>
    </w:p>
    <w:p w14:paraId="1DE76672">
      <w:pPr>
        <w:keepNext w:val="0"/>
        <w:keepLines w:val="0"/>
        <w:pageBreakBefore w:val="0"/>
        <w:wordWrap w:val="0"/>
        <w:overflowPunct/>
        <w:topLinePunct w:val="0"/>
        <w:bidi w:val="0"/>
        <w:spacing w:before="79" w:line="298" w:lineRule="auto"/>
        <w:ind w:left="10" w:right="91"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5.2  </w:t>
      </w:r>
      <w:r>
        <w:rPr>
          <w:rFonts w:hint="eastAsia" w:ascii="宋体" w:hAnsi="宋体" w:eastAsia="宋体" w:cs="宋体"/>
          <w:color w:val="auto"/>
          <w:spacing w:val="0"/>
          <w:sz w:val="24"/>
          <w:szCs w:val="24"/>
          <w:highlight w:val="none"/>
        </w:rPr>
        <w:t>中标人因不可抗力提出不能履行合同的，须在领取中标通知书之日起 10 天内提供有关证明文件或资料，其投标保证予以退还，招标人可按照评标委员会提出的中标候选人名单排序依次确定其他中标候选人为中标人。如果招标人认为其他中标候选人的条</w:t>
      </w:r>
      <w:bookmarkStart w:id="158" w:name="bookmark84"/>
      <w:bookmarkEnd w:id="158"/>
      <w:r>
        <w:rPr>
          <w:rFonts w:hint="eastAsia" w:ascii="宋体" w:hAnsi="宋体" w:eastAsia="宋体" w:cs="宋体"/>
          <w:color w:val="auto"/>
          <w:spacing w:val="0"/>
          <w:sz w:val="24"/>
          <w:szCs w:val="24"/>
          <w:highlight w:val="none"/>
        </w:rPr>
        <w:t>件明显不利于招标人的，也可以重新招标。</w:t>
      </w:r>
    </w:p>
    <w:p w14:paraId="56B6677C">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0AC49D4F">
      <w:pPr>
        <w:pStyle w:val="14"/>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B7CE852">
      <w:pPr>
        <w:keepNext w:val="0"/>
        <w:keepLines w:val="0"/>
        <w:pageBreakBefore w:val="0"/>
        <w:wordWrap w:val="0"/>
        <w:overflowPunct/>
        <w:topLinePunct w:val="0"/>
        <w:bidi w:val="0"/>
        <w:spacing w:before="78" w:line="219" w:lineRule="auto"/>
        <w:ind w:left="2923"/>
        <w:outlineLvl w:val="0"/>
        <w:rPr>
          <w:rFonts w:hint="eastAsia" w:ascii="宋体" w:hAnsi="宋体" w:eastAsia="宋体" w:cs="宋体"/>
          <w:color w:val="auto"/>
          <w:spacing w:val="0"/>
          <w:sz w:val="24"/>
          <w:szCs w:val="24"/>
          <w:highlight w:val="none"/>
        </w:rPr>
      </w:pPr>
      <w:bookmarkStart w:id="159" w:name="bookmark86"/>
      <w:bookmarkEnd w:id="159"/>
      <w:bookmarkStart w:id="160" w:name="_Toc1071"/>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60"/>
    </w:p>
    <w:p w14:paraId="584191AE">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F85477B">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1AE6559E">
      <w:pPr>
        <w:keepNext w:val="0"/>
        <w:keepLines w:val="0"/>
        <w:pageBreakBefore w:val="0"/>
        <w:wordWrap w:val="0"/>
        <w:overflowPunct/>
        <w:topLinePunct w:val="0"/>
        <w:bidi w:val="0"/>
        <w:spacing w:before="78" w:line="220" w:lineRule="auto"/>
        <w:ind w:left="498"/>
        <w:outlineLvl w:val="2"/>
        <w:rPr>
          <w:rFonts w:hint="eastAsia" w:ascii="宋体" w:hAnsi="宋体" w:eastAsia="宋体" w:cs="宋体"/>
          <w:color w:val="auto"/>
          <w:spacing w:val="0"/>
          <w:sz w:val="24"/>
          <w:szCs w:val="24"/>
          <w:highlight w:val="none"/>
        </w:rPr>
      </w:pPr>
      <w:bookmarkStart w:id="161" w:name="_Toc16583"/>
      <w:r>
        <w:rPr>
          <w:rFonts w:hint="eastAsia" w:ascii="宋体" w:hAnsi="宋体" w:eastAsia="宋体" w:cs="宋体"/>
          <w:b/>
          <w:bCs/>
          <w:color w:val="auto"/>
          <w:spacing w:val="0"/>
          <w:sz w:val="24"/>
          <w:szCs w:val="24"/>
          <w:highlight w:val="none"/>
        </w:rPr>
        <w:t>1 ．工程承包方式</w:t>
      </w:r>
      <w:bookmarkEnd w:id="161"/>
    </w:p>
    <w:p w14:paraId="6490DD0E">
      <w:pPr>
        <w:keepNext w:val="0"/>
        <w:keepLines w:val="0"/>
        <w:pageBreakBefore w:val="0"/>
        <w:wordWrap w:val="0"/>
        <w:overflowPunct/>
        <w:topLinePunct w:val="0"/>
        <w:bidi w:val="0"/>
        <w:spacing w:before="153" w:line="299" w:lineRule="auto"/>
        <w:ind w:left="11" w:right="29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承包人以中标价按包工包料、包质量、包安全包文明施工、包工期方式总承包施工，不允许转包和违法分包，如果确需分包须与发包人协商，在得到发包人和监理单位同意后报建设行政主管部门备案。</w:t>
      </w:r>
    </w:p>
    <w:p w14:paraId="0DEF6119">
      <w:pPr>
        <w:keepNext w:val="0"/>
        <w:keepLines w:val="0"/>
        <w:pageBreakBefore w:val="0"/>
        <w:wordWrap w:val="0"/>
        <w:overflowPunct/>
        <w:topLinePunct w:val="0"/>
        <w:bidi w:val="0"/>
        <w:spacing w:before="153" w:line="219"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包工包料：材料符合招标文件要求并报验使用；办理用工保险。</w:t>
      </w:r>
    </w:p>
    <w:p w14:paraId="53550A7E">
      <w:pPr>
        <w:keepNext w:val="0"/>
        <w:keepLines w:val="0"/>
        <w:pageBreakBefore w:val="0"/>
        <w:wordWrap w:val="0"/>
        <w:overflowPunct/>
        <w:topLinePunct w:val="0"/>
        <w:bidi w:val="0"/>
        <w:spacing w:before="156"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包质量：符合招标文件要求。</w:t>
      </w:r>
    </w:p>
    <w:p w14:paraId="06A880CD">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包安全包文明施工：符合招标文件要求。</w:t>
      </w:r>
    </w:p>
    <w:p w14:paraId="5999D356">
      <w:pPr>
        <w:keepNext w:val="0"/>
        <w:keepLines w:val="0"/>
        <w:pageBreakBefore w:val="0"/>
        <w:wordWrap w:val="0"/>
        <w:overflowPunct/>
        <w:topLinePunct w:val="0"/>
        <w:bidi w:val="0"/>
        <w:spacing w:before="154" w:line="219" w:lineRule="auto"/>
        <w:ind w:left="580"/>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1.1.4  </w:t>
      </w:r>
      <w:r>
        <w:rPr>
          <w:rFonts w:hint="eastAsia" w:ascii="宋体" w:hAnsi="宋体" w:eastAsia="宋体" w:cs="宋体"/>
          <w:color w:val="auto"/>
          <w:spacing w:val="0"/>
          <w:sz w:val="24"/>
          <w:szCs w:val="24"/>
          <w:highlight w:val="none"/>
        </w:rPr>
        <w:t>包工期：本招标项目施工必须在招标工期内完成。</w:t>
      </w:r>
    </w:p>
    <w:p w14:paraId="6651E6EE">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162" w:name="bookmark88"/>
      <w:bookmarkEnd w:id="162"/>
      <w:bookmarkStart w:id="163" w:name="_Toc6776"/>
      <w:r>
        <w:rPr>
          <w:rFonts w:hint="eastAsia" w:ascii="宋体" w:hAnsi="宋体" w:eastAsia="宋体" w:cs="宋体"/>
          <w:b/>
          <w:bCs/>
          <w:color w:val="auto"/>
          <w:spacing w:val="0"/>
          <w:sz w:val="24"/>
          <w:szCs w:val="24"/>
          <w:highlight w:val="none"/>
        </w:rPr>
        <w:t>2 ．工程结算原则</w:t>
      </w:r>
      <w:bookmarkEnd w:id="163"/>
    </w:p>
    <w:p w14:paraId="4C46D51D">
      <w:pPr>
        <w:keepNext w:val="0"/>
        <w:keepLines w:val="0"/>
        <w:pageBreakBefore w:val="0"/>
        <w:wordWrap w:val="0"/>
        <w:overflowPunct/>
        <w:topLinePunct w:val="0"/>
        <w:bidi w:val="0"/>
        <w:spacing w:before="153"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承包人的投标总价为中标价，即为签约合同价。</w:t>
      </w:r>
    </w:p>
    <w:p w14:paraId="24360D12">
      <w:pPr>
        <w:keepNext w:val="0"/>
        <w:keepLines w:val="0"/>
        <w:pageBreakBefore w:val="0"/>
        <w:wordWrap w:val="0"/>
        <w:overflowPunct/>
        <w:topLinePunct w:val="0"/>
        <w:bidi w:val="0"/>
        <w:spacing w:before="155" w:line="319" w:lineRule="auto"/>
        <w:ind w:left="12" w:right="231"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招标工程量清单标明的工程量是投标人投标报价的共同基础，竣工结算的工程量按</w:t>
      </w:r>
      <w:bookmarkStart w:id="164" w:name="OLE_LINK28"/>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）对工程计量的规定进行计量，必须以承包人完成合同工程应予计量的工程量确定。施</w:t>
      </w:r>
      <w:bookmarkEnd w:id="164"/>
      <w:r>
        <w:rPr>
          <w:rFonts w:hint="eastAsia" w:ascii="宋体" w:hAnsi="宋体" w:eastAsia="宋体" w:cs="宋体"/>
          <w:color w:val="auto"/>
          <w:spacing w:val="0"/>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3A420D3D">
      <w:pPr>
        <w:keepNext w:val="0"/>
        <w:keepLines w:val="0"/>
        <w:pageBreakBefore w:val="0"/>
        <w:wordWrap w:val="0"/>
        <w:overflowPunct/>
        <w:topLinePunct w:val="0"/>
        <w:bidi w:val="0"/>
        <w:spacing w:before="38" w:line="299" w:lineRule="auto"/>
        <w:ind w:left="12" w:right="183"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  </w:t>
      </w:r>
      <w:r>
        <w:rPr>
          <w:rFonts w:hint="eastAsia" w:ascii="宋体" w:hAnsi="宋体" w:eastAsia="宋体" w:cs="宋体"/>
          <w:color w:val="auto"/>
          <w:spacing w:val="0"/>
          <w:sz w:val="24"/>
          <w:szCs w:val="24"/>
          <w:highlight w:val="none"/>
        </w:rPr>
        <w:t>施工合同履行期间，若出现下列情形的，发、承包双方应当按照以下规定调整合同价款：</w:t>
      </w:r>
    </w:p>
    <w:p w14:paraId="31FAD75E">
      <w:pPr>
        <w:keepNext w:val="0"/>
        <w:keepLines w:val="0"/>
        <w:pageBreakBefore w:val="0"/>
        <w:wordWrap w:val="0"/>
        <w:overflowPunct/>
        <w:topLinePunct w:val="0"/>
        <w:bidi w:val="0"/>
        <w:spacing w:before="227"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2.3.1  </w:t>
      </w:r>
      <w:r>
        <w:rPr>
          <w:rFonts w:hint="eastAsia" w:ascii="宋体" w:hAnsi="宋体" w:eastAsia="宋体" w:cs="宋体"/>
          <w:color w:val="auto"/>
          <w:spacing w:val="0"/>
          <w:sz w:val="24"/>
          <w:szCs w:val="24"/>
          <w:highlight w:val="none"/>
        </w:rPr>
        <w:t>法律法规变化</w:t>
      </w:r>
    </w:p>
    <w:p w14:paraId="5358AD7A">
      <w:pPr>
        <w:keepNext w:val="0"/>
        <w:keepLines w:val="0"/>
        <w:pageBreakBefore w:val="0"/>
        <w:wordWrap w:val="0"/>
        <w:overflowPunct/>
        <w:topLinePunct w:val="0"/>
        <w:bidi w:val="0"/>
        <w:spacing w:before="156" w:line="298"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"2.3.1.1"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2.3.1.1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color w:val="auto"/>
          <w:spacing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106A2A97">
      <w:pPr>
        <w:keepNext w:val="0"/>
        <w:keepLines w:val="0"/>
        <w:pageBreakBefore w:val="0"/>
        <w:wordWrap w:val="0"/>
        <w:overflowPunct/>
        <w:topLinePunct w:val="0"/>
        <w:bidi w:val="0"/>
        <w:spacing w:before="157" w:line="325" w:lineRule="auto"/>
        <w:ind w:left="12" w:right="183"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注：本招标文件所称“基准日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”，均指投标文件递交截止时间（见第一章第二节“重要事项时间地点一览表</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”）前</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28 天。</w:t>
      </w:r>
    </w:p>
    <w:p w14:paraId="2B560427">
      <w:pPr>
        <w:keepNext w:val="0"/>
        <w:keepLines w:val="0"/>
        <w:pageBreakBefore w:val="0"/>
        <w:wordWrap w:val="0"/>
        <w:overflowPunct/>
        <w:topLinePunct w:val="0"/>
        <w:bidi w:val="0"/>
        <w:spacing w:before="33" w:line="299" w:lineRule="auto"/>
        <w:ind w:left="1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"2.3.1.2"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2.3.1.2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因承包人原因导致工程延误，本章第 </w:t>
      </w:r>
      <w:r>
        <w:rPr>
          <w:rFonts w:hint="eastAsia" w:ascii="宋体" w:hAnsi="宋体" w:eastAsia="宋体" w:cs="宋体"/>
          <w:b/>
          <w:bCs/>
          <w:color w:val="auto"/>
          <w:spacing w:val="0"/>
          <w:sz w:val="24"/>
          <w:szCs w:val="24"/>
          <w:highlight w:val="none"/>
        </w:rPr>
        <w:t xml:space="preserve">2.3.1.1 </w:t>
      </w:r>
      <w:r>
        <w:rPr>
          <w:rFonts w:hint="eastAsia" w:ascii="宋体" w:hAnsi="宋体" w:eastAsia="宋体" w:cs="宋体"/>
          <w:color w:val="auto"/>
          <w:spacing w:val="0"/>
          <w:sz w:val="24"/>
          <w:szCs w:val="24"/>
          <w:highlight w:val="none"/>
        </w:rPr>
        <w:t>子目中的法定机构根据国家法律法规变化发布新规的时间在合同工程原定竣工时间之后的，合同价款调增的不予调整，合同价款调减的予以调整。</w:t>
      </w:r>
    </w:p>
    <w:p w14:paraId="3C481276">
      <w:pPr>
        <w:keepNext w:val="0"/>
        <w:keepLines w:val="0"/>
        <w:pageBreakBefore w:val="0"/>
        <w:wordWrap w:val="0"/>
        <w:overflowPunct/>
        <w:topLinePunct w:val="0"/>
        <w:bidi w:val="0"/>
        <w:spacing w:before="155"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2.3.2  </w:t>
      </w:r>
      <w:r>
        <w:rPr>
          <w:rFonts w:hint="eastAsia" w:ascii="宋体" w:hAnsi="宋体" w:eastAsia="宋体" w:cs="宋体"/>
          <w:color w:val="auto"/>
          <w:spacing w:val="0"/>
          <w:sz w:val="24"/>
          <w:szCs w:val="24"/>
          <w:highlight w:val="none"/>
        </w:rPr>
        <w:t>工程量偏差或变化</w:t>
      </w:r>
    </w:p>
    <w:p w14:paraId="45BD4810">
      <w:pPr>
        <w:keepNext w:val="0"/>
        <w:keepLines w:val="0"/>
        <w:pageBreakBefore w:val="0"/>
        <w:wordWrap w:val="0"/>
        <w:overflowPunct/>
        <w:topLinePunct w:val="0"/>
        <w:bidi w:val="0"/>
        <w:spacing w:before="158" w:line="309"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合同履行期间，当应予计算的实际工程量与招标工程量清单出现偏差或因工程变更引起已标价工程量清单项目的工程数量发生变化时，工程量偏差或变化在 15%以内（含 15%）的，其综合单价不予调整；工程量偏差或变化超过 15%的，按照以下规定调整：</w:t>
      </w:r>
    </w:p>
    <w:p w14:paraId="1F713C55">
      <w:pPr>
        <w:keepNext w:val="0"/>
        <w:keepLines w:val="0"/>
        <w:pageBreakBefore w:val="0"/>
        <w:wordWrap w:val="0"/>
        <w:overflowPunct/>
        <w:topLinePunct w:val="0"/>
        <w:bidi w:val="0"/>
        <w:spacing w:before="78" w:line="327" w:lineRule="auto"/>
        <w:ind w:left="12" w:firstLine="478"/>
        <w:jc w:val="both"/>
        <w:rPr>
          <w:rFonts w:hint="eastAsia" w:ascii="宋体" w:hAnsi="宋体" w:eastAsia="宋体" w:cs="宋体"/>
          <w:color w:val="auto"/>
          <w:spacing w:val="0"/>
          <w:sz w:val="24"/>
          <w:szCs w:val="24"/>
          <w:highlight w:val="none"/>
        </w:rPr>
      </w:pPr>
      <w:bookmarkStart w:id="165" w:name="bookmark142"/>
      <w:bookmarkEnd w:id="165"/>
      <w:r>
        <w:rPr>
          <w:rFonts w:hint="eastAsia" w:ascii="宋体" w:hAnsi="宋体" w:eastAsia="宋体" w:cs="宋体"/>
          <w:color w:val="auto"/>
          <w:spacing w:val="0"/>
          <w:sz w:val="24"/>
          <w:szCs w:val="24"/>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p>
    <w:p w14:paraId="038D0250">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对于按照第二章“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条被认定为不平衡报价的清单项目，其综合单价按照以下方法调整：</w:t>
      </w:r>
    </w:p>
    <w:p w14:paraId="2DA9561A">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以</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中《分部分项工程和单价措施项目清单与计价表》子目相对应综合单价×（1-中标下浮率）。</w:t>
      </w:r>
    </w:p>
    <w:p w14:paraId="624BD2E4">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bookmarkStart w:id="166" w:name="_Toc12035"/>
      <w:bookmarkStart w:id="167" w:name="_Toc18478"/>
      <w:bookmarkStart w:id="168" w:name="_Toc30068"/>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-暂列金额-暂估价）/（</w:t>
      </w:r>
      <w:bookmarkEnd w:id="166"/>
      <w:bookmarkEnd w:id="167"/>
      <w:bookmarkStart w:id="169" w:name="_Toc15512"/>
      <w:bookmarkStart w:id="170" w:name="_Toc13602"/>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最高投标限价安全生产措施费</w:t>
      </w:r>
      <w:r>
        <w:rPr>
          <w:rFonts w:hint="eastAsia" w:ascii="宋体" w:hAnsi="宋体" w:eastAsia="宋体" w:cs="宋体"/>
          <w:b/>
          <w:bCs/>
          <w:color w:val="auto"/>
          <w:spacing w:val="0"/>
          <w:sz w:val="24"/>
          <w:szCs w:val="24"/>
          <w:highlight w:val="none"/>
        </w:rPr>
        <w:t>-暂列金额-暂估价）] ×100%</w:t>
      </w:r>
      <w:bookmarkEnd w:id="168"/>
      <w:bookmarkEnd w:id="169"/>
      <w:bookmarkEnd w:id="170"/>
    </w:p>
    <w:p w14:paraId="7E192A85">
      <w:pPr>
        <w:keepNext w:val="0"/>
        <w:keepLines w:val="0"/>
        <w:pageBreakBefore w:val="0"/>
        <w:wordWrap w:val="0"/>
        <w:overflowPunct/>
        <w:topLinePunct w:val="0"/>
        <w:bidi w:val="0"/>
        <w:spacing w:before="123" w:line="301" w:lineRule="auto"/>
        <w:ind w:left="10" w:right="116" w:firstLine="48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4ABBEFA3">
      <w:pPr>
        <w:keepNext w:val="0"/>
        <w:keepLines w:val="0"/>
        <w:pageBreakBefore w:val="0"/>
        <w:wordWrap w:val="0"/>
        <w:overflowPunct/>
        <w:topLinePunct w:val="0"/>
        <w:bidi w:val="0"/>
        <w:spacing w:before="129" w:line="299" w:lineRule="auto"/>
        <w:ind w:left="12" w:right="17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如果工程量出现本章第 </w:t>
      </w:r>
      <w:r>
        <w:rPr>
          <w:rFonts w:hint="eastAsia" w:ascii="宋体" w:hAnsi="宋体" w:eastAsia="宋体" w:cs="宋体"/>
          <w:b/>
          <w:bCs/>
          <w:color w:val="auto"/>
          <w:spacing w:val="0"/>
          <w:sz w:val="24"/>
          <w:szCs w:val="24"/>
          <w:highlight w:val="none"/>
        </w:rPr>
        <w:t xml:space="preserve">2.3.2.1 </w:t>
      </w:r>
      <w:r>
        <w:rPr>
          <w:rFonts w:hint="eastAsia" w:ascii="宋体" w:hAnsi="宋体" w:eastAsia="宋体" w:cs="宋体"/>
          <w:color w:val="auto"/>
          <w:spacing w:val="0"/>
          <w:sz w:val="24"/>
          <w:szCs w:val="24"/>
          <w:highlight w:val="none"/>
        </w:rPr>
        <w:t>子目的变化，且该变化引起相关措施项目相应发生变化时，按系数或单一总价方式计价的，工程量增加的措施项目费调增，工程量减少的措施项目费调减。</w:t>
      </w:r>
    </w:p>
    <w:p w14:paraId="6D84DA2E">
      <w:pPr>
        <w:keepNext w:val="0"/>
        <w:keepLines w:val="0"/>
        <w:pageBreakBefore w:val="0"/>
        <w:wordWrap w:val="0"/>
        <w:overflowPunct/>
        <w:topLinePunct w:val="0"/>
        <w:bidi w:val="0"/>
        <w:spacing w:before="154" w:line="221"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工程变更</w:t>
      </w:r>
    </w:p>
    <w:p w14:paraId="42BD6E3A">
      <w:pPr>
        <w:keepNext w:val="0"/>
        <w:keepLines w:val="0"/>
        <w:pageBreakBefore w:val="0"/>
        <w:wordWrap w:val="0"/>
        <w:overflowPunct/>
        <w:topLinePunct w:val="0"/>
        <w:bidi w:val="0"/>
        <w:spacing w:before="153" w:line="279" w:lineRule="auto"/>
        <w:ind w:left="19" w:right="179" w:firstLine="4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合同履行期间，因工程变更引起已标价工程量清单项目发生变化时，按照以下规定调整：</w:t>
      </w:r>
    </w:p>
    <w:p w14:paraId="329AD9CE">
      <w:pPr>
        <w:keepNext w:val="0"/>
        <w:keepLines w:val="0"/>
        <w:pageBreakBefore w:val="0"/>
        <w:numPr>
          <w:ilvl w:val="0"/>
          <w:numId w:val="2"/>
        </w:numPr>
        <w:wordWrap w:val="0"/>
        <w:overflowPunct/>
        <w:topLinePunct w:val="0"/>
        <w:bidi w:val="0"/>
        <w:spacing w:before="78" w:line="360" w:lineRule="auto"/>
        <w:ind w:firstLine="240" w:firstLineChars="100"/>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rPr>
        <w:t>已标价工程量清单中有适用于变更工程项目的，采用该项目的单价。</w:t>
      </w:r>
      <w:r>
        <w:rPr>
          <w:rFonts w:hint="eastAsia" w:ascii="宋体" w:hAnsi="宋体" w:eastAsia="宋体" w:cs="宋体"/>
          <w:b/>
          <w:bCs/>
          <w:color w:val="auto"/>
          <w:spacing w:val="0"/>
          <w:sz w:val="24"/>
          <w:szCs w:val="24"/>
          <w:highlight w:val="none"/>
        </w:rPr>
        <w:t>但如果</w:t>
      </w:r>
      <w:bookmarkStart w:id="171" w:name="bookmark143"/>
      <w:bookmarkEnd w:id="171"/>
      <w:r>
        <w:rPr>
          <w:rFonts w:hint="eastAsia" w:ascii="宋体" w:hAnsi="宋体" w:eastAsia="宋体" w:cs="宋体"/>
          <w:b/>
          <w:bCs/>
          <w:color w:val="auto"/>
          <w:spacing w:val="0"/>
          <w:sz w:val="24"/>
          <w:szCs w:val="24"/>
          <w:highlight w:val="none"/>
        </w:rPr>
        <w:t>被采用的项目属于按照第二章“中标人须知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条被认定为不平衡报价的清单项目，变更工程项目的单价按照本章 2.3.2.1 的方法调整。】</w:t>
      </w:r>
    </w:p>
    <w:p w14:paraId="039A0589">
      <w:pPr>
        <w:keepNext w:val="0"/>
        <w:keepLines w:val="0"/>
        <w:pageBreakBefore w:val="0"/>
        <w:numPr>
          <w:ilvl w:val="0"/>
          <w:numId w:val="0"/>
        </w:numPr>
        <w:wordWrap w:val="0"/>
        <w:overflowPunct/>
        <w:topLinePunct w:val="0"/>
        <w:bidi w:val="0"/>
        <w:spacing w:before="78" w:line="36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已标价工程量清单中没有适用但有类似于变更工程项目的，可在合理范围内参照类似项目的单价。</w:t>
      </w:r>
      <w:r>
        <w:rPr>
          <w:rFonts w:hint="eastAsia" w:ascii="宋体" w:hAnsi="宋体" w:eastAsia="宋体" w:cs="宋体"/>
          <w:b/>
          <w:bCs/>
          <w:color w:val="auto"/>
          <w:spacing w:val="0"/>
          <w:sz w:val="24"/>
          <w:szCs w:val="24"/>
          <w:highlight w:val="none"/>
        </w:rPr>
        <w:t>但如果被参考的类似项目属于按照第二章“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4.2条被认定为不平衡报价的清单项目，变更工程项目的单价按照本章2.3.2.1 的方法调整。</w:t>
      </w:r>
    </w:p>
    <w:p w14:paraId="36BB3A3B">
      <w:pPr>
        <w:keepNext w:val="0"/>
        <w:keepLines w:val="0"/>
        <w:pageBreakBefore w:val="0"/>
        <w:numPr>
          <w:ilvl w:val="0"/>
          <w:numId w:val="0"/>
        </w:numPr>
        <w:wordWrap w:val="0"/>
        <w:overflowPunct/>
        <w:topLinePunct w:val="0"/>
        <w:bidi w:val="0"/>
        <w:spacing w:before="38" w:line="310" w:lineRule="auto"/>
        <w:ind w:right="81" w:rightChars="0" w:firstLine="240" w:firstLineChars="1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0F863FF6">
      <w:pPr>
        <w:keepNext w:val="0"/>
        <w:keepLines w:val="0"/>
        <w:pageBreakBefore w:val="0"/>
        <w:wordWrap w:val="0"/>
        <w:overflowPunct/>
        <w:topLinePunct w:val="0"/>
        <w:bidi w:val="0"/>
        <w:spacing w:before="126" w:line="314" w:lineRule="auto"/>
        <w:ind w:left="29" w:right="21" w:firstLine="50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最高投标限价安全生产措施费</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×100%</w:t>
      </w:r>
    </w:p>
    <w:p w14:paraId="4A66A56E">
      <w:pPr>
        <w:keepNext w:val="0"/>
        <w:keepLines w:val="0"/>
        <w:pageBreakBefore w:val="0"/>
        <w:wordWrap w:val="0"/>
        <w:overflowPunct/>
        <w:topLinePunct w:val="0"/>
        <w:bidi w:val="0"/>
        <w:spacing w:before="145" w:line="309" w:lineRule="auto"/>
        <w:ind w:right="81" w:firstLine="240" w:firstLineChars="100"/>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snapToGrid w:val="0"/>
          <w:color w:val="auto"/>
          <w:spacing w:val="0"/>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7BF6D603">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7027F323">
      <w:pPr>
        <w:keepNext w:val="0"/>
        <w:keepLines w:val="0"/>
        <w:pageBreakBefore w:val="0"/>
        <w:wordWrap w:val="0"/>
        <w:overflowPunct/>
        <w:topLinePunct w:val="0"/>
        <w:bidi w:val="0"/>
        <w:spacing w:before="152" w:line="220" w:lineRule="auto"/>
        <w:ind w:left="4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应按照实际发生变化的措施项目计算。</w:t>
      </w:r>
    </w:p>
    <w:p w14:paraId="5B2103BA">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（2）采用单价计算的措施项目费，应按照实际发生变化的措施项目，按本章第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w:t>
      </w:r>
    </w:p>
    <w:p w14:paraId="40391B46">
      <w:pPr>
        <w:keepNext w:val="0"/>
        <w:keepLines w:val="0"/>
        <w:pageBreakBefore w:val="0"/>
        <w:wordWrap w:val="0"/>
        <w:overflowPunct/>
        <w:topLinePunct w:val="0"/>
        <w:bidi w:val="0"/>
        <w:spacing w:before="154" w:line="360" w:lineRule="auto"/>
        <w:ind w:left="8"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（3）按总价或系数计算的措施项目费，应按照实际发生变化的措施项目费调整并考虑中标下浮率因素，即调整金额＝按照实际变化调整后的金额×（1-中标下浮率）。</w:t>
      </w:r>
    </w:p>
    <w:p w14:paraId="02112B68">
      <w:pPr>
        <w:keepNext w:val="0"/>
        <w:keepLines w:val="0"/>
        <w:pageBreakBefore w:val="0"/>
        <w:wordWrap w:val="0"/>
        <w:overflowPunct/>
        <w:topLinePunct w:val="0"/>
        <w:bidi w:val="0"/>
        <w:spacing w:before="157" w:line="324" w:lineRule="auto"/>
        <w:ind w:left="21" w:right="81" w:firstLine="47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如果承包人未事先将拟实施的方案提交发包人确认，视为工程变更不引起措施项目费的调整或承包人放弃调整措施项目费的权利。</w:t>
      </w:r>
    </w:p>
    <w:p w14:paraId="67539FCD">
      <w:pPr>
        <w:keepNext w:val="0"/>
        <w:keepLines w:val="0"/>
        <w:pageBreakBefore w:val="0"/>
        <w:wordWrap w:val="0"/>
        <w:overflowPunct/>
        <w:topLinePunct w:val="0"/>
        <w:bidi w:val="0"/>
        <w:spacing w:before="35" w:line="309" w:lineRule="auto"/>
        <w:ind w:right="81" w:firstLine="42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64485CD0">
      <w:pPr>
        <w:keepNext w:val="0"/>
        <w:keepLines w:val="0"/>
        <w:pageBreakBefore w:val="0"/>
        <w:wordWrap w:val="0"/>
        <w:overflowPunct/>
        <w:topLinePunct w:val="0"/>
        <w:bidi w:val="0"/>
        <w:spacing w:before="155" w:line="22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2.3.4  </w:t>
      </w:r>
      <w:r>
        <w:rPr>
          <w:rFonts w:hint="eastAsia" w:ascii="宋体" w:hAnsi="宋体" w:eastAsia="宋体" w:cs="宋体"/>
          <w:color w:val="auto"/>
          <w:spacing w:val="0"/>
          <w:sz w:val="24"/>
          <w:szCs w:val="24"/>
          <w:highlight w:val="none"/>
        </w:rPr>
        <w:t>项目特征不符</w:t>
      </w:r>
    </w:p>
    <w:p w14:paraId="74BDF4D3">
      <w:pPr>
        <w:keepNext w:val="0"/>
        <w:keepLines w:val="0"/>
        <w:pageBreakBefore w:val="0"/>
        <w:wordWrap w:val="0"/>
        <w:overflowPunct/>
        <w:topLinePunct w:val="0"/>
        <w:bidi w:val="0"/>
        <w:spacing w:before="78" w:line="331" w:lineRule="auto"/>
        <w:ind w:left="8" w:right="108" w:firstLine="480"/>
        <w:jc w:val="both"/>
        <w:rPr>
          <w:rFonts w:hint="eastAsia" w:ascii="宋体" w:hAnsi="宋体" w:eastAsia="宋体" w:cs="宋体"/>
          <w:color w:val="auto"/>
          <w:spacing w:val="0"/>
          <w:sz w:val="24"/>
          <w:szCs w:val="24"/>
          <w:highlight w:val="none"/>
        </w:rPr>
      </w:pPr>
      <w:bookmarkStart w:id="172" w:name="bookmark144"/>
      <w:bookmarkEnd w:id="172"/>
      <w:r>
        <w:rPr>
          <w:rFonts w:hint="eastAsia" w:ascii="宋体" w:hAnsi="宋体" w:eastAsia="宋体" w:cs="宋体"/>
          <w:color w:val="auto"/>
          <w:spacing w:val="0"/>
          <w:sz w:val="24"/>
          <w:szCs w:val="24"/>
          <w:highlight w:val="none"/>
        </w:rPr>
        <w:t xml:space="preserve">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 </w:t>
      </w: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目相关条款的规定重新确定相应工程量清单项目的综合单价，并调整合同价款。</w:t>
      </w:r>
    </w:p>
    <w:p w14:paraId="72998B57">
      <w:pPr>
        <w:keepNext w:val="0"/>
        <w:keepLines w:val="0"/>
        <w:pageBreakBefore w:val="0"/>
        <w:wordWrap w:val="0"/>
        <w:overflowPunct/>
        <w:topLinePunct w:val="0"/>
        <w:bidi w:val="0"/>
        <w:spacing w:before="38" w:line="221"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2.3.5  </w:t>
      </w:r>
      <w:r>
        <w:rPr>
          <w:rFonts w:hint="eastAsia" w:ascii="宋体" w:hAnsi="宋体" w:eastAsia="宋体" w:cs="宋体"/>
          <w:color w:val="auto"/>
          <w:spacing w:val="0"/>
          <w:sz w:val="24"/>
          <w:szCs w:val="24"/>
          <w:highlight w:val="none"/>
        </w:rPr>
        <w:t>招标工程量清单缺项</w:t>
      </w:r>
    </w:p>
    <w:p w14:paraId="2DECC5B0">
      <w:pPr>
        <w:keepNext w:val="0"/>
        <w:keepLines w:val="0"/>
        <w:pageBreakBefore w:val="0"/>
        <w:widowControl/>
        <w:kinsoku w:val="0"/>
        <w:wordWrap w:val="0"/>
        <w:overflowPunct/>
        <w:topLinePunct w:val="0"/>
        <w:autoSpaceDE w:val="0"/>
        <w:autoSpaceDN w:val="0"/>
        <w:bidi w:val="0"/>
        <w:adjustRightInd w:val="0"/>
        <w:snapToGrid w:val="0"/>
        <w:spacing w:before="152" w:line="25" w:lineRule="atLeast"/>
        <w:ind w:left="9" w:right="56"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合同履行期间，由于招标工程量清单中缺项，新增分部分项工程清单项目，应按照本章第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子目的规定确定单价，并调整合同价款。</w:t>
      </w:r>
    </w:p>
    <w:p w14:paraId="64EEDAC2">
      <w:pPr>
        <w:keepNext w:val="0"/>
        <w:keepLines w:val="0"/>
        <w:pageBreakBefore w:val="0"/>
        <w:widowControl/>
        <w:kinsoku w:val="0"/>
        <w:wordWrap w:val="0"/>
        <w:overflowPunct/>
        <w:topLinePunct w:val="0"/>
        <w:autoSpaceDE w:val="0"/>
        <w:autoSpaceDN w:val="0"/>
        <w:bidi w:val="0"/>
        <w:adjustRightInd w:val="0"/>
        <w:snapToGrid w:val="0"/>
        <w:spacing w:before="157" w:line="25" w:lineRule="atLeast"/>
        <w:ind w:firstLine="42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新增分部分项工程清单项目后，引起措施项目发生变化的，应按照本章第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子目的规定，在承包人提交的实施方案被发包人批准后调整合同价款。</w:t>
      </w:r>
    </w:p>
    <w:p w14:paraId="44DD30E3">
      <w:pPr>
        <w:keepNext w:val="0"/>
        <w:keepLines w:val="0"/>
        <w:pageBreakBefore w:val="0"/>
        <w:widowControl/>
        <w:kinsoku w:val="0"/>
        <w:wordWrap w:val="0"/>
        <w:overflowPunct/>
        <w:topLinePunct w:val="0"/>
        <w:autoSpaceDE w:val="0"/>
        <w:autoSpaceDN w:val="0"/>
        <w:bidi w:val="0"/>
        <w:adjustRightInd w:val="0"/>
        <w:snapToGrid w:val="0"/>
        <w:spacing w:before="156" w:line="300" w:lineRule="auto"/>
        <w:ind w:left="11" w:right="108" w:firstLine="47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由于招标工程量清单中措施项目缺项，承包人应将新增措施项目实施方案提交发包人批准后，按照本章第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 xml:space="preserve">子目、第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子目的规定调整合同价款。</w:t>
      </w:r>
    </w:p>
    <w:p w14:paraId="6C5B37DC">
      <w:pPr>
        <w:keepNext w:val="0"/>
        <w:keepLines w:val="0"/>
        <w:pageBreakBefore w:val="0"/>
        <w:wordWrap w:val="0"/>
        <w:overflowPunct/>
        <w:topLinePunct w:val="0"/>
        <w:bidi w:val="0"/>
        <w:spacing w:before="154" w:line="219"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2.3.6  </w:t>
      </w:r>
      <w:r>
        <w:rPr>
          <w:rFonts w:hint="eastAsia" w:ascii="宋体" w:hAnsi="宋体" w:eastAsia="宋体" w:cs="宋体"/>
          <w:color w:val="auto"/>
          <w:spacing w:val="0"/>
          <w:sz w:val="24"/>
          <w:szCs w:val="24"/>
          <w:highlight w:val="none"/>
        </w:rPr>
        <w:t>物价变化</w:t>
      </w:r>
    </w:p>
    <w:p w14:paraId="146C47F1">
      <w:pPr>
        <w:keepNext w:val="0"/>
        <w:keepLines w:val="0"/>
        <w:pageBreakBefore w:val="0"/>
        <w:wordWrap w:val="0"/>
        <w:overflowPunct/>
        <w:topLinePunct w:val="0"/>
        <w:bidi w:val="0"/>
        <w:spacing w:before="156" w:line="315" w:lineRule="auto"/>
        <w:ind w:left="8" w:right="108"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合同履行期间，项目所在地工程造价管理机构发布的动态人工调整系数发生变化时，如果承包人投标报价中人工费（以下简称“ 中标人工费 ”）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6C005AD2">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15"/>
          <w:szCs w:val="15"/>
          <w:highlight w:val="none"/>
        </w:rPr>
      </w:pPr>
      <w:r>
        <w:rPr>
          <w:rFonts w:hint="eastAsia" w:ascii="宋体" w:hAnsi="宋体" w:eastAsia="宋体" w:cs="宋体"/>
          <w:color w:val="auto"/>
          <w:spacing w:val="0"/>
          <w:sz w:val="24"/>
          <w:szCs w:val="24"/>
          <w:highlight w:val="none"/>
        </w:rPr>
        <w:t>结算人工费＝中标人工费×F</w:t>
      </w:r>
      <w:r>
        <w:rPr>
          <w:rFonts w:hint="eastAsia" w:ascii="宋体" w:hAnsi="宋体" w:eastAsia="宋体" w:cs="宋体"/>
          <w:color w:val="auto"/>
          <w:spacing w:val="0"/>
          <w:position w:val="-1"/>
          <w:sz w:val="15"/>
          <w:szCs w:val="15"/>
          <w:highlight w:val="none"/>
        </w:rPr>
        <w:t>1</w:t>
      </w:r>
    </w:p>
    <w:p w14:paraId="5AB62F44">
      <w:pPr>
        <w:keepNext w:val="0"/>
        <w:keepLines w:val="0"/>
        <w:pageBreakBefore w:val="0"/>
        <w:wordWrap w:val="0"/>
        <w:overflowPunct/>
        <w:topLinePunct w:val="0"/>
        <w:bidi w:val="0"/>
        <w:spacing w:before="152"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式中，F</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为施工当月项目所在地工程造价管理机构发布的动态人工调整系数。</w:t>
      </w:r>
    </w:p>
    <w:p w14:paraId="15FB2223">
      <w:pPr>
        <w:keepNext w:val="0"/>
        <w:keepLines w:val="0"/>
        <w:pageBreakBefore w:val="0"/>
        <w:wordWrap w:val="0"/>
        <w:overflowPunct/>
        <w:topLinePunct w:val="0"/>
        <w:bidi w:val="0"/>
        <w:spacing w:before="119" w:line="324" w:lineRule="auto"/>
        <w:ind w:left="1" w:right="108" w:firstLine="48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"2.3.6.2"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本招标项目约定，材料、工程设备单价涨跌风险幅度值 A 为</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。合同履行期间，当《承包人提供主要材料和工程设备一览表》（详见招标工程量清单）中的材料、工程设备单价涨跌幅度等于或低于 A 值时，该材料、工程设备单价不予调整；超过A 值时，其超过部分可以调整。相关费用按有关规定进行相应调整。</w:t>
      </w:r>
    </w:p>
    <w:p w14:paraId="19F276A7">
      <w:pPr>
        <w:keepNext w:val="0"/>
        <w:keepLines w:val="0"/>
        <w:pageBreakBefore w:val="0"/>
        <w:wordWrap w:val="0"/>
        <w:overflowPunct/>
        <w:topLinePunct w:val="0"/>
        <w:bidi w:val="0"/>
        <w:spacing w:before="126" w:line="295" w:lineRule="auto"/>
        <w:ind w:left="11" w:right="108" w:firstLine="477"/>
        <w:jc w:val="both"/>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2CF1455B">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5" DrawAspect="Content" ObjectID="_1468075725" r:id="rId30">
            <o:LockedField>false</o:LockedField>
          </o:OLEObject>
        </w:object>
      </w:r>
    </w:p>
    <w:p w14:paraId="105AD2C6">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6" DrawAspect="Content" ObjectID="_1468075726" r:id="rId32">
            <o:LockedField>false</o:LockedField>
          </o:OLEObject>
        </w:object>
      </w:r>
    </w:p>
    <w:p w14:paraId="6D14FDA1">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b．如果中标单价高于基准单价，该材料、工程设备的结算单价调整公式为：</w:t>
      </w:r>
    </w:p>
    <w:p w14:paraId="2E1EE786">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7" DrawAspect="Content" ObjectID="_1468075727" r:id="rId34">
            <o:LockedField>false</o:LockedField>
          </o:OLEObject>
        </w:object>
      </w:r>
    </w:p>
    <w:p w14:paraId="48502849">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8" DrawAspect="Content" ObjectID="_1468075728" r:id="rId36">
            <o:LockedField>false</o:LockedField>
          </o:OLEObject>
        </w:object>
      </w:r>
    </w:p>
    <w:p w14:paraId="22EFA210">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c．如果中标单价等于基准单价，该材料、工程设备的结算单价调整公式为：</w:t>
      </w:r>
    </w:p>
    <w:p w14:paraId="09DBC418">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29" DrawAspect="Content" ObjectID="_1468075729" r:id="rId38">
            <o:LockedField>false</o:LockedField>
          </o:OLEObject>
        </w:object>
      </w:r>
    </w:p>
    <w:p w14:paraId="6C68A2D4">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0" DrawAspect="Content" ObjectID="_1468075730" r:id="rId40">
            <o:LockedField>false</o:LockedField>
          </o:OLEObject>
        </w:object>
      </w:r>
    </w:p>
    <w:p w14:paraId="22C9DDA0">
      <w:pPr>
        <w:keepNext w:val="0"/>
        <w:keepLines w:val="0"/>
        <w:pageBreakBefore w:val="0"/>
        <w:wordWrap w:val="0"/>
        <w:overflowPunct/>
        <w:topLinePunct w:val="0"/>
        <w:bidi w:val="0"/>
        <w:spacing w:before="78"/>
        <w:ind w:left="330"/>
        <w:rPr>
          <w:rFonts w:hint="eastAsia" w:ascii="宋体" w:hAnsi="宋体" w:eastAsia="宋体" w:cs="宋体"/>
          <w:color w:val="auto"/>
          <w:spacing w:val="0"/>
          <w:sz w:val="24"/>
          <w:szCs w:val="24"/>
          <w:highlight w:val="none"/>
        </w:rPr>
      </w:pPr>
    </w:p>
    <w:p w14:paraId="3124F386">
      <w:pPr>
        <w:keepNext w:val="0"/>
        <w:keepLines w:val="0"/>
        <w:pageBreakBefore w:val="0"/>
        <w:wordWrap w:val="0"/>
        <w:overflowPunct/>
        <w:topLinePunct w:val="0"/>
        <w:bidi w:val="0"/>
        <w:spacing w:before="78" w:line="330" w:lineRule="auto"/>
        <w:ind w:right="59"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为施工当月项目所在地工程造价管理机构发布的材料、工程设备单价；A 为合同约定的材料、工程设备单价涨跌风险幅度值。</w:t>
      </w:r>
    </w:p>
    <w:p w14:paraId="3721CBA2">
      <w:pPr>
        <w:keepNext w:val="0"/>
        <w:keepLines w:val="0"/>
        <w:pageBreakBefore w:val="0"/>
        <w:wordWrap w:val="0"/>
        <w:overflowPunct/>
        <w:topLinePunct w:val="0"/>
        <w:bidi w:val="0"/>
        <w:spacing w:before="33" w:line="299" w:lineRule="auto"/>
        <w:ind w:right="5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合同履行期间，当《发包人提供材料和工程设备一览表》（详见招标工程量清单）中的材料、工程设备单价发生变化时，由发包人按照实际变化调整，并列入合同价款。</w:t>
      </w:r>
    </w:p>
    <w:p w14:paraId="603F7621">
      <w:pPr>
        <w:keepNext w:val="0"/>
        <w:keepLines w:val="0"/>
        <w:pageBreakBefore w:val="0"/>
        <w:wordWrap w:val="0"/>
        <w:overflowPunct/>
        <w:topLinePunct w:val="0"/>
        <w:bidi w:val="0"/>
        <w:spacing w:before="121" w:line="308" w:lineRule="auto"/>
        <w:ind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"2.3.6.4"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2.3.6.4</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本招标项目约定，施工机具台班单价涨跌风险幅度值 B 为</w:t>
      </w:r>
      <w:r>
        <w:rPr>
          <w:rFonts w:hint="eastAsia" w:ascii="宋体" w:hAnsi="宋体" w:eastAsia="宋体" w:cs="宋体"/>
          <w:color w:val="auto"/>
          <w:spacing w:val="0"/>
          <w:sz w:val="24"/>
          <w:szCs w:val="24"/>
          <w:highlight w:val="none"/>
          <w:u w:val="single"/>
        </w:rPr>
        <w:t xml:space="preserve">  10%  </w:t>
      </w:r>
      <w:r>
        <w:rPr>
          <w:rFonts w:hint="eastAsia" w:ascii="宋体" w:hAnsi="宋体" w:eastAsia="宋体" w:cs="宋体"/>
          <w:color w:val="auto"/>
          <w:spacing w:val="0"/>
          <w:sz w:val="24"/>
          <w:szCs w:val="24"/>
          <w:highlight w:val="none"/>
        </w:rPr>
        <w:t>。合同履行期间，当施工机具台班单价涨跌幅度等于或低于 B 值时，该施工机具台班单价不予调整；超过 B 值时，其超过部分可以调整。相关费用按有关规定进行相应调整。</w:t>
      </w:r>
    </w:p>
    <w:p w14:paraId="49B94063">
      <w:pPr>
        <w:keepNext w:val="0"/>
        <w:keepLines w:val="0"/>
        <w:pageBreakBefore w:val="0"/>
        <w:wordWrap w:val="0"/>
        <w:overflowPunct/>
        <w:topLinePunct w:val="0"/>
        <w:bidi w:val="0"/>
        <w:spacing w:before="153" w:line="278" w:lineRule="auto"/>
        <w:ind w:left="42" w:right="59" w:firstLine="44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．如果承包人投标报价中施工机具台班单价（以下简称“ 中标单价 ”）低于基准日当月项目所在地工程造价管理机构发布的对应施工机具台班单价（以下简称“基准单价 ”），该施工机具台班的结算单价调整公式为：</w:t>
      </w:r>
    </w:p>
    <w:p w14:paraId="6E8F4B2D">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1" DrawAspect="Content" ObjectID="_1468075731" r:id="rId42">
            <o:LockedField>false</o:LockedField>
          </o:OLEObject>
        </w:object>
      </w:r>
    </w:p>
    <w:p w14:paraId="710BB685">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2"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2" DrawAspect="Content" ObjectID="_1468075732" r:id="rId44">
            <o:LockedField>false</o:LockedField>
          </o:OLEObject>
        </w:object>
      </w:r>
    </w:p>
    <w:p w14:paraId="35F77B5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rPr>
        <w:t>．如果中标单价高于基准单价，该施工机具台班的结算单价调整公式为：</w:t>
      </w:r>
    </w:p>
    <w:p w14:paraId="11293E07">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3" o:spt="75" type="#_x0000_t75" style="height:33.95pt;width:198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3" DrawAspect="Content" ObjectID="_1468075733" r:id="rId46">
            <o:LockedField>false</o:LockedField>
          </o:OLEObject>
        </w:object>
      </w:r>
    </w:p>
    <w:p w14:paraId="656F65C6">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4"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4" DrawAspect="Content" ObjectID="_1468075734" r:id="rId48">
            <o:LockedField>false</o:LockedField>
          </o:OLEObject>
        </w:object>
      </w:r>
    </w:p>
    <w:p w14:paraId="02FF56E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rPr>
        <w:t>．如果中标单价等于基准单价，该施工机具台班的结算单价调整公式为：</w:t>
      </w:r>
    </w:p>
    <w:p w14:paraId="5EF550EC">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5"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5" DrawAspect="Content" ObjectID="_1468075735" r:id="rId50">
            <o:LockedField>false</o:LockedField>
          </o:OLEObject>
        </w:object>
      </w:r>
    </w:p>
    <w:p w14:paraId="11A4B9AD">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3" embosscolor="#FFFFFF" o:title=""/>
            <o:lock v:ext="edit" grouping="f" rotation="f" text="f" aspectratio="t"/>
            <w10:wrap type="none"/>
            <w10:anchorlock/>
          </v:shape>
          <o:OLEObject Type="Embed" ProgID="Equation.KSEE3" ShapeID="_x0000_i1036" DrawAspect="Content" ObjectID="_1468075736" r:id="rId52">
            <o:LockedField>false</o:LockedField>
          </o:OLEObject>
        </w:object>
      </w:r>
    </w:p>
    <w:p w14:paraId="7053B887">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为施工当月项目所在地工程造价管理机构发布的施工机具台班单价；B 为合同约定的施工机具台班单价涨跌风险幅度值。</w:t>
      </w:r>
    </w:p>
    <w:p w14:paraId="69D89BD1">
      <w:pPr>
        <w:keepNext w:val="0"/>
        <w:keepLines w:val="0"/>
        <w:pageBreakBefore w:val="0"/>
        <w:wordWrap w:val="0"/>
        <w:overflowPunct/>
        <w:topLinePunct w:val="0"/>
        <w:bidi w:val="0"/>
        <w:spacing w:before="39" w:line="219"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2.3.7  </w:t>
      </w:r>
      <w:r>
        <w:rPr>
          <w:rFonts w:hint="eastAsia" w:ascii="宋体" w:hAnsi="宋体" w:eastAsia="宋体" w:cs="宋体"/>
          <w:color w:val="auto"/>
          <w:spacing w:val="0"/>
          <w:sz w:val="24"/>
          <w:szCs w:val="24"/>
          <w:highlight w:val="none"/>
        </w:rPr>
        <w:t>暂估价和暂列金额</w:t>
      </w:r>
    </w:p>
    <w:p w14:paraId="30CAD0F0">
      <w:pPr>
        <w:keepNext w:val="0"/>
        <w:keepLines w:val="0"/>
        <w:pageBreakBefore w:val="0"/>
        <w:wordWrap w:val="0"/>
        <w:overflowPunct/>
        <w:topLinePunct w:val="0"/>
        <w:bidi w:val="0"/>
        <w:spacing w:before="154" w:line="299" w:lineRule="auto"/>
        <w:ind w:left="7" w:right="57" w:firstLine="477"/>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snapToGrid w:val="0"/>
          <w:color w:val="auto"/>
          <w:spacing w:val="0"/>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spacing w:val="0"/>
          <w:kern w:val="0"/>
          <w:sz w:val="24"/>
          <w:szCs w:val="24"/>
          <w:highlight w:val="none"/>
          <w:lang w:eastAsia="zh-CN"/>
        </w:rPr>
        <w:t>8.5</w:t>
      </w:r>
      <w:r>
        <w:rPr>
          <w:rFonts w:hint="eastAsia" w:ascii="宋体" w:hAnsi="宋体" w:eastAsia="宋体" w:cs="宋体"/>
          <w:snapToGrid w:val="0"/>
          <w:color w:val="auto"/>
          <w:spacing w:val="0"/>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4E903985">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暂列金额由发包人掌握和使用。暂列金额项目若有发生，按第一章第三节“投标人须知正文 ”第 </w:t>
      </w:r>
      <w:r>
        <w:rPr>
          <w:rFonts w:hint="eastAsia" w:ascii="宋体" w:hAnsi="宋体" w:eastAsia="宋体" w:cs="宋体"/>
          <w:b/>
          <w:bCs/>
          <w:color w:val="auto"/>
          <w:spacing w:val="0"/>
          <w:sz w:val="24"/>
          <w:szCs w:val="24"/>
          <w:highlight w:val="none"/>
        </w:rPr>
        <w:t xml:space="preserve">8.6 </w:t>
      </w:r>
      <w:r>
        <w:rPr>
          <w:rFonts w:hint="eastAsia" w:ascii="宋体" w:hAnsi="宋体" w:eastAsia="宋体" w:cs="宋体"/>
          <w:color w:val="auto"/>
          <w:spacing w:val="0"/>
          <w:sz w:val="24"/>
          <w:szCs w:val="24"/>
          <w:highlight w:val="none"/>
        </w:rPr>
        <w:t>条的规定确定材料供应商（或工程设备供应商、服务供应商）后，材料（或工程设备、服务）的合同价款从暂列金额中支付。暂列金额扣除已发生的暂列 金额项目合同价款、已发生的合同约定调整因素出现时的调整价款、已发生的索赔以及现场签证确认等的费用后，余额（若有）归发包人所有。</w:t>
      </w:r>
    </w:p>
    <w:p w14:paraId="43940CD5">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2.3.8</w:t>
      </w:r>
      <w:r>
        <w:rPr>
          <w:rFonts w:hint="eastAsia" w:ascii="宋体" w:hAnsi="宋体" w:eastAsia="宋体" w:cs="宋体"/>
          <w:color w:val="auto"/>
          <w:spacing w:val="0"/>
          <w:sz w:val="24"/>
          <w:szCs w:val="24"/>
          <w:highlight w:val="none"/>
        </w:rPr>
        <w:t xml:space="preserve"> 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0F2A6BB9">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w:t>
      </w:r>
      <w:r>
        <w:rPr>
          <w:rFonts w:hint="eastAsia" w:ascii="宋体" w:hAnsi="宋体" w:eastAsia="宋体" w:cs="宋体"/>
          <w:b/>
          <w:bCs/>
          <w:color w:val="auto"/>
          <w:spacing w:val="0"/>
          <w:sz w:val="24"/>
          <w:szCs w:val="24"/>
          <w:highlight w:val="none"/>
          <w:lang w:val="en-US" w:eastAsia="zh-CN"/>
        </w:rPr>
        <w:t>9</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其余事项（如不可抗力、索赔、现场签证等）的调整原则按照《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）有关规定执行。</w:t>
      </w:r>
    </w:p>
    <w:p w14:paraId="7A71BE88">
      <w:pPr>
        <w:keepNext w:val="0"/>
        <w:keepLines w:val="0"/>
        <w:pageBreakBefore w:val="0"/>
        <w:wordWrap w:val="0"/>
        <w:overflowPunct/>
        <w:topLinePunct w:val="0"/>
        <w:bidi w:val="0"/>
        <w:spacing w:before="156" w:line="299" w:lineRule="auto"/>
        <w:ind w:left="12" w:right="65"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凡将引起合同价款调增的事项，承包人必须于拟实施 14 天前，将详细的报价书（含拟实施项目名称、变更部位、理由、预计造价等）报监理单位审核和发包人批准后方可实施。</w:t>
      </w:r>
    </w:p>
    <w:p w14:paraId="75E26C48">
      <w:pPr>
        <w:keepNext w:val="0"/>
        <w:keepLines w:val="0"/>
        <w:pageBreakBefore w:val="0"/>
        <w:wordWrap w:val="0"/>
        <w:overflowPunct/>
        <w:topLinePunct w:val="0"/>
        <w:bidi w:val="0"/>
        <w:spacing w:before="153" w:line="279" w:lineRule="auto"/>
        <w:ind w:left="9" w:right="102"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承包人不得以不完全了解现场情况为理由，提出额外付款或延长工期等要求。 对此类要求，发包人不作任何考虑及答复。</w:t>
      </w:r>
    </w:p>
    <w:p w14:paraId="4C51DAFB">
      <w:pPr>
        <w:keepNext w:val="0"/>
        <w:keepLines w:val="0"/>
        <w:pageBreakBefore w:val="0"/>
        <w:wordWrap w:val="0"/>
        <w:overflowPunct/>
        <w:topLinePunct w:val="0"/>
        <w:bidi w:val="0"/>
        <w:spacing w:before="154" w:line="279" w:lineRule="auto"/>
        <w:ind w:left="10" w:right="63"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2.6 </w:t>
      </w:r>
      <w:r>
        <w:rPr>
          <w:rFonts w:hint="eastAsia" w:ascii="宋体" w:hAnsi="宋体" w:eastAsia="宋体" w:cs="宋体"/>
          <w:color w:val="auto"/>
          <w:spacing w:val="0"/>
          <w:sz w:val="24"/>
          <w:szCs w:val="24"/>
          <w:highlight w:val="none"/>
        </w:rPr>
        <w:t>承包人已标价工程量清单中漏报、错报或少报的清单项目，其价格均视为已经包含在其它清单项目中，竣工结算时不得重新组价和调整。</w:t>
      </w:r>
    </w:p>
    <w:p w14:paraId="07DADB05">
      <w:pPr>
        <w:keepNext w:val="0"/>
        <w:keepLines w:val="0"/>
        <w:pageBreakBefore w:val="0"/>
        <w:wordWrap w:val="0"/>
        <w:overflowPunct/>
        <w:topLinePunct w:val="0"/>
        <w:bidi w:val="0"/>
        <w:spacing w:before="155" w:line="299" w:lineRule="auto"/>
        <w:ind w:left="12" w:right="65"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2.7  </w:t>
      </w:r>
      <w:r>
        <w:rPr>
          <w:rFonts w:hint="eastAsia" w:ascii="宋体" w:hAnsi="宋体" w:eastAsia="宋体" w:cs="宋体"/>
          <w:color w:val="auto"/>
          <w:spacing w:val="0"/>
          <w:sz w:val="24"/>
          <w:szCs w:val="24"/>
          <w:highlight w:val="none"/>
        </w:rPr>
        <w:t>项目完工后，发、承包双方和受其委托具备相应资质的工程造价咨询单位必须按照《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）和国家、省、市的有关规定办理竣工结算。</w:t>
      </w:r>
    </w:p>
    <w:p w14:paraId="55402B1C">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2.8  </w:t>
      </w:r>
      <w:r>
        <w:rPr>
          <w:rFonts w:hint="eastAsia" w:ascii="宋体" w:hAnsi="宋体" w:eastAsia="宋体" w:cs="宋体"/>
          <w:color w:val="auto"/>
          <w:spacing w:val="0"/>
          <w:sz w:val="24"/>
          <w:szCs w:val="24"/>
          <w:highlight w:val="none"/>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 求承包人立即进行更换。更换后的材料（或工程设备）应再次进行检查和检验。由此增 加的费用和（或）工期延误由承包人承担。</w:t>
      </w:r>
    </w:p>
    <w:p w14:paraId="253ECFAC">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2.9 </w:t>
      </w:r>
      <w:r>
        <w:rPr>
          <w:rFonts w:hint="eastAsia" w:ascii="宋体" w:hAnsi="宋体" w:eastAsia="宋体" w:cs="宋体"/>
          <w:color w:val="auto"/>
          <w:spacing w:val="0"/>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 的，则采用厂商报价或市场询价等方式取得有合法依据的市场价格，报发包人确认。</w:t>
      </w:r>
    </w:p>
    <w:p w14:paraId="5CAAF2B6">
      <w:pPr>
        <w:pStyle w:val="36"/>
        <w:snapToGrid w:val="0"/>
        <w:spacing w:line="360" w:lineRule="auto"/>
        <w:ind w:firstLine="480"/>
        <w:jc w:val="both"/>
        <w:outlineLvl w:val="1"/>
        <w:rPr>
          <w:rStyle w:val="27"/>
          <w:rFonts w:hint="eastAsia" w:ascii="宋体" w:hAnsi="宋体" w:eastAsia="宋体" w:cs="宋体"/>
          <w:b/>
          <w:bCs/>
          <w:color w:val="auto"/>
          <w:spacing w:val="0"/>
          <w:sz w:val="24"/>
          <w:szCs w:val="24"/>
          <w:highlight w:val="none"/>
        </w:rPr>
      </w:pPr>
      <w:bookmarkStart w:id="173" w:name="_Toc1816"/>
      <w:bookmarkStart w:id="174" w:name="_Toc12836"/>
      <w:r>
        <w:rPr>
          <w:rStyle w:val="27"/>
          <w:rFonts w:hint="eastAsia" w:ascii="宋体" w:hAnsi="宋体" w:eastAsia="宋体" w:cs="宋体"/>
          <w:b/>
          <w:bCs/>
          <w:color w:val="auto"/>
          <w:spacing w:val="0"/>
          <w:sz w:val="24"/>
          <w:szCs w:val="24"/>
          <w:highlight w:val="none"/>
        </w:rPr>
        <w:t>3. 工程付款办法</w:t>
      </w:r>
      <w:bookmarkEnd w:id="173"/>
      <w:bookmarkEnd w:id="174"/>
      <w:r>
        <w:rPr>
          <w:rFonts w:hint="eastAsia" w:hAnsi="宋体" w:cs="宋体"/>
          <w:b/>
          <w:snapToGrid w:val="0"/>
          <w:color w:val="auto"/>
          <w:kern w:val="0"/>
          <w:highlight w:val="none"/>
        </w:rPr>
        <w:t>（最终以签订的合同为准）</w:t>
      </w:r>
    </w:p>
    <w:p w14:paraId="32448478">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lang w:eastAsia="zh-CN"/>
        </w:rPr>
        <w:t>3.1</w:t>
      </w:r>
      <w:r>
        <w:rPr>
          <w:rFonts w:hint="eastAsia" w:ascii="宋体" w:hAnsi="宋体" w:eastAsia="宋体" w:cs="宋体"/>
          <w:color w:val="auto"/>
          <w:spacing w:val="0"/>
          <w:sz w:val="24"/>
          <w:szCs w:val="24"/>
          <w:highlight w:val="none"/>
          <w:lang w:eastAsia="zh-CN"/>
        </w:rPr>
        <w:t xml:space="preserve"> 本工程 </w:t>
      </w:r>
      <w:r>
        <w:rPr>
          <w:rFonts w:hint="eastAsia" w:ascii="宋体" w:hAnsi="宋体" w:eastAsia="宋体" w:cs="宋体"/>
          <w:color w:val="auto"/>
          <w:spacing w:val="0"/>
          <w:sz w:val="24"/>
          <w:szCs w:val="24"/>
          <w:highlight w:val="none"/>
          <w:u w:val="single"/>
          <w:lang w:eastAsia="zh-CN"/>
        </w:rPr>
        <w:t>支付</w:t>
      </w:r>
      <w:r>
        <w:rPr>
          <w:rFonts w:hint="eastAsia" w:ascii="宋体" w:hAnsi="宋体" w:eastAsia="宋体" w:cs="宋体"/>
          <w:color w:val="auto"/>
          <w:spacing w:val="0"/>
          <w:sz w:val="24"/>
          <w:szCs w:val="24"/>
          <w:highlight w:val="none"/>
          <w:lang w:eastAsia="zh-CN"/>
        </w:rPr>
        <w:t xml:space="preserve"> 施工预付款。</w:t>
      </w:r>
    </w:p>
    <w:p w14:paraId="3C5F4EB0">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color w:val="auto"/>
          <w:spacing w:val="0"/>
          <w:sz w:val="24"/>
          <w:szCs w:val="24"/>
          <w:highlight w:val="none"/>
        </w:rPr>
        <w:t xml:space="preserve"> 施工预付款必须专用于合同工程，并按以下原则支付和抵扣：</w:t>
      </w:r>
    </w:p>
    <w:p w14:paraId="554AE1C3">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3.2.1</w:t>
      </w:r>
      <w:r>
        <w:rPr>
          <w:rFonts w:hint="eastAsia" w:ascii="宋体" w:hAnsi="宋体" w:eastAsia="宋体" w:cs="宋体"/>
          <w:color w:val="auto"/>
          <w:spacing w:val="0"/>
          <w:sz w:val="24"/>
          <w:szCs w:val="24"/>
          <w:highlight w:val="none"/>
        </w:rPr>
        <w:t xml:space="preserve"> 施工预付款支付比例为：按施工合同价的</w:t>
      </w:r>
      <w:r>
        <w:rPr>
          <w:rFonts w:hint="eastAsia" w:ascii="宋体" w:hAnsi="宋体" w:eastAsia="宋体" w:cs="宋体"/>
          <w:color w:val="auto"/>
          <w:spacing w:val="0"/>
          <w:sz w:val="24"/>
          <w:szCs w:val="24"/>
          <w:highlight w:val="none"/>
          <w:u w:val="single"/>
          <w:lang w:val="en-US" w:eastAsia="zh-CN"/>
        </w:rPr>
        <w:t>10</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lang w:eastAsia="zh-CN"/>
        </w:rPr>
        <w:t xml:space="preserve"> </w:t>
      </w:r>
      <w:r>
        <w:rPr>
          <w:rFonts w:hint="eastAsia" w:ascii="宋体" w:hAnsi="宋体" w:eastAsia="宋体" w:cs="宋体"/>
          <w:color w:val="auto"/>
          <w:spacing w:val="0"/>
          <w:sz w:val="24"/>
          <w:szCs w:val="24"/>
          <w:highlight w:val="none"/>
        </w:rPr>
        <w:t>支付。</w:t>
      </w:r>
    </w:p>
    <w:p w14:paraId="4EC9DB9B">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3.2.2</w:t>
      </w:r>
      <w:r>
        <w:rPr>
          <w:rFonts w:hint="eastAsia" w:ascii="宋体" w:hAnsi="宋体" w:eastAsia="宋体" w:cs="宋体"/>
          <w:color w:val="auto"/>
          <w:spacing w:val="0"/>
          <w:sz w:val="24"/>
          <w:szCs w:val="24"/>
          <w:highlight w:val="none"/>
        </w:rPr>
        <w:t xml:space="preserve"> 本招标项目</w:t>
      </w:r>
      <w:r>
        <w:rPr>
          <w:rFonts w:hint="eastAsia" w:ascii="宋体" w:hAnsi="宋体" w:eastAsia="宋体" w:cs="宋体"/>
          <w:color w:val="auto"/>
          <w:spacing w:val="0"/>
          <w:sz w:val="24"/>
          <w:szCs w:val="24"/>
          <w:highlight w:val="none"/>
          <w:u w:val="single"/>
        </w:rPr>
        <w:t>要求</w:t>
      </w:r>
      <w:r>
        <w:rPr>
          <w:rFonts w:hint="eastAsia" w:ascii="宋体" w:hAnsi="宋体" w:eastAsia="宋体" w:cs="宋体"/>
          <w:color w:val="auto"/>
          <w:spacing w:val="0"/>
          <w:sz w:val="24"/>
          <w:szCs w:val="24"/>
          <w:highlight w:val="none"/>
        </w:rPr>
        <w:t>承包人提供与预付款等额的预付款保函。</w:t>
      </w:r>
    </w:p>
    <w:p w14:paraId="4EAC4384">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3.2.3</w:t>
      </w:r>
      <w:r>
        <w:rPr>
          <w:rFonts w:hint="eastAsia" w:ascii="宋体" w:hAnsi="宋体" w:eastAsia="宋体" w:cs="宋体"/>
          <w:color w:val="auto"/>
          <w:spacing w:val="0"/>
          <w:sz w:val="24"/>
          <w:szCs w:val="24"/>
          <w:highlight w:val="none"/>
        </w:rPr>
        <w:t xml:space="preserve"> 承包人应在签订合同后，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1A53902C">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3.2.4</w:t>
      </w:r>
      <w:r>
        <w:rPr>
          <w:rFonts w:hint="eastAsia" w:ascii="宋体" w:hAnsi="宋体" w:eastAsia="宋体" w:cs="宋体"/>
          <w:color w:val="auto"/>
          <w:spacing w:val="0"/>
          <w:sz w:val="24"/>
          <w:szCs w:val="24"/>
          <w:highlight w:val="none"/>
        </w:rPr>
        <w:t xml:space="preserve"> 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并承担违约责任</w:t>
      </w:r>
    </w:p>
    <w:p w14:paraId="0064638B">
      <w:pPr>
        <w:keepNext w:val="0"/>
        <w:keepLines w:val="0"/>
        <w:pageBreakBefore w:val="0"/>
        <w:wordWrap w:val="0"/>
        <w:overflowPunct/>
        <w:topLinePunct w:val="0"/>
        <w:bidi w:val="0"/>
        <w:spacing w:before="152" w:line="319" w:lineRule="auto"/>
        <w:ind w:left="8" w:right="38" w:firstLine="559"/>
        <w:rPr>
          <w:rFonts w:hint="eastAsia"/>
          <w:color w:val="auto"/>
          <w:kern w:val="0"/>
          <w:highlight w:val="none"/>
        </w:rPr>
      </w:pPr>
      <w:r>
        <w:rPr>
          <w:rFonts w:hint="eastAsia" w:ascii="宋体" w:hAnsi="宋体" w:eastAsia="宋体" w:cs="宋体"/>
          <w:b/>
          <w:bCs/>
          <w:color w:val="auto"/>
          <w:spacing w:val="0"/>
          <w:sz w:val="24"/>
          <w:szCs w:val="24"/>
          <w:highlight w:val="none"/>
        </w:rPr>
        <w:t>3.2.5</w:t>
      </w:r>
      <w:r>
        <w:rPr>
          <w:rFonts w:hint="eastAsia" w:ascii="宋体" w:hAnsi="宋体" w:eastAsia="宋体" w:cs="宋体"/>
          <w:color w:val="auto"/>
          <w:spacing w:val="0"/>
          <w:sz w:val="24"/>
          <w:szCs w:val="24"/>
          <w:highlight w:val="none"/>
        </w:rPr>
        <w:t xml:space="preserve"> 预付款应从每支付期应支付给承包人的工程进度款中扣回，直到扣回的金额达到合同约定的预付款金额为止。</w:t>
      </w:r>
    </w:p>
    <w:p w14:paraId="5C4346AF">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3.3</w:t>
      </w:r>
      <w:r>
        <w:rPr>
          <w:rFonts w:hint="eastAsia" w:ascii="宋体" w:hAnsi="宋体" w:eastAsia="宋体" w:cs="宋体"/>
          <w:snapToGrid w:val="0"/>
          <w:color w:val="auto"/>
          <w:spacing w:val="0"/>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32B57FFF">
      <w:pPr>
        <w:pStyle w:val="4"/>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3.4</w:t>
      </w:r>
      <w:r>
        <w:rPr>
          <w:rFonts w:hint="eastAsia" w:ascii="宋体" w:hAnsi="宋体" w:eastAsia="宋体" w:cs="宋体"/>
          <w:snapToGrid w:val="0"/>
          <w:color w:val="auto"/>
          <w:spacing w:val="0"/>
          <w:kern w:val="0"/>
          <w:sz w:val="24"/>
          <w:szCs w:val="20"/>
          <w:highlight w:val="none"/>
          <w:lang w:eastAsia="zh-CN"/>
        </w:rPr>
        <w:t xml:space="preserve"> 每月的工程进度款按工程实际完成工程量的 </w:t>
      </w:r>
      <w:r>
        <w:rPr>
          <w:rFonts w:hint="eastAsia" w:ascii="宋体" w:hAnsi="宋体" w:eastAsia="宋体" w:cs="宋体"/>
          <w:snapToGrid w:val="0"/>
          <w:color w:val="auto"/>
          <w:spacing w:val="0"/>
          <w:kern w:val="0"/>
          <w:sz w:val="24"/>
          <w:szCs w:val="20"/>
          <w:highlight w:val="none"/>
          <w:lang w:val="en-US" w:eastAsia="zh-CN"/>
        </w:rPr>
        <w:t>8</w:t>
      </w:r>
      <w:r>
        <w:rPr>
          <w:rFonts w:hint="eastAsia" w:ascii="宋体" w:hAnsi="宋体" w:eastAsia="宋体" w:cs="宋体"/>
          <w:snapToGrid w:val="0"/>
          <w:color w:val="auto"/>
          <w:spacing w:val="0"/>
          <w:kern w:val="0"/>
          <w:sz w:val="24"/>
          <w:szCs w:val="20"/>
          <w:highlight w:val="none"/>
          <w:lang w:eastAsia="zh-CN"/>
        </w:rPr>
        <w:t>0% 申请支付，工程进度款中的作业工人工资款项由发包人单独足额拨付到承包人的工资专户，</w:t>
      </w:r>
      <w:r>
        <w:rPr>
          <w:rFonts w:hint="eastAsia" w:eastAsia="宋体"/>
          <w:color w:val="auto"/>
          <w:highlight w:val="none"/>
          <w:lang w:val="en-US" w:eastAsia="zh-CN"/>
        </w:rPr>
        <w:t>工人工资款项不得低于当月应支付进度款的30%</w:t>
      </w:r>
      <w:r>
        <w:rPr>
          <w:rFonts w:hint="eastAsia" w:ascii="宋体" w:hAnsi="宋体" w:eastAsia="宋体" w:cs="宋体"/>
          <w:snapToGrid w:val="0"/>
          <w:color w:val="auto"/>
          <w:spacing w:val="0"/>
          <w:kern w:val="0"/>
          <w:sz w:val="24"/>
          <w:szCs w:val="20"/>
          <w:highlight w:val="none"/>
          <w:lang w:eastAsia="zh-CN"/>
        </w:rPr>
        <w:t>。</w:t>
      </w:r>
    </w:p>
    <w:p w14:paraId="2A564E9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5</w:t>
      </w:r>
      <w:r>
        <w:rPr>
          <w:rFonts w:hint="eastAsia" w:ascii="宋体" w:hAnsi="宋体" w:eastAsia="宋体" w:cs="宋体"/>
          <w:snapToGrid w:val="0"/>
          <w:color w:val="auto"/>
          <w:spacing w:val="0"/>
          <w:kern w:val="0"/>
          <w:sz w:val="24"/>
          <w:szCs w:val="20"/>
          <w:highlight w:val="none"/>
          <w:lang w:eastAsia="zh-CN"/>
        </w:rPr>
        <w:t xml:space="preserve"> 措施项目费中的“安全生产措施费”拨付按照《广东省建设工程计价依据（2018）》执行，按照项目所在地的建设行政主管部门有关规定支付。发生一般事故及以上等级重大安全事故的，发包人可扣除承包人金额相当于所有“安全生产措施费”的工程管理费。</w:t>
      </w:r>
    </w:p>
    <w:p w14:paraId="0785026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6</w:t>
      </w:r>
      <w:r>
        <w:rPr>
          <w:rFonts w:hint="eastAsia" w:ascii="宋体" w:hAnsi="宋体" w:eastAsia="宋体" w:cs="宋体"/>
          <w:snapToGrid w:val="0"/>
          <w:color w:val="auto"/>
          <w:spacing w:val="0"/>
          <w:kern w:val="0"/>
          <w:sz w:val="24"/>
          <w:szCs w:val="20"/>
          <w:highlight w:val="none"/>
          <w:lang w:eastAsia="zh-CN"/>
        </w:rPr>
        <w:t xml:space="preserve"> 变更工程造价必须经监理单位核实，并经发包人核定后方可支付。</w:t>
      </w:r>
    </w:p>
    <w:p w14:paraId="5957720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7</w:t>
      </w:r>
      <w:r>
        <w:rPr>
          <w:rFonts w:hint="eastAsia" w:ascii="宋体" w:hAnsi="宋体" w:eastAsia="宋体" w:cs="宋体"/>
          <w:snapToGrid w:val="0"/>
          <w:color w:val="auto"/>
          <w:spacing w:val="0"/>
          <w:kern w:val="0"/>
          <w:sz w:val="24"/>
          <w:szCs w:val="20"/>
          <w:highlight w:val="none"/>
          <w:lang w:eastAsia="zh-CN"/>
        </w:rPr>
        <w:t xml:space="preserve"> 结算审核完成后，</w:t>
      </w:r>
      <w:r>
        <w:rPr>
          <w:rFonts w:hint="eastAsia" w:ascii="宋体" w:hAnsi="宋体" w:eastAsia="宋体" w:cs="宋体"/>
          <w:snapToGrid w:val="0"/>
          <w:color w:val="auto"/>
          <w:spacing w:val="0"/>
          <w:kern w:val="0"/>
          <w:sz w:val="24"/>
          <w:szCs w:val="20"/>
          <w:highlight w:val="none"/>
          <w:lang w:val="en-US" w:eastAsia="zh-CN"/>
        </w:rPr>
        <w:t>于次月</w:t>
      </w:r>
      <w:r>
        <w:rPr>
          <w:rFonts w:hint="eastAsia" w:ascii="宋体" w:hAnsi="宋体" w:eastAsia="宋体" w:cs="宋体"/>
          <w:snapToGrid w:val="0"/>
          <w:color w:val="auto"/>
          <w:spacing w:val="0"/>
          <w:kern w:val="0"/>
          <w:sz w:val="24"/>
          <w:szCs w:val="20"/>
          <w:highlight w:val="none"/>
          <w:lang w:eastAsia="zh-CN"/>
        </w:rPr>
        <w:t>支付至</w:t>
      </w:r>
      <w:r>
        <w:rPr>
          <w:rFonts w:hint="eastAsia" w:ascii="宋体" w:hAnsi="宋体" w:eastAsia="宋体" w:cs="宋体"/>
          <w:snapToGrid w:val="0"/>
          <w:color w:val="auto"/>
          <w:spacing w:val="0"/>
          <w:kern w:val="0"/>
          <w:sz w:val="24"/>
          <w:szCs w:val="20"/>
          <w:highlight w:val="none"/>
          <w:lang w:val="en-US" w:eastAsia="zh-CN"/>
        </w:rPr>
        <w:t>审定合同总价</w:t>
      </w:r>
      <w:r>
        <w:rPr>
          <w:rFonts w:hint="eastAsia" w:ascii="宋体" w:hAnsi="宋体" w:eastAsia="宋体" w:cs="宋体"/>
          <w:snapToGrid w:val="0"/>
          <w:color w:val="auto"/>
          <w:spacing w:val="0"/>
          <w:kern w:val="0"/>
          <w:sz w:val="24"/>
          <w:szCs w:val="20"/>
          <w:highlight w:val="none"/>
          <w:lang w:eastAsia="zh-CN"/>
        </w:rPr>
        <w:t>的</w:t>
      </w:r>
      <w:r>
        <w:rPr>
          <w:rFonts w:hint="eastAsia" w:ascii="宋体" w:hAnsi="宋体" w:eastAsia="宋体" w:cs="宋体"/>
          <w:snapToGrid w:val="0"/>
          <w:color w:val="auto"/>
          <w:spacing w:val="0"/>
          <w:kern w:val="0"/>
          <w:sz w:val="24"/>
          <w:szCs w:val="20"/>
          <w:highlight w:val="none"/>
          <w:u w:val="single"/>
          <w:lang w:eastAsia="zh-CN"/>
        </w:rPr>
        <w:t>97</w:t>
      </w:r>
      <w:r>
        <w:rPr>
          <w:rFonts w:hint="eastAsia" w:ascii="宋体" w:hAnsi="宋体" w:eastAsia="宋体" w:cs="宋体"/>
          <w:snapToGrid w:val="0"/>
          <w:color w:val="auto"/>
          <w:spacing w:val="0"/>
          <w:kern w:val="0"/>
          <w:sz w:val="24"/>
          <w:szCs w:val="20"/>
          <w:highlight w:val="none"/>
          <w:lang w:eastAsia="zh-CN"/>
        </w:rPr>
        <w:t>%，剩余3%为</w:t>
      </w:r>
      <w:r>
        <w:rPr>
          <w:rFonts w:hint="eastAsia" w:ascii="宋体" w:hAnsi="宋体" w:eastAsia="宋体" w:cs="宋体"/>
          <w:snapToGrid w:val="0"/>
          <w:color w:val="auto"/>
          <w:spacing w:val="0"/>
          <w:kern w:val="0"/>
          <w:sz w:val="24"/>
          <w:szCs w:val="20"/>
          <w:highlight w:val="none"/>
          <w:lang w:val="en-US" w:eastAsia="zh-CN"/>
        </w:rPr>
        <w:t>工程</w:t>
      </w:r>
      <w:r>
        <w:rPr>
          <w:rFonts w:hint="eastAsia" w:ascii="宋体" w:hAnsi="宋体" w:eastAsia="宋体" w:cs="宋体"/>
          <w:snapToGrid w:val="0"/>
          <w:color w:val="auto"/>
          <w:spacing w:val="0"/>
          <w:kern w:val="0"/>
          <w:sz w:val="24"/>
          <w:szCs w:val="20"/>
          <w:highlight w:val="none"/>
          <w:lang w:eastAsia="zh-CN"/>
        </w:rPr>
        <w:t>质量保证金，</w:t>
      </w:r>
      <w:r>
        <w:rPr>
          <w:rFonts w:hint="eastAsia" w:ascii="宋体" w:hAnsi="宋体" w:eastAsia="宋体" w:cs="宋体"/>
          <w:snapToGrid w:val="0"/>
          <w:color w:val="auto"/>
          <w:spacing w:val="0"/>
          <w:kern w:val="0"/>
          <w:sz w:val="24"/>
          <w:szCs w:val="20"/>
          <w:highlight w:val="none"/>
          <w:lang w:val="en-US" w:eastAsia="zh-CN"/>
        </w:rPr>
        <w:t>根据《建设工程质量保证金管理办法》等有关规定，承包人可以银行保函或保险替代质量保证金，承包人提交了等额质量保证担保或质量保证保险的，于次月一次性结清合同价格。</w:t>
      </w:r>
    </w:p>
    <w:p w14:paraId="0CA13852">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8</w:t>
      </w:r>
      <w:r>
        <w:rPr>
          <w:rFonts w:hint="eastAsia" w:ascii="宋体" w:hAnsi="宋体" w:eastAsia="宋体" w:cs="宋体"/>
          <w:snapToGrid w:val="0"/>
          <w:color w:val="auto"/>
          <w:spacing w:val="0"/>
          <w:kern w:val="0"/>
          <w:sz w:val="24"/>
          <w:szCs w:val="20"/>
          <w:highlight w:val="none"/>
          <w:lang w:eastAsia="zh-CN"/>
        </w:rPr>
        <w:t>本招标项目缺陷责任期为</w:t>
      </w:r>
      <w:r>
        <w:rPr>
          <w:rFonts w:hint="eastAsia" w:ascii="宋体" w:hAnsi="宋体" w:eastAsia="宋体" w:cs="宋体"/>
          <w:snapToGrid w:val="0"/>
          <w:color w:val="auto"/>
          <w:spacing w:val="0"/>
          <w:kern w:val="0"/>
          <w:sz w:val="24"/>
          <w:szCs w:val="20"/>
          <w:highlight w:val="none"/>
          <w:u w:val="single"/>
          <w:lang w:eastAsia="zh-CN"/>
        </w:rPr>
        <w:t xml:space="preserve">1 </w:t>
      </w:r>
      <w:r>
        <w:rPr>
          <w:rFonts w:hint="eastAsia" w:ascii="宋体" w:hAnsi="宋体" w:eastAsia="宋体" w:cs="宋体"/>
          <w:snapToGrid w:val="0"/>
          <w:color w:val="auto"/>
          <w:spacing w:val="0"/>
          <w:kern w:val="0"/>
          <w:sz w:val="24"/>
          <w:szCs w:val="20"/>
          <w:highlight w:val="none"/>
          <w:lang w:eastAsia="zh-CN"/>
        </w:rPr>
        <w:t>年（自通过竣工验收之日起计）。缺陷责任期到期后，承包人向发包人申请退还质量保证。发包人收到退还申请后，于</w:t>
      </w:r>
      <w:r>
        <w:rPr>
          <w:rFonts w:hint="eastAsia" w:ascii="宋体" w:hAnsi="宋体" w:eastAsia="宋体" w:cs="宋体"/>
          <w:snapToGrid w:val="0"/>
          <w:color w:val="auto"/>
          <w:spacing w:val="0"/>
          <w:kern w:val="0"/>
          <w:sz w:val="24"/>
          <w:szCs w:val="20"/>
          <w:highlight w:val="none"/>
          <w:u w:val="single"/>
          <w:lang w:eastAsia="zh-CN"/>
        </w:rPr>
        <w:t>14</w:t>
      </w:r>
      <w:r>
        <w:rPr>
          <w:rFonts w:hint="eastAsia" w:ascii="宋体" w:hAnsi="宋体" w:eastAsia="宋体" w:cs="宋体"/>
          <w:snapToGrid w:val="0"/>
          <w:color w:val="auto"/>
          <w:spacing w:val="0"/>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spacing w:val="0"/>
          <w:kern w:val="0"/>
          <w:sz w:val="24"/>
          <w:szCs w:val="20"/>
          <w:highlight w:val="none"/>
          <w:u w:val="single"/>
          <w:lang w:eastAsia="zh-CN"/>
        </w:rPr>
        <w:t xml:space="preserve"> 14 </w:t>
      </w:r>
      <w:r>
        <w:rPr>
          <w:rFonts w:hint="eastAsia" w:ascii="宋体" w:hAnsi="宋体" w:eastAsia="宋体" w:cs="宋体"/>
          <w:snapToGrid w:val="0"/>
          <w:color w:val="auto"/>
          <w:spacing w:val="0"/>
          <w:kern w:val="0"/>
          <w:sz w:val="24"/>
          <w:szCs w:val="20"/>
          <w:highlight w:val="none"/>
          <w:lang w:eastAsia="zh-CN"/>
        </w:rPr>
        <w:t>天内将应返保证金（或银行保函）退还承包人。</w:t>
      </w:r>
    </w:p>
    <w:p w14:paraId="34E8E44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b/>
          <w:bCs/>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3.9</w:t>
      </w:r>
      <w:r>
        <w:rPr>
          <w:rFonts w:hint="eastAsia" w:ascii="宋体" w:hAnsi="宋体" w:eastAsia="宋体" w:cs="宋体"/>
          <w:snapToGrid w:val="0"/>
          <w:color w:val="auto"/>
          <w:spacing w:val="0"/>
          <w:kern w:val="0"/>
          <w:sz w:val="24"/>
          <w:szCs w:val="20"/>
          <w:highlight w:val="none"/>
          <w:lang w:eastAsia="zh-CN"/>
        </w:rPr>
        <w:t xml:space="preserve"> </w:t>
      </w:r>
      <w:r>
        <w:rPr>
          <w:rFonts w:hint="eastAsia" w:ascii="宋体" w:hAnsi="宋体" w:eastAsia="宋体" w:cs="宋体"/>
          <w:b/>
          <w:bCs/>
          <w:snapToGrid w:val="0"/>
          <w:color w:val="auto"/>
          <w:spacing w:val="0"/>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29E4152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10</w:t>
      </w:r>
      <w:r>
        <w:rPr>
          <w:rFonts w:hint="eastAsia" w:ascii="宋体" w:hAnsi="宋体" w:eastAsia="宋体" w:cs="宋体"/>
          <w:snapToGrid w:val="0"/>
          <w:color w:val="auto"/>
          <w:spacing w:val="0"/>
          <w:kern w:val="0"/>
          <w:sz w:val="24"/>
          <w:szCs w:val="20"/>
          <w:highlight w:val="none"/>
          <w:lang w:eastAsia="zh-CN"/>
        </w:rPr>
        <w:t>暂列金额支付方式：</w:t>
      </w:r>
      <w:r>
        <w:rPr>
          <w:rFonts w:hint="eastAsia" w:ascii="宋体" w:hAnsi="宋体" w:eastAsia="宋体" w:cs="宋体"/>
          <w:snapToGrid w:val="0"/>
          <w:color w:val="auto"/>
          <w:spacing w:val="0"/>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确认后支付至该部分实际完成工程量的（80％），其余部分待结算完成审核后支付至 97%，剩余 3%为工程质量保修金。</w:t>
      </w:r>
    </w:p>
    <w:p w14:paraId="55820C9F">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u w:val="single"/>
          <w:lang w:eastAsia="zh-CN"/>
        </w:rPr>
      </w:pPr>
      <w:r>
        <w:rPr>
          <w:rFonts w:hint="eastAsia" w:ascii="宋体" w:hAnsi="宋体" w:eastAsia="宋体" w:cs="宋体"/>
          <w:b/>
          <w:bCs/>
          <w:snapToGrid w:val="0"/>
          <w:color w:val="auto"/>
          <w:spacing w:val="0"/>
          <w:kern w:val="0"/>
          <w:sz w:val="24"/>
          <w:szCs w:val="20"/>
          <w:highlight w:val="none"/>
          <w:lang w:eastAsia="zh-CN"/>
        </w:rPr>
        <w:t>3.11</w:t>
      </w:r>
      <w:r>
        <w:rPr>
          <w:rFonts w:hint="eastAsia" w:ascii="宋体" w:hAnsi="宋体" w:eastAsia="宋体" w:cs="宋体"/>
          <w:snapToGrid w:val="0"/>
          <w:color w:val="auto"/>
          <w:spacing w:val="0"/>
          <w:kern w:val="0"/>
          <w:sz w:val="24"/>
          <w:szCs w:val="20"/>
          <w:highlight w:val="none"/>
          <w:lang w:eastAsia="zh-CN"/>
        </w:rPr>
        <w:t xml:space="preserve"> 材料暂估价、专业工程暂估价支付方式：</w:t>
      </w:r>
      <w:r>
        <w:rPr>
          <w:rFonts w:hint="eastAsia" w:ascii="宋体" w:hAnsi="宋体" w:eastAsia="宋体" w:cs="宋体"/>
          <w:snapToGrid w:val="0"/>
          <w:color w:val="auto"/>
          <w:spacing w:val="0"/>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w:t>
      </w:r>
      <w:r>
        <w:rPr>
          <w:rFonts w:hint="eastAsia" w:ascii="宋体" w:hAnsi="宋体" w:eastAsia="宋体" w:cs="宋体"/>
          <w:snapToGrid w:val="0"/>
          <w:color w:val="auto"/>
          <w:spacing w:val="0"/>
          <w:kern w:val="0"/>
          <w:sz w:val="24"/>
          <w:szCs w:val="20"/>
          <w:highlight w:val="none"/>
          <w:u w:val="single"/>
          <w:lang w:val="en-US" w:eastAsia="zh-CN"/>
        </w:rPr>
        <w:t>14天内</w:t>
      </w:r>
      <w:r>
        <w:rPr>
          <w:rFonts w:hint="eastAsia" w:ascii="宋体" w:hAnsi="宋体" w:eastAsia="宋体" w:cs="宋体"/>
          <w:snapToGrid w:val="0"/>
          <w:color w:val="auto"/>
          <w:spacing w:val="0"/>
          <w:kern w:val="0"/>
          <w:sz w:val="24"/>
          <w:szCs w:val="20"/>
          <w:highlight w:val="none"/>
          <w:u w:val="single"/>
          <w:lang w:eastAsia="zh-CN"/>
        </w:rPr>
        <w:t>支付至8</w:t>
      </w:r>
      <w:r>
        <w:rPr>
          <w:rFonts w:hint="eastAsia" w:ascii="宋体" w:hAnsi="宋体" w:eastAsia="宋体" w:cs="宋体"/>
          <w:snapToGrid w:val="0"/>
          <w:color w:val="auto"/>
          <w:spacing w:val="0"/>
          <w:kern w:val="0"/>
          <w:sz w:val="24"/>
          <w:szCs w:val="20"/>
          <w:highlight w:val="none"/>
          <w:u w:val="single"/>
          <w:lang w:val="en-US" w:eastAsia="zh-CN"/>
        </w:rPr>
        <w:t>0</w:t>
      </w:r>
      <w:r>
        <w:rPr>
          <w:rFonts w:hint="eastAsia" w:ascii="宋体" w:hAnsi="宋体" w:eastAsia="宋体" w:cs="宋体"/>
          <w:snapToGrid w:val="0"/>
          <w:color w:val="auto"/>
          <w:spacing w:val="0"/>
          <w:kern w:val="0"/>
          <w:sz w:val="24"/>
          <w:szCs w:val="20"/>
          <w:highlight w:val="none"/>
          <w:u w:val="single"/>
          <w:lang w:eastAsia="zh-CN"/>
        </w:rPr>
        <w:t>%，剩余部分结算完成后支付至审定造价的97%，剩余3%为工程质量保修金。</w:t>
      </w:r>
    </w:p>
    <w:p w14:paraId="03CE8D5E">
      <w:pPr>
        <w:keepNext w:val="0"/>
        <w:keepLines w:val="0"/>
        <w:pageBreakBefore w:val="0"/>
        <w:wordWrap w:val="0"/>
        <w:overflowPunct/>
        <w:topLinePunct w:val="0"/>
        <w:bidi w:val="0"/>
        <w:spacing w:before="154" w:line="212" w:lineRule="auto"/>
        <w:ind w:left="486"/>
        <w:outlineLvl w:val="2"/>
        <w:rPr>
          <w:rFonts w:hint="eastAsia" w:ascii="宋体" w:hAnsi="宋体" w:eastAsia="宋体" w:cs="宋体"/>
          <w:b/>
          <w:bCs/>
          <w:color w:val="auto"/>
          <w:spacing w:val="0"/>
          <w:sz w:val="24"/>
          <w:szCs w:val="24"/>
          <w:highlight w:val="none"/>
        </w:rPr>
      </w:pPr>
      <w:bookmarkStart w:id="175" w:name="_Toc17236"/>
      <w:r>
        <w:rPr>
          <w:rFonts w:hint="eastAsia" w:ascii="宋体" w:hAnsi="宋体" w:eastAsia="宋体" w:cs="宋体"/>
          <w:b/>
          <w:bCs/>
          <w:color w:val="auto"/>
          <w:spacing w:val="0"/>
          <w:sz w:val="24"/>
          <w:szCs w:val="24"/>
          <w:highlight w:val="none"/>
        </w:rPr>
        <w:t>4 ．其他专用合同条款</w:t>
      </w:r>
      <w:bookmarkEnd w:id="175"/>
    </w:p>
    <w:p w14:paraId="3767369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 </w:t>
      </w:r>
      <w:r>
        <w:rPr>
          <w:rFonts w:hint="eastAsia" w:ascii="宋体" w:hAnsi="宋体" w:eastAsia="宋体" w:cs="宋体"/>
          <w:bCs/>
          <w:snapToGrid w:val="0"/>
          <w:color w:val="auto"/>
          <w:spacing w:val="0"/>
          <w:kern w:val="0"/>
          <w:sz w:val="24"/>
          <w:szCs w:val="24"/>
          <w:highlight w:val="none"/>
          <w:lang w:val="en-US" w:eastAsia="zh-CN"/>
        </w:rPr>
        <w:t xml:space="preserve">专业工程分包 </w:t>
      </w:r>
    </w:p>
    <w:p w14:paraId="4AABB09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633A9C8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w:t>
      </w:r>
      <w:r>
        <w:rPr>
          <w:rFonts w:hint="eastAsia" w:ascii="宋体" w:hAnsi="宋体" w:eastAsia="宋体" w:cs="宋体"/>
          <w:bCs/>
          <w:snapToGrid w:val="0"/>
          <w:color w:val="auto"/>
          <w:spacing w:val="0"/>
          <w:kern w:val="0"/>
          <w:sz w:val="24"/>
          <w:szCs w:val="24"/>
          <w:highlight w:val="none"/>
          <w:lang w:val="en-US" w:eastAsia="zh-CN"/>
        </w:rPr>
        <w:t xml:space="preserve"> 工人工资支付专用账户 </w:t>
      </w:r>
    </w:p>
    <w:p w14:paraId="2BA56F4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616AF16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7B3DAFF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35FB303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2A761C5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承包人应在工资专户开立后 2 个工作日内，将开户银行及其账号、开户协议等资料提交给发包人。 </w:t>
      </w:r>
    </w:p>
    <w:p w14:paraId="5A1A349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（1）用人单位应当在建设项目动工前，在建设项目所在地商业银行设立工人工资支付专用账户。 </w:t>
      </w:r>
    </w:p>
    <w:p w14:paraId="38E130C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（2）用人单位应当在用工之日起 15 日内为每一位工人办理个人银行账户。</w:t>
      </w:r>
    </w:p>
    <w:p w14:paraId="3EBAB9A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123FD3F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（4）用人单位应当按照“及时支付，按实结算”的原则，在规定日期前通过银行工人工资支付专用账户将工人工资直接支付到工人的个人银行账户，并按月将工人工资支付 明细表报施工总承包单位和建设单位备案。</w:t>
      </w:r>
    </w:p>
    <w:p w14:paraId="3980AE6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5D4615C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67064F7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4.3</w:t>
      </w:r>
      <w:r>
        <w:rPr>
          <w:rFonts w:hint="eastAsia" w:ascii="宋体" w:hAnsi="宋体" w:eastAsia="宋体" w:cs="宋体"/>
          <w:bCs/>
          <w:snapToGrid w:val="0"/>
          <w:color w:val="auto"/>
          <w:spacing w:val="0"/>
          <w:kern w:val="0"/>
          <w:sz w:val="24"/>
          <w:szCs w:val="24"/>
          <w:highlight w:val="none"/>
          <w:lang w:val="en-US" w:eastAsia="zh-CN"/>
        </w:rPr>
        <w:t xml:space="preserve"> 诚信登记 </w:t>
      </w:r>
    </w:p>
    <w:p w14:paraId="01BD25D5">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48F8B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w:t>
      </w:r>
      <w:r>
        <w:rPr>
          <w:rFonts w:hint="eastAsia" w:ascii="宋体" w:hAnsi="宋体" w:eastAsia="宋体" w:cs="宋体"/>
          <w:bCs/>
          <w:snapToGrid w:val="0"/>
          <w:color w:val="auto"/>
          <w:spacing w:val="0"/>
          <w:kern w:val="0"/>
          <w:sz w:val="24"/>
          <w:szCs w:val="24"/>
          <w:highlight w:val="none"/>
          <w:lang w:val="en-US" w:eastAsia="zh-CN"/>
        </w:rPr>
        <w:t xml:space="preserve"> 工期进度 </w:t>
      </w:r>
    </w:p>
    <w:p w14:paraId="3EE9CEB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4.4.1</w:t>
      </w:r>
      <w:r>
        <w:rPr>
          <w:rFonts w:hint="eastAsia" w:ascii="宋体" w:hAnsi="宋体" w:eastAsia="宋体" w:cs="宋体"/>
          <w:bCs/>
          <w:snapToGrid w:val="0"/>
          <w:color w:val="auto"/>
          <w:spacing w:val="0"/>
          <w:kern w:val="0"/>
          <w:sz w:val="24"/>
          <w:szCs w:val="24"/>
          <w:highlight w:val="none"/>
          <w:lang w:val="en-US" w:eastAsia="zh-CN"/>
        </w:rPr>
        <w:t xml:space="preserve"> 本招标项目施工标准工期为90个日历天，招标工期为</w:t>
      </w:r>
      <w:r>
        <w:rPr>
          <w:rFonts w:hint="eastAsia" w:ascii="宋体" w:hAnsi="宋体" w:eastAsia="宋体" w:cs="宋体"/>
          <w:bCs/>
          <w:snapToGrid w:val="0"/>
          <w:color w:val="auto"/>
          <w:spacing w:val="0"/>
          <w:kern w:val="0"/>
          <w:sz w:val="24"/>
          <w:szCs w:val="24"/>
          <w:highlight w:val="none"/>
          <w:u w:val="single"/>
          <w:lang w:val="en-US" w:eastAsia="zh-CN"/>
        </w:rPr>
        <w:t>90个日历天</w:t>
      </w:r>
      <w:r>
        <w:rPr>
          <w:rFonts w:hint="eastAsia" w:ascii="宋体" w:hAnsi="宋体" w:eastAsia="宋体" w:cs="宋体"/>
          <w:bCs/>
          <w:snapToGrid w:val="0"/>
          <w:color w:val="auto"/>
          <w:spacing w:val="0"/>
          <w:kern w:val="0"/>
          <w:sz w:val="24"/>
          <w:szCs w:val="24"/>
          <w:highlight w:val="none"/>
          <w:lang w:val="en-US" w:eastAsia="zh-CN"/>
        </w:rPr>
        <w:t xml:space="preserve">，承包人必须在招标工期内完成招标范围内的全部内容。 </w:t>
      </w:r>
    </w:p>
    <w:p w14:paraId="3770FB6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4.4.2</w:t>
      </w:r>
      <w:r>
        <w:rPr>
          <w:rFonts w:hint="eastAsia" w:ascii="宋体" w:hAnsi="宋体" w:eastAsia="宋体" w:cs="宋体"/>
          <w:bCs/>
          <w:snapToGrid w:val="0"/>
          <w:color w:val="auto"/>
          <w:spacing w:val="0"/>
          <w:kern w:val="0"/>
          <w:sz w:val="24"/>
          <w:szCs w:val="24"/>
          <w:highlight w:val="none"/>
          <w:lang w:val="en-US" w:eastAsia="zh-CN"/>
        </w:rPr>
        <w:t xml:space="preserve"> 施工工期从承包人收到监理单位签发的开工令之日起计，至竣工验收合格之日止。</w:t>
      </w:r>
    </w:p>
    <w:p w14:paraId="7C9BCA6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4.4.3</w:t>
      </w:r>
      <w:r>
        <w:rPr>
          <w:rFonts w:hint="eastAsia" w:ascii="宋体" w:hAnsi="宋体" w:eastAsia="宋体" w:cs="宋体"/>
          <w:bCs/>
          <w:snapToGrid w:val="0"/>
          <w:color w:val="auto"/>
          <w:spacing w:val="0"/>
          <w:kern w:val="0"/>
          <w:sz w:val="24"/>
          <w:szCs w:val="24"/>
          <w:highlight w:val="none"/>
          <w:lang w:val="en-US" w:eastAsia="zh-CN"/>
        </w:rPr>
        <w:t xml:space="preserve"> 工期奖罚 </w:t>
      </w:r>
    </w:p>
    <w:p w14:paraId="6A8B970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□竣工验收合格交付使用每提前</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天竣工；奖</w:t>
      </w:r>
      <w:r>
        <w:rPr>
          <w:rFonts w:hint="eastAsia" w:ascii="宋体" w:hAnsi="宋体" w:eastAsia="宋体" w:cs="宋体"/>
          <w:bCs/>
          <w:snapToGrid w:val="0"/>
          <w:color w:val="auto"/>
          <w:spacing w:val="0"/>
          <w:kern w:val="0"/>
          <w:sz w:val="24"/>
          <w:szCs w:val="24"/>
          <w:highlight w:val="none"/>
          <w:u w:val="single"/>
          <w:lang w:val="en-US" w:eastAsia="zh-CN"/>
        </w:rPr>
        <w:t xml:space="preserve">/ </w:t>
      </w:r>
      <w:r>
        <w:rPr>
          <w:rFonts w:hint="eastAsia" w:ascii="宋体" w:hAnsi="宋体" w:eastAsia="宋体" w:cs="宋体"/>
          <w:bCs/>
          <w:snapToGrid w:val="0"/>
          <w:color w:val="auto"/>
          <w:spacing w:val="0"/>
          <w:kern w:val="0"/>
          <w:sz w:val="24"/>
          <w:szCs w:val="24"/>
          <w:highlight w:val="none"/>
          <w:lang w:val="en-US" w:eastAsia="zh-CN"/>
        </w:rPr>
        <w:t>元，奖励金额不超过合同价款的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4D39AB31">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083A4E1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□按施工合同期约定,因承包人原因延误工期</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天内不处罚， 自第壹天起每延误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天竣工,罚元。处罚金额不超过合同价款的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2%～5%）且不超过万元，累计延误工期达到</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天，报请建设行政主管部门作不良行为记录，非承包方原因或不可抗力造成延误的除外。 </w:t>
      </w:r>
    </w:p>
    <w:p w14:paraId="3EF27B68">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3086D8F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37FC4DC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（3）承包人在进场后7天内提交施工进度计划，并注明主要施工节点时间，送监理单位及发包人审核后，作为工期考核的阶段性指标。</w:t>
      </w:r>
    </w:p>
    <w:p w14:paraId="7A57183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w:t>
      </w:r>
      <w:r>
        <w:rPr>
          <w:rFonts w:hint="eastAsia" w:ascii="宋体" w:hAnsi="宋体" w:eastAsia="宋体" w:cs="宋体"/>
          <w:bCs/>
          <w:snapToGrid w:val="0"/>
          <w:color w:val="auto"/>
          <w:spacing w:val="0"/>
          <w:kern w:val="0"/>
          <w:sz w:val="24"/>
          <w:szCs w:val="24"/>
          <w:highlight w:val="none"/>
          <w:lang w:val="en-US" w:eastAsia="zh-CN"/>
        </w:rPr>
        <w:t xml:space="preserve"> 项目管理机构 </w:t>
      </w:r>
    </w:p>
    <w:p w14:paraId="6855295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4.5.1</w:t>
      </w:r>
      <w:r>
        <w:rPr>
          <w:rFonts w:hint="eastAsia" w:ascii="宋体" w:hAnsi="宋体" w:eastAsia="宋体" w:cs="宋体"/>
          <w:bCs/>
          <w:snapToGrid w:val="0"/>
          <w:color w:val="auto"/>
          <w:spacing w:val="0"/>
          <w:kern w:val="0"/>
          <w:sz w:val="24"/>
          <w:szCs w:val="24"/>
          <w:highlight w:val="none"/>
          <w:lang w:val="en-US" w:eastAsia="zh-CN"/>
        </w:rPr>
        <w:t xml:space="preserve"> 承包人派驻的项目管理班子成员必须为其投标文件确定的人员，否则发包人有权终止合同。 </w:t>
      </w:r>
    </w:p>
    <w:p w14:paraId="31742E5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4.5.2</w:t>
      </w:r>
      <w:r>
        <w:rPr>
          <w:rFonts w:hint="eastAsia" w:ascii="宋体" w:hAnsi="宋体" w:eastAsia="宋体" w:cs="宋体"/>
          <w:bCs/>
          <w:snapToGrid w:val="0"/>
          <w:color w:val="auto"/>
          <w:spacing w:val="0"/>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3091A6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w:t>
      </w:r>
      <w:r>
        <w:rPr>
          <w:rFonts w:hint="eastAsia" w:ascii="宋体" w:hAnsi="宋体" w:eastAsia="宋体" w:cs="宋体"/>
          <w:bCs/>
          <w:snapToGrid w:val="0"/>
          <w:color w:val="auto"/>
          <w:spacing w:val="0"/>
          <w:kern w:val="0"/>
          <w:sz w:val="24"/>
          <w:szCs w:val="24"/>
          <w:highlight w:val="none"/>
          <w:lang w:val="en-US" w:eastAsia="zh-CN"/>
        </w:rPr>
        <w:t xml:space="preserve"> 现场管理 </w:t>
      </w:r>
    </w:p>
    <w:p w14:paraId="2DC91AE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4.6.1</w:t>
      </w:r>
      <w:r>
        <w:rPr>
          <w:rFonts w:hint="eastAsia" w:ascii="宋体" w:hAnsi="宋体" w:eastAsia="宋体" w:cs="宋体"/>
          <w:bCs/>
          <w:snapToGrid w:val="0"/>
          <w:color w:val="auto"/>
          <w:spacing w:val="0"/>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4EAB2CF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4.6.2</w:t>
      </w:r>
      <w:r>
        <w:rPr>
          <w:rFonts w:hint="eastAsia" w:ascii="宋体" w:hAnsi="宋体" w:eastAsia="宋体" w:cs="宋体"/>
          <w:bCs/>
          <w:snapToGrid w:val="0"/>
          <w:color w:val="auto"/>
          <w:spacing w:val="0"/>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w:t>
      </w:r>
    </w:p>
    <w:p w14:paraId="594EED2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4.6.3</w:t>
      </w:r>
      <w:r>
        <w:rPr>
          <w:rFonts w:hint="eastAsia" w:ascii="宋体" w:hAnsi="宋体" w:eastAsia="宋体" w:cs="宋体"/>
          <w:bCs/>
          <w:snapToGrid w:val="0"/>
          <w:color w:val="auto"/>
          <w:spacing w:val="0"/>
          <w:kern w:val="0"/>
          <w:sz w:val="24"/>
          <w:szCs w:val="24"/>
          <w:highlight w:val="none"/>
          <w:lang w:val="en-US" w:eastAsia="zh-CN"/>
        </w:rPr>
        <w:t xml:space="preserve"> 为保证施工现场的环境卫生，承包人在本招标项目施工过程中，所有的车辆必须按发包人规定的行车路线行驶。 </w:t>
      </w:r>
    </w:p>
    <w:p w14:paraId="78A34D7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4.7</w:t>
      </w:r>
      <w:r>
        <w:rPr>
          <w:rFonts w:hint="eastAsia" w:ascii="宋体" w:hAnsi="宋体" w:eastAsia="宋体" w:cs="宋体"/>
          <w:bCs/>
          <w:snapToGrid w:val="0"/>
          <w:color w:val="auto"/>
          <w:spacing w:val="0"/>
          <w:kern w:val="0"/>
          <w:sz w:val="24"/>
          <w:szCs w:val="24"/>
          <w:highlight w:val="none"/>
          <w:lang w:val="en-US" w:eastAsia="zh-CN"/>
        </w:rPr>
        <w:t xml:space="preserve"> 监督实施 </w:t>
      </w:r>
    </w:p>
    <w:p w14:paraId="3CA2F88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16A7FE1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4.8</w:t>
      </w:r>
      <w:r>
        <w:rPr>
          <w:rFonts w:hint="eastAsia" w:ascii="宋体" w:hAnsi="宋体" w:eastAsia="宋体" w:cs="宋体"/>
          <w:bCs/>
          <w:snapToGrid w:val="0"/>
          <w:color w:val="auto"/>
          <w:spacing w:val="0"/>
          <w:kern w:val="0"/>
          <w:sz w:val="24"/>
          <w:szCs w:val="24"/>
          <w:highlight w:val="none"/>
          <w:lang w:val="en-US" w:eastAsia="zh-CN"/>
        </w:rPr>
        <w:t xml:space="preserve"> 主材的采购和使用 </w:t>
      </w:r>
    </w:p>
    <w:p w14:paraId="02CBD75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5B72042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4.9 </w:t>
      </w:r>
      <w:r>
        <w:rPr>
          <w:rFonts w:hint="eastAsia" w:ascii="宋体" w:hAnsi="宋体" w:eastAsia="宋体" w:cs="宋体"/>
          <w:bCs/>
          <w:snapToGrid w:val="0"/>
          <w:color w:val="auto"/>
          <w:spacing w:val="0"/>
          <w:kern w:val="0"/>
          <w:sz w:val="24"/>
          <w:szCs w:val="24"/>
          <w:highlight w:val="none"/>
          <w:lang w:val="en-US" w:eastAsia="zh-CN"/>
        </w:rPr>
        <w:t xml:space="preserve">竣工资料移交 </w:t>
      </w:r>
    </w:p>
    <w:p w14:paraId="5075846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6A8E0B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w:t>
      </w:r>
      <w:r>
        <w:rPr>
          <w:rFonts w:hint="eastAsia" w:ascii="宋体" w:hAnsi="宋体" w:eastAsia="宋体" w:cs="宋体"/>
          <w:bCs/>
          <w:snapToGrid w:val="0"/>
          <w:color w:val="auto"/>
          <w:spacing w:val="0"/>
          <w:kern w:val="0"/>
          <w:sz w:val="24"/>
          <w:szCs w:val="24"/>
          <w:highlight w:val="none"/>
          <w:lang w:val="en-US" w:eastAsia="zh-CN"/>
        </w:rPr>
        <w:t xml:space="preserve"> 质量保证</w:t>
      </w:r>
    </w:p>
    <w:p w14:paraId="3B78019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4.10.1</w:t>
      </w:r>
      <w:r>
        <w:rPr>
          <w:rFonts w:hint="eastAsia" w:ascii="宋体" w:hAnsi="宋体" w:eastAsia="宋体" w:cs="宋体"/>
          <w:bCs/>
          <w:snapToGrid w:val="0"/>
          <w:color w:val="auto"/>
          <w:spacing w:val="0"/>
          <w:kern w:val="0"/>
          <w:sz w:val="24"/>
          <w:szCs w:val="24"/>
          <w:highlight w:val="none"/>
          <w:lang w:val="en-US" w:eastAsia="zh-CN"/>
        </w:rPr>
        <w:t xml:space="preserve"> 本招标项目缺陷责任期为</w:t>
      </w:r>
      <w:r>
        <w:rPr>
          <w:rFonts w:hint="eastAsia" w:ascii="宋体" w:hAnsi="宋体" w:eastAsia="宋体" w:cs="宋体"/>
          <w:bCs/>
          <w:snapToGrid w:val="0"/>
          <w:color w:val="auto"/>
          <w:spacing w:val="0"/>
          <w:kern w:val="0"/>
          <w:sz w:val="24"/>
          <w:szCs w:val="24"/>
          <w:highlight w:val="none"/>
          <w:u w:val="single"/>
          <w:lang w:val="en-US" w:eastAsia="zh-CN"/>
        </w:rPr>
        <w:t>2</w:t>
      </w:r>
      <w:r>
        <w:rPr>
          <w:rFonts w:hint="eastAsia" w:ascii="宋体" w:hAnsi="宋体" w:eastAsia="宋体" w:cs="宋体"/>
          <w:bCs/>
          <w:snapToGrid w:val="0"/>
          <w:color w:val="auto"/>
          <w:spacing w:val="0"/>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spacing w:val="0"/>
          <w:kern w:val="0"/>
          <w:sz w:val="24"/>
          <w:szCs w:val="24"/>
          <w:highlight w:val="none"/>
          <w:u w:val="single"/>
          <w:lang w:val="en-US" w:eastAsia="zh-CN"/>
        </w:rPr>
        <w:t>3%</w:t>
      </w:r>
      <w:r>
        <w:rPr>
          <w:rFonts w:hint="eastAsia" w:ascii="宋体" w:hAnsi="宋体" w:eastAsia="宋体" w:cs="宋体"/>
          <w:bCs/>
          <w:snapToGrid w:val="0"/>
          <w:color w:val="auto"/>
          <w:spacing w:val="0"/>
          <w:kern w:val="0"/>
          <w:sz w:val="24"/>
          <w:szCs w:val="24"/>
          <w:highlight w:val="none"/>
          <w:lang w:val="en-US" w:eastAsia="zh-CN"/>
        </w:rPr>
        <w:t xml:space="preserve">的质量保证。 </w:t>
      </w:r>
    </w:p>
    <w:p w14:paraId="311F6AE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4.10.2</w:t>
      </w:r>
      <w:r>
        <w:rPr>
          <w:rFonts w:hint="eastAsia" w:ascii="宋体" w:hAnsi="宋体" w:eastAsia="宋体" w:cs="宋体"/>
          <w:bCs/>
          <w:snapToGrid w:val="0"/>
          <w:color w:val="auto"/>
          <w:spacing w:val="0"/>
          <w:kern w:val="0"/>
          <w:sz w:val="24"/>
          <w:szCs w:val="24"/>
          <w:highlight w:val="none"/>
          <w:lang w:val="en-US" w:eastAsia="zh-CN"/>
        </w:rPr>
        <w:t xml:space="preserve"> 质量保证的形式包括质量保证金、质量保证担保、质量保证保险三种，由承包人自主选择。 </w:t>
      </w:r>
    </w:p>
    <w:p w14:paraId="2C87FD5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（1）采用质量保证金形式的，在结清审定总造价时一次性扣留相应金额作为质量保证金。</w:t>
      </w:r>
    </w:p>
    <w:p w14:paraId="2FF75A0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4EC623F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4.10.3</w:t>
      </w:r>
      <w:r>
        <w:rPr>
          <w:rFonts w:hint="eastAsia" w:ascii="宋体" w:hAnsi="宋体" w:eastAsia="宋体" w:cs="宋体"/>
          <w:bCs/>
          <w:snapToGrid w:val="0"/>
          <w:color w:val="auto"/>
          <w:spacing w:val="0"/>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74A821A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由他人原因造成的缺陷，发包人负责组织维修，承包人不承担费用，且发包人不得从质量保证中扣除费用。 </w:t>
      </w:r>
    </w:p>
    <w:p w14:paraId="0139271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4.10.4</w:t>
      </w:r>
      <w:r>
        <w:rPr>
          <w:rFonts w:hint="eastAsia" w:ascii="宋体" w:hAnsi="宋体" w:eastAsia="宋体" w:cs="宋体"/>
          <w:bCs/>
          <w:snapToGrid w:val="0"/>
          <w:color w:val="auto"/>
          <w:spacing w:val="0"/>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1B543EA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4.11</w:t>
      </w:r>
      <w:r>
        <w:rPr>
          <w:rFonts w:hint="eastAsia" w:ascii="宋体" w:hAnsi="宋体" w:eastAsia="宋体" w:cs="宋体"/>
          <w:bCs/>
          <w:snapToGrid w:val="0"/>
          <w:color w:val="auto"/>
          <w:spacing w:val="0"/>
          <w:kern w:val="0"/>
          <w:sz w:val="24"/>
          <w:szCs w:val="24"/>
          <w:highlight w:val="none"/>
          <w:lang w:val="en-US" w:eastAsia="zh-CN"/>
        </w:rPr>
        <w:t xml:space="preserve"> 不良行为处理 </w:t>
      </w:r>
    </w:p>
    <w:p w14:paraId="7029E080">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承包人及其有关人员有下列行为之一的，发包人应及时向建设行政主管部门报告。除按照有关法律、法规进行处罚外，不良行为将计入企业及有关个人诚信档案，并在韶关市住房和城乡建设管理局网站公示。 </w:t>
      </w:r>
    </w:p>
    <w:p w14:paraId="39C08121">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（1）转包、违法分包或违反投标承诺分包工程的； </w:t>
      </w:r>
    </w:p>
    <w:p w14:paraId="2578860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39A4E29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（3）投标文件确定的大型机械设备没有进入施工现场的； </w:t>
      </w:r>
    </w:p>
    <w:p w14:paraId="53EC92A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（4）与建设单位、监理单位串通，签认虚假工程量或工程造价的； </w:t>
      </w:r>
    </w:p>
    <w:p w14:paraId="49829B8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（5）项目经理施工现场管理不到位的； </w:t>
      </w:r>
    </w:p>
    <w:p w14:paraId="68A29D8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（6）项目经理在非本人资格证书注册单位从事工程项目施工管理的； </w:t>
      </w:r>
    </w:p>
    <w:p w14:paraId="5F2D2F18">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（7）项目经理同时承担超过一项工程项目的； </w:t>
      </w:r>
    </w:p>
    <w:p w14:paraId="69407B3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（8）违反有关法律、法规、规章规定的其它行为。 </w:t>
      </w:r>
    </w:p>
    <w:p w14:paraId="537156E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4.12 </w:t>
      </w:r>
      <w:r>
        <w:rPr>
          <w:rFonts w:hint="eastAsia" w:ascii="宋体" w:hAnsi="宋体" w:eastAsia="宋体" w:cs="宋体"/>
          <w:bCs/>
          <w:snapToGrid w:val="0"/>
          <w:color w:val="auto"/>
          <w:spacing w:val="0"/>
          <w:kern w:val="0"/>
          <w:sz w:val="24"/>
          <w:szCs w:val="24"/>
          <w:highlight w:val="none"/>
          <w:lang w:val="en-US" w:eastAsia="zh-CN"/>
        </w:rPr>
        <w:t xml:space="preserve">信用评价条款内容 </w:t>
      </w:r>
    </w:p>
    <w:p w14:paraId="144C0ED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7A0444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4.13</w:t>
      </w:r>
      <w:r>
        <w:rPr>
          <w:rFonts w:hint="eastAsia" w:ascii="宋体" w:hAnsi="宋体" w:eastAsia="宋体" w:cs="宋体"/>
          <w:bCs/>
          <w:snapToGrid w:val="0"/>
          <w:color w:val="auto"/>
          <w:spacing w:val="0"/>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0C22BE6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413F16A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4.14</w:t>
      </w:r>
      <w:r>
        <w:rPr>
          <w:rFonts w:hint="eastAsia" w:ascii="宋体" w:hAnsi="宋体" w:eastAsia="宋体" w:cs="宋体"/>
          <w:bCs/>
          <w:snapToGrid w:val="0"/>
          <w:color w:val="auto"/>
          <w:spacing w:val="0"/>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378D122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4.15</w:t>
      </w:r>
      <w:r>
        <w:rPr>
          <w:rFonts w:hint="eastAsia" w:ascii="宋体" w:hAnsi="宋体" w:eastAsia="宋体" w:cs="宋体"/>
          <w:bCs/>
          <w:snapToGrid w:val="0"/>
          <w:color w:val="auto"/>
          <w:spacing w:val="0"/>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spacing w:val="0"/>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spacing w:val="0"/>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583C9D0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4.16 </w:t>
      </w:r>
      <w:r>
        <w:rPr>
          <w:rFonts w:hint="eastAsia" w:ascii="宋体" w:hAnsi="宋体" w:eastAsia="宋体" w:cs="宋体"/>
          <w:bCs/>
          <w:snapToGrid w:val="0"/>
          <w:color w:val="auto"/>
          <w:spacing w:val="0"/>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7F6E753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4.17</w:t>
      </w:r>
      <w:r>
        <w:rPr>
          <w:rFonts w:hint="eastAsia" w:ascii="宋体" w:hAnsi="宋体" w:eastAsia="宋体" w:cs="宋体"/>
          <w:bCs/>
          <w:snapToGrid w:val="0"/>
          <w:color w:val="auto"/>
          <w:spacing w:val="0"/>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0B38018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4.18</w:t>
      </w:r>
      <w:r>
        <w:rPr>
          <w:rFonts w:hint="eastAsia" w:ascii="宋体" w:hAnsi="宋体" w:eastAsia="宋体" w:cs="宋体"/>
          <w:bCs/>
          <w:snapToGrid w:val="0"/>
          <w:color w:val="auto"/>
          <w:spacing w:val="0"/>
          <w:kern w:val="0"/>
          <w:sz w:val="24"/>
          <w:szCs w:val="24"/>
          <w:highlight w:val="none"/>
          <w:lang w:val="en-US" w:eastAsia="zh-CN"/>
        </w:rPr>
        <w:t xml:space="preserve"> 承包人中标后必须按规定及时缴交工人工资保证金、环保噪声排污费等。 </w:t>
      </w:r>
    </w:p>
    <w:p w14:paraId="0857BC9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4.19</w:t>
      </w:r>
      <w:r>
        <w:rPr>
          <w:rFonts w:hint="eastAsia" w:ascii="宋体" w:hAnsi="宋体" w:eastAsia="宋体" w:cs="宋体"/>
          <w:bCs/>
          <w:snapToGrid w:val="0"/>
          <w:color w:val="auto"/>
          <w:spacing w:val="0"/>
          <w:kern w:val="0"/>
          <w:sz w:val="24"/>
          <w:szCs w:val="24"/>
          <w:highlight w:val="none"/>
          <w:lang w:val="en-US" w:eastAsia="zh-CN"/>
        </w:rPr>
        <w:t xml:space="preserve"> 工程质量保修期按《中华人民共和国建筑法》、《建设工程质量管理条例》等相关规定实施。 </w:t>
      </w:r>
    </w:p>
    <w:p w14:paraId="77D7429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4.20</w:t>
      </w:r>
      <w:r>
        <w:rPr>
          <w:rFonts w:hint="eastAsia" w:ascii="宋体" w:hAnsi="宋体" w:eastAsia="宋体" w:cs="宋体"/>
          <w:bCs/>
          <w:snapToGrid w:val="0"/>
          <w:color w:val="auto"/>
          <w:spacing w:val="0"/>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0D9B0F5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1D38852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302AE38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654B66C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质量违约</w:t>
      </w:r>
    </w:p>
    <w:p w14:paraId="4CD010A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w:t>
      </w:r>
      <w:r>
        <w:rPr>
          <w:rFonts w:hint="eastAsia" w:ascii="宋体" w:hAnsi="宋体" w:eastAsia="宋体" w:cs="宋体"/>
          <w:bCs/>
          <w:snapToGrid w:val="0"/>
          <w:color w:val="auto"/>
          <w:spacing w:val="0"/>
          <w:kern w:val="0"/>
          <w:sz w:val="24"/>
          <w:szCs w:val="24"/>
          <w:highlight w:val="none"/>
          <w:lang w:val="en-US" w:eastAsia="zh-CN"/>
        </w:rPr>
        <w:t xml:space="preserve">材料违约处理：若发现材料不符合国家标准或发包人在技术规范中规定的标准， </w:t>
      </w:r>
    </w:p>
    <w:p w14:paraId="1753E9C7">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视为承包人违约，按现行《建设工程质量管理条例》处理。 </w:t>
      </w:r>
    </w:p>
    <w:p w14:paraId="1C50F20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4.24.1.1</w:t>
      </w:r>
      <w:r>
        <w:rPr>
          <w:rFonts w:hint="eastAsia" w:ascii="宋体" w:hAnsi="宋体" w:eastAsia="宋体" w:cs="宋体"/>
          <w:bCs/>
          <w:snapToGrid w:val="0"/>
          <w:color w:val="auto"/>
          <w:spacing w:val="0"/>
          <w:kern w:val="0"/>
          <w:sz w:val="24"/>
          <w:szCs w:val="24"/>
          <w:highlight w:val="none"/>
          <w:lang w:val="en-US" w:eastAsia="zh-CN"/>
        </w:rPr>
        <w:t xml:space="preserve"> 成品采购项目在采购前，承包人必须先行书面征求监理人、发包人的同意并 </w:t>
      </w:r>
    </w:p>
    <w:p w14:paraId="5B30E145">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一起看样定版后方能实施。未经监理人、发包人同意擅自先行采购和实施的，否则因不符 </w:t>
      </w:r>
    </w:p>
    <w:p w14:paraId="790339DA">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合设计要求返工造成的费用由承包人承担。</w:t>
      </w:r>
    </w:p>
    <w:p w14:paraId="41462E7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w:t>
      </w:r>
      <w:r>
        <w:rPr>
          <w:rFonts w:hint="eastAsia" w:ascii="宋体" w:hAnsi="宋体" w:eastAsia="宋体" w:cs="宋体"/>
          <w:b w:val="0"/>
          <w:bCs/>
          <w:snapToGrid w:val="0"/>
          <w:color w:val="auto"/>
          <w:spacing w:val="0"/>
          <w:kern w:val="0"/>
          <w:sz w:val="24"/>
          <w:szCs w:val="24"/>
          <w:highlight w:val="none"/>
          <w:lang w:val="en-US" w:eastAsia="zh-CN"/>
        </w:rPr>
        <w:t xml:space="preserve">工程质量违约： </w:t>
      </w:r>
    </w:p>
    <w:p w14:paraId="5F626AC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4.24.2.1</w:t>
      </w:r>
      <w:r>
        <w:rPr>
          <w:rFonts w:hint="eastAsia" w:ascii="宋体" w:hAnsi="宋体" w:eastAsia="宋体" w:cs="宋体"/>
          <w:b w:val="0"/>
          <w:bCs/>
          <w:snapToGrid w:val="0"/>
          <w:color w:val="auto"/>
          <w:spacing w:val="0"/>
          <w:kern w:val="0"/>
          <w:sz w:val="24"/>
          <w:szCs w:val="24"/>
          <w:highlight w:val="none"/>
          <w:lang w:val="en-US" w:eastAsia="zh-CN"/>
        </w:rPr>
        <w:t xml:space="preserve"> 在施工过程中经监理单位日常巡查或抽检发现未达到合格标准，责令承包人进 </w:t>
      </w:r>
    </w:p>
    <w:p w14:paraId="59759C7A">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行整改，如未按规定时间进行整改或整改不到位的，每次按 5000 元缴纳违约金给发包人，在进度款或结算款中一并扣除。 </w:t>
      </w:r>
    </w:p>
    <w:p w14:paraId="1715412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4.24.2.2</w:t>
      </w:r>
      <w:r>
        <w:rPr>
          <w:rFonts w:hint="eastAsia" w:ascii="宋体" w:hAnsi="宋体" w:eastAsia="宋体" w:cs="宋体"/>
          <w:b w:val="0"/>
          <w:bCs/>
          <w:snapToGrid w:val="0"/>
          <w:color w:val="auto"/>
          <w:spacing w:val="0"/>
          <w:kern w:val="0"/>
          <w:sz w:val="24"/>
          <w:szCs w:val="24"/>
          <w:highlight w:val="none"/>
          <w:lang w:val="en-US" w:eastAsia="zh-CN"/>
        </w:rPr>
        <w:t xml:space="preserve"> 工程质量标准须达到国家验收合格标准。如未达到合格标准，除无偿返工至合 </w:t>
      </w:r>
    </w:p>
    <w:p w14:paraId="7BA8B9E5">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格外，还要按合同价款的 1%向招标人支付质量违约金，工期不予顺延。 </w:t>
      </w:r>
    </w:p>
    <w:p w14:paraId="0B510C9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w:t>
      </w:r>
      <w:r>
        <w:rPr>
          <w:rFonts w:hint="eastAsia" w:ascii="宋体" w:hAnsi="宋体" w:eastAsia="宋体" w:cs="宋体"/>
          <w:b w:val="0"/>
          <w:bCs/>
          <w:snapToGrid w:val="0"/>
          <w:color w:val="auto"/>
          <w:spacing w:val="0"/>
          <w:kern w:val="0"/>
          <w:sz w:val="24"/>
          <w:szCs w:val="24"/>
          <w:highlight w:val="none"/>
          <w:lang w:val="en-US" w:eastAsia="zh-CN"/>
        </w:rPr>
        <w:t xml:space="preserve"> 重大责任事故违约 </w:t>
      </w:r>
    </w:p>
    <w:p w14:paraId="1CDBEDE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4.25.1</w:t>
      </w:r>
      <w:r>
        <w:rPr>
          <w:rFonts w:hint="eastAsia" w:ascii="宋体" w:hAnsi="宋体" w:eastAsia="宋体" w:cs="宋体"/>
          <w:b w:val="0"/>
          <w:bCs/>
          <w:snapToGrid w:val="0"/>
          <w:color w:val="auto"/>
          <w:spacing w:val="0"/>
          <w:kern w:val="0"/>
          <w:sz w:val="24"/>
          <w:szCs w:val="24"/>
          <w:highlight w:val="none"/>
          <w:lang w:val="en-US" w:eastAsia="zh-CN"/>
        </w:rPr>
        <w:t xml:space="preserve"> 承包人因违反国家安全质量法规及合同有关条款约定,出现火灾、坍塌、人员重 </w:t>
      </w:r>
    </w:p>
    <w:p w14:paraId="247FCA2A">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伤、死亡等重大责任事故,则承包人应承担全部损失,并按相关法规接受行政处罚；如造成发 </w:t>
      </w:r>
    </w:p>
    <w:p w14:paraId="67619836">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包人及对第三人利益的损害,该等损害赔偿责任均由承包人承担。 </w:t>
      </w:r>
    </w:p>
    <w:p w14:paraId="6ACAA94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w:t>
      </w:r>
      <w:r>
        <w:rPr>
          <w:rFonts w:hint="eastAsia" w:ascii="宋体" w:hAnsi="宋体" w:eastAsia="宋体" w:cs="宋体"/>
          <w:b w:val="0"/>
          <w:bCs/>
          <w:snapToGrid w:val="0"/>
          <w:color w:val="auto"/>
          <w:spacing w:val="0"/>
          <w:kern w:val="0"/>
          <w:sz w:val="24"/>
          <w:szCs w:val="24"/>
          <w:highlight w:val="none"/>
          <w:lang w:val="en-US" w:eastAsia="zh-CN"/>
        </w:rPr>
        <w:t xml:space="preserve"> 用工违约 </w:t>
      </w:r>
    </w:p>
    <w:p w14:paraId="6EE48BD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4.26.1</w:t>
      </w:r>
      <w:r>
        <w:rPr>
          <w:rFonts w:hint="eastAsia" w:ascii="宋体" w:hAnsi="宋体" w:eastAsia="宋体" w:cs="宋体"/>
          <w:b w:val="0"/>
          <w:bCs/>
          <w:snapToGrid w:val="0"/>
          <w:color w:val="auto"/>
          <w:spacing w:val="0"/>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1178E311">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扣农民工工资总金额 2 倍的标准向发包人缴纳惩罚性违约金。 </w:t>
      </w:r>
    </w:p>
    <w:p w14:paraId="03DC200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w:t>
      </w:r>
      <w:r>
        <w:rPr>
          <w:rFonts w:hint="eastAsia" w:ascii="宋体" w:hAnsi="宋体" w:eastAsia="宋体" w:cs="宋体"/>
          <w:b w:val="0"/>
          <w:bCs/>
          <w:snapToGrid w:val="0"/>
          <w:color w:val="auto"/>
          <w:spacing w:val="0"/>
          <w:kern w:val="0"/>
          <w:sz w:val="24"/>
          <w:szCs w:val="24"/>
          <w:highlight w:val="none"/>
          <w:lang w:val="en-US" w:eastAsia="zh-CN"/>
        </w:rPr>
        <w:t xml:space="preserve"> 安全文明施工违约 </w:t>
      </w:r>
    </w:p>
    <w:p w14:paraId="48BC0A4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4.27.1</w:t>
      </w:r>
      <w:r>
        <w:rPr>
          <w:rFonts w:hint="eastAsia" w:ascii="宋体" w:hAnsi="宋体" w:eastAsia="宋体" w:cs="宋体"/>
          <w:b w:val="0"/>
          <w:bCs/>
          <w:snapToGrid w:val="0"/>
          <w:color w:val="auto"/>
          <w:spacing w:val="0"/>
          <w:kern w:val="0"/>
          <w:sz w:val="24"/>
          <w:szCs w:val="24"/>
          <w:highlight w:val="none"/>
          <w:lang w:val="en-US" w:eastAsia="zh-CN"/>
        </w:rPr>
        <w:t xml:space="preserve"> 如承包人违反国家、广东省、发包人及合同关于安全文明施工的规定，但尚未造 </w:t>
      </w:r>
    </w:p>
    <w:p w14:paraId="4C24964C">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成安全责任事故，承包人应及时改正行为并赔偿相关方的损失，如未及时整改,针对每一违约 </w:t>
      </w:r>
    </w:p>
    <w:p w14:paraId="6D0ECE78">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行为每持续一天应缴纳违约金 1000.00 元。</w:t>
      </w:r>
    </w:p>
    <w:p w14:paraId="630C97C6">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27</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承包人必须接受发包人及监理单位组织的安全、文明施工的检查，检查中的不合 </w:t>
      </w:r>
    </w:p>
    <w:p w14:paraId="15BDFF04">
      <w:pPr>
        <w:keepNext w:val="0"/>
        <w:keepLines w:val="0"/>
        <w:pageBreakBefore w:val="0"/>
        <w:wordWrap w:val="0"/>
        <w:overflowPunct/>
        <w:topLinePunct w:val="0"/>
        <w:bidi w:val="0"/>
        <w:adjustRightInd w:val="0"/>
        <w:snapToGrid w:val="0"/>
        <w:spacing w:line="440" w:lineRule="exact"/>
        <w:ind w:left="0" w:leftChars="0" w:firstLine="0" w:firstLineChars="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格项目、安全隐患必须在规定的时间内整改完成，否则每拖延一天处以 2000.00 元人民币违约金，直至整改合格。 </w:t>
      </w:r>
    </w:p>
    <w:p w14:paraId="66889606">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val="0"/>
          <w:bCs/>
          <w:snapToGrid w:val="0"/>
          <w:color w:val="auto"/>
          <w:spacing w:val="0"/>
          <w:kern w:val="0"/>
          <w:sz w:val="24"/>
          <w:szCs w:val="24"/>
          <w:highlight w:val="none"/>
          <w:lang w:val="en-US" w:eastAsia="zh-CN"/>
        </w:rPr>
        <w:t xml:space="preserve"> 其他违约 </w:t>
      </w:r>
    </w:p>
    <w:p w14:paraId="362C07DD">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.1</w:t>
      </w:r>
      <w:r>
        <w:rPr>
          <w:rFonts w:hint="default" w:ascii="宋体" w:hAnsi="宋体" w:eastAsia="宋体" w:cs="宋体"/>
          <w:b w:val="0"/>
          <w:bCs/>
          <w:snapToGrid w:val="0"/>
          <w:color w:val="auto"/>
          <w:spacing w:val="0"/>
          <w:kern w:val="0"/>
          <w:sz w:val="24"/>
          <w:szCs w:val="24"/>
          <w:highlight w:val="none"/>
          <w:lang w:val="en-US" w:eastAsia="zh-CN"/>
        </w:rPr>
        <w:t xml:space="preserve"> 承包人安排在施工场地的主要管理人员（主要指项目经理、项目技术负责人和专 </w:t>
      </w:r>
    </w:p>
    <w:p w14:paraId="174C29CC">
      <w:pPr>
        <w:keepNext w:val="0"/>
        <w:keepLines w:val="0"/>
        <w:pageBreakBefore w:val="0"/>
        <w:wordWrap w:val="0"/>
        <w:overflowPunct/>
        <w:topLinePunct w:val="0"/>
        <w:bidi w:val="0"/>
        <w:adjustRightInd w:val="0"/>
        <w:snapToGrid w:val="0"/>
        <w:spacing w:line="440" w:lineRule="exact"/>
        <w:ind w:left="0" w:leftChars="0" w:firstLine="0" w:firstLineChars="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 </w:t>
      </w:r>
    </w:p>
    <w:p w14:paraId="7EA418FD">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中标人施工资料必须与形象进度同步。 </w:t>
      </w:r>
    </w:p>
    <w:p w14:paraId="038237B3">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.3</w:t>
      </w:r>
      <w:r>
        <w:rPr>
          <w:rFonts w:hint="default" w:ascii="宋体" w:hAnsi="宋体" w:eastAsia="宋体" w:cs="宋体"/>
          <w:b w:val="0"/>
          <w:bCs/>
          <w:snapToGrid w:val="0"/>
          <w:color w:val="auto"/>
          <w:spacing w:val="0"/>
          <w:kern w:val="0"/>
          <w:sz w:val="24"/>
          <w:szCs w:val="24"/>
          <w:highlight w:val="none"/>
          <w:lang w:val="en-US" w:eastAsia="zh-CN"/>
        </w:rPr>
        <w:t xml:space="preserve"> 承包人没有正当合理的理由中途退场，可扣除承包人已递交的所有履约风险保证 </w:t>
      </w:r>
    </w:p>
    <w:p w14:paraId="3F01E234">
      <w:pPr>
        <w:keepNext w:val="0"/>
        <w:keepLines w:val="0"/>
        <w:pageBreakBefore w:val="0"/>
        <w:wordWrap w:val="0"/>
        <w:overflowPunct/>
        <w:topLinePunct w:val="0"/>
        <w:bidi w:val="0"/>
        <w:adjustRightInd w:val="0"/>
        <w:snapToGrid w:val="0"/>
        <w:spacing w:line="440" w:lineRule="exact"/>
        <w:rPr>
          <w:rFonts w:hint="default" w:ascii="宋体" w:hAnsi="宋体" w:eastAsia="宋体" w:cs="宋体"/>
          <w:bCs/>
          <w:snapToGrid w:val="0"/>
          <w:color w:val="auto"/>
          <w:spacing w:val="0"/>
          <w:kern w:val="0"/>
          <w:sz w:val="24"/>
          <w:szCs w:val="24"/>
          <w:highlight w:val="none"/>
          <w:lang w:val="en-US" w:eastAsia="zh-CN" w:bidi="ar-SA"/>
        </w:rPr>
      </w:pPr>
      <w:r>
        <w:rPr>
          <w:rFonts w:hint="default" w:ascii="宋体" w:hAnsi="宋体" w:eastAsia="宋体" w:cs="宋体"/>
          <w:b w:val="0"/>
          <w:bCs/>
          <w:snapToGrid w:val="0"/>
          <w:color w:val="auto"/>
          <w:spacing w:val="0"/>
          <w:kern w:val="0"/>
          <w:sz w:val="24"/>
          <w:szCs w:val="24"/>
          <w:highlight w:val="none"/>
          <w:lang w:val="en-US" w:eastAsia="zh-CN"/>
        </w:rPr>
        <w:t>金。承包人因上述违约行为而须缴纳的违约金在工程进度款中或结算时一并扣除。</w:t>
      </w:r>
    </w:p>
    <w:p w14:paraId="18E30C8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bCs w:val="0"/>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5.其他合同条款由招标人与中标人自行协商约定</w:t>
      </w:r>
    </w:p>
    <w:p w14:paraId="24021A3E">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69163107">
      <w:pPr>
        <w:keepNext w:val="0"/>
        <w:keepLines w:val="0"/>
        <w:pageBreakBefore w:val="0"/>
        <w:wordWrap w:val="0"/>
        <w:overflowPunct/>
        <w:topLinePunct w:val="0"/>
        <w:bidi w:val="0"/>
        <w:spacing w:before="78" w:line="219" w:lineRule="auto"/>
        <w:ind w:left="3273"/>
        <w:outlineLvl w:val="0"/>
        <w:rPr>
          <w:rFonts w:hint="eastAsia" w:ascii="宋体" w:hAnsi="宋体" w:eastAsia="宋体" w:cs="宋体"/>
          <w:color w:val="auto"/>
          <w:spacing w:val="0"/>
          <w:highlight w:val="none"/>
        </w:rPr>
      </w:pPr>
      <w:bookmarkStart w:id="176" w:name="_Toc29657"/>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76"/>
    </w:p>
    <w:p w14:paraId="6C9EEF85">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1F239E7">
      <w:pPr>
        <w:keepNext w:val="0"/>
        <w:keepLines w:val="0"/>
        <w:pageBreakBefore w:val="0"/>
        <w:wordWrap w:val="0"/>
        <w:overflowPunct/>
        <w:topLinePunct w:val="0"/>
        <w:bidi w:val="0"/>
        <w:spacing w:before="78" w:line="221" w:lineRule="auto"/>
        <w:ind w:left="125"/>
        <w:outlineLvl w:val="2"/>
        <w:rPr>
          <w:rFonts w:hint="eastAsia" w:ascii="宋体" w:hAnsi="宋体" w:eastAsia="宋体" w:cs="宋体"/>
          <w:color w:val="auto"/>
          <w:spacing w:val="0"/>
          <w:sz w:val="24"/>
          <w:szCs w:val="24"/>
          <w:highlight w:val="none"/>
        </w:rPr>
      </w:pPr>
      <w:bookmarkStart w:id="177" w:name="_Toc12281"/>
      <w:bookmarkStart w:id="178" w:name="_Toc10155"/>
      <w:r>
        <w:rPr>
          <w:rFonts w:hint="eastAsia" w:ascii="宋体" w:hAnsi="宋体" w:eastAsia="宋体" w:cs="宋体"/>
          <w:b/>
          <w:bCs/>
          <w:color w:val="auto"/>
          <w:spacing w:val="0"/>
          <w:sz w:val="24"/>
          <w:szCs w:val="24"/>
          <w:highlight w:val="none"/>
        </w:rPr>
        <w:t>1 ．房屋建筑工程建设项目</w:t>
      </w:r>
      <w:bookmarkEnd w:id="177"/>
      <w:bookmarkEnd w:id="178"/>
    </w:p>
    <w:p w14:paraId="1496492E">
      <w:pPr>
        <w:keepNext w:val="0"/>
        <w:keepLines w:val="0"/>
        <w:pageBreakBefore w:val="0"/>
        <w:wordWrap w:val="0"/>
        <w:overflowPunct/>
        <w:topLinePunct w:val="0"/>
        <w:bidi w:val="0"/>
        <w:spacing w:before="152"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3D61676F">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6816A0DA">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1CCF7965">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1A8D21BB">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3F21EA4F">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18CB280B">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34B7C21D">
      <w:pPr>
        <w:keepNext w:val="0"/>
        <w:keepLines w:val="0"/>
        <w:pageBreakBefore w:val="0"/>
        <w:wordWrap w:val="0"/>
        <w:overflowPunct/>
        <w:topLinePunct w:val="0"/>
        <w:bidi w:val="0"/>
        <w:spacing w:before="156"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4FB3893F">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5B26BF7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08FA59C3">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0E6780C4">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7D736F70">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3C82F182">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1C3ABED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9" w:name="_Toc16294"/>
      <w:bookmarkStart w:id="180" w:name="_Toc12084"/>
      <w:r>
        <w:rPr>
          <w:rFonts w:hint="eastAsia" w:ascii="宋体" w:hAnsi="宋体" w:eastAsia="宋体" w:cs="宋体"/>
          <w:color w:val="auto"/>
          <w:spacing w:val="0"/>
          <w:sz w:val="24"/>
          <w:szCs w:val="24"/>
          <w:highlight w:val="none"/>
        </w:rPr>
        <w:t>（14）《建筑与市政工程无障碍通用规范》 GB 55019-2021；</w:t>
      </w:r>
      <w:bookmarkEnd w:id="179"/>
      <w:bookmarkEnd w:id="180"/>
    </w:p>
    <w:p w14:paraId="7AF91AB3">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1" w:name="_Toc15158"/>
      <w:bookmarkStart w:id="182" w:name="_Toc1177"/>
      <w:r>
        <w:rPr>
          <w:rFonts w:hint="eastAsia" w:ascii="宋体" w:hAnsi="宋体" w:eastAsia="宋体" w:cs="宋体"/>
          <w:color w:val="auto"/>
          <w:spacing w:val="0"/>
          <w:sz w:val="24"/>
          <w:szCs w:val="24"/>
          <w:highlight w:val="none"/>
        </w:rPr>
        <w:t>（15）《建筑防火通用规范》GB 55037-2022;</w:t>
      </w:r>
      <w:bookmarkEnd w:id="181"/>
      <w:bookmarkEnd w:id="182"/>
    </w:p>
    <w:p w14:paraId="50391D11">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3" w:name="_Toc2461"/>
      <w:bookmarkStart w:id="184" w:name="_Toc24233"/>
      <w:r>
        <w:rPr>
          <w:rFonts w:hint="eastAsia" w:ascii="宋体" w:hAnsi="宋体" w:eastAsia="宋体" w:cs="宋体"/>
          <w:color w:val="auto"/>
          <w:spacing w:val="0"/>
          <w:sz w:val="24"/>
          <w:szCs w:val="24"/>
          <w:highlight w:val="none"/>
        </w:rPr>
        <w:t>（16）《建筑与市政工程抗震通用规范》GB55002-2001;</w:t>
      </w:r>
      <w:bookmarkEnd w:id="183"/>
      <w:bookmarkEnd w:id="184"/>
    </w:p>
    <w:p w14:paraId="0C154D2A">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5" w:name="_Toc8109"/>
      <w:bookmarkStart w:id="186" w:name="_Toc5777"/>
      <w:r>
        <w:rPr>
          <w:rFonts w:hint="eastAsia" w:ascii="宋体" w:hAnsi="宋体" w:eastAsia="宋体" w:cs="宋体"/>
          <w:color w:val="auto"/>
          <w:spacing w:val="0"/>
          <w:sz w:val="24"/>
          <w:szCs w:val="24"/>
          <w:highlight w:val="none"/>
        </w:rPr>
        <w:t>（17）《建筑与市政地基基础通用规范》GB55003-2001;</w:t>
      </w:r>
      <w:bookmarkEnd w:id="185"/>
      <w:bookmarkEnd w:id="186"/>
    </w:p>
    <w:p w14:paraId="456AE801">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78C4986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2CBC163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4069E260">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32B1C78D">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8FD972E">
      <w:pPr>
        <w:keepNext w:val="0"/>
        <w:keepLines w:val="0"/>
        <w:pageBreakBefore w:val="0"/>
        <w:wordWrap w:val="0"/>
        <w:overflowPunct/>
        <w:topLinePunct w:val="0"/>
        <w:bidi w:val="0"/>
        <w:spacing w:before="78" w:line="220" w:lineRule="auto"/>
        <w:ind w:left="115"/>
        <w:outlineLvl w:val="2"/>
        <w:rPr>
          <w:rFonts w:hint="eastAsia" w:ascii="宋体" w:hAnsi="宋体" w:eastAsia="宋体" w:cs="宋体"/>
          <w:color w:val="auto"/>
          <w:spacing w:val="0"/>
          <w:sz w:val="24"/>
          <w:szCs w:val="24"/>
          <w:highlight w:val="none"/>
        </w:rPr>
      </w:pPr>
      <w:bookmarkStart w:id="187" w:name="_Toc15652"/>
      <w:bookmarkStart w:id="188" w:name="_Toc25790"/>
      <w:r>
        <w:rPr>
          <w:rFonts w:hint="eastAsia" w:ascii="宋体" w:hAnsi="宋体" w:eastAsia="宋体" w:cs="宋体"/>
          <w:b/>
          <w:bCs/>
          <w:color w:val="auto"/>
          <w:spacing w:val="0"/>
          <w:sz w:val="24"/>
          <w:szCs w:val="24"/>
          <w:highlight w:val="none"/>
        </w:rPr>
        <w:t>2 ．市政基础设施工程建设项目</w:t>
      </w:r>
      <w:bookmarkEnd w:id="187"/>
      <w:bookmarkEnd w:id="188"/>
    </w:p>
    <w:p w14:paraId="0C6FBED2">
      <w:pPr>
        <w:keepNext w:val="0"/>
        <w:keepLines w:val="0"/>
        <w:pageBreakBefore w:val="0"/>
        <w:wordWrap w:val="0"/>
        <w:overflowPunct/>
        <w:topLinePunct w:val="0"/>
        <w:bidi w:val="0"/>
        <w:spacing w:before="154" w:line="22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10BD553E">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6723BE4B">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629333D2">
      <w:pPr>
        <w:keepNext w:val="0"/>
        <w:keepLines w:val="0"/>
        <w:pageBreakBefore w:val="0"/>
        <w:wordWrap w:val="0"/>
        <w:overflowPunct/>
        <w:topLinePunct w:val="0"/>
        <w:bidi w:val="0"/>
        <w:spacing w:before="154"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6D44CDFB">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4C646CED">
      <w:pPr>
        <w:keepNext w:val="0"/>
        <w:keepLines w:val="0"/>
        <w:pageBreakBefore w:val="0"/>
        <w:widowControl w:val="0"/>
        <w:kinsoku w:val="0"/>
        <w:wordWrap w:val="0"/>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3FA69717">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28C793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63A424C1">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2066336F">
      <w:pPr>
        <w:keepNext w:val="0"/>
        <w:keepLines w:val="0"/>
        <w:pageBreakBefore w:val="0"/>
        <w:widowControl w:val="0"/>
        <w:kinsoku w:val="0"/>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1466494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086C7BC6">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9" w:name="_Toc30781"/>
      <w:bookmarkStart w:id="190" w:name="_Toc8494"/>
      <w:r>
        <w:rPr>
          <w:rFonts w:hint="eastAsia" w:ascii="宋体" w:hAnsi="宋体" w:eastAsia="宋体" w:cs="宋体"/>
          <w:color w:val="auto"/>
          <w:spacing w:val="0"/>
          <w:sz w:val="24"/>
          <w:szCs w:val="24"/>
          <w:highlight w:val="none"/>
        </w:rPr>
        <w:t>（11）《建筑与市政工程无障碍通用规范》 GB 55019-2021；</w:t>
      </w:r>
      <w:bookmarkEnd w:id="189"/>
      <w:bookmarkEnd w:id="190"/>
    </w:p>
    <w:p w14:paraId="638F03E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1" w:name="_Toc31143"/>
      <w:bookmarkStart w:id="192" w:name="_Toc17383"/>
      <w:r>
        <w:rPr>
          <w:rFonts w:hint="eastAsia" w:ascii="宋体" w:hAnsi="宋体" w:eastAsia="宋体" w:cs="宋体"/>
          <w:color w:val="auto"/>
          <w:spacing w:val="0"/>
          <w:sz w:val="24"/>
          <w:szCs w:val="24"/>
          <w:highlight w:val="none"/>
        </w:rPr>
        <w:t>（12）《建筑防火通用规范》GB 55037-2022;</w:t>
      </w:r>
      <w:bookmarkEnd w:id="191"/>
      <w:bookmarkEnd w:id="192"/>
    </w:p>
    <w:p w14:paraId="4A96306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3" w:name="_Toc954"/>
      <w:bookmarkStart w:id="194" w:name="_Toc32476"/>
      <w:r>
        <w:rPr>
          <w:rFonts w:hint="eastAsia" w:ascii="宋体" w:hAnsi="宋体" w:eastAsia="宋体" w:cs="宋体"/>
          <w:color w:val="auto"/>
          <w:spacing w:val="0"/>
          <w:sz w:val="24"/>
          <w:szCs w:val="24"/>
          <w:highlight w:val="none"/>
        </w:rPr>
        <w:t>（13）《建筑与市政工程抗震通用规范》GB55002-2001;</w:t>
      </w:r>
      <w:bookmarkEnd w:id="193"/>
      <w:bookmarkEnd w:id="194"/>
    </w:p>
    <w:p w14:paraId="28D97854">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5" w:name="_Toc7185"/>
      <w:bookmarkStart w:id="196" w:name="_Toc27898"/>
      <w:r>
        <w:rPr>
          <w:rFonts w:hint="eastAsia" w:ascii="宋体" w:hAnsi="宋体" w:eastAsia="宋体" w:cs="宋体"/>
          <w:color w:val="auto"/>
          <w:spacing w:val="0"/>
          <w:sz w:val="24"/>
          <w:szCs w:val="24"/>
          <w:highlight w:val="none"/>
        </w:rPr>
        <w:t>（14）《建筑与市政地基基础通用规范》GB55003-2001;</w:t>
      </w:r>
      <w:bookmarkEnd w:id="195"/>
      <w:bookmarkEnd w:id="196"/>
    </w:p>
    <w:p w14:paraId="20CDCE05">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7" w:name="_Toc17281"/>
      <w:bookmarkStart w:id="198" w:name="_Toc29669"/>
      <w:r>
        <w:rPr>
          <w:rFonts w:hint="eastAsia" w:ascii="宋体" w:hAnsi="宋体" w:eastAsia="宋体" w:cs="宋体"/>
          <w:color w:val="auto"/>
          <w:spacing w:val="0"/>
          <w:sz w:val="24"/>
          <w:szCs w:val="24"/>
          <w:highlight w:val="none"/>
        </w:rPr>
        <w:t>（15）《城市道路照明设计标准》（CJJ45-2015）；</w:t>
      </w:r>
      <w:bookmarkEnd w:id="197"/>
      <w:bookmarkEnd w:id="198"/>
    </w:p>
    <w:p w14:paraId="5F82C4F5">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9" w:name="_Toc31812"/>
      <w:bookmarkStart w:id="200" w:name="_Toc9161"/>
      <w:r>
        <w:rPr>
          <w:rFonts w:hint="eastAsia" w:ascii="宋体" w:hAnsi="宋体" w:eastAsia="宋体" w:cs="宋体"/>
          <w:color w:val="auto"/>
          <w:spacing w:val="0"/>
          <w:sz w:val="24"/>
          <w:szCs w:val="24"/>
          <w:highlight w:val="none"/>
        </w:rPr>
        <w:t>（16）《低压配电设计规范》（GB50054-2011）；</w:t>
      </w:r>
      <w:bookmarkEnd w:id="199"/>
      <w:bookmarkEnd w:id="200"/>
    </w:p>
    <w:p w14:paraId="25C3CB4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201" w:name="_Toc18255"/>
      <w:bookmarkStart w:id="202" w:name="_Toc6405"/>
      <w:r>
        <w:rPr>
          <w:rFonts w:hint="eastAsia" w:ascii="宋体" w:hAnsi="宋体" w:eastAsia="宋体" w:cs="宋体"/>
          <w:color w:val="auto"/>
          <w:spacing w:val="0"/>
          <w:sz w:val="24"/>
          <w:szCs w:val="24"/>
          <w:highlight w:val="none"/>
        </w:rPr>
        <w:t>（17）《城市道路照明工程施工及验收规程》（CJJ89-2012）；</w:t>
      </w:r>
      <w:bookmarkEnd w:id="201"/>
      <w:bookmarkEnd w:id="202"/>
    </w:p>
    <w:p w14:paraId="20E4456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77986DBE">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7CDEE74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5BA4A095">
      <w:pPr>
        <w:keepNext w:val="0"/>
        <w:keepLines w:val="0"/>
        <w:pageBreakBefore w:val="0"/>
        <w:widowControl w:val="0"/>
        <w:kinsoku w:val="0"/>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6E802A76">
      <w:pPr>
        <w:pStyle w:val="5"/>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3B320CD8">
      <w:pPr>
        <w:pStyle w:val="5"/>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166169E2">
      <w:pPr>
        <w:keepNext w:val="0"/>
        <w:keepLines w:val="0"/>
        <w:pageBreakBefore w:val="0"/>
        <w:widowControl w:val="0"/>
        <w:kinsoku w:val="0"/>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pacing w:val="0"/>
          <w:sz w:val="24"/>
          <w:szCs w:val="24"/>
          <w:highlight w:val="none"/>
        </w:rPr>
      </w:pPr>
      <w:bookmarkStart w:id="203" w:name="_Toc21619"/>
      <w:bookmarkStart w:id="204" w:name="_Toc9200"/>
      <w:r>
        <w:rPr>
          <w:rFonts w:hint="eastAsia" w:ascii="宋体" w:hAnsi="宋体" w:eastAsia="宋体" w:cs="宋体"/>
          <w:b/>
          <w:bCs/>
          <w:color w:val="auto"/>
          <w:spacing w:val="0"/>
          <w:sz w:val="24"/>
          <w:szCs w:val="24"/>
          <w:highlight w:val="none"/>
        </w:rPr>
        <w:t>3 ．备查要求</w:t>
      </w:r>
      <w:bookmarkEnd w:id="203"/>
      <w:bookmarkEnd w:id="204"/>
    </w:p>
    <w:p w14:paraId="74EB3183">
      <w:pPr>
        <w:keepNext w:val="0"/>
        <w:keepLines w:val="0"/>
        <w:pageBreakBefore w:val="0"/>
        <w:widowControl w:val="0"/>
        <w:kinsoku w:val="0"/>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pacing w:val="0"/>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6B91EC14">
      <w:pPr>
        <w:keepNext w:val="0"/>
        <w:keepLines w:val="0"/>
        <w:pageBreakBefore w:val="0"/>
        <w:wordWrap w:val="0"/>
        <w:overflowPunct/>
        <w:topLinePunct w:val="0"/>
        <w:bidi w:val="0"/>
        <w:spacing w:before="78" w:line="219" w:lineRule="auto"/>
        <w:jc w:val="center"/>
        <w:outlineLvl w:val="0"/>
        <w:rPr>
          <w:rFonts w:hint="eastAsia" w:ascii="宋体" w:hAnsi="宋体" w:eastAsia="宋体" w:cs="宋体"/>
          <w:color w:val="auto"/>
          <w:spacing w:val="0"/>
          <w:highlight w:val="none"/>
        </w:rPr>
      </w:pPr>
      <w:bookmarkStart w:id="205" w:name="bookmark100"/>
      <w:bookmarkEnd w:id="205"/>
      <w:bookmarkStart w:id="206" w:name="bookmark146"/>
      <w:bookmarkEnd w:id="206"/>
      <w:bookmarkStart w:id="207" w:name="_Toc16118"/>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207"/>
    </w:p>
    <w:p w14:paraId="40DE79D0">
      <w:pPr>
        <w:pStyle w:val="5"/>
        <w:keepNext w:val="0"/>
        <w:keepLines w:val="0"/>
        <w:pageBreakBefore w:val="0"/>
        <w:wordWrap w:val="0"/>
        <w:overflowPunct/>
        <w:topLinePunct w:val="0"/>
        <w:bidi w:val="0"/>
        <w:spacing w:line="284" w:lineRule="auto"/>
        <w:rPr>
          <w:rFonts w:hint="eastAsia" w:ascii="宋体" w:hAnsi="宋体" w:eastAsia="宋体" w:cs="宋体"/>
          <w:color w:val="auto"/>
          <w:spacing w:val="0"/>
          <w:highlight w:val="none"/>
        </w:rPr>
      </w:pPr>
    </w:p>
    <w:p w14:paraId="138BD664">
      <w:pPr>
        <w:keepNext w:val="0"/>
        <w:keepLines w:val="0"/>
        <w:pageBreakBefore w:val="0"/>
        <w:wordWrap w:val="0"/>
        <w:overflowPunct/>
        <w:topLinePunct w:val="0"/>
        <w:bidi w:val="0"/>
        <w:spacing w:before="78" w:line="219"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5594EA27">
      <w:pPr>
        <w:pStyle w:val="5"/>
        <w:keepNext w:val="0"/>
        <w:keepLines w:val="0"/>
        <w:pageBreakBefore w:val="0"/>
        <w:wordWrap w:val="0"/>
        <w:overflowPunct/>
        <w:topLinePunct w:val="0"/>
        <w:bidi w:val="0"/>
        <w:spacing w:line="265" w:lineRule="auto"/>
        <w:rPr>
          <w:rFonts w:hint="eastAsia" w:ascii="宋体" w:hAnsi="宋体" w:eastAsia="宋体" w:cs="宋体"/>
          <w:color w:val="auto"/>
          <w:spacing w:val="0"/>
          <w:highlight w:val="none"/>
        </w:rPr>
      </w:pPr>
    </w:p>
    <w:p w14:paraId="3D4EFF2E">
      <w:pPr>
        <w:keepNext w:val="0"/>
        <w:keepLines w:val="0"/>
        <w:pageBreakBefore w:val="0"/>
        <w:wordWrap w:val="0"/>
        <w:overflowPunct/>
        <w:topLinePunct w:val="0"/>
        <w:bidi w:val="0"/>
        <w:spacing w:before="79" w:line="221" w:lineRule="auto"/>
        <w:ind w:left="705"/>
        <w:outlineLvl w:val="2"/>
        <w:rPr>
          <w:rFonts w:hint="eastAsia" w:ascii="宋体" w:hAnsi="宋体" w:eastAsia="宋体" w:cs="宋体"/>
          <w:b/>
          <w:bCs/>
          <w:color w:val="auto"/>
          <w:spacing w:val="0"/>
          <w:sz w:val="24"/>
          <w:szCs w:val="24"/>
          <w:highlight w:val="none"/>
        </w:rPr>
      </w:pPr>
      <w:bookmarkStart w:id="208" w:name="_Toc24446"/>
      <w:bookmarkStart w:id="209" w:name="_Toc26492"/>
      <w:r>
        <w:rPr>
          <w:rFonts w:hint="eastAsia" w:ascii="宋体" w:hAnsi="宋体" w:eastAsia="宋体" w:cs="宋体"/>
          <w:b/>
          <w:bCs/>
          <w:color w:val="auto"/>
          <w:spacing w:val="0"/>
          <w:sz w:val="24"/>
          <w:szCs w:val="24"/>
          <w:highlight w:val="none"/>
        </w:rPr>
        <w:t>1 ．图纸</w:t>
      </w:r>
      <w:bookmarkEnd w:id="208"/>
      <w:bookmarkEnd w:id="209"/>
    </w:p>
    <w:p w14:paraId="6E669487">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本招标项目的最高投标限价、工程量清单、</w:t>
      </w:r>
      <w:r>
        <w:rPr>
          <w:rFonts w:hint="eastAsia" w:ascii="宋体" w:hAnsi="宋体" w:eastAsia="宋体" w:cs="宋体"/>
          <w:color w:val="auto"/>
          <w:spacing w:val="0"/>
          <w:sz w:val="24"/>
          <w:szCs w:val="24"/>
          <w:highlight w:val="none"/>
          <w:lang w:val="en-US" w:eastAsia="zh-CN"/>
        </w:rPr>
        <w:t>施工图纸</w:t>
      </w:r>
      <w:r>
        <w:rPr>
          <w:rFonts w:hint="eastAsia" w:ascii="宋体" w:hAnsi="宋体" w:eastAsia="宋体" w:cs="宋体"/>
          <w:color w:val="auto"/>
          <w:spacing w:val="0"/>
          <w:sz w:val="24"/>
          <w:szCs w:val="24"/>
          <w:highlight w:val="none"/>
          <w:lang w:eastAsia="zh-CN"/>
        </w:rPr>
        <w:t>在投标截止时间15天前以补充公告的形式在广东省招标投标监管网（http://zbtb.gd.gov.cn）、全国公共资源交易平台（广东省·韶关市）（https://ygp.gdzwfw.gov.cn/ggzy-portal/#/440200/index）网站公布。</w:t>
      </w:r>
    </w:p>
    <w:p w14:paraId="517A6E8A">
      <w:pPr>
        <w:keepNext w:val="0"/>
        <w:keepLines w:val="0"/>
        <w:pageBreakBefore w:val="0"/>
        <w:wordWrap w:val="0"/>
        <w:overflowPunct/>
        <w:topLinePunct w:val="0"/>
        <w:bidi w:val="0"/>
        <w:spacing w:before="79" w:line="221" w:lineRule="auto"/>
        <w:ind w:left="705"/>
        <w:outlineLvl w:val="2"/>
        <w:rPr>
          <w:rFonts w:hint="eastAsia" w:ascii="宋体" w:hAnsi="宋体" w:eastAsia="宋体" w:cs="宋体"/>
          <w:color w:val="auto"/>
          <w:spacing w:val="0"/>
          <w:sz w:val="24"/>
          <w:szCs w:val="24"/>
          <w:highlight w:val="none"/>
        </w:rPr>
      </w:pPr>
      <w:bookmarkStart w:id="210" w:name="_Toc14061"/>
      <w:bookmarkStart w:id="211" w:name="_Toc9064"/>
      <w:r>
        <w:rPr>
          <w:rFonts w:hint="eastAsia" w:ascii="宋体" w:hAnsi="宋体" w:eastAsia="宋体" w:cs="宋体"/>
          <w:b/>
          <w:bCs/>
          <w:color w:val="auto"/>
          <w:spacing w:val="0"/>
          <w:sz w:val="24"/>
          <w:szCs w:val="24"/>
          <w:highlight w:val="none"/>
        </w:rPr>
        <w:t>2 ．招标工程量清单</w:t>
      </w:r>
      <w:bookmarkEnd w:id="210"/>
      <w:bookmarkEnd w:id="211"/>
    </w:p>
    <w:p w14:paraId="331EBA24">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eastAsia="zh-CN"/>
        </w:rPr>
        <w:t>本招标项目的最高投标限价、工程量清单、</w:t>
      </w:r>
      <w:r>
        <w:rPr>
          <w:rFonts w:hint="eastAsia" w:ascii="宋体" w:hAnsi="宋体" w:eastAsia="宋体" w:cs="宋体"/>
          <w:color w:val="auto"/>
          <w:spacing w:val="0"/>
          <w:sz w:val="24"/>
          <w:szCs w:val="24"/>
          <w:highlight w:val="none"/>
          <w:lang w:val="en-US" w:eastAsia="zh-CN"/>
        </w:rPr>
        <w:t>施工图纸</w:t>
      </w:r>
      <w:r>
        <w:rPr>
          <w:rFonts w:hint="eastAsia" w:ascii="宋体" w:hAnsi="宋体" w:eastAsia="宋体" w:cs="宋体"/>
          <w:color w:val="auto"/>
          <w:spacing w:val="0"/>
          <w:sz w:val="24"/>
          <w:szCs w:val="24"/>
          <w:highlight w:val="none"/>
          <w:lang w:eastAsia="zh-CN"/>
        </w:rPr>
        <w:t>在投标截止时间15天前以补充公告的形式在广东省招标投标监管网（http://zbtb.gd.gov.cn）、全国公共资源交易平台（广东省·韶关市）（https://ygp.gdzwfw.gov.cn/ggzy-portal/#/440200/index）网站公布。</w:t>
      </w:r>
    </w:p>
    <w:p w14:paraId="71370200">
      <w:pPr>
        <w:keepNext w:val="0"/>
        <w:keepLines w:val="0"/>
        <w:pageBreakBefore w:val="0"/>
        <w:wordWrap w:val="0"/>
        <w:overflowPunct/>
        <w:topLinePunct w:val="0"/>
        <w:bidi w:val="0"/>
        <w:spacing w:before="78" w:line="219" w:lineRule="auto"/>
        <w:ind w:left="478" w:firstLine="241" w:firstLineChars="100"/>
        <w:rPr>
          <w:rFonts w:hint="eastAsia" w:ascii="宋体" w:hAnsi="宋体" w:eastAsia="宋体" w:cs="宋体"/>
          <w:color w:val="auto"/>
          <w:spacing w:val="0"/>
          <w:sz w:val="24"/>
          <w:szCs w:val="24"/>
          <w:highlight w:val="none"/>
        </w:rPr>
      </w:pPr>
      <w:bookmarkStart w:id="212" w:name="bookmark147"/>
      <w:bookmarkEnd w:id="212"/>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lang w:val="en-US" w:eastAsia="zh-CN"/>
        </w:rPr>
        <w:t>最高投标限价</w:t>
      </w:r>
      <w:r>
        <w:rPr>
          <w:rFonts w:hint="eastAsia" w:ascii="宋体" w:hAnsi="宋体" w:eastAsia="宋体" w:cs="宋体"/>
          <w:color w:val="auto"/>
          <w:spacing w:val="0"/>
          <w:sz w:val="24"/>
          <w:szCs w:val="24"/>
          <w:highlight w:val="none"/>
        </w:rPr>
        <w:t>：</w:t>
      </w:r>
    </w:p>
    <w:p w14:paraId="2FA6E15A">
      <w:pPr>
        <w:keepNext w:val="0"/>
        <w:keepLines w:val="0"/>
        <w:pageBreakBefore w:val="0"/>
        <w:wordWrap w:val="0"/>
        <w:overflowPunct/>
        <w:topLinePunct w:val="0"/>
        <w:bidi w:val="0"/>
        <w:spacing w:before="12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0C255692">
      <w:pPr>
        <w:keepNext w:val="0"/>
        <w:keepLines w:val="0"/>
        <w:pageBreakBefore w:val="0"/>
        <w:wordWrap w:val="0"/>
        <w:overflowPunct/>
        <w:topLinePunct w:val="0"/>
        <w:bidi w:val="0"/>
        <w:spacing w:before="115" w:line="299"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最高投标限价</w:t>
      </w:r>
      <w:r>
        <w:rPr>
          <w:rFonts w:hint="eastAsia" w:ascii="宋体" w:hAnsi="宋体" w:eastAsia="宋体" w:cs="宋体"/>
          <w:color w:val="auto"/>
          <w:spacing w:val="0"/>
          <w:sz w:val="24"/>
          <w:szCs w:val="24"/>
          <w:highlight w:val="none"/>
        </w:rPr>
        <w:t>的补充和(或)修改文件。</w:t>
      </w:r>
    </w:p>
    <w:p w14:paraId="6D9377F7">
      <w:pPr>
        <w:keepNext w:val="0"/>
        <w:keepLines w:val="0"/>
        <w:pageBreakBefore w:val="0"/>
        <w:wordWrap w:val="0"/>
        <w:overflowPunct/>
        <w:topLinePunct w:val="0"/>
        <w:bidi w:val="0"/>
        <w:spacing w:before="79" w:line="263"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1D34B209">
      <w:pPr>
        <w:keepNext w:val="0"/>
        <w:keepLines w:val="0"/>
        <w:pageBreakBefore w:val="0"/>
        <w:wordWrap w:val="0"/>
        <w:overflowPunct/>
        <w:topLinePunct w:val="0"/>
        <w:bidi w:val="0"/>
        <w:spacing w:before="118" w:line="265"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5CF0FFB">
      <w:pPr>
        <w:keepNext w:val="0"/>
        <w:keepLines w:val="0"/>
        <w:pageBreakBefore w:val="0"/>
        <w:wordWrap w:val="0"/>
        <w:overflowPunct/>
        <w:topLinePunct w:val="0"/>
        <w:bidi w:val="0"/>
        <w:spacing w:before="107" w:line="286" w:lineRule="auto"/>
        <w:ind w:right="4"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42FB2472">
      <w:pPr>
        <w:keepNext w:val="0"/>
        <w:keepLines w:val="0"/>
        <w:pageBreakBefore w:val="0"/>
        <w:wordWrap w:val="0"/>
        <w:overflowPunct/>
        <w:topLinePunct w:val="0"/>
        <w:bidi w:val="0"/>
        <w:spacing w:before="146" w:line="221"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40B27682">
      <w:pPr>
        <w:keepNext w:val="0"/>
        <w:keepLines w:val="0"/>
        <w:pageBreakBefore w:val="0"/>
        <w:wordWrap w:val="0"/>
        <w:overflowPunct/>
        <w:topLinePunct w:val="0"/>
        <w:bidi w:val="0"/>
        <w:spacing w:before="153"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7C2A1786">
      <w:pPr>
        <w:keepNext w:val="0"/>
        <w:keepLines w:val="0"/>
        <w:pageBreakBefore w:val="0"/>
        <w:wordWrap w:val="0"/>
        <w:overflowPunct/>
        <w:topLinePunct w:val="0"/>
        <w:bidi w:val="0"/>
        <w:spacing w:before="155"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5710DBDC">
      <w:pPr>
        <w:keepNext w:val="0"/>
        <w:keepLines w:val="0"/>
        <w:pageBreakBefore w:val="0"/>
        <w:wordWrap w:val="0"/>
        <w:overflowPunct/>
        <w:topLinePunct w:val="0"/>
        <w:bidi w:val="0"/>
        <w:spacing w:before="15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0F80802D">
      <w:pPr>
        <w:pStyle w:val="25"/>
        <w:rPr>
          <w:rFonts w:hint="eastAsia"/>
          <w:color w:val="auto"/>
          <w:highlight w:val="none"/>
        </w:rPr>
      </w:pPr>
    </w:p>
    <w:p w14:paraId="704FF51E">
      <w:pPr>
        <w:keepNext w:val="0"/>
        <w:keepLines w:val="0"/>
        <w:pageBreakBefore w:val="0"/>
        <w:wordWrap w:val="0"/>
        <w:overflowPunct/>
        <w:topLinePunct w:val="0"/>
        <w:bidi w:val="0"/>
        <w:spacing w:line="219" w:lineRule="auto"/>
        <w:rPr>
          <w:rFonts w:hint="eastAsia" w:ascii="宋体" w:hAnsi="宋体" w:eastAsia="宋体" w:cs="宋体"/>
          <w:color w:val="auto"/>
          <w:spacing w:val="0"/>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5B18D77">
      <w:pPr>
        <w:pStyle w:val="5"/>
        <w:keepNext w:val="0"/>
        <w:keepLines w:val="0"/>
        <w:pageBreakBefore w:val="0"/>
        <w:wordWrap w:val="0"/>
        <w:overflowPunct/>
        <w:topLinePunct w:val="0"/>
        <w:bidi w:val="0"/>
        <w:spacing w:line="304" w:lineRule="auto"/>
        <w:rPr>
          <w:rFonts w:hint="eastAsia" w:ascii="宋体" w:hAnsi="宋体" w:eastAsia="宋体" w:cs="宋体"/>
          <w:color w:val="auto"/>
          <w:spacing w:val="0"/>
          <w:highlight w:val="none"/>
        </w:rPr>
      </w:pPr>
    </w:p>
    <w:p w14:paraId="320ABF5E">
      <w:pPr>
        <w:keepNext w:val="0"/>
        <w:keepLines w:val="0"/>
        <w:pageBreakBefore w:val="0"/>
        <w:wordWrap w:val="0"/>
        <w:overflowPunct/>
        <w:topLinePunct w:val="0"/>
        <w:bidi w:val="0"/>
        <w:spacing w:before="78" w:line="219" w:lineRule="auto"/>
        <w:ind w:left="3357"/>
        <w:outlineLvl w:val="0"/>
        <w:rPr>
          <w:rFonts w:hint="eastAsia" w:ascii="宋体" w:hAnsi="宋体" w:eastAsia="宋体" w:cs="宋体"/>
          <w:color w:val="auto"/>
          <w:spacing w:val="0"/>
          <w:sz w:val="24"/>
          <w:szCs w:val="24"/>
          <w:highlight w:val="none"/>
        </w:rPr>
      </w:pPr>
      <w:bookmarkStart w:id="213" w:name="_Toc10748"/>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13"/>
    </w:p>
    <w:p w14:paraId="108D70A2">
      <w:pPr>
        <w:pStyle w:val="5"/>
        <w:keepNext w:val="0"/>
        <w:keepLines w:val="0"/>
        <w:pageBreakBefore w:val="0"/>
        <w:wordWrap w:val="0"/>
        <w:overflowPunct/>
        <w:topLinePunct w:val="0"/>
        <w:bidi w:val="0"/>
        <w:spacing w:line="302" w:lineRule="auto"/>
        <w:jc w:val="right"/>
        <w:rPr>
          <w:rFonts w:hint="eastAsia" w:ascii="宋体" w:hAnsi="宋体" w:eastAsia="宋体" w:cs="宋体"/>
          <w:color w:val="auto"/>
          <w:spacing w:val="0"/>
          <w:highlight w:val="none"/>
        </w:rPr>
      </w:pPr>
    </w:p>
    <w:p w14:paraId="4DDC91B4">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14" w:name="_Toc14166"/>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14"/>
    </w:p>
    <w:p w14:paraId="0E524F59">
      <w:pPr>
        <w:pStyle w:val="5"/>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43D4BE25">
      <w:pPr>
        <w:pStyle w:val="5"/>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039422E4">
      <w:pPr>
        <w:pStyle w:val="5"/>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29C68735">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49FB1910">
      <w:pPr>
        <w:pStyle w:val="5"/>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6ACBDB3">
      <w:pPr>
        <w:pStyle w:val="5"/>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D93FC12">
      <w:pPr>
        <w:pStyle w:val="5"/>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0F14CBA">
      <w:pPr>
        <w:pStyle w:val="5"/>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163AC3B">
      <w:pPr>
        <w:pStyle w:val="5"/>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591395C2">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3163AF90">
      <w:pPr>
        <w:pStyle w:val="5"/>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3FBD8E9">
      <w:pPr>
        <w:pStyle w:val="5"/>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447F174">
      <w:pPr>
        <w:keepNext w:val="0"/>
        <w:keepLines w:val="0"/>
        <w:pageBreakBefore w:val="0"/>
        <w:wordWrap w:val="0"/>
        <w:overflowPunct/>
        <w:topLinePunct w:val="0"/>
        <w:bidi w:val="0"/>
        <w:spacing w:before="152" w:line="223" w:lineRule="auto"/>
        <w:jc w:val="center"/>
        <w:rPr>
          <w:rFonts w:hint="eastAsia" w:ascii="宋体" w:hAnsi="宋体" w:eastAsia="宋体" w:cs="宋体"/>
          <w:b/>
          <w:bCs/>
          <w:color w:val="auto"/>
          <w:spacing w:val="0"/>
          <w:sz w:val="47"/>
          <w:szCs w:val="47"/>
          <w:highlight w:val="none"/>
        </w:rPr>
      </w:pPr>
      <w:bookmarkStart w:id="215" w:name="bookmark105"/>
      <w:bookmarkEnd w:id="215"/>
      <w:r>
        <w:rPr>
          <w:rFonts w:hint="eastAsia" w:ascii="宋体" w:hAnsi="宋体" w:eastAsia="宋体" w:cs="宋体"/>
          <w:b/>
          <w:bCs/>
          <w:color w:val="auto"/>
          <w:spacing w:val="0"/>
          <w:sz w:val="47"/>
          <w:szCs w:val="47"/>
          <w:highlight w:val="none"/>
        </w:rPr>
        <w:t>（商务标书／经济标书／施工组织设计）</w:t>
      </w:r>
    </w:p>
    <w:p w14:paraId="2ADA5A7F">
      <w:pPr>
        <w:keepNext w:val="0"/>
        <w:keepLines w:val="0"/>
        <w:pageBreakBefore w:val="0"/>
        <w:wordWrap w:val="0"/>
        <w:overflowPunct/>
        <w:topLinePunct w:val="0"/>
        <w:bidi w:val="0"/>
        <w:rPr>
          <w:rFonts w:hint="eastAsia"/>
          <w:color w:val="auto"/>
          <w:spacing w:val="0"/>
          <w:highlight w:val="none"/>
        </w:rPr>
      </w:pPr>
    </w:p>
    <w:p w14:paraId="6B5DD117">
      <w:pPr>
        <w:keepNext w:val="0"/>
        <w:keepLines w:val="0"/>
        <w:pageBreakBefore w:val="0"/>
        <w:wordWrap w:val="0"/>
        <w:overflowPunct/>
        <w:topLinePunct w:val="0"/>
        <w:bidi w:val="0"/>
        <w:rPr>
          <w:rFonts w:hint="eastAsia"/>
          <w:color w:val="auto"/>
          <w:spacing w:val="0"/>
          <w:highlight w:val="none"/>
        </w:rPr>
      </w:pPr>
    </w:p>
    <w:p w14:paraId="7DC912AF">
      <w:pPr>
        <w:keepNext w:val="0"/>
        <w:keepLines w:val="0"/>
        <w:pageBreakBefore w:val="0"/>
        <w:wordWrap w:val="0"/>
        <w:overflowPunct/>
        <w:topLinePunct w:val="0"/>
        <w:bidi w:val="0"/>
        <w:rPr>
          <w:rFonts w:hint="eastAsia"/>
          <w:color w:val="auto"/>
          <w:spacing w:val="0"/>
          <w:highlight w:val="none"/>
        </w:rPr>
      </w:pPr>
    </w:p>
    <w:p w14:paraId="2BD4D330">
      <w:pPr>
        <w:keepNext w:val="0"/>
        <w:keepLines w:val="0"/>
        <w:pageBreakBefore w:val="0"/>
        <w:wordWrap w:val="0"/>
        <w:overflowPunct/>
        <w:topLinePunct w:val="0"/>
        <w:bidi w:val="0"/>
        <w:rPr>
          <w:rFonts w:hint="eastAsia"/>
          <w:color w:val="auto"/>
          <w:spacing w:val="0"/>
          <w:highlight w:val="none"/>
        </w:rPr>
      </w:pPr>
    </w:p>
    <w:p w14:paraId="0BF08959">
      <w:pPr>
        <w:keepNext w:val="0"/>
        <w:keepLines w:val="0"/>
        <w:pageBreakBefore w:val="0"/>
        <w:wordWrap w:val="0"/>
        <w:overflowPunct/>
        <w:topLinePunct w:val="0"/>
        <w:bidi w:val="0"/>
        <w:rPr>
          <w:rFonts w:hint="eastAsia"/>
          <w:color w:val="auto"/>
          <w:spacing w:val="0"/>
          <w:highlight w:val="none"/>
        </w:rPr>
      </w:pPr>
    </w:p>
    <w:p w14:paraId="67068FD5">
      <w:pPr>
        <w:keepNext w:val="0"/>
        <w:keepLines w:val="0"/>
        <w:pageBreakBefore w:val="0"/>
        <w:wordWrap w:val="0"/>
        <w:overflowPunct/>
        <w:topLinePunct w:val="0"/>
        <w:bidi w:val="0"/>
        <w:rPr>
          <w:rFonts w:hint="eastAsia"/>
          <w:color w:val="auto"/>
          <w:spacing w:val="0"/>
          <w:highlight w:val="none"/>
        </w:rPr>
      </w:pPr>
    </w:p>
    <w:p w14:paraId="563B1485">
      <w:pPr>
        <w:keepNext w:val="0"/>
        <w:keepLines w:val="0"/>
        <w:pageBreakBefore w:val="0"/>
        <w:wordWrap w:val="0"/>
        <w:overflowPunct/>
        <w:topLinePunct w:val="0"/>
        <w:bidi w:val="0"/>
        <w:rPr>
          <w:rFonts w:hint="eastAsia"/>
          <w:color w:val="auto"/>
          <w:spacing w:val="0"/>
          <w:highlight w:val="none"/>
        </w:rPr>
      </w:pPr>
    </w:p>
    <w:p w14:paraId="479EE4DF">
      <w:pPr>
        <w:keepNext w:val="0"/>
        <w:keepLines w:val="0"/>
        <w:pageBreakBefore w:val="0"/>
        <w:wordWrap w:val="0"/>
        <w:overflowPunct/>
        <w:topLinePunct w:val="0"/>
        <w:bidi w:val="0"/>
        <w:rPr>
          <w:rFonts w:hint="eastAsia"/>
          <w:color w:val="auto"/>
          <w:spacing w:val="0"/>
          <w:highlight w:val="none"/>
        </w:rPr>
      </w:pPr>
    </w:p>
    <w:p w14:paraId="4635BE9B">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44D09C34">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49569E3E">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8F17F99">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0758164B">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20B3961">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6C9DADD8">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36419645">
      <w:pPr>
        <w:keepNext w:val="0"/>
        <w:keepLines w:val="0"/>
        <w:pageBreakBefore w:val="0"/>
        <w:wordWrap w:val="0"/>
        <w:overflowPunct/>
        <w:topLinePunct w:val="0"/>
        <w:bidi w:val="0"/>
        <w:rPr>
          <w:rFonts w:hint="eastAsia"/>
          <w:color w:val="auto"/>
          <w:spacing w:val="0"/>
          <w:highlight w:val="none"/>
        </w:rPr>
      </w:pPr>
    </w:p>
    <w:p w14:paraId="2D4929B5">
      <w:pPr>
        <w:keepNext w:val="0"/>
        <w:keepLines w:val="0"/>
        <w:pageBreakBefore w:val="0"/>
        <w:wordWrap w:val="0"/>
        <w:overflowPunct/>
        <w:topLinePunct w:val="0"/>
        <w:bidi w:val="0"/>
        <w:outlineLvl w:val="9"/>
        <w:rPr>
          <w:rFonts w:hint="eastAsia"/>
          <w:color w:val="auto"/>
          <w:spacing w:val="0"/>
          <w:highlight w:val="none"/>
        </w:rPr>
      </w:pPr>
    </w:p>
    <w:p w14:paraId="3B56D807">
      <w:pPr>
        <w:keepNext w:val="0"/>
        <w:keepLines w:val="0"/>
        <w:pageBreakBefore w:val="0"/>
        <w:wordWrap w:val="0"/>
        <w:overflowPunct/>
        <w:topLinePunct w:val="0"/>
        <w:bidi w:val="0"/>
        <w:spacing w:line="223" w:lineRule="auto"/>
        <w:rPr>
          <w:rFonts w:hint="eastAsia" w:ascii="宋体" w:hAnsi="宋体" w:eastAsia="宋体" w:cs="宋体"/>
          <w:color w:val="auto"/>
          <w:spacing w:val="0"/>
          <w:sz w:val="47"/>
          <w:szCs w:val="47"/>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5EDA534">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6" w:name="_Toc31651"/>
      <w:r>
        <w:rPr>
          <w:rFonts w:hint="eastAsia" w:ascii="宋体" w:hAnsi="宋体" w:eastAsia="宋体" w:cs="宋体"/>
          <w:b/>
          <w:bCs/>
          <w:color w:val="auto"/>
          <w:spacing w:val="0"/>
          <w:sz w:val="24"/>
          <w:szCs w:val="24"/>
          <w:highlight w:val="none"/>
        </w:rPr>
        <w:t>格式二 投标函</w:t>
      </w:r>
      <w:bookmarkEnd w:id="216"/>
    </w:p>
    <w:p w14:paraId="4653C812">
      <w:pPr>
        <w:pStyle w:val="5"/>
        <w:keepNext w:val="0"/>
        <w:keepLines w:val="0"/>
        <w:pageBreakBefore w:val="0"/>
        <w:wordWrap w:val="0"/>
        <w:overflowPunct/>
        <w:topLinePunct w:val="0"/>
        <w:bidi w:val="0"/>
        <w:spacing w:line="261" w:lineRule="auto"/>
        <w:rPr>
          <w:rFonts w:hint="eastAsia" w:ascii="宋体" w:hAnsi="宋体" w:eastAsia="宋体" w:cs="宋体"/>
          <w:color w:val="auto"/>
          <w:spacing w:val="0"/>
          <w:highlight w:val="none"/>
        </w:rPr>
      </w:pPr>
    </w:p>
    <w:p w14:paraId="5E281E09">
      <w:pPr>
        <w:keepNext w:val="0"/>
        <w:keepLines w:val="0"/>
        <w:pageBreakBefore w:val="0"/>
        <w:wordWrap w:val="0"/>
        <w:overflowPunct/>
        <w:topLinePunct w:val="0"/>
        <w:bidi w:val="0"/>
        <w:spacing w:before="97" w:line="221" w:lineRule="auto"/>
        <w:ind w:left="3799"/>
        <w:outlineLvl w:val="9"/>
        <w:rPr>
          <w:rFonts w:hint="eastAsia" w:ascii="宋体" w:hAnsi="宋体" w:eastAsia="宋体" w:cs="宋体"/>
          <w:color w:val="auto"/>
          <w:spacing w:val="0"/>
          <w:sz w:val="30"/>
          <w:szCs w:val="30"/>
          <w:highlight w:val="none"/>
        </w:rPr>
      </w:pPr>
      <w:bookmarkStart w:id="217" w:name="bookmark148"/>
      <w:bookmarkEnd w:id="217"/>
      <w:bookmarkStart w:id="218" w:name="_Toc317"/>
      <w:bookmarkStart w:id="219" w:name="_Toc297"/>
      <w:bookmarkStart w:id="220" w:name="_Toc2739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18"/>
      <w:bookmarkEnd w:id="219"/>
      <w:bookmarkEnd w:id="220"/>
    </w:p>
    <w:p w14:paraId="5058519E">
      <w:pPr>
        <w:pStyle w:val="5"/>
        <w:keepNext w:val="0"/>
        <w:keepLines w:val="0"/>
        <w:pageBreakBefore w:val="0"/>
        <w:wordWrap w:val="0"/>
        <w:overflowPunct/>
        <w:topLinePunct w:val="0"/>
        <w:bidi w:val="0"/>
        <w:spacing w:line="249" w:lineRule="auto"/>
        <w:rPr>
          <w:rFonts w:hint="eastAsia" w:ascii="宋体" w:hAnsi="宋体" w:eastAsia="宋体" w:cs="宋体"/>
          <w:color w:val="auto"/>
          <w:spacing w:val="0"/>
          <w:highlight w:val="none"/>
        </w:rPr>
      </w:pPr>
    </w:p>
    <w:p w14:paraId="7377E4CB">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35D207FA">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17B8476">
      <w:pPr>
        <w:keepNext w:val="0"/>
        <w:keepLines w:val="0"/>
        <w:pageBreakBefore w:val="0"/>
        <w:wordWrap w:val="0"/>
        <w:overflowPunct/>
        <w:topLinePunct w:val="0"/>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0CE05515">
      <w:pPr>
        <w:pStyle w:val="5"/>
        <w:keepNext w:val="0"/>
        <w:keepLines w:val="0"/>
        <w:pageBreakBefore w:val="0"/>
        <w:wordWrap w:val="0"/>
        <w:overflowPunct/>
        <w:topLinePunct w:val="0"/>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79EFB58A">
      <w:pPr>
        <w:keepNext w:val="0"/>
        <w:keepLines w:val="0"/>
        <w:pageBreakBefore w:val="0"/>
        <w:wordWrap w:val="0"/>
        <w:overflowPunct/>
        <w:topLinePunct w:val="0"/>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262C795E">
      <w:pPr>
        <w:keepNext w:val="0"/>
        <w:keepLines w:val="0"/>
        <w:pageBreakBefore w:val="0"/>
        <w:wordWrap w:val="0"/>
        <w:overflowPunct/>
        <w:topLinePunct w:val="0"/>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21" w:name="OLE_LINK34"/>
      <w:r>
        <w:rPr>
          <w:rFonts w:hint="eastAsia" w:ascii="宋体" w:hAnsi="宋体" w:eastAsia="宋体" w:cs="宋体"/>
          <w:color w:val="auto"/>
          <w:spacing w:val="0"/>
          <w:sz w:val="24"/>
          <w:szCs w:val="24"/>
          <w:highlight w:val="none"/>
          <w:u w:val="single"/>
          <w:lang w:val="en-US" w:eastAsia="zh-CN"/>
        </w:rPr>
        <w:t xml:space="preserve">     </w:t>
      </w:r>
      <w:bookmarkEnd w:id="221"/>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03EA8EED">
      <w:pPr>
        <w:keepNext w:val="0"/>
        <w:keepLines w:val="0"/>
        <w:pageBreakBefore w:val="0"/>
        <w:wordWrap w:val="0"/>
        <w:overflowPunct/>
        <w:topLinePunct w:val="0"/>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7B4B6437">
      <w:pPr>
        <w:keepNext w:val="0"/>
        <w:keepLines w:val="0"/>
        <w:pageBreakBefore w:val="0"/>
        <w:wordWrap w:val="0"/>
        <w:overflowPunct/>
        <w:topLinePunct w:val="0"/>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3979B06E">
      <w:pPr>
        <w:keepNext w:val="0"/>
        <w:keepLines w:val="0"/>
        <w:pageBreakBefore w:val="0"/>
        <w:wordWrap w:val="0"/>
        <w:overflowPunct/>
        <w:topLinePunct w:val="0"/>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4831B1DB">
      <w:pPr>
        <w:keepNext w:val="0"/>
        <w:keepLines w:val="0"/>
        <w:pageBreakBefore w:val="0"/>
        <w:wordWrap w:val="0"/>
        <w:overflowPunct/>
        <w:topLinePunct w:val="0"/>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790417FA">
      <w:pPr>
        <w:pStyle w:val="5"/>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401C91A1">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292A586F">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040DCA5C">
      <w:pPr>
        <w:keepNext w:val="0"/>
        <w:keepLines w:val="0"/>
        <w:pageBreakBefore w:val="0"/>
        <w:wordWrap w:val="0"/>
        <w:overflowPunct/>
        <w:topLinePunct w:val="0"/>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23924EFB">
      <w:pPr>
        <w:pStyle w:val="5"/>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4D6CE2C7">
      <w:pPr>
        <w:pStyle w:val="5"/>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60905307">
      <w:pPr>
        <w:keepNext w:val="0"/>
        <w:keepLines w:val="0"/>
        <w:pageBreakBefore w:val="0"/>
        <w:wordWrap w:val="0"/>
        <w:overflowPunct/>
        <w:topLinePunct w:val="0"/>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34905ABF">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1F5A1255">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0EF7BC2">
      <w:pPr>
        <w:keepNext w:val="0"/>
        <w:keepLines w:val="0"/>
        <w:pageBreakBefore w:val="0"/>
        <w:wordWrap w:val="0"/>
        <w:overflowPunct/>
        <w:topLinePunct w:val="0"/>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7F45B6B1">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B2AD65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2" w:name="_Toc18910"/>
      <w:r>
        <w:rPr>
          <w:rFonts w:hint="eastAsia" w:ascii="宋体" w:hAnsi="宋体" w:eastAsia="宋体" w:cs="宋体"/>
          <w:b/>
          <w:bCs/>
          <w:color w:val="auto"/>
          <w:spacing w:val="0"/>
          <w:sz w:val="24"/>
          <w:szCs w:val="24"/>
          <w:highlight w:val="none"/>
        </w:rPr>
        <w:t>格式三 各项承诺一览表</w:t>
      </w:r>
      <w:bookmarkEnd w:id="222"/>
    </w:p>
    <w:p w14:paraId="0E665270">
      <w:pPr>
        <w:pStyle w:val="5"/>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D14E87B">
      <w:pPr>
        <w:keepNext w:val="0"/>
        <w:keepLines w:val="0"/>
        <w:pageBreakBefore w:val="0"/>
        <w:wordWrap w:val="0"/>
        <w:overflowPunct/>
        <w:topLinePunct w:val="0"/>
        <w:bidi w:val="0"/>
        <w:spacing w:before="98" w:line="220" w:lineRule="auto"/>
        <w:ind w:left="3581"/>
        <w:outlineLvl w:val="9"/>
        <w:rPr>
          <w:rFonts w:hint="eastAsia" w:ascii="宋体" w:hAnsi="宋体" w:eastAsia="宋体" w:cs="宋体"/>
          <w:color w:val="auto"/>
          <w:spacing w:val="0"/>
          <w:sz w:val="30"/>
          <w:szCs w:val="30"/>
          <w:highlight w:val="none"/>
        </w:rPr>
      </w:pPr>
      <w:bookmarkStart w:id="223" w:name="bookmark149"/>
      <w:bookmarkEnd w:id="223"/>
      <w:bookmarkStart w:id="224" w:name="_Toc10326"/>
      <w:bookmarkStart w:id="225" w:name="_Toc4767"/>
      <w:bookmarkStart w:id="226" w:name="_Toc2936"/>
      <w:r>
        <w:rPr>
          <w:rFonts w:hint="eastAsia" w:ascii="宋体" w:hAnsi="宋体" w:eastAsia="宋体" w:cs="宋体"/>
          <w:b/>
          <w:bCs/>
          <w:color w:val="auto"/>
          <w:spacing w:val="0"/>
          <w:sz w:val="30"/>
          <w:szCs w:val="30"/>
          <w:highlight w:val="none"/>
        </w:rPr>
        <w:t>各项承诺一览表</w:t>
      </w:r>
      <w:bookmarkEnd w:id="224"/>
      <w:bookmarkEnd w:id="225"/>
      <w:bookmarkEnd w:id="226"/>
    </w:p>
    <w:p w14:paraId="2AD3AD2B">
      <w:pPr>
        <w:keepNext w:val="0"/>
        <w:keepLines w:val="0"/>
        <w:pageBreakBefore w:val="0"/>
        <w:wordWrap w:val="0"/>
        <w:overflowPunct/>
        <w:topLinePunct w:val="0"/>
        <w:bidi w:val="0"/>
        <w:spacing w:before="6"/>
        <w:rPr>
          <w:rFonts w:hint="eastAsia" w:ascii="宋体" w:hAnsi="宋体" w:eastAsia="宋体" w:cs="宋体"/>
          <w:color w:val="auto"/>
          <w:spacing w:val="0"/>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6EC70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63270FDA">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1675" w:type="dxa"/>
            <w:vAlign w:val="top"/>
          </w:tcPr>
          <w:p w14:paraId="57B88BBA">
            <w:pPr>
              <w:keepNext w:val="0"/>
              <w:keepLines w:val="0"/>
              <w:pageBreakBefore w:val="0"/>
              <w:widowControl/>
              <w:kinsoku w:val="0"/>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承诺事项</w:t>
            </w:r>
          </w:p>
        </w:tc>
        <w:tc>
          <w:tcPr>
            <w:tcW w:w="3107" w:type="dxa"/>
            <w:vAlign w:val="top"/>
          </w:tcPr>
          <w:p w14:paraId="1CA787B9">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承诺内容</w:t>
            </w:r>
          </w:p>
        </w:tc>
        <w:tc>
          <w:tcPr>
            <w:tcW w:w="4272" w:type="dxa"/>
            <w:vAlign w:val="top"/>
          </w:tcPr>
          <w:p w14:paraId="79F880E8">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违约承诺</w:t>
            </w:r>
          </w:p>
        </w:tc>
      </w:tr>
      <w:tr w14:paraId="6E218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8712CEF">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675" w:type="dxa"/>
            <w:vAlign w:val="center"/>
          </w:tcPr>
          <w:p w14:paraId="6C43D1A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自愿接受招标文件条款的承诺</w:t>
            </w:r>
          </w:p>
        </w:tc>
        <w:tc>
          <w:tcPr>
            <w:tcW w:w="3107" w:type="dxa"/>
            <w:vAlign w:val="top"/>
          </w:tcPr>
          <w:p w14:paraId="21580951">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2CAADE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我方自愿接受招标文件的所有条款，所递交的投标文件已 经充分响应招标文件的实质性要求。</w:t>
            </w:r>
          </w:p>
        </w:tc>
        <w:tc>
          <w:tcPr>
            <w:tcW w:w="4272" w:type="dxa"/>
            <w:vAlign w:val="top"/>
          </w:tcPr>
          <w:p w14:paraId="57C733C5">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如果我方的投标文件未响应、违反、偏 离招标文件的实质性要求，我方接受招标人或其授权的招标代理机构或其组建的评标委员会依据招标文件作出的相应处理，包括否决投标。</w:t>
            </w:r>
          </w:p>
        </w:tc>
      </w:tr>
      <w:tr w14:paraId="25600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D3B31D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675" w:type="dxa"/>
            <w:vAlign w:val="center"/>
          </w:tcPr>
          <w:p w14:paraId="2329DF0B">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无禁止投标情形的承诺</w:t>
            </w:r>
          </w:p>
        </w:tc>
        <w:tc>
          <w:tcPr>
            <w:tcW w:w="3107" w:type="dxa"/>
            <w:vAlign w:val="top"/>
          </w:tcPr>
          <w:p w14:paraId="7207E677">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B594A4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293EE7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我方不存在招标文件第一 章第三节第 </w:t>
            </w:r>
            <w:r>
              <w:rPr>
                <w:rFonts w:hint="eastAsia" w:ascii="宋体" w:hAnsi="宋体" w:eastAsia="宋体" w:cs="宋体"/>
                <w:b/>
                <w:bCs/>
                <w:color w:val="auto"/>
                <w:spacing w:val="0"/>
                <w:sz w:val="21"/>
                <w:szCs w:val="21"/>
                <w:highlight w:val="none"/>
              </w:rPr>
              <w:t xml:space="preserve">2.4 </w:t>
            </w:r>
            <w:r>
              <w:rPr>
                <w:rFonts w:hint="eastAsia" w:ascii="宋体" w:hAnsi="宋体" w:eastAsia="宋体" w:cs="宋体"/>
                <w:color w:val="auto"/>
                <w:spacing w:val="0"/>
                <w:sz w:val="21"/>
                <w:szCs w:val="21"/>
                <w:highlight w:val="none"/>
              </w:rPr>
              <w:t>条“禁止投标条 款 ”规定的任何一种情形。</w:t>
            </w:r>
          </w:p>
        </w:tc>
        <w:tc>
          <w:tcPr>
            <w:tcW w:w="4272" w:type="dxa"/>
            <w:vAlign w:val="top"/>
          </w:tcPr>
          <w:p w14:paraId="11F1244E">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如果我方有招标文件第一章第三节第 </w:t>
            </w:r>
            <w:r>
              <w:rPr>
                <w:rFonts w:hint="eastAsia" w:ascii="宋体" w:hAnsi="宋体" w:eastAsia="宋体" w:cs="宋体"/>
                <w:b/>
                <w:bCs/>
                <w:color w:val="auto"/>
                <w:spacing w:val="0"/>
                <w:sz w:val="21"/>
                <w:szCs w:val="21"/>
                <w:highlight w:val="none"/>
              </w:rPr>
              <w:t xml:space="preserve">2.  4 </w:t>
            </w:r>
            <w:r>
              <w:rPr>
                <w:rFonts w:hint="eastAsia" w:ascii="宋体" w:hAnsi="宋体" w:eastAsia="宋体" w:cs="宋体"/>
                <w:color w:val="auto"/>
                <w:spacing w:val="0"/>
                <w:sz w:val="21"/>
                <w:szCs w:val="21"/>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774A2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5808393">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675" w:type="dxa"/>
            <w:vAlign w:val="center"/>
          </w:tcPr>
          <w:p w14:paraId="385E2D8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自觉抵制围标</w:t>
            </w:r>
          </w:p>
          <w:p w14:paraId="76CC9B58">
            <w:pPr>
              <w:keepNext w:val="0"/>
              <w:keepLines w:val="0"/>
              <w:pageBreakBefore w:val="0"/>
              <w:widowControl/>
              <w:kinsoku w:val="0"/>
              <w:wordWrap w:val="0"/>
              <w:overflowPunct/>
              <w:topLinePunct w:val="0"/>
              <w:autoSpaceDE w:val="0"/>
              <w:autoSpaceDN w:val="0"/>
              <w:bidi w:val="0"/>
              <w:adjustRightInd w:val="0"/>
              <w:snapToGrid w:val="0"/>
              <w:spacing w:before="131"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串标和弄虚</w:t>
            </w:r>
          </w:p>
          <w:p w14:paraId="2A736052">
            <w:pPr>
              <w:keepNext w:val="0"/>
              <w:keepLines w:val="0"/>
              <w:pageBreakBefore w:val="0"/>
              <w:widowControl/>
              <w:kinsoku w:val="0"/>
              <w:wordWrap w:val="0"/>
              <w:overflowPunct/>
              <w:topLinePunct w:val="0"/>
              <w:autoSpaceDE w:val="0"/>
              <w:autoSpaceDN w:val="0"/>
              <w:bidi w:val="0"/>
              <w:adjustRightInd w:val="0"/>
              <w:snapToGrid w:val="0"/>
              <w:spacing w:before="133"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作假行为的承诺</w:t>
            </w:r>
          </w:p>
        </w:tc>
        <w:tc>
          <w:tcPr>
            <w:tcW w:w="3107" w:type="dxa"/>
            <w:vAlign w:val="top"/>
          </w:tcPr>
          <w:p w14:paraId="780806E8">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F21337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我方合法正当、诚实守信地参与投标，不组织、不参加围标串标违法行为，不通过弄虚作假 行为骗取中标。</w:t>
            </w:r>
          </w:p>
        </w:tc>
        <w:tc>
          <w:tcPr>
            <w:tcW w:w="4272" w:type="dxa"/>
            <w:vAlign w:val="top"/>
          </w:tcPr>
          <w:p w14:paraId="2B371B69">
            <w:pPr>
              <w:keepNext w:val="0"/>
              <w:keepLines w:val="0"/>
              <w:pageBreakBefore w:val="0"/>
              <w:widowControl/>
              <w:kinsoku w:val="0"/>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7E0A5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B1E817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675" w:type="dxa"/>
            <w:vAlign w:val="center"/>
          </w:tcPr>
          <w:p w14:paraId="0CD0449B">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项目经理任职承诺</w:t>
            </w:r>
          </w:p>
        </w:tc>
        <w:tc>
          <w:tcPr>
            <w:tcW w:w="3107" w:type="dxa"/>
            <w:vAlign w:val="top"/>
          </w:tcPr>
          <w:p w14:paraId="55BDBCE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478FDFB8">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72666D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我方拟派项目经理现阶段没有担任任何在施（包括已中标 未开工、已开工未竣工）建设工程项目的项目经理。</w:t>
            </w:r>
          </w:p>
        </w:tc>
        <w:tc>
          <w:tcPr>
            <w:tcW w:w="4272" w:type="dxa"/>
            <w:vAlign w:val="top"/>
          </w:tcPr>
          <w:p w14:paraId="139521C8">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7B247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FD90CBD">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675" w:type="dxa"/>
            <w:vAlign w:val="center"/>
          </w:tcPr>
          <w:p w14:paraId="6B75068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3AF9E19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真实性承诺</w:t>
            </w:r>
          </w:p>
        </w:tc>
        <w:tc>
          <w:tcPr>
            <w:tcW w:w="3107" w:type="dxa"/>
            <w:vAlign w:val="top"/>
          </w:tcPr>
          <w:p w14:paraId="2247DC5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BF6DE15">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我方所递交投标文件的全部内容均为真实、有效、准确的。</w:t>
            </w:r>
          </w:p>
        </w:tc>
        <w:tc>
          <w:tcPr>
            <w:tcW w:w="4272" w:type="dxa"/>
            <w:vAlign w:val="top"/>
          </w:tcPr>
          <w:p w14:paraId="4C2A8709">
            <w:pPr>
              <w:keepNext w:val="0"/>
              <w:keepLines w:val="0"/>
              <w:pageBreakBefore w:val="0"/>
              <w:widowControl/>
              <w:kinsoku w:val="0"/>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37D45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534BB340">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r>
              <w:rPr>
                <w:rFonts w:hint="eastAsia" w:ascii="宋体" w:hAnsi="宋体" w:eastAsia="宋体" w:cs="宋体"/>
                <w:color w:val="auto"/>
                <w:spacing w:val="0"/>
                <w:sz w:val="21"/>
                <w:szCs w:val="21"/>
                <w:highlight w:val="none"/>
              </w:rPr>
              <w:drawing>
                <wp:anchor distT="0" distB="0" distL="114300" distR="114300" simplePos="0" relativeHeight="251664384"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4"/>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677AA14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4E0BBB79">
            <w:pPr>
              <w:keepNext w:val="0"/>
              <w:keepLines w:val="0"/>
              <w:pageBreakBefore w:val="0"/>
              <w:widowControl/>
              <w:kinsoku w:val="0"/>
              <w:wordWrap w:val="0"/>
              <w:overflowPunct/>
              <w:topLinePunct w:val="0"/>
              <w:autoSpaceDE w:val="0"/>
              <w:autoSpaceDN w:val="0"/>
              <w:bidi w:val="0"/>
              <w:adjustRightInd w:val="0"/>
              <w:snapToGrid w:val="0"/>
              <w:spacing w:before="132"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信息公开承诺</w:t>
            </w:r>
          </w:p>
        </w:tc>
        <w:tc>
          <w:tcPr>
            <w:tcW w:w="3107" w:type="dxa"/>
            <w:vAlign w:val="center"/>
          </w:tcPr>
          <w:p w14:paraId="6584F426">
            <w:pPr>
              <w:keepNext w:val="0"/>
              <w:keepLines w:val="0"/>
              <w:pageBreakBefore w:val="0"/>
              <w:widowControl/>
              <w:kinsoku w:val="0"/>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我方提供完整的文件。如果我方成为本项目中标候选人，我方同意并授权招标人在评标结果公示期内公开我方商务标书的全部内容。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5A98735B">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5D17DEC4">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4ECE4092">
            <w:pPr>
              <w:keepNext w:val="0"/>
              <w:keepLines w:val="0"/>
              <w:pageBreakBefore w:val="0"/>
              <w:widowControl/>
              <w:kinsoku w:val="0"/>
              <w:wordWrap w:val="0"/>
              <w:overflowPunct/>
              <w:topLinePunct w:val="0"/>
              <w:autoSpaceDE w:val="0"/>
              <w:autoSpaceDN w:val="0"/>
              <w:bidi w:val="0"/>
              <w:adjustRightInd w:val="0"/>
              <w:snapToGrid w:val="0"/>
              <w:spacing w:before="58"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07E61DAE">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pacing w:val="0"/>
                <w:sz w:val="21"/>
                <w:szCs w:val="21"/>
                <w:highlight w:val="none"/>
              </w:rPr>
            </w:pPr>
          </w:p>
        </w:tc>
      </w:tr>
      <w:tr w14:paraId="679ED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2B97AA7B">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675" w:type="dxa"/>
            <w:vAlign w:val="center"/>
          </w:tcPr>
          <w:p w14:paraId="7A27B5B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对不正常报价的确认承诺</w:t>
            </w:r>
          </w:p>
        </w:tc>
        <w:tc>
          <w:tcPr>
            <w:tcW w:w="3107" w:type="dxa"/>
            <w:vAlign w:val="top"/>
          </w:tcPr>
          <w:p w14:paraId="3865E805">
            <w:pPr>
              <w:keepNext w:val="0"/>
              <w:keepLines w:val="0"/>
              <w:pageBreakBefore w:val="0"/>
              <w:widowControl/>
              <w:kinsoku w:val="0"/>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579B9857">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535ED0B">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26304CF">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9FBFCE9">
            <w:pPr>
              <w:keepNext w:val="0"/>
              <w:keepLines w:val="0"/>
              <w:pageBreakBefore w:val="0"/>
              <w:widowControl/>
              <w:kinsoku w:val="0"/>
              <w:wordWrap w:val="0"/>
              <w:overflowPunct/>
              <w:topLinePunct w:val="0"/>
              <w:autoSpaceDE w:val="0"/>
              <w:autoSpaceDN w:val="0"/>
              <w:bidi w:val="0"/>
              <w:adjustRightInd w:val="0"/>
              <w:snapToGrid w:val="0"/>
              <w:spacing w:before="57"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2067E0E8">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pacing w:val="0"/>
                <w:sz w:val="21"/>
                <w:szCs w:val="21"/>
                <w:highlight w:val="none"/>
              </w:rPr>
            </w:pPr>
          </w:p>
        </w:tc>
      </w:tr>
      <w:tr w14:paraId="6CE62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89CE54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675" w:type="dxa"/>
            <w:vAlign w:val="center"/>
          </w:tcPr>
          <w:p w14:paraId="457FB6E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按时提交履约保证的承诺</w:t>
            </w:r>
          </w:p>
        </w:tc>
        <w:tc>
          <w:tcPr>
            <w:tcW w:w="3107" w:type="dxa"/>
            <w:vAlign w:val="top"/>
          </w:tcPr>
          <w:p w14:paraId="5F5CEB22">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4F3B3282">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如果我方中标，我方保证在招标文件规定的时限内全额提交履约保证。</w:t>
            </w:r>
          </w:p>
        </w:tc>
        <w:tc>
          <w:tcPr>
            <w:tcW w:w="4272" w:type="dxa"/>
            <w:vAlign w:val="top"/>
          </w:tcPr>
          <w:p w14:paraId="47DD2E85">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如果我方未在招标文件规定的时限内全 额提交履约保证，我方接受招标人依据招标文件作出的相应处理以及有关监督部门作出的行政处罚，并承担由此引起的一切法律后果。</w:t>
            </w:r>
          </w:p>
        </w:tc>
      </w:tr>
      <w:tr w14:paraId="134A8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4837EC2">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675" w:type="dxa"/>
            <w:vAlign w:val="center"/>
          </w:tcPr>
          <w:p w14:paraId="0CC562C1">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按时签订合同的承诺</w:t>
            </w:r>
          </w:p>
        </w:tc>
        <w:tc>
          <w:tcPr>
            <w:tcW w:w="3107" w:type="dxa"/>
            <w:vAlign w:val="top"/>
          </w:tcPr>
          <w:p w14:paraId="0C632CAA">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BAEFF7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 招标文件规定的时限内与招标人签订合同，不提出违背或超出招标文件、中标文件的要求。</w:t>
            </w:r>
          </w:p>
        </w:tc>
        <w:tc>
          <w:tcPr>
            <w:tcW w:w="4272" w:type="dxa"/>
            <w:vAlign w:val="top"/>
          </w:tcPr>
          <w:p w14:paraId="2A133EC5">
            <w:pPr>
              <w:keepNext w:val="0"/>
              <w:keepLines w:val="0"/>
              <w:pageBreakBefore w:val="0"/>
              <w:widowControl/>
              <w:kinsoku w:val="0"/>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4BC02F6D">
      <w:pPr>
        <w:keepNext w:val="0"/>
        <w:keepLines w:val="0"/>
        <w:pageBreakBefore w:val="0"/>
        <w:wordWrap w:val="0"/>
        <w:overflowPunct/>
        <w:topLinePunct w:val="0"/>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14BF07DF">
      <w:pPr>
        <w:keepNext w:val="0"/>
        <w:keepLines w:val="0"/>
        <w:pageBreakBefore w:val="0"/>
        <w:wordWrap w:val="0"/>
        <w:overflowPunct/>
        <w:topLinePunct w:val="0"/>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4321BDC7">
      <w:pPr>
        <w:pStyle w:val="5"/>
        <w:keepNext w:val="0"/>
        <w:keepLines w:val="0"/>
        <w:pageBreakBefore w:val="0"/>
        <w:wordWrap w:val="0"/>
        <w:overflowPunct/>
        <w:topLinePunct w:val="0"/>
        <w:bidi w:val="0"/>
        <w:spacing w:line="297" w:lineRule="auto"/>
        <w:jc w:val="right"/>
        <w:rPr>
          <w:rFonts w:hint="eastAsia" w:ascii="宋体" w:hAnsi="宋体" w:eastAsia="宋体" w:cs="宋体"/>
          <w:color w:val="auto"/>
          <w:spacing w:val="0"/>
          <w:highlight w:val="none"/>
        </w:rPr>
      </w:pPr>
    </w:p>
    <w:p w14:paraId="49C18438">
      <w:pPr>
        <w:keepNext w:val="0"/>
        <w:keepLines w:val="0"/>
        <w:pageBreakBefore w:val="0"/>
        <w:wordWrap w:val="0"/>
        <w:overflowPunct/>
        <w:topLinePunct w:val="0"/>
        <w:bidi w:val="0"/>
        <w:spacing w:before="78" w:line="219" w:lineRule="auto"/>
        <w:ind w:left="4366"/>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0F3D4B60">
      <w:pPr>
        <w:keepNext w:val="0"/>
        <w:keepLines w:val="0"/>
        <w:pageBreakBefore w:val="0"/>
        <w:wordWrap w:val="0"/>
        <w:overflowPunct/>
        <w:topLinePunct w:val="0"/>
        <w:bidi w:val="0"/>
        <w:outlineLvl w:val="9"/>
        <w:rPr>
          <w:rFonts w:hint="eastAsia"/>
          <w:color w:val="auto"/>
          <w:spacing w:val="0"/>
          <w:highlight w:val="none"/>
        </w:rPr>
      </w:pPr>
    </w:p>
    <w:p w14:paraId="5D3D4C8B">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4EBB41F0">
      <w:pPr>
        <w:keepNext w:val="0"/>
        <w:keepLines w:val="0"/>
        <w:pageBreakBefore w:val="0"/>
        <w:wordWrap w:val="0"/>
        <w:overflowPunct/>
        <w:topLinePunct w:val="0"/>
        <w:bidi w:val="0"/>
        <w:spacing w:line="220" w:lineRule="auto"/>
        <w:jc w:val="right"/>
        <w:rPr>
          <w:rFonts w:hint="eastAsia" w:ascii="宋体" w:hAnsi="宋体" w:eastAsia="宋体" w:cs="宋体"/>
          <w:color w:val="auto"/>
          <w:spacing w:val="0"/>
          <w:sz w:val="24"/>
          <w:szCs w:val="24"/>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4360305">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7" w:name="_Toc11578"/>
      <w:r>
        <w:rPr>
          <w:rFonts w:hint="eastAsia" w:ascii="宋体" w:hAnsi="宋体" w:eastAsia="宋体" w:cs="宋体"/>
          <w:b/>
          <w:bCs/>
          <w:color w:val="auto"/>
          <w:spacing w:val="0"/>
          <w:sz w:val="24"/>
          <w:szCs w:val="24"/>
          <w:highlight w:val="none"/>
        </w:rPr>
        <w:t>格式四 授权委托书</w:t>
      </w:r>
      <w:bookmarkEnd w:id="227"/>
    </w:p>
    <w:p w14:paraId="40EA9BD9">
      <w:pPr>
        <w:pStyle w:val="5"/>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4439AF07">
      <w:pPr>
        <w:pStyle w:val="5"/>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6C4DA302">
      <w:pPr>
        <w:keepNext w:val="0"/>
        <w:keepLines w:val="0"/>
        <w:pageBreakBefore w:val="0"/>
        <w:wordWrap w:val="0"/>
        <w:overflowPunct/>
        <w:topLinePunct w:val="0"/>
        <w:bidi w:val="0"/>
        <w:spacing w:before="97" w:line="219" w:lineRule="auto"/>
        <w:ind w:left="3786"/>
        <w:rPr>
          <w:rFonts w:hint="eastAsia" w:ascii="宋体" w:hAnsi="宋体" w:eastAsia="宋体" w:cs="宋体"/>
          <w:color w:val="auto"/>
          <w:spacing w:val="0"/>
          <w:sz w:val="30"/>
          <w:szCs w:val="30"/>
          <w:highlight w:val="none"/>
        </w:rPr>
      </w:pPr>
      <w:bookmarkStart w:id="228" w:name="bookmark151"/>
      <w:bookmarkEnd w:id="228"/>
      <w:r>
        <w:rPr>
          <w:rFonts w:hint="eastAsia" w:ascii="宋体" w:hAnsi="宋体" w:eastAsia="宋体" w:cs="宋体"/>
          <w:b/>
          <w:bCs/>
          <w:color w:val="auto"/>
          <w:spacing w:val="0"/>
          <w:sz w:val="30"/>
          <w:szCs w:val="30"/>
          <w:highlight w:val="none"/>
        </w:rPr>
        <w:t>授权委托书</w:t>
      </w:r>
    </w:p>
    <w:p w14:paraId="5A539CBD">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3FBA9931">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44AE9916">
      <w:pPr>
        <w:pStyle w:val="5"/>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2A79E0F1">
      <w:pPr>
        <w:keepNext w:val="0"/>
        <w:keepLines w:val="0"/>
        <w:pageBreakBefore w:val="0"/>
        <w:widowControl/>
        <w:kinsoku w:val="0"/>
        <w:wordWrap w:val="0"/>
        <w:overflowPunct/>
        <w:topLinePunct w:val="0"/>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 xml:space="preserve"> 施工投标文件、签订合同和处理有关事宜，其法律后果由我方承担。</w:t>
      </w:r>
    </w:p>
    <w:p w14:paraId="4535F93C">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27E859BC">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7CB633D1">
      <w:pPr>
        <w:pStyle w:val="5"/>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542D17D3">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AAD7F4B">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1A837679">
      <w:pPr>
        <w:keepNext w:val="0"/>
        <w:keepLines w:val="0"/>
        <w:pageBreakBefore w:val="0"/>
        <w:wordWrap w:val="0"/>
        <w:overflowPunct/>
        <w:topLinePunct w:val="0"/>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264874A7">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842CCDD">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870C726">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343A8500">
      <w:pPr>
        <w:keepNext w:val="0"/>
        <w:keepLines w:val="0"/>
        <w:pageBreakBefore w:val="0"/>
        <w:wordWrap w:val="0"/>
        <w:overflowPunct/>
        <w:topLinePunct w:val="0"/>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56E5AE11">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7790CFC">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FA4CFD1">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28D14FA">
      <w:pPr>
        <w:keepNext w:val="0"/>
        <w:keepLines w:val="0"/>
        <w:pageBreakBefore w:val="0"/>
        <w:wordWrap w:val="0"/>
        <w:overflowPunct/>
        <w:topLinePunct w:val="0"/>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4822A92F">
      <w:pPr>
        <w:pStyle w:val="5"/>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348BC0B6">
      <w:pPr>
        <w:pStyle w:val="5"/>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628E97FF">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4E1EC65">
      <w:pPr>
        <w:keepNext w:val="0"/>
        <w:keepLines w:val="0"/>
        <w:pageBreakBefore w:val="0"/>
        <w:wordWrap w:val="0"/>
        <w:overflowPunct/>
        <w:topLinePunct w:val="0"/>
        <w:bidi w:val="0"/>
        <w:spacing w:before="78" w:line="220" w:lineRule="auto"/>
        <w:ind w:left="4201"/>
        <w:jc w:val="right"/>
        <w:rPr>
          <w:rFonts w:hint="eastAsia" w:ascii="宋体" w:hAnsi="宋体" w:eastAsia="宋体" w:cs="宋体"/>
          <w:color w:val="auto"/>
          <w:spacing w:val="0"/>
          <w:sz w:val="24"/>
          <w:szCs w:val="24"/>
          <w:highlight w:val="none"/>
        </w:rPr>
      </w:pPr>
    </w:p>
    <w:p w14:paraId="3AD7C739">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p w14:paraId="3A989C7F">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451C1F9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3C6DD5A8">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276339E">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4D08606A">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00925BCD">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392A5130">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2EDE8360">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6001885A">
            <w:pPr>
              <w:pStyle w:val="28"/>
              <w:keepNext w:val="0"/>
              <w:keepLines w:val="0"/>
              <w:pageBreakBefore w:val="0"/>
              <w:wordWrap w:val="0"/>
              <w:overflowPunct/>
              <w:topLinePunct w:val="0"/>
              <w:bidi w:val="0"/>
              <w:spacing w:line="246" w:lineRule="auto"/>
              <w:rPr>
                <w:rFonts w:hint="eastAsia" w:ascii="宋体" w:hAnsi="宋体" w:eastAsia="宋体" w:cs="宋体"/>
                <w:color w:val="auto"/>
                <w:spacing w:val="0"/>
                <w:highlight w:val="none"/>
              </w:rPr>
            </w:pPr>
          </w:p>
          <w:p w14:paraId="76C1F7E1">
            <w:pPr>
              <w:keepNext w:val="0"/>
              <w:keepLines w:val="0"/>
              <w:pageBreakBefore w:val="0"/>
              <w:wordWrap w:val="0"/>
              <w:overflowPunct/>
              <w:topLinePunct w:val="0"/>
              <w:bidi w:val="0"/>
              <w:spacing w:before="78" w:line="22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7A3A8ABE">
      <w:pPr>
        <w:pStyle w:val="5"/>
        <w:keepNext w:val="0"/>
        <w:keepLines w:val="0"/>
        <w:pageBreakBefore w:val="0"/>
        <w:wordWrap w:val="0"/>
        <w:overflowPunct/>
        <w:topLinePunct w:val="0"/>
        <w:bidi w:val="0"/>
        <w:rPr>
          <w:rFonts w:hint="eastAsia" w:ascii="宋体" w:hAnsi="宋体" w:eastAsia="宋体" w:cs="宋体"/>
          <w:color w:val="auto"/>
          <w:spacing w:val="0"/>
          <w:highlight w:val="none"/>
        </w:rPr>
      </w:pPr>
    </w:p>
    <w:p w14:paraId="7AC213EC">
      <w:pPr>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BB0287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9" w:name="_Toc31408"/>
      <w:r>
        <w:rPr>
          <w:rFonts w:hint="eastAsia" w:ascii="宋体" w:hAnsi="宋体" w:eastAsia="宋体" w:cs="宋体"/>
          <w:b/>
          <w:bCs/>
          <w:color w:val="auto"/>
          <w:spacing w:val="0"/>
          <w:sz w:val="24"/>
          <w:szCs w:val="24"/>
          <w:highlight w:val="none"/>
        </w:rPr>
        <w:t>格式五 法定代表人身份证明</w:t>
      </w:r>
      <w:bookmarkEnd w:id="229"/>
    </w:p>
    <w:p w14:paraId="2AFB43D9">
      <w:pPr>
        <w:pStyle w:val="5"/>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10A1DD09">
      <w:pPr>
        <w:pStyle w:val="5"/>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12A839CF">
      <w:pPr>
        <w:keepNext w:val="0"/>
        <w:keepLines w:val="0"/>
        <w:pageBreakBefore w:val="0"/>
        <w:wordWrap w:val="0"/>
        <w:overflowPunct/>
        <w:topLinePunct w:val="0"/>
        <w:bidi w:val="0"/>
        <w:spacing w:before="98" w:line="220" w:lineRule="auto"/>
        <w:ind w:left="3183"/>
        <w:rPr>
          <w:rFonts w:hint="eastAsia" w:ascii="宋体" w:hAnsi="宋体" w:eastAsia="宋体" w:cs="宋体"/>
          <w:color w:val="auto"/>
          <w:spacing w:val="0"/>
          <w:sz w:val="30"/>
          <w:szCs w:val="30"/>
          <w:highlight w:val="none"/>
        </w:rPr>
      </w:pPr>
      <w:bookmarkStart w:id="230" w:name="bookmark152"/>
      <w:bookmarkEnd w:id="230"/>
      <w:r>
        <w:rPr>
          <w:rFonts w:hint="eastAsia" w:ascii="宋体" w:hAnsi="宋体" w:eastAsia="宋体" w:cs="宋体"/>
          <w:b/>
          <w:bCs/>
          <w:color w:val="auto"/>
          <w:spacing w:val="0"/>
          <w:sz w:val="30"/>
          <w:szCs w:val="30"/>
          <w:highlight w:val="none"/>
        </w:rPr>
        <w:t>法定代表人身份证明</w:t>
      </w:r>
    </w:p>
    <w:p w14:paraId="1EDD2822">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8CD8DDA">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733BAF66">
      <w:pPr>
        <w:pStyle w:val="5"/>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4D073C7C">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41F06D25">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2C2623AE">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4C23EFCA">
      <w:pPr>
        <w:keepNext w:val="0"/>
        <w:keepLines w:val="0"/>
        <w:pageBreakBefore w:val="0"/>
        <w:wordWrap w:val="0"/>
        <w:overflowPunct/>
        <w:topLinePunct w:val="0"/>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5F4AB95B">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7B15DC1">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70E37D10">
      <w:pPr>
        <w:pStyle w:val="5"/>
        <w:keepNext w:val="0"/>
        <w:keepLines w:val="0"/>
        <w:pageBreakBefore w:val="0"/>
        <w:wordWrap w:val="0"/>
        <w:overflowPunct/>
        <w:topLinePunct w:val="0"/>
        <w:bidi w:val="0"/>
        <w:spacing w:line="278" w:lineRule="auto"/>
        <w:rPr>
          <w:rFonts w:hint="eastAsia" w:ascii="宋体" w:hAnsi="宋体" w:eastAsia="宋体" w:cs="宋体"/>
          <w:color w:val="auto"/>
          <w:spacing w:val="0"/>
          <w:highlight w:val="none"/>
        </w:rPr>
      </w:pPr>
    </w:p>
    <w:p w14:paraId="73DABF89">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59536D4A">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7394540">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3294EF08">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F1A3CB6">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75035547">
      <w:pPr>
        <w:pStyle w:val="5"/>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7B9382DB">
      <w:pPr>
        <w:pStyle w:val="5"/>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5AB0F3D0">
      <w:pPr>
        <w:pStyle w:val="5"/>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FAD0598">
      <w:pPr>
        <w:pStyle w:val="5"/>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A8576CB">
      <w:pPr>
        <w:pStyle w:val="5"/>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7B3B2BBB">
      <w:pPr>
        <w:pStyle w:val="5"/>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663DA55F">
      <w:pPr>
        <w:pStyle w:val="5"/>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7F2FC766">
      <w:pPr>
        <w:pStyle w:val="5"/>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3CD99B89">
      <w:pPr>
        <w:pStyle w:val="5"/>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53D1CE80">
      <w:pPr>
        <w:pStyle w:val="5"/>
        <w:keepNext w:val="0"/>
        <w:keepLines w:val="0"/>
        <w:pageBreakBefore w:val="0"/>
        <w:wordWrap w:val="0"/>
        <w:overflowPunct/>
        <w:topLinePunct w:val="0"/>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5"/>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4F709DA2">
                              <w:pPr>
                                <w:spacing w:line="249" w:lineRule="auto"/>
                                <w:rPr>
                                  <w:highlight w:val="none"/>
                                </w:rPr>
                              </w:pPr>
                            </w:p>
                            <w:p w14:paraId="5BDD39D2">
                              <w:pPr>
                                <w:spacing w:line="249" w:lineRule="auto"/>
                                <w:rPr>
                                  <w:highlight w:val="none"/>
                                </w:rPr>
                              </w:pPr>
                            </w:p>
                            <w:p w14:paraId="6BC1D0AD">
                              <w:pPr>
                                <w:spacing w:line="249" w:lineRule="auto"/>
                                <w:rPr>
                                  <w:highlight w:val="none"/>
                                </w:rPr>
                              </w:pPr>
                            </w:p>
                            <w:p w14:paraId="46B491C9">
                              <w:pPr>
                                <w:spacing w:line="249" w:lineRule="auto"/>
                                <w:rPr>
                                  <w:highlight w:val="none"/>
                                </w:rPr>
                              </w:pPr>
                            </w:p>
                            <w:p w14:paraId="4552CD61">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5"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F709DA2">
                        <w:pPr>
                          <w:spacing w:line="249" w:lineRule="auto"/>
                          <w:rPr>
                            <w:highlight w:val="none"/>
                          </w:rPr>
                        </w:pPr>
                      </w:p>
                      <w:p w14:paraId="5BDD39D2">
                        <w:pPr>
                          <w:spacing w:line="249" w:lineRule="auto"/>
                          <w:rPr>
                            <w:highlight w:val="none"/>
                          </w:rPr>
                        </w:pPr>
                      </w:p>
                      <w:p w14:paraId="6BC1D0AD">
                        <w:pPr>
                          <w:spacing w:line="249" w:lineRule="auto"/>
                          <w:rPr>
                            <w:highlight w:val="none"/>
                          </w:rPr>
                        </w:pPr>
                      </w:p>
                      <w:p w14:paraId="46B491C9">
                        <w:pPr>
                          <w:spacing w:line="249" w:lineRule="auto"/>
                          <w:rPr>
                            <w:highlight w:val="none"/>
                          </w:rPr>
                        </w:pPr>
                      </w:p>
                      <w:p w14:paraId="4552CD61">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69541D15">
      <w:pPr>
        <w:keepNext w:val="0"/>
        <w:keepLines w:val="0"/>
        <w:pageBreakBefore w:val="0"/>
        <w:wordWrap w:val="0"/>
        <w:overflowPunct/>
        <w:topLinePunct w:val="0"/>
        <w:bidi w:val="0"/>
        <w:spacing w:line="2510" w:lineRule="exact"/>
        <w:rPr>
          <w:rFonts w:hint="eastAsia" w:ascii="宋体" w:hAnsi="宋体" w:eastAsia="宋体" w:cs="宋体"/>
          <w:color w:val="auto"/>
          <w:spacing w:val="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116BF58">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1" w:name="_Toc18080"/>
      <w:r>
        <w:rPr>
          <w:rFonts w:hint="eastAsia" w:ascii="宋体" w:hAnsi="宋体" w:eastAsia="宋体" w:cs="宋体"/>
          <w:b/>
          <w:bCs/>
          <w:color w:val="auto"/>
          <w:spacing w:val="0"/>
          <w:sz w:val="24"/>
          <w:szCs w:val="24"/>
          <w:highlight w:val="none"/>
        </w:rPr>
        <w:t>格式六 联合体协议书</w:t>
      </w:r>
      <w:bookmarkEnd w:id="231"/>
    </w:p>
    <w:p w14:paraId="005C82F3">
      <w:pPr>
        <w:keepNext w:val="0"/>
        <w:keepLines w:val="0"/>
        <w:pageBreakBefore w:val="0"/>
        <w:wordWrap w:val="0"/>
        <w:overflowPunct/>
        <w:topLinePunct w:val="0"/>
        <w:bidi w:val="0"/>
        <w:spacing w:before="98" w:line="219" w:lineRule="auto"/>
        <w:ind w:left="3638"/>
        <w:rPr>
          <w:rFonts w:hint="eastAsia" w:ascii="宋体" w:hAnsi="宋体" w:eastAsia="宋体" w:cs="宋体"/>
          <w:color w:val="auto"/>
          <w:spacing w:val="0"/>
          <w:sz w:val="30"/>
          <w:szCs w:val="30"/>
          <w:highlight w:val="none"/>
        </w:rPr>
      </w:pPr>
      <w:bookmarkStart w:id="232" w:name="bookmark153"/>
      <w:bookmarkEnd w:id="232"/>
      <w:r>
        <w:rPr>
          <w:rFonts w:hint="eastAsia" w:ascii="宋体" w:hAnsi="宋体" w:eastAsia="宋体" w:cs="宋体"/>
          <w:b/>
          <w:bCs/>
          <w:color w:val="auto"/>
          <w:spacing w:val="0"/>
          <w:sz w:val="30"/>
          <w:szCs w:val="30"/>
          <w:highlight w:val="none"/>
        </w:rPr>
        <w:t>联合体协议书</w:t>
      </w:r>
    </w:p>
    <w:p w14:paraId="57D5287F">
      <w:pPr>
        <w:pStyle w:val="5"/>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76658C00">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6ADFD7F1">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2F357D1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67D436E4">
      <w:pPr>
        <w:keepNext w:val="0"/>
        <w:keepLines w:val="0"/>
        <w:pageBreakBefore w:val="0"/>
        <w:wordWrap w:val="0"/>
        <w:overflowPunct/>
        <w:topLinePunct w:val="0"/>
        <w:bidi w:val="0"/>
        <w:outlineLvl w:val="9"/>
        <w:rPr>
          <w:rFonts w:hint="eastAsia"/>
          <w:color w:val="auto"/>
          <w:spacing w:val="0"/>
          <w:highlight w:val="none"/>
        </w:rPr>
      </w:pPr>
    </w:p>
    <w:p w14:paraId="6D0719A0">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6634B38F">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707BA819">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6D2877D7">
      <w:pPr>
        <w:keepNext w:val="0"/>
        <w:keepLines w:val="0"/>
        <w:pageBreakBefore w:val="0"/>
        <w:widowControl/>
        <w:kinsoku w:val="0"/>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04CB638D">
      <w:pPr>
        <w:keepNext w:val="0"/>
        <w:keepLines w:val="0"/>
        <w:pageBreakBefore w:val="0"/>
        <w:widowControl/>
        <w:kinsoku w:val="0"/>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132E63CC">
      <w:pPr>
        <w:keepNext w:val="0"/>
        <w:keepLines w:val="0"/>
        <w:pageBreakBefore w:val="0"/>
        <w:widowControl/>
        <w:kinsoku w:val="0"/>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4C72F466">
      <w:pPr>
        <w:keepNext w:val="0"/>
        <w:keepLines w:val="0"/>
        <w:pageBreakBefore w:val="0"/>
        <w:widowControl/>
        <w:kinsoku w:val="0"/>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20012A2E">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7181DA00">
      <w:pPr>
        <w:keepNext w:val="0"/>
        <w:keepLines w:val="0"/>
        <w:pageBreakBefore w:val="0"/>
        <w:widowControl/>
        <w:kinsoku w:val="0"/>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233" w:name="_Toc5365"/>
      <w:bookmarkStart w:id="234" w:name="_Toc32149"/>
      <w:r>
        <w:rPr>
          <w:rFonts w:hint="eastAsia" w:ascii="宋体" w:hAnsi="宋体" w:eastAsia="宋体" w:cs="宋体"/>
          <w:color w:val="auto"/>
          <w:spacing w:val="0"/>
          <w:sz w:val="24"/>
          <w:szCs w:val="24"/>
          <w:highlight w:val="none"/>
        </w:rPr>
        <w:t>4 ．联合体各成员单位内部的职责分工如下：。</w:t>
      </w:r>
      <w:bookmarkEnd w:id="233"/>
      <w:bookmarkEnd w:id="234"/>
    </w:p>
    <w:p w14:paraId="1C73FB23">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2AD62DDE">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21ED3397">
      <w:pPr>
        <w:keepNext w:val="0"/>
        <w:keepLines w:val="0"/>
        <w:pageBreakBefore w:val="0"/>
        <w:widowControl/>
        <w:kinsoku w:val="0"/>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609D9FE0">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35" w:name="_Toc26708"/>
      <w:bookmarkStart w:id="236" w:name="_Toc22612"/>
      <w:r>
        <w:rPr>
          <w:rFonts w:hint="eastAsia" w:ascii="宋体" w:hAnsi="宋体" w:eastAsia="宋体" w:cs="宋体"/>
          <w:color w:val="auto"/>
          <w:spacing w:val="0"/>
          <w:sz w:val="24"/>
          <w:szCs w:val="24"/>
          <w:highlight w:val="none"/>
        </w:rPr>
        <w:t>8 ．本协议书一式份，联合体成员和招标人各执一份。</w:t>
      </w:r>
      <w:bookmarkEnd w:id="235"/>
      <w:bookmarkEnd w:id="236"/>
    </w:p>
    <w:p w14:paraId="501CD11C">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37" w:name="bookmark154"/>
      <w:bookmarkEnd w:id="237"/>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2619B260">
      <w:pPr>
        <w:pStyle w:val="5"/>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081B7BCA">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5356330E">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5DD3897B">
      <w:pPr>
        <w:pStyle w:val="5"/>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250F27CD">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7F645A9D">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0EB9B5">
      <w:pPr>
        <w:pStyle w:val="5"/>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54475BF">
      <w:pPr>
        <w:keepNext w:val="0"/>
        <w:keepLines w:val="0"/>
        <w:pageBreakBefore w:val="0"/>
        <w:widowControl/>
        <w:kinsoku w:val="0"/>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1297436E">
      <w:pPr>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0CFDAF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8" w:name="_Toc13577"/>
      <w:r>
        <w:rPr>
          <w:rFonts w:hint="eastAsia" w:ascii="宋体" w:hAnsi="宋体" w:eastAsia="宋体" w:cs="宋体"/>
          <w:b/>
          <w:bCs/>
          <w:color w:val="auto"/>
          <w:spacing w:val="0"/>
          <w:sz w:val="24"/>
          <w:szCs w:val="24"/>
          <w:highlight w:val="none"/>
        </w:rPr>
        <w:t>格式七 投标人基本情况表</w:t>
      </w:r>
      <w:bookmarkEnd w:id="238"/>
    </w:p>
    <w:p w14:paraId="70C9C1E4">
      <w:pPr>
        <w:keepNext w:val="0"/>
        <w:keepLines w:val="0"/>
        <w:pageBreakBefore w:val="0"/>
        <w:wordWrap w:val="0"/>
        <w:overflowPunct/>
        <w:topLinePunct w:val="0"/>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0DF1EFCE">
      <w:pPr>
        <w:keepNext w:val="0"/>
        <w:keepLines w:val="0"/>
        <w:pageBreakBefore w:val="0"/>
        <w:wordWrap w:val="0"/>
        <w:overflowPunct/>
        <w:topLinePunct w:val="0"/>
        <w:bidi w:val="0"/>
        <w:spacing w:line="239" w:lineRule="exact"/>
        <w:rPr>
          <w:rFonts w:hint="eastAsia" w:ascii="宋体" w:hAnsi="宋体" w:eastAsia="宋体" w:cs="宋体"/>
          <w:color w:val="auto"/>
          <w:spacing w:val="0"/>
          <w:highlight w:val="none"/>
        </w:rPr>
      </w:pPr>
    </w:p>
    <w:tbl>
      <w:tblPr>
        <w:tblStyle w:val="15"/>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29027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FF1E263">
            <w:pPr>
              <w:keepNext w:val="0"/>
              <w:keepLines w:val="0"/>
              <w:pageBreakBefore w:val="0"/>
              <w:widowControl/>
              <w:kinsoku w:val="0"/>
              <w:wordWrap w:val="0"/>
              <w:overflowPunct/>
              <w:topLinePunct w:val="0"/>
              <w:autoSpaceDE w:val="0"/>
              <w:autoSpaceDN w:val="0"/>
              <w:bidi w:val="0"/>
              <w:adjustRightInd w:val="0"/>
              <w:snapToGrid w:val="0"/>
              <w:spacing w:before="149"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639" w:type="dxa"/>
            <w:gridSpan w:val="8"/>
            <w:vAlign w:val="center"/>
          </w:tcPr>
          <w:p w14:paraId="17EE33D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74E6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ED6E03D">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684" w:type="dxa"/>
            <w:gridSpan w:val="3"/>
            <w:vAlign w:val="center"/>
          </w:tcPr>
          <w:p w14:paraId="753BAF5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1D974621">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601" w:type="dxa"/>
            <w:gridSpan w:val="3"/>
            <w:vAlign w:val="center"/>
          </w:tcPr>
          <w:p w14:paraId="28516B3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DE5D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77F51063">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975" w:type="dxa"/>
            <w:vAlign w:val="center"/>
          </w:tcPr>
          <w:p w14:paraId="09676344">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709" w:type="dxa"/>
            <w:gridSpan w:val="2"/>
            <w:vAlign w:val="center"/>
          </w:tcPr>
          <w:p w14:paraId="436C91A9">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502D99CE">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601" w:type="dxa"/>
            <w:gridSpan w:val="3"/>
            <w:vAlign w:val="center"/>
          </w:tcPr>
          <w:p w14:paraId="06DC3DC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991A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701165EB">
            <w:pPr>
              <w:pStyle w:val="28"/>
              <w:keepNext w:val="0"/>
              <w:keepLines w:val="0"/>
              <w:pageBreakBefore w:val="0"/>
              <w:widowControl/>
              <w:kinsoku w:val="0"/>
              <w:wordWrap w:val="0"/>
              <w:overflowPunct/>
              <w:topLinePunct w:val="0"/>
              <w:autoSpaceDE w:val="0"/>
              <w:autoSpaceDN w:val="0"/>
              <w:bidi w:val="0"/>
              <w:adjustRightInd w:val="0"/>
              <w:snapToGrid w:val="0"/>
              <w:spacing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975" w:type="dxa"/>
            <w:vAlign w:val="center"/>
          </w:tcPr>
          <w:p w14:paraId="45824F6C">
            <w:pPr>
              <w:keepNext w:val="0"/>
              <w:keepLines w:val="0"/>
              <w:pageBreakBefore w:val="0"/>
              <w:widowControl/>
              <w:kinsoku w:val="0"/>
              <w:wordWrap w:val="0"/>
              <w:overflowPunct/>
              <w:topLinePunct w:val="0"/>
              <w:autoSpaceDE w:val="0"/>
              <w:autoSpaceDN w:val="0"/>
              <w:bidi w:val="0"/>
              <w:adjustRightInd w:val="0"/>
              <w:snapToGrid w:val="0"/>
              <w:spacing w:before="143"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709" w:type="dxa"/>
            <w:gridSpan w:val="2"/>
            <w:vAlign w:val="center"/>
          </w:tcPr>
          <w:p w14:paraId="16103DF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2BEBF214">
            <w:pPr>
              <w:keepNext w:val="0"/>
              <w:keepLines w:val="0"/>
              <w:pageBreakBefore w:val="0"/>
              <w:widowControl/>
              <w:kinsoku w:val="0"/>
              <w:wordWrap w:val="0"/>
              <w:overflowPunct/>
              <w:topLinePunct w:val="0"/>
              <w:autoSpaceDE w:val="0"/>
              <w:autoSpaceDN w:val="0"/>
              <w:bidi w:val="0"/>
              <w:adjustRightInd w:val="0"/>
              <w:snapToGrid w:val="0"/>
              <w:spacing w:before="14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601" w:type="dxa"/>
            <w:gridSpan w:val="3"/>
            <w:vAlign w:val="center"/>
          </w:tcPr>
          <w:p w14:paraId="62CF35A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4F45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E68BFFE">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639" w:type="dxa"/>
            <w:gridSpan w:val="8"/>
            <w:vAlign w:val="center"/>
          </w:tcPr>
          <w:p w14:paraId="500D925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3AE5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8A18DF5">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975" w:type="dxa"/>
            <w:vAlign w:val="center"/>
          </w:tcPr>
          <w:p w14:paraId="78C42F09">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837" w:type="dxa"/>
            <w:vAlign w:val="center"/>
          </w:tcPr>
          <w:p w14:paraId="0044116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Align w:val="center"/>
          </w:tcPr>
          <w:p w14:paraId="11CC7BFB">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26" w:type="dxa"/>
            <w:gridSpan w:val="2"/>
            <w:vAlign w:val="center"/>
          </w:tcPr>
          <w:p w14:paraId="2600D28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70" w:type="dxa"/>
            <w:vAlign w:val="center"/>
          </w:tcPr>
          <w:p w14:paraId="6EF0FD67">
            <w:pPr>
              <w:keepNext w:val="0"/>
              <w:keepLines w:val="0"/>
              <w:pageBreakBefore w:val="0"/>
              <w:widowControl/>
              <w:kinsoku w:val="0"/>
              <w:wordWrap w:val="0"/>
              <w:overflowPunct/>
              <w:topLinePunct w:val="0"/>
              <w:autoSpaceDE w:val="0"/>
              <w:autoSpaceDN w:val="0"/>
              <w:bidi w:val="0"/>
              <w:adjustRightInd w:val="0"/>
              <w:snapToGrid w:val="0"/>
              <w:spacing w:before="143"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548" w:type="dxa"/>
            <w:vAlign w:val="center"/>
          </w:tcPr>
          <w:p w14:paraId="0FC4BED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E4AA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AD03DAD">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812" w:type="dxa"/>
            <w:gridSpan w:val="2"/>
            <w:vAlign w:val="center"/>
          </w:tcPr>
          <w:p w14:paraId="27707946">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4827" w:type="dxa"/>
            <w:gridSpan w:val="6"/>
            <w:vAlign w:val="center"/>
          </w:tcPr>
          <w:p w14:paraId="79EC95D6">
            <w:pPr>
              <w:keepNext w:val="0"/>
              <w:keepLines w:val="0"/>
              <w:pageBreakBefore w:val="0"/>
              <w:widowControl/>
              <w:kinsoku w:val="0"/>
              <w:wordWrap w:val="0"/>
              <w:overflowPunct/>
              <w:topLinePunct w:val="0"/>
              <w:autoSpaceDE w:val="0"/>
              <w:autoSpaceDN w:val="0"/>
              <w:bidi w:val="0"/>
              <w:adjustRightInd w:val="0"/>
              <w:snapToGrid w:val="0"/>
              <w:spacing w:before="145"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74035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D2A39CD">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企业资质  </w:t>
            </w:r>
          </w:p>
          <w:p w14:paraId="2C5AFBCD">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812" w:type="dxa"/>
            <w:gridSpan w:val="2"/>
            <w:vAlign w:val="center"/>
          </w:tcPr>
          <w:p w14:paraId="2F0B6E4F">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restart"/>
            <w:tcBorders>
              <w:bottom w:val="nil"/>
            </w:tcBorders>
            <w:vAlign w:val="center"/>
          </w:tcPr>
          <w:p w14:paraId="6E6C758C">
            <w:pPr>
              <w:keepNext w:val="0"/>
              <w:keepLines w:val="0"/>
              <w:pageBreakBefore w:val="0"/>
              <w:widowControl/>
              <w:kinsoku w:val="0"/>
              <w:wordWrap w:val="0"/>
              <w:overflowPunct/>
              <w:topLinePunct w:val="0"/>
              <w:autoSpaceDE w:val="0"/>
              <w:autoSpaceDN w:val="0"/>
              <w:bidi w:val="0"/>
              <w:adjustRightInd w:val="0"/>
              <w:snapToGrid w:val="0"/>
              <w:spacing w:before="65"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096" w:type="dxa"/>
            <w:gridSpan w:val="3"/>
            <w:vAlign w:val="center"/>
          </w:tcPr>
          <w:p w14:paraId="3CEAB13A">
            <w:pPr>
              <w:keepNext w:val="0"/>
              <w:keepLines w:val="0"/>
              <w:pageBreakBefore w:val="0"/>
              <w:widowControl/>
              <w:kinsoku w:val="0"/>
              <w:wordWrap w:val="0"/>
              <w:overflowPunct/>
              <w:topLinePunct w:val="0"/>
              <w:autoSpaceDE w:val="0"/>
              <w:autoSpaceDN w:val="0"/>
              <w:bidi w:val="0"/>
              <w:adjustRightInd w:val="0"/>
              <w:snapToGrid w:val="0"/>
              <w:spacing w:before="21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548" w:type="dxa"/>
            <w:vAlign w:val="center"/>
          </w:tcPr>
          <w:p w14:paraId="1F95253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59318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9EC45D2">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812" w:type="dxa"/>
            <w:gridSpan w:val="2"/>
            <w:vAlign w:val="center"/>
          </w:tcPr>
          <w:p w14:paraId="75611936">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6BBB5A1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5D5E0989">
            <w:pPr>
              <w:keepNext w:val="0"/>
              <w:keepLines w:val="0"/>
              <w:pageBreakBefore w:val="0"/>
              <w:widowControl/>
              <w:kinsoku w:val="0"/>
              <w:wordWrap w:val="0"/>
              <w:overflowPunct/>
              <w:topLinePunct w:val="0"/>
              <w:autoSpaceDE w:val="0"/>
              <w:autoSpaceDN w:val="0"/>
              <w:bidi w:val="0"/>
              <w:adjustRightInd w:val="0"/>
              <w:snapToGrid w:val="0"/>
              <w:spacing w:before="146"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548" w:type="dxa"/>
            <w:vAlign w:val="center"/>
          </w:tcPr>
          <w:p w14:paraId="2946CB92">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5A5D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800C727">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812" w:type="dxa"/>
            <w:gridSpan w:val="2"/>
            <w:vAlign w:val="center"/>
          </w:tcPr>
          <w:p w14:paraId="1858EBB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0196F59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1B691A8D">
            <w:pPr>
              <w:keepNext w:val="0"/>
              <w:keepLines w:val="0"/>
              <w:pageBreakBefore w:val="0"/>
              <w:widowControl/>
              <w:kinsoku w:val="0"/>
              <w:wordWrap w:val="0"/>
              <w:overflowPunct/>
              <w:topLinePunct w:val="0"/>
              <w:autoSpaceDE w:val="0"/>
              <w:autoSpaceDN w:val="0"/>
              <w:bidi w:val="0"/>
              <w:adjustRightInd w:val="0"/>
              <w:snapToGrid w:val="0"/>
              <w:spacing w:before="147"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548" w:type="dxa"/>
            <w:vAlign w:val="center"/>
          </w:tcPr>
          <w:p w14:paraId="241448C1">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C476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1FF97B9">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151BDD38">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812" w:type="dxa"/>
            <w:gridSpan w:val="2"/>
            <w:vAlign w:val="center"/>
          </w:tcPr>
          <w:p w14:paraId="303330F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0FD30EB1">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D5CBC57">
            <w:pPr>
              <w:keepNext w:val="0"/>
              <w:keepLines w:val="0"/>
              <w:pageBreakBefore w:val="0"/>
              <w:widowControl/>
              <w:kinsoku w:val="0"/>
              <w:wordWrap w:val="0"/>
              <w:overflowPunct/>
              <w:topLinePunct w:val="0"/>
              <w:autoSpaceDE w:val="0"/>
              <w:autoSpaceDN w:val="0"/>
              <w:bidi w:val="0"/>
              <w:adjustRightInd w:val="0"/>
              <w:snapToGrid w:val="0"/>
              <w:spacing w:before="191"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548" w:type="dxa"/>
            <w:vAlign w:val="center"/>
          </w:tcPr>
          <w:p w14:paraId="645537D0">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2285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255394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5A344C34">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812" w:type="dxa"/>
            <w:gridSpan w:val="2"/>
            <w:vAlign w:val="center"/>
          </w:tcPr>
          <w:p w14:paraId="590979C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tcBorders>
            <w:vAlign w:val="center"/>
          </w:tcPr>
          <w:p w14:paraId="10FB6AC9">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7E910A73">
            <w:pPr>
              <w:keepNext w:val="0"/>
              <w:keepLines w:val="0"/>
              <w:pageBreakBefore w:val="0"/>
              <w:widowControl/>
              <w:kinsoku w:val="0"/>
              <w:wordWrap w:val="0"/>
              <w:overflowPunct/>
              <w:topLinePunct w:val="0"/>
              <w:autoSpaceDE w:val="0"/>
              <w:autoSpaceDN w:val="0"/>
              <w:bidi w:val="0"/>
              <w:adjustRightInd w:val="0"/>
              <w:snapToGrid w:val="0"/>
              <w:spacing w:before="211"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548" w:type="dxa"/>
            <w:vAlign w:val="center"/>
          </w:tcPr>
          <w:p w14:paraId="22513F6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79D8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8EAD754">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639" w:type="dxa"/>
            <w:gridSpan w:val="8"/>
            <w:vAlign w:val="center"/>
          </w:tcPr>
          <w:p w14:paraId="51E0AF50">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1A092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D206089">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639" w:type="dxa"/>
            <w:gridSpan w:val="8"/>
            <w:vAlign w:val="center"/>
          </w:tcPr>
          <w:p w14:paraId="5766D5A0">
            <w:pPr>
              <w:keepNext w:val="0"/>
              <w:keepLines w:val="0"/>
              <w:pageBreakBefore w:val="0"/>
              <w:widowControl/>
              <w:kinsoku w:val="0"/>
              <w:wordWrap w:val="0"/>
              <w:overflowPunct/>
              <w:topLinePunct w:val="0"/>
              <w:autoSpaceDE w:val="0"/>
              <w:autoSpaceDN w:val="0"/>
              <w:bidi w:val="0"/>
              <w:adjustRightInd w:val="0"/>
              <w:snapToGrid w:val="0"/>
              <w:spacing w:before="168"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0F0CFA2A">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4D01DBF5">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697F6B65">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3B483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D65DE0D">
            <w:pPr>
              <w:keepNext w:val="0"/>
              <w:keepLines w:val="0"/>
              <w:pageBreakBefore w:val="0"/>
              <w:widowControl/>
              <w:kinsoku w:val="0"/>
              <w:wordWrap w:val="0"/>
              <w:overflowPunct/>
              <w:topLinePunct w:val="0"/>
              <w:autoSpaceDE w:val="0"/>
              <w:autoSpaceDN w:val="0"/>
              <w:bidi w:val="0"/>
              <w:adjustRightInd w:val="0"/>
              <w:snapToGrid w:val="0"/>
              <w:spacing w:before="235"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639" w:type="dxa"/>
            <w:gridSpan w:val="8"/>
            <w:vAlign w:val="center"/>
          </w:tcPr>
          <w:p w14:paraId="1A19B97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5B05EF7B">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40C2BE82">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12FD9DB5">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39" w:name="_Toc5131"/>
      <w:bookmarkStart w:id="240" w:name="_Toc14048"/>
      <w:r>
        <w:rPr>
          <w:rFonts w:hint="eastAsia" w:ascii="宋体" w:hAnsi="宋体" w:eastAsia="宋体" w:cs="宋体"/>
          <w:color w:val="auto"/>
          <w:spacing w:val="0"/>
          <w:sz w:val="21"/>
          <w:szCs w:val="21"/>
          <w:highlight w:val="none"/>
        </w:rPr>
        <w:t>1 ．《投标人基本情况表》后应附以下资料：</w:t>
      </w:r>
      <w:bookmarkEnd w:id="239"/>
      <w:bookmarkEnd w:id="240"/>
    </w:p>
    <w:p w14:paraId="76F97AB3">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68C0AF7F">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31596EAB">
      <w:pPr>
        <w:keepNext w:val="0"/>
        <w:keepLines w:val="0"/>
        <w:pageBreakBefore w:val="0"/>
        <w:widowControl/>
        <w:kinsoku w:val="0"/>
        <w:wordWrap w:val="0"/>
        <w:overflowPunct/>
        <w:topLinePunct w:val="0"/>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739AD212">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01A4CC8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8EB0D6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1" w:name="_Toc26000"/>
      <w:r>
        <w:rPr>
          <w:rFonts w:hint="eastAsia" w:ascii="宋体" w:hAnsi="宋体" w:eastAsia="宋体" w:cs="宋体"/>
          <w:b/>
          <w:bCs/>
          <w:color w:val="auto"/>
          <w:spacing w:val="0"/>
          <w:sz w:val="24"/>
          <w:szCs w:val="24"/>
          <w:highlight w:val="none"/>
        </w:rPr>
        <w:t>格式八 项目经理简历表</w:t>
      </w:r>
      <w:bookmarkEnd w:id="241"/>
    </w:p>
    <w:p w14:paraId="629E5645">
      <w:pPr>
        <w:pStyle w:val="5"/>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6EC2972D">
      <w:pPr>
        <w:keepNext w:val="0"/>
        <w:keepLines w:val="0"/>
        <w:pageBreakBefore w:val="0"/>
        <w:wordWrap w:val="0"/>
        <w:overflowPunct/>
        <w:topLinePunct w:val="0"/>
        <w:bidi w:val="0"/>
        <w:spacing w:before="97" w:line="219" w:lineRule="auto"/>
        <w:ind w:left="3538"/>
        <w:outlineLvl w:val="9"/>
        <w:rPr>
          <w:rFonts w:hint="eastAsia" w:ascii="宋体" w:hAnsi="宋体" w:eastAsia="宋体" w:cs="宋体"/>
          <w:color w:val="auto"/>
          <w:spacing w:val="0"/>
          <w:sz w:val="30"/>
          <w:szCs w:val="30"/>
          <w:highlight w:val="none"/>
        </w:rPr>
      </w:pPr>
      <w:bookmarkStart w:id="242" w:name="bookmark89"/>
      <w:bookmarkEnd w:id="242"/>
      <w:bookmarkStart w:id="243" w:name="bookmark156"/>
      <w:bookmarkEnd w:id="243"/>
      <w:bookmarkStart w:id="244" w:name="_Toc24489"/>
      <w:bookmarkStart w:id="245" w:name="_Toc31533"/>
      <w:r>
        <w:rPr>
          <w:rFonts w:hint="eastAsia" w:ascii="宋体" w:hAnsi="宋体" w:eastAsia="宋体" w:cs="宋体"/>
          <w:b/>
          <w:bCs/>
          <w:color w:val="auto"/>
          <w:spacing w:val="0"/>
          <w:sz w:val="30"/>
          <w:szCs w:val="30"/>
          <w:highlight w:val="none"/>
        </w:rPr>
        <w:t>项目经理简历表</w:t>
      </w:r>
      <w:bookmarkEnd w:id="244"/>
      <w:bookmarkEnd w:id="245"/>
    </w:p>
    <w:p w14:paraId="0E09D98A">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74C7B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2A683387">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16A5121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401C893D">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2B0A694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501156A0">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1F4A8AD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4F5D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4598BAB9">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0D89975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51821C51">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51E5599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7E6EA0D">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5ADAFD5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4D42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4E8F2580">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25D9744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0C6E2511">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1E0C67C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F294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18E58992">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02967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17299F43">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340DAEE2">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417D84E0">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00C643F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0F65E359">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76E9106D">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14C3A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34E2499B">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782B3D2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2236A2B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76AD60D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5B060C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5696F39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486D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2C76FF78">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663AB97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41E0FE4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4AB7EB9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4B8086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524B84E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3F64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20B4F955">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0D7E701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0CF60DF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71408AF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7BACC0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0EC00A1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0F3D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18E60A63">
            <w:pPr>
              <w:keepNext w:val="0"/>
              <w:keepLines w:val="0"/>
              <w:pageBreakBefore w:val="0"/>
              <w:widowControl/>
              <w:kinsoku w:val="0"/>
              <w:wordWrap w:val="0"/>
              <w:overflowPunct/>
              <w:topLinePunct w:val="0"/>
              <w:autoSpaceDE w:val="0"/>
              <w:autoSpaceDN w:val="0"/>
              <w:bidi w:val="0"/>
              <w:adjustRightInd w:val="0"/>
              <w:snapToGrid w:val="0"/>
              <w:spacing w:before="177"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3053E45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69B123D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1E726B7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AA05BA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316BA56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7EC841D0">
      <w:pPr>
        <w:pStyle w:val="5"/>
        <w:keepNext w:val="0"/>
        <w:keepLines w:val="0"/>
        <w:pageBreakBefore w:val="0"/>
        <w:wordWrap w:val="0"/>
        <w:overflowPunct/>
        <w:topLinePunct w:val="0"/>
        <w:bidi w:val="0"/>
        <w:spacing w:line="315" w:lineRule="auto"/>
        <w:rPr>
          <w:rFonts w:hint="eastAsia" w:ascii="宋体" w:hAnsi="宋体" w:eastAsia="宋体" w:cs="宋体"/>
          <w:color w:val="auto"/>
          <w:spacing w:val="0"/>
          <w:highlight w:val="none"/>
        </w:rPr>
      </w:pPr>
    </w:p>
    <w:p w14:paraId="6474D5B9">
      <w:pPr>
        <w:keepNext w:val="0"/>
        <w:keepLines w:val="0"/>
        <w:pageBreakBefore w:val="0"/>
        <w:wordWrap w:val="0"/>
        <w:overflowPunct/>
        <w:topLinePunct w:val="0"/>
        <w:bidi w:val="0"/>
        <w:spacing w:before="78" w:line="220" w:lineRule="auto"/>
        <w:ind w:left="69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39E93785">
      <w:pPr>
        <w:pStyle w:val="5"/>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0E554C34">
      <w:pPr>
        <w:pStyle w:val="5"/>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359C3A2">
      <w:pPr>
        <w:keepNext w:val="0"/>
        <w:keepLines w:val="0"/>
        <w:pageBreakBefore w:val="0"/>
        <w:wordWrap w:val="0"/>
        <w:overflowPunct/>
        <w:topLinePunct w:val="0"/>
        <w:bidi w:val="0"/>
        <w:spacing w:before="78" w:line="220" w:lineRule="auto"/>
        <w:ind w:left="4226"/>
        <w:jc w:val="center"/>
        <w:rPr>
          <w:rFonts w:hint="eastAsia" w:ascii="宋体" w:hAnsi="宋体" w:eastAsia="宋体" w:cs="宋体"/>
          <w:color w:val="auto"/>
          <w:spacing w:val="0"/>
          <w:highlight w:val="none"/>
        </w:rPr>
      </w:pPr>
    </w:p>
    <w:p w14:paraId="3941E7E7">
      <w:pPr>
        <w:pStyle w:val="5"/>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69EB9CFE">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075FBDD8">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outlineLvl w:val="9"/>
        <w:rPr>
          <w:rFonts w:hint="eastAsia" w:ascii="宋体" w:hAnsi="宋体" w:eastAsia="宋体" w:cs="宋体"/>
          <w:color w:val="auto"/>
          <w:spacing w:val="0"/>
          <w:sz w:val="24"/>
          <w:szCs w:val="24"/>
          <w:highlight w:val="none"/>
        </w:rPr>
      </w:pPr>
      <w:bookmarkStart w:id="246" w:name="_Toc25271"/>
      <w:bookmarkStart w:id="247" w:name="_Toc1942"/>
      <w:r>
        <w:rPr>
          <w:rFonts w:hint="eastAsia" w:ascii="宋体" w:hAnsi="宋体" w:eastAsia="宋体" w:cs="宋体"/>
          <w:color w:val="auto"/>
          <w:spacing w:val="0"/>
          <w:sz w:val="24"/>
          <w:szCs w:val="24"/>
          <w:highlight w:val="none"/>
        </w:rPr>
        <w:t>1 ．身份证彩色扫描件；</w:t>
      </w:r>
      <w:bookmarkEnd w:id="246"/>
      <w:bookmarkEnd w:id="247"/>
    </w:p>
    <w:p w14:paraId="068B6B3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．建造师电子注册证书（在使用有效期内的有效电子证书）彩色扫描件；</w:t>
      </w:r>
    </w:p>
    <w:p w14:paraId="6D421C4A">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3．B 类安全生产考核合格证书彩色扫描件或广东省建筑施工企业管理人员安全生产考核系统考核合格信息彩色扫描件；</w:t>
      </w:r>
    </w:p>
    <w:p w14:paraId="6B97179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．在本单位缴纳社保</w:t>
      </w:r>
      <w:r>
        <w:rPr>
          <w:rFonts w:hint="eastAsia" w:ascii="宋体" w:hAnsi="宋体" w:eastAsia="宋体" w:cs="宋体"/>
          <w:color w:val="auto"/>
          <w:spacing w:val="0"/>
          <w:sz w:val="24"/>
          <w:szCs w:val="24"/>
          <w:highlight w:val="none"/>
          <w:lang w:eastAsia="zh-CN"/>
        </w:rPr>
        <w:t>的证明（至少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个月，其</w:t>
      </w:r>
      <w:bookmarkStart w:id="248" w:name="OLE_LINK38"/>
      <w:r>
        <w:rPr>
          <w:rFonts w:hint="eastAsia" w:ascii="宋体" w:hAnsi="宋体" w:eastAsia="宋体" w:cs="宋体"/>
          <w:color w:val="auto"/>
          <w:spacing w:val="0"/>
          <w:sz w:val="24"/>
          <w:szCs w:val="24"/>
          <w:highlight w:val="none"/>
          <w:lang w:eastAsia="zh-CN"/>
        </w:rPr>
        <w:t>中必须有202</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lang w:eastAsia="zh-CN"/>
        </w:rPr>
        <w:t>年</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lang w:eastAsia="zh-CN"/>
        </w:rPr>
        <w:t>月</w:t>
      </w:r>
      <w:bookmarkEnd w:id="248"/>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536B7B4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．“进粤企业和人员诚信信息登记平台 ”个人信息情况截图。（适用于省外建筑企业）</w:t>
      </w:r>
    </w:p>
    <w:p w14:paraId="4B1699A3">
      <w:pPr>
        <w:pStyle w:val="25"/>
        <w:rPr>
          <w:rFonts w:hint="eastAsia"/>
          <w:color w:val="auto"/>
          <w:highlight w:val="none"/>
        </w:rPr>
      </w:pPr>
    </w:p>
    <w:p w14:paraId="06B63914">
      <w:pPr>
        <w:keepNext w:val="0"/>
        <w:keepLines w:val="0"/>
        <w:pageBreakBefore w:val="0"/>
        <w:wordWrap w:val="0"/>
        <w:overflowPunct/>
        <w:topLinePunct w:val="0"/>
        <w:bidi w:val="0"/>
        <w:spacing w:line="300" w:lineRule="auto"/>
        <w:rPr>
          <w:rFonts w:hint="eastAsia" w:ascii="宋体" w:hAnsi="宋体" w:eastAsia="宋体" w:cs="宋体"/>
          <w:color w:val="auto"/>
          <w:spacing w:val="0"/>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E544CC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9" w:name="_Toc18789"/>
      <w:r>
        <w:rPr>
          <w:rFonts w:hint="eastAsia" w:ascii="宋体" w:hAnsi="宋体" w:eastAsia="宋体" w:cs="宋体"/>
          <w:b/>
          <w:bCs/>
          <w:color w:val="auto"/>
          <w:spacing w:val="0"/>
          <w:sz w:val="24"/>
          <w:szCs w:val="24"/>
          <w:highlight w:val="none"/>
        </w:rPr>
        <w:t>格式九 项目经理任职声明</w:t>
      </w:r>
      <w:bookmarkEnd w:id="249"/>
    </w:p>
    <w:p w14:paraId="4C66E032">
      <w:pPr>
        <w:pStyle w:val="5"/>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21A7FE6B">
      <w:pPr>
        <w:pStyle w:val="5"/>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5C8E1C5">
      <w:pPr>
        <w:keepNext w:val="0"/>
        <w:keepLines w:val="0"/>
        <w:pageBreakBefore w:val="0"/>
        <w:wordWrap w:val="0"/>
        <w:overflowPunct/>
        <w:topLinePunct w:val="0"/>
        <w:bidi w:val="0"/>
        <w:spacing w:before="98" w:line="220" w:lineRule="auto"/>
        <w:ind w:left="3338"/>
        <w:rPr>
          <w:rFonts w:hint="eastAsia" w:ascii="宋体" w:hAnsi="宋体" w:eastAsia="宋体" w:cs="宋体"/>
          <w:color w:val="auto"/>
          <w:spacing w:val="0"/>
          <w:sz w:val="30"/>
          <w:szCs w:val="30"/>
          <w:highlight w:val="none"/>
        </w:rPr>
      </w:pPr>
      <w:bookmarkStart w:id="250" w:name="bookmark157"/>
      <w:bookmarkEnd w:id="250"/>
      <w:r>
        <w:rPr>
          <w:rFonts w:hint="eastAsia" w:ascii="宋体" w:hAnsi="宋体" w:eastAsia="宋体" w:cs="宋体"/>
          <w:b/>
          <w:bCs/>
          <w:color w:val="auto"/>
          <w:spacing w:val="0"/>
          <w:sz w:val="30"/>
          <w:szCs w:val="30"/>
          <w:highlight w:val="none"/>
        </w:rPr>
        <w:t>项目经理任职声明</w:t>
      </w:r>
    </w:p>
    <w:p w14:paraId="205C4EE6">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43CF9F56">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131762DC">
      <w:pPr>
        <w:pStyle w:val="5"/>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6084D6FC">
      <w:pPr>
        <w:keepNext w:val="0"/>
        <w:keepLines w:val="0"/>
        <w:pageBreakBefore w:val="0"/>
        <w:wordWrap w:val="0"/>
        <w:overflowPunct/>
        <w:topLinePunct w:val="0"/>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5B677AC6">
      <w:pPr>
        <w:keepNext w:val="0"/>
        <w:keepLines w:val="0"/>
        <w:pageBreakBefore w:val="0"/>
        <w:wordWrap w:val="0"/>
        <w:overflowPunct/>
        <w:topLinePunct w:val="0"/>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6F0775BF">
      <w:pPr>
        <w:keepNext w:val="0"/>
        <w:keepLines w:val="0"/>
        <w:pageBreakBefore w:val="0"/>
        <w:wordWrap w:val="0"/>
        <w:overflowPunct/>
        <w:topLinePunct w:val="0"/>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5E5C6229">
      <w:pPr>
        <w:pStyle w:val="5"/>
        <w:keepNext w:val="0"/>
        <w:keepLines w:val="0"/>
        <w:pageBreakBefore w:val="0"/>
        <w:wordWrap w:val="0"/>
        <w:overflowPunct/>
        <w:topLinePunct w:val="0"/>
        <w:bidi w:val="0"/>
        <w:spacing w:line="391" w:lineRule="auto"/>
        <w:rPr>
          <w:rFonts w:hint="eastAsia" w:ascii="宋体" w:hAnsi="宋体" w:eastAsia="宋体" w:cs="宋体"/>
          <w:color w:val="auto"/>
          <w:spacing w:val="0"/>
          <w:highlight w:val="none"/>
        </w:rPr>
      </w:pPr>
    </w:p>
    <w:p w14:paraId="2F3E6CCB">
      <w:pPr>
        <w:keepNext w:val="0"/>
        <w:keepLines w:val="0"/>
        <w:pageBreakBefore w:val="0"/>
        <w:wordWrap w:val="0"/>
        <w:overflowPunct/>
        <w:topLinePunct w:val="0"/>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073D61BB">
      <w:pPr>
        <w:pStyle w:val="5"/>
        <w:keepNext w:val="0"/>
        <w:keepLines w:val="0"/>
        <w:pageBreakBefore w:val="0"/>
        <w:wordWrap w:val="0"/>
        <w:overflowPunct/>
        <w:topLinePunct w:val="0"/>
        <w:bidi w:val="0"/>
        <w:spacing w:line="316" w:lineRule="auto"/>
        <w:rPr>
          <w:rFonts w:hint="eastAsia" w:ascii="宋体" w:hAnsi="宋体" w:eastAsia="宋体" w:cs="宋体"/>
          <w:color w:val="auto"/>
          <w:spacing w:val="0"/>
          <w:highlight w:val="none"/>
        </w:rPr>
      </w:pPr>
    </w:p>
    <w:p w14:paraId="77163C8C">
      <w:pPr>
        <w:pStyle w:val="5"/>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924F6E6">
      <w:pPr>
        <w:pStyle w:val="5"/>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7873F56B">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6EFADB02">
      <w:pPr>
        <w:pStyle w:val="5"/>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261CCDC7">
      <w:pPr>
        <w:pStyle w:val="5"/>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337E7404">
      <w:pPr>
        <w:pStyle w:val="5"/>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138F87FE">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4D8C9AF9">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87CBE54">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7F13F67">
      <w:pPr>
        <w:pStyle w:val="5"/>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52EE81DA">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86A782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1" w:name="_Toc17307"/>
      <w:r>
        <w:rPr>
          <w:rFonts w:hint="eastAsia" w:ascii="宋体" w:hAnsi="宋体" w:eastAsia="宋体" w:cs="宋体"/>
          <w:b/>
          <w:bCs/>
          <w:color w:val="auto"/>
          <w:spacing w:val="0"/>
          <w:sz w:val="24"/>
          <w:szCs w:val="24"/>
          <w:highlight w:val="none"/>
        </w:rPr>
        <w:t>格式十 项目技术负责人简历表</w:t>
      </w:r>
      <w:bookmarkEnd w:id="251"/>
    </w:p>
    <w:p w14:paraId="171B4251">
      <w:pPr>
        <w:pStyle w:val="5"/>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6D27606E">
      <w:pPr>
        <w:keepNext w:val="0"/>
        <w:keepLines w:val="0"/>
        <w:pageBreakBefore w:val="0"/>
        <w:wordWrap w:val="0"/>
        <w:overflowPunct/>
        <w:topLinePunct w:val="0"/>
        <w:bidi w:val="0"/>
        <w:spacing w:before="97" w:line="219" w:lineRule="auto"/>
        <w:ind w:left="3087"/>
        <w:outlineLvl w:val="9"/>
        <w:rPr>
          <w:rFonts w:hint="eastAsia" w:ascii="宋体" w:hAnsi="宋体" w:eastAsia="宋体" w:cs="宋体"/>
          <w:color w:val="auto"/>
          <w:spacing w:val="0"/>
          <w:sz w:val="30"/>
          <w:szCs w:val="30"/>
          <w:highlight w:val="none"/>
        </w:rPr>
      </w:pPr>
      <w:bookmarkStart w:id="252" w:name="_Toc25712"/>
      <w:bookmarkStart w:id="253" w:name="_Toc1553"/>
      <w:r>
        <w:rPr>
          <w:rFonts w:hint="eastAsia" w:ascii="宋体" w:hAnsi="宋体" w:eastAsia="宋体" w:cs="宋体"/>
          <w:b/>
          <w:bCs/>
          <w:color w:val="auto"/>
          <w:spacing w:val="0"/>
          <w:sz w:val="30"/>
          <w:szCs w:val="30"/>
          <w:highlight w:val="none"/>
        </w:rPr>
        <w:t>项目技术负责人简历表</w:t>
      </w:r>
      <w:bookmarkEnd w:id="252"/>
      <w:bookmarkEnd w:id="253"/>
    </w:p>
    <w:p w14:paraId="73EE4311">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62D06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027B1148">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12C1452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default" w:ascii="宋体" w:hAnsi="宋体" w:eastAsia="宋体" w:cs="宋体"/>
                <w:color w:val="auto"/>
                <w:spacing w:val="0"/>
                <w:sz w:val="24"/>
                <w:szCs w:val="24"/>
                <w:highlight w:val="none"/>
                <w:lang w:val="en-US" w:eastAsia="zh-CN"/>
              </w:rPr>
            </w:pPr>
          </w:p>
        </w:tc>
        <w:tc>
          <w:tcPr>
            <w:tcW w:w="1346" w:type="dxa"/>
            <w:vAlign w:val="center"/>
          </w:tcPr>
          <w:p w14:paraId="51CDEE45">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68056F1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86B480D">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059FFB7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4693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79F67A49">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177E75D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A40CC40">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6B0476A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D3100B6">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5EF81B1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286B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3D947A4C">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712AF3C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3E36B0F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04B1508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DCD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center"/>
          </w:tcPr>
          <w:p w14:paraId="6858778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07656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5FCF70E0">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23DC696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73A006A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4A673551">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3450837E">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2C02647B">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4531E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D51BE53">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6B49161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5A351D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26EB86E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B3B8EB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843DF2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FE88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6E9E08B4">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39DB675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55BA892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74117C6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E7C502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453261B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A725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0F159DC5">
            <w:pPr>
              <w:keepNext w:val="0"/>
              <w:keepLines w:val="0"/>
              <w:pageBreakBefore w:val="0"/>
              <w:widowControl/>
              <w:kinsoku w:val="0"/>
              <w:wordWrap w:val="0"/>
              <w:overflowPunct/>
              <w:topLinePunct w:val="0"/>
              <w:autoSpaceDE w:val="0"/>
              <w:autoSpaceDN w:val="0"/>
              <w:bidi w:val="0"/>
              <w:adjustRightInd w:val="0"/>
              <w:snapToGrid w:val="0"/>
              <w:spacing w:before="178" w:line="324"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5865994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86CDEE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D5B4E6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7DEB3E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693FEC3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61B9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53F08DB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4A6C53C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005FB0B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6595542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9F6AD4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1D650B2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96A9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4CF6E55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5F34AF9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1FC738B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28BF26E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3C5F4D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5130E50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15524FE2">
      <w:pPr>
        <w:pStyle w:val="5"/>
        <w:keepNext w:val="0"/>
        <w:keepLines w:val="0"/>
        <w:pageBreakBefore w:val="0"/>
        <w:wordWrap w:val="0"/>
        <w:overflowPunct/>
        <w:topLinePunct w:val="0"/>
        <w:bidi w:val="0"/>
        <w:spacing w:line="314" w:lineRule="auto"/>
        <w:rPr>
          <w:rFonts w:hint="eastAsia" w:ascii="宋体" w:hAnsi="宋体" w:eastAsia="宋体" w:cs="宋体"/>
          <w:color w:val="auto"/>
          <w:spacing w:val="0"/>
          <w:sz w:val="24"/>
          <w:szCs w:val="24"/>
          <w:highlight w:val="none"/>
        </w:rPr>
      </w:pPr>
    </w:p>
    <w:p w14:paraId="3CB9A644">
      <w:pPr>
        <w:pStyle w:val="5"/>
        <w:keepNext w:val="0"/>
        <w:keepLines w:val="0"/>
        <w:pageBreakBefore w:val="0"/>
        <w:wordWrap w:val="0"/>
        <w:overflowPunct/>
        <w:topLinePunct w:val="0"/>
        <w:bidi w:val="0"/>
        <w:spacing w:line="315" w:lineRule="auto"/>
        <w:rPr>
          <w:rFonts w:hint="eastAsia" w:ascii="宋体" w:hAnsi="宋体" w:eastAsia="宋体" w:cs="宋体"/>
          <w:color w:val="auto"/>
          <w:spacing w:val="0"/>
          <w:sz w:val="24"/>
          <w:szCs w:val="24"/>
          <w:highlight w:val="none"/>
        </w:rPr>
      </w:pPr>
    </w:p>
    <w:p w14:paraId="2572E608">
      <w:pPr>
        <w:keepNext w:val="0"/>
        <w:keepLines w:val="0"/>
        <w:pageBreakBefore w:val="0"/>
        <w:wordWrap w:val="0"/>
        <w:overflowPunct/>
        <w:topLinePunct w:val="0"/>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361732F1">
      <w:pPr>
        <w:pStyle w:val="5"/>
        <w:keepNext w:val="0"/>
        <w:keepLines w:val="0"/>
        <w:pageBreakBefore w:val="0"/>
        <w:wordWrap w:val="0"/>
        <w:overflowPunct/>
        <w:topLinePunct w:val="0"/>
        <w:bidi w:val="0"/>
        <w:spacing w:line="256" w:lineRule="auto"/>
        <w:jc w:val="right"/>
        <w:rPr>
          <w:rFonts w:hint="eastAsia" w:ascii="宋体" w:hAnsi="宋体" w:eastAsia="宋体" w:cs="宋体"/>
          <w:color w:val="auto"/>
          <w:spacing w:val="0"/>
          <w:sz w:val="24"/>
          <w:szCs w:val="24"/>
          <w:highlight w:val="none"/>
        </w:rPr>
      </w:pPr>
    </w:p>
    <w:p w14:paraId="139476F3">
      <w:pPr>
        <w:pStyle w:val="5"/>
        <w:keepNext w:val="0"/>
        <w:keepLines w:val="0"/>
        <w:pageBreakBefore w:val="0"/>
        <w:wordWrap w:val="0"/>
        <w:overflowPunct/>
        <w:topLinePunct w:val="0"/>
        <w:bidi w:val="0"/>
        <w:spacing w:line="257" w:lineRule="auto"/>
        <w:jc w:val="right"/>
        <w:rPr>
          <w:rFonts w:hint="eastAsia" w:ascii="宋体" w:hAnsi="宋体" w:eastAsia="宋体" w:cs="宋体"/>
          <w:color w:val="auto"/>
          <w:spacing w:val="0"/>
          <w:sz w:val="24"/>
          <w:szCs w:val="24"/>
          <w:highlight w:val="none"/>
        </w:rPr>
      </w:pPr>
    </w:p>
    <w:p w14:paraId="47997D35">
      <w:pPr>
        <w:pStyle w:val="5"/>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C5F239C">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278090A4">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5519EB8E">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61D74FE1">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 xml:space="preserve">，其中必须有 </w:t>
      </w:r>
      <w:r>
        <w:rPr>
          <w:rFonts w:hint="eastAsia" w:ascii="宋体" w:hAnsi="宋体" w:eastAsia="宋体" w:cs="宋体"/>
          <w:color w:val="auto"/>
          <w:spacing w:val="0"/>
          <w:sz w:val="24"/>
          <w:szCs w:val="24"/>
          <w:highlight w:val="none"/>
          <w:lang w:eastAsia="zh-CN"/>
        </w:rPr>
        <w:t>202</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rPr>
        <w:t>月）扫描件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3D3163C1">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．“进粤企业和人员诚信信息登记平台 ”个人信息情况截图。（适用于省外建筑企业）</w:t>
      </w:r>
    </w:p>
    <w:p w14:paraId="0D02FA21">
      <w:pPr>
        <w:keepNext w:val="0"/>
        <w:keepLines w:val="0"/>
        <w:pageBreakBefore w:val="0"/>
        <w:wordWrap w:val="0"/>
        <w:overflowPunct/>
        <w:topLinePunct w:val="0"/>
        <w:bidi w:val="0"/>
        <w:spacing w:line="228" w:lineRule="auto"/>
        <w:rPr>
          <w:rFonts w:hint="eastAsia" w:ascii="宋体" w:hAnsi="宋体" w:eastAsia="宋体" w:cs="宋体"/>
          <w:color w:val="auto"/>
          <w:spacing w:val="0"/>
          <w:sz w:val="20"/>
          <w:szCs w:val="20"/>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A8954A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4" w:name="_Toc4617"/>
      <w:r>
        <w:rPr>
          <w:rFonts w:hint="eastAsia" w:ascii="宋体" w:hAnsi="宋体" w:eastAsia="宋体" w:cs="宋体"/>
          <w:b/>
          <w:bCs/>
          <w:color w:val="auto"/>
          <w:spacing w:val="0"/>
          <w:sz w:val="24"/>
          <w:szCs w:val="24"/>
          <w:highlight w:val="none"/>
        </w:rPr>
        <w:t>格式十一 项目管理机构组成表</w:t>
      </w:r>
      <w:bookmarkEnd w:id="254"/>
    </w:p>
    <w:p w14:paraId="13302305">
      <w:pPr>
        <w:pStyle w:val="5"/>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1CB0A329">
      <w:pPr>
        <w:pStyle w:val="5"/>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46717317">
      <w:pPr>
        <w:keepNext w:val="0"/>
        <w:keepLines w:val="0"/>
        <w:pageBreakBefore w:val="0"/>
        <w:wordWrap w:val="0"/>
        <w:overflowPunct/>
        <w:topLinePunct w:val="0"/>
        <w:bidi w:val="0"/>
        <w:spacing w:before="97" w:line="219" w:lineRule="auto"/>
        <w:ind w:left="3200"/>
        <w:outlineLvl w:val="9"/>
        <w:rPr>
          <w:rFonts w:hint="eastAsia" w:ascii="宋体" w:hAnsi="宋体" w:eastAsia="宋体" w:cs="宋体"/>
          <w:color w:val="auto"/>
          <w:spacing w:val="0"/>
          <w:sz w:val="30"/>
          <w:szCs w:val="30"/>
          <w:highlight w:val="none"/>
        </w:rPr>
      </w:pPr>
      <w:bookmarkStart w:id="255" w:name="bookmark158"/>
      <w:bookmarkEnd w:id="255"/>
      <w:bookmarkStart w:id="256" w:name="_Toc28765"/>
      <w:bookmarkStart w:id="257" w:name="_Toc19973"/>
      <w:r>
        <w:rPr>
          <w:rFonts w:hint="eastAsia" w:ascii="宋体" w:hAnsi="宋体" w:eastAsia="宋体" w:cs="宋体"/>
          <w:b/>
          <w:bCs/>
          <w:color w:val="auto"/>
          <w:spacing w:val="0"/>
          <w:sz w:val="30"/>
          <w:szCs w:val="30"/>
          <w:highlight w:val="none"/>
        </w:rPr>
        <w:t>项目管理机构组成表</w:t>
      </w:r>
      <w:bookmarkEnd w:id="256"/>
      <w:bookmarkEnd w:id="257"/>
    </w:p>
    <w:p w14:paraId="3F9C214E">
      <w:pPr>
        <w:keepNext w:val="0"/>
        <w:keepLines w:val="0"/>
        <w:pageBreakBefore w:val="0"/>
        <w:wordWrap w:val="0"/>
        <w:overflowPunct/>
        <w:topLinePunct w:val="0"/>
        <w:bidi w:val="0"/>
        <w:spacing w:before="7"/>
        <w:rPr>
          <w:rFonts w:hint="eastAsia" w:ascii="宋体" w:hAnsi="宋体" w:eastAsia="宋体" w:cs="宋体"/>
          <w:color w:val="auto"/>
          <w:spacing w:val="0"/>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4FAF9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24973B7A">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1D81A139">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16DE99F2">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3DEA72FE">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2C73CF22">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083434E7">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785D04B3">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68123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5E63623">
            <w:pPr>
              <w:keepNext w:val="0"/>
              <w:keepLines w:val="0"/>
              <w:pageBreakBefore w:val="0"/>
              <w:widowControl/>
              <w:kinsoku w:val="0"/>
              <w:wordWrap w:val="0"/>
              <w:overflowPunct/>
              <w:topLinePunct w:val="0"/>
              <w:autoSpaceDE w:val="0"/>
              <w:autoSpaceDN w:val="0"/>
              <w:bidi w:val="0"/>
              <w:adjustRightInd w:val="0"/>
              <w:snapToGrid w:val="0"/>
              <w:spacing w:before="185"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28E04193">
            <w:pPr>
              <w:keepNext w:val="0"/>
              <w:keepLines w:val="0"/>
              <w:pageBreakBefore w:val="0"/>
              <w:widowControl/>
              <w:kinsoku w:val="0"/>
              <w:wordWrap w:val="0"/>
              <w:overflowPunct/>
              <w:topLinePunct w:val="0"/>
              <w:autoSpaceDE w:val="0"/>
              <w:autoSpaceDN w:val="0"/>
              <w:bidi w:val="0"/>
              <w:adjustRightInd w:val="0"/>
              <w:snapToGrid w:val="0"/>
              <w:spacing w:before="150"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279EC07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1946216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755E9C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437005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9C50D1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DB1C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128CBE76">
            <w:pPr>
              <w:keepNext w:val="0"/>
              <w:keepLines w:val="0"/>
              <w:pageBreakBefore w:val="0"/>
              <w:widowControl/>
              <w:kinsoku w:val="0"/>
              <w:wordWrap w:val="0"/>
              <w:overflowPunct/>
              <w:topLinePunct w:val="0"/>
              <w:autoSpaceDE w:val="0"/>
              <w:autoSpaceDN w:val="0"/>
              <w:bidi w:val="0"/>
              <w:adjustRightInd w:val="0"/>
              <w:snapToGrid w:val="0"/>
              <w:spacing w:before="187"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5302F0E7">
            <w:pPr>
              <w:keepNext w:val="0"/>
              <w:keepLines w:val="0"/>
              <w:pageBreakBefore w:val="0"/>
              <w:widowControl/>
              <w:kinsoku w:val="0"/>
              <w:wordWrap w:val="0"/>
              <w:overflowPunct/>
              <w:topLinePunct w:val="0"/>
              <w:autoSpaceDE w:val="0"/>
              <w:autoSpaceDN w:val="0"/>
              <w:bidi w:val="0"/>
              <w:adjustRightInd w:val="0"/>
              <w:snapToGrid w:val="0"/>
              <w:spacing w:before="152"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45B17BB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2D4943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2CD6359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EA78E4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A17919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D5A0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7241294">
            <w:pPr>
              <w:keepNext w:val="0"/>
              <w:keepLines w:val="0"/>
              <w:pageBreakBefore w:val="0"/>
              <w:widowControl/>
              <w:kinsoku w:val="0"/>
              <w:wordWrap w:val="0"/>
              <w:overflowPunct/>
              <w:topLinePunct w:val="0"/>
              <w:autoSpaceDE w:val="0"/>
              <w:autoSpaceDN w:val="0"/>
              <w:bidi w:val="0"/>
              <w:adjustRightInd w:val="0"/>
              <w:snapToGrid w:val="0"/>
              <w:spacing w:before="189" w:line="195"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1A68D2CA">
            <w:pPr>
              <w:keepNext w:val="0"/>
              <w:keepLines w:val="0"/>
              <w:pageBreakBefore w:val="0"/>
              <w:widowControl/>
              <w:kinsoku w:val="0"/>
              <w:wordWrap w:val="0"/>
              <w:overflowPunct/>
              <w:topLinePunct w:val="0"/>
              <w:autoSpaceDE w:val="0"/>
              <w:autoSpaceDN w:val="0"/>
              <w:bidi w:val="0"/>
              <w:adjustRightInd w:val="0"/>
              <w:snapToGrid w:val="0"/>
              <w:spacing w:before="153"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233E54A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39C0AA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7604176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9B26D1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DAF433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38E6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2D0395E">
            <w:pPr>
              <w:keepNext w:val="0"/>
              <w:keepLines w:val="0"/>
              <w:pageBreakBefore w:val="0"/>
              <w:widowControl/>
              <w:kinsoku w:val="0"/>
              <w:wordWrap w:val="0"/>
              <w:overflowPunct/>
              <w:topLinePunct w:val="0"/>
              <w:autoSpaceDE w:val="0"/>
              <w:autoSpaceDN w:val="0"/>
              <w:bidi w:val="0"/>
              <w:adjustRightInd w:val="0"/>
              <w:snapToGrid w:val="0"/>
              <w:spacing w:before="188"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6D6A0735">
            <w:pPr>
              <w:keepNext w:val="0"/>
              <w:keepLines w:val="0"/>
              <w:pageBreakBefore w:val="0"/>
              <w:widowControl/>
              <w:kinsoku w:val="0"/>
              <w:wordWrap w:val="0"/>
              <w:overflowPunct/>
              <w:topLinePunct w:val="0"/>
              <w:autoSpaceDE w:val="0"/>
              <w:autoSpaceDN w:val="0"/>
              <w:bidi w:val="0"/>
              <w:adjustRightInd w:val="0"/>
              <w:snapToGrid w:val="0"/>
              <w:spacing w:before="152"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4D2A9BD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72902F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2AD1B7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1F49332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D29EC2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2103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216BD2AF">
            <w:pPr>
              <w:keepNext w:val="0"/>
              <w:keepLines w:val="0"/>
              <w:pageBreakBefore w:val="0"/>
              <w:widowControl/>
              <w:kinsoku w:val="0"/>
              <w:wordWrap w:val="0"/>
              <w:overflowPunct/>
              <w:topLinePunct w:val="0"/>
              <w:autoSpaceDE w:val="0"/>
              <w:autoSpaceDN w:val="0"/>
              <w:bidi w:val="0"/>
              <w:adjustRightInd w:val="0"/>
              <w:snapToGrid w:val="0"/>
              <w:spacing w:before="193"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131AA88E">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5389131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94F092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85C611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295D63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4DF768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C2F6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4D7C08BB">
            <w:pPr>
              <w:keepNext w:val="0"/>
              <w:keepLines w:val="0"/>
              <w:pageBreakBefore w:val="0"/>
              <w:widowControl/>
              <w:kinsoku w:val="0"/>
              <w:wordWrap w:val="0"/>
              <w:overflowPunct/>
              <w:topLinePunct w:val="0"/>
              <w:autoSpaceDE w:val="0"/>
              <w:autoSpaceDN w:val="0"/>
              <w:bidi w:val="0"/>
              <w:adjustRightInd w:val="0"/>
              <w:snapToGrid w:val="0"/>
              <w:spacing w:before="191"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78AE3C36">
            <w:pPr>
              <w:keepNext w:val="0"/>
              <w:keepLines w:val="0"/>
              <w:pageBreakBefore w:val="0"/>
              <w:widowControl/>
              <w:kinsoku w:val="0"/>
              <w:wordWrap w:val="0"/>
              <w:overflowPunct/>
              <w:topLinePunct w:val="0"/>
              <w:autoSpaceDE w:val="0"/>
              <w:autoSpaceDN w:val="0"/>
              <w:bidi w:val="0"/>
              <w:adjustRightInd w:val="0"/>
              <w:snapToGrid w:val="0"/>
              <w:spacing w:before="15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2B8642A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BC1824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46C6828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57FA84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5158A1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EDF5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4B0CF18E">
            <w:pPr>
              <w:keepNext w:val="0"/>
              <w:keepLines w:val="0"/>
              <w:pageBreakBefore w:val="0"/>
              <w:widowControl/>
              <w:kinsoku w:val="0"/>
              <w:wordWrap w:val="0"/>
              <w:overflowPunct/>
              <w:topLinePunct w:val="0"/>
              <w:autoSpaceDE w:val="0"/>
              <w:autoSpaceDN w:val="0"/>
              <w:bidi w:val="0"/>
              <w:adjustRightInd w:val="0"/>
              <w:snapToGrid w:val="0"/>
              <w:spacing w:before="192"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52A8F17D">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273B67E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3E315B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3C8A6E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69E6815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B44B37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EBB4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686BEE27">
            <w:pPr>
              <w:keepNext w:val="0"/>
              <w:keepLines w:val="0"/>
              <w:pageBreakBefore w:val="0"/>
              <w:widowControl/>
              <w:kinsoku w:val="0"/>
              <w:wordWrap w:val="0"/>
              <w:overflowPunct/>
              <w:topLinePunct w:val="0"/>
              <w:autoSpaceDE w:val="0"/>
              <w:autoSpaceDN w:val="0"/>
              <w:bidi w:val="0"/>
              <w:adjustRightInd w:val="0"/>
              <w:snapToGrid w:val="0"/>
              <w:spacing w:before="154"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0D6E585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3297F2A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77398E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BB49A0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7DF4061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3450599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A462CE4">
      <w:pPr>
        <w:pStyle w:val="5"/>
        <w:keepNext w:val="0"/>
        <w:keepLines w:val="0"/>
        <w:pageBreakBefore w:val="0"/>
        <w:wordWrap w:val="0"/>
        <w:overflowPunct/>
        <w:topLinePunct w:val="0"/>
        <w:bidi w:val="0"/>
        <w:spacing w:line="395" w:lineRule="auto"/>
        <w:rPr>
          <w:rFonts w:hint="eastAsia" w:ascii="宋体" w:hAnsi="宋体" w:eastAsia="宋体" w:cs="宋体"/>
          <w:color w:val="auto"/>
          <w:spacing w:val="0"/>
          <w:sz w:val="24"/>
          <w:szCs w:val="24"/>
          <w:highlight w:val="none"/>
        </w:rPr>
      </w:pPr>
    </w:p>
    <w:p w14:paraId="6B363038">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3D714D0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2C0041A5">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6CF38C4E">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3AC26B2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，其中必须有</w:t>
      </w:r>
      <w:r>
        <w:rPr>
          <w:rFonts w:hint="eastAsia" w:ascii="宋体" w:hAnsi="宋体" w:eastAsia="宋体" w:cs="宋体"/>
          <w:color w:val="auto"/>
          <w:spacing w:val="0"/>
          <w:sz w:val="24"/>
          <w:szCs w:val="24"/>
          <w:highlight w:val="none"/>
          <w:lang w:eastAsia="zh-CN"/>
        </w:rPr>
        <w:t>202</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rPr>
        <w:t>月）扫描件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73383B9E">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（4）“进粤企业和人员诚信信息登记平台 ”个人信息情况截图。（适用于省外建筑企业）</w:t>
      </w:r>
    </w:p>
    <w:p w14:paraId="0DC7E2CA">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34C24C8E">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8" w:name="_Toc9474"/>
      <w:r>
        <w:rPr>
          <w:rFonts w:hint="eastAsia" w:ascii="宋体" w:hAnsi="宋体" w:eastAsia="宋体" w:cs="宋体"/>
          <w:b/>
          <w:bCs/>
          <w:color w:val="auto"/>
          <w:spacing w:val="0"/>
          <w:sz w:val="24"/>
          <w:szCs w:val="24"/>
          <w:highlight w:val="none"/>
        </w:rPr>
        <w:t>格式十二 建造师查询页（有效期+建造师签字）</w:t>
      </w:r>
      <w:bookmarkEnd w:id="258"/>
    </w:p>
    <w:p w14:paraId="4010CFCE">
      <w:pPr>
        <w:keepNext w:val="0"/>
        <w:keepLines w:val="0"/>
        <w:pageBreakBefore w:val="0"/>
        <w:wordWrap w:val="0"/>
        <w:overflowPunct/>
        <w:topLinePunct w:val="0"/>
        <w:bidi w:val="0"/>
        <w:outlineLvl w:val="9"/>
        <w:rPr>
          <w:rFonts w:hint="eastAsia" w:ascii="宋体" w:hAnsi="宋体" w:eastAsia="宋体" w:cs="宋体"/>
          <w:color w:val="auto"/>
          <w:spacing w:val="0"/>
          <w:highlight w:val="none"/>
        </w:rPr>
      </w:pPr>
      <w:r>
        <w:rPr>
          <w:rFonts w:hint="eastAsia" w:ascii="宋体" w:hAnsi="宋体" w:eastAsia="宋体" w:cs="宋体"/>
          <w:color w:val="auto"/>
          <w:spacing w:val="0"/>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6"/>
                    <a:stretch>
                      <a:fillRect/>
                    </a:stretch>
                  </pic:blipFill>
                  <pic:spPr>
                    <a:xfrm>
                      <a:off x="0" y="0"/>
                      <a:ext cx="6239510" cy="8013700"/>
                    </a:xfrm>
                    <a:prstGeom prst="rect">
                      <a:avLst/>
                    </a:prstGeom>
                    <a:noFill/>
                    <a:ln>
                      <a:noFill/>
                    </a:ln>
                  </pic:spPr>
                </pic:pic>
              </a:graphicData>
            </a:graphic>
          </wp:inline>
        </w:drawing>
      </w:r>
    </w:p>
    <w:p w14:paraId="224861AE">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70491D8">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7"/>
                    <a:stretch>
                      <a:fillRect/>
                    </a:stretch>
                  </pic:blipFill>
                  <pic:spPr>
                    <a:xfrm>
                      <a:off x="0" y="0"/>
                      <a:ext cx="6285865" cy="6925310"/>
                    </a:xfrm>
                    <a:prstGeom prst="rect">
                      <a:avLst/>
                    </a:prstGeom>
                    <a:noFill/>
                    <a:ln>
                      <a:noFill/>
                    </a:ln>
                  </pic:spPr>
                </pic:pic>
              </a:graphicData>
            </a:graphic>
          </wp:inline>
        </w:drawing>
      </w:r>
    </w:p>
    <w:p w14:paraId="5CC2C696">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5EABDEE">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9" w:name="_Toc4348"/>
      <w:r>
        <w:rPr>
          <w:rFonts w:hint="eastAsia" w:ascii="宋体" w:hAnsi="宋体" w:eastAsia="宋体" w:cs="宋体"/>
          <w:b/>
          <w:bCs/>
          <w:color w:val="auto"/>
          <w:spacing w:val="0"/>
          <w:sz w:val="24"/>
          <w:szCs w:val="24"/>
          <w:highlight w:val="none"/>
        </w:rPr>
        <w:t>格式十三</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2"/>
          <w:szCs w:val="22"/>
          <w:highlight w:val="none"/>
        </w:rPr>
        <w:t>危险性较大的分部分项工程清单及超过一定规模的危险性较大的分部分项工程清单</w:t>
      </w:r>
      <w:bookmarkEnd w:id="259"/>
    </w:p>
    <w:p w14:paraId="77F2582F">
      <w:pPr>
        <w:pStyle w:val="5"/>
        <w:keepNext w:val="0"/>
        <w:keepLines w:val="0"/>
        <w:pageBreakBefore w:val="0"/>
        <w:wordWrap w:val="0"/>
        <w:overflowPunct/>
        <w:topLinePunct w:val="0"/>
        <w:bidi w:val="0"/>
        <w:spacing w:line="269" w:lineRule="auto"/>
        <w:rPr>
          <w:rFonts w:hint="eastAsia" w:ascii="宋体" w:hAnsi="宋体" w:eastAsia="宋体" w:cs="宋体"/>
          <w:color w:val="auto"/>
          <w:spacing w:val="0"/>
          <w:highlight w:val="none"/>
        </w:rPr>
      </w:pPr>
    </w:p>
    <w:p w14:paraId="1DC4F15D">
      <w:pPr>
        <w:keepNext w:val="0"/>
        <w:keepLines w:val="0"/>
        <w:pageBreakBefore w:val="0"/>
        <w:tabs>
          <w:tab w:val="left" w:pos="2940"/>
        </w:tabs>
        <w:wordWrap w:val="0"/>
        <w:overflowPunct/>
        <w:topLinePunct w:val="0"/>
        <w:bidi w:val="0"/>
        <w:spacing w:before="101" w:line="377" w:lineRule="auto"/>
        <w:ind w:left="3179" w:leftChars="0" w:right="41" w:hanging="3133" w:firstLineChars="0"/>
        <w:rPr>
          <w:rFonts w:hint="eastAsia" w:ascii="宋体" w:hAnsi="宋体" w:eastAsia="宋体" w:cs="宋体"/>
          <w:color w:val="auto"/>
          <w:spacing w:val="0"/>
          <w:sz w:val="31"/>
          <w:szCs w:val="31"/>
          <w:highlight w:val="none"/>
        </w:rPr>
      </w:pPr>
      <w:bookmarkStart w:id="260" w:name="bookmark160"/>
      <w:bookmarkEnd w:id="260"/>
      <w:bookmarkStart w:id="261" w:name="OLE_LINK41"/>
      <w:r>
        <w:rPr>
          <w:rFonts w:hint="eastAsia" w:ascii="宋体" w:hAnsi="宋体" w:eastAsia="宋体" w:cs="宋体"/>
          <w:b/>
          <w:bCs/>
          <w:color w:val="auto"/>
          <w:spacing w:val="0"/>
          <w:sz w:val="31"/>
          <w:szCs w:val="31"/>
          <w:highlight w:val="none"/>
        </w:rPr>
        <w:t>危险性较大的分部分项工程清单及超过一定规模的危险性较大的分部分项工程清单</w:t>
      </w:r>
    </w:p>
    <w:bookmarkEnd w:id="261"/>
    <w:p w14:paraId="2EE1B99C">
      <w:pPr>
        <w:keepNext w:val="0"/>
        <w:keepLines w:val="0"/>
        <w:pageBreakBefore w:val="0"/>
        <w:wordWrap w:val="0"/>
        <w:overflowPunct/>
        <w:topLinePunct w:val="0"/>
        <w:bidi w:val="0"/>
        <w:spacing w:before="6" w:line="326" w:lineRule="auto"/>
        <w:ind w:left="5"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1、根据中华人民共和国住房和城乡建设部令第37号《危险性较大的分部分项工程安全管理规定》（以下简称“37号文 ”），投标人在投标时须补充完善危大工程清单并明确相应的安全管理措施。</w:t>
      </w:r>
    </w:p>
    <w:p w14:paraId="78F39713">
      <w:pPr>
        <w:keepNext w:val="0"/>
        <w:keepLines w:val="0"/>
        <w:pageBreakBefore w:val="0"/>
        <w:wordWrap w:val="0"/>
        <w:overflowPunct/>
        <w:topLinePunct w:val="0"/>
        <w:bidi w:val="0"/>
        <w:spacing w:before="208" w:line="326" w:lineRule="auto"/>
        <w:ind w:left="1"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2、招标人根据设计文件的要求及37号文、粤建规范〔2019〕2号文的规定列出“危险性较大的分部分项工程清单及超过一定规模的危险性较大的分部分项工程清单 ”中与本招标项目相关的清单项，具体详见第5点“打 √ ”标识。</w:t>
      </w:r>
    </w:p>
    <w:p w14:paraId="274593FA">
      <w:pPr>
        <w:keepNext w:val="0"/>
        <w:keepLines w:val="0"/>
        <w:pageBreakBefore w:val="0"/>
        <w:wordWrap w:val="0"/>
        <w:overflowPunct/>
        <w:topLinePunct w:val="0"/>
        <w:bidi w:val="0"/>
        <w:spacing w:before="209" w:line="299" w:lineRule="auto"/>
        <w:ind w:left="3" w:right="7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（1）投标单位同意建设单位在清单中标识的该项请在对应项打“ √ ”标识，并与投标文件中提供相应的安全管理措施。</w:t>
      </w:r>
    </w:p>
    <w:p w14:paraId="74EEEBC5">
      <w:pPr>
        <w:keepNext w:val="0"/>
        <w:keepLines w:val="0"/>
        <w:pageBreakBefore w:val="0"/>
        <w:wordWrap w:val="0"/>
        <w:overflowPunct/>
        <w:topLinePunct w:val="0"/>
        <w:bidi w:val="0"/>
        <w:spacing w:before="208" w:line="299" w:lineRule="auto"/>
        <w:ind w:left="2" w:right="72"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（2）投标单位对清单中认为需要补充的该项请在对应项打“ √ ”标识，并与投标文件中提供相应的安全管理措施。</w:t>
      </w:r>
    </w:p>
    <w:p w14:paraId="4EE28477">
      <w:pPr>
        <w:keepNext w:val="0"/>
        <w:keepLines w:val="0"/>
        <w:pageBreakBefore w:val="0"/>
        <w:wordWrap w:val="0"/>
        <w:overflowPunct/>
        <w:topLinePunct w:val="0"/>
        <w:bidi w:val="0"/>
        <w:spacing w:before="210" w:line="300" w:lineRule="auto"/>
        <w:ind w:right="7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（3）投标单位不同意建设单位在清单中标识的该项请在对应项打“ × ”标识，并在备注栏填上相关说明。</w:t>
      </w:r>
    </w:p>
    <w:p w14:paraId="0AA9D530">
      <w:pPr>
        <w:keepNext w:val="0"/>
        <w:keepLines w:val="0"/>
        <w:pageBreakBefore w:val="0"/>
        <w:wordWrap w:val="0"/>
        <w:overflowPunct/>
        <w:topLinePunct w:val="0"/>
        <w:bidi w:val="0"/>
        <w:spacing w:before="207" w:line="371" w:lineRule="auto"/>
        <w:ind w:firstLine="48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u w:val="single"/>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40E33B8F">
      <w:pPr>
        <w:keepNext w:val="0"/>
        <w:keepLines w:val="0"/>
        <w:pageBreakBefore w:val="0"/>
        <w:wordWrap w:val="0"/>
        <w:overflowPunct/>
        <w:topLinePunct w:val="0"/>
        <w:bidi w:val="0"/>
        <w:spacing w:before="33" w:line="326" w:lineRule="auto"/>
        <w:ind w:left="1"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475ECAD3">
      <w:pPr>
        <w:keepNext w:val="0"/>
        <w:keepLines w:val="0"/>
        <w:pageBreakBefore w:val="0"/>
        <w:wordWrap w:val="0"/>
        <w:overflowPunct/>
        <w:topLinePunct w:val="0"/>
        <w:bidi w:val="0"/>
        <w:spacing w:before="208" w:line="301" w:lineRule="auto"/>
        <w:ind w:firstLine="484"/>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5、危险性较大的分部分项工程清单及超过一定规模的危险性较大的分部分项工程清单</w:t>
      </w:r>
    </w:p>
    <w:p w14:paraId="42C9B594">
      <w:pPr>
        <w:keepNext w:val="0"/>
        <w:keepLines w:val="0"/>
        <w:pageBreakBefore w:val="0"/>
        <w:wordWrap w:val="0"/>
        <w:overflowPunct/>
        <w:topLinePunct w:val="0"/>
        <w:bidi w:val="0"/>
        <w:spacing w:before="40"/>
        <w:rPr>
          <w:rFonts w:hint="eastAsia" w:ascii="宋体" w:hAnsi="宋体" w:eastAsia="宋体" w:cs="宋体"/>
          <w:color w:val="auto"/>
          <w:spacing w:val="0"/>
          <w:highlight w:val="none"/>
        </w:rPr>
      </w:pPr>
    </w:p>
    <w:tbl>
      <w:tblPr>
        <w:tblStyle w:val="15"/>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557E1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3E2271B">
            <w:pPr>
              <w:keepNext w:val="0"/>
              <w:keepLines w:val="0"/>
              <w:pageBreakBefore w:val="0"/>
              <w:wordWrap w:val="0"/>
              <w:overflowPunct/>
              <w:topLinePunct w:val="0"/>
              <w:bidi w:val="0"/>
              <w:spacing w:before="133" w:line="22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一、危险性较大的分部分项工程清单</w:t>
            </w:r>
          </w:p>
        </w:tc>
        <w:tc>
          <w:tcPr>
            <w:tcW w:w="1294" w:type="dxa"/>
            <w:vAlign w:val="top"/>
          </w:tcPr>
          <w:p w14:paraId="7EE34BC8">
            <w:pPr>
              <w:keepNext w:val="0"/>
              <w:keepLines w:val="0"/>
              <w:pageBreakBefore w:val="0"/>
              <w:wordWrap w:val="0"/>
              <w:overflowPunct/>
              <w:topLinePunct w:val="0"/>
              <w:bidi w:val="0"/>
              <w:spacing w:before="133" w:line="221" w:lineRule="auto"/>
              <w:ind w:left="20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2D534262">
            <w:pPr>
              <w:keepNext w:val="0"/>
              <w:keepLines w:val="0"/>
              <w:pageBreakBefore w:val="0"/>
              <w:wordWrap w:val="0"/>
              <w:overflowPunct/>
              <w:topLinePunct w:val="0"/>
              <w:bidi w:val="0"/>
              <w:spacing w:before="133" w:line="221" w:lineRule="auto"/>
              <w:ind w:left="205" w:leftChars="0"/>
              <w:rPr>
                <w:rFonts w:hint="eastAsia" w:ascii="宋体" w:hAnsi="宋体" w:eastAsia="宋体" w:cs="宋体"/>
                <w:color w:val="auto"/>
                <w:spacing w:val="0"/>
                <w:w w:val="94"/>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47A25E0">
            <w:pPr>
              <w:keepNext w:val="0"/>
              <w:keepLines w:val="0"/>
              <w:pageBreakBefore w:val="0"/>
              <w:wordWrap w:val="0"/>
              <w:overflowPunct/>
              <w:topLinePunct w:val="0"/>
              <w:bidi w:val="0"/>
              <w:spacing w:before="133" w:line="222" w:lineRule="auto"/>
              <w:ind w:left="360" w:leftChars="0"/>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备注</w:t>
            </w:r>
          </w:p>
        </w:tc>
      </w:tr>
      <w:tr w14:paraId="0D489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DAF17AB">
            <w:pPr>
              <w:keepNext w:val="0"/>
              <w:keepLines w:val="0"/>
              <w:pageBreakBefore w:val="0"/>
              <w:wordWrap w:val="0"/>
              <w:overflowPunct/>
              <w:topLinePunct w:val="0"/>
              <w:bidi w:val="0"/>
              <w:spacing w:before="128" w:line="221" w:lineRule="auto"/>
              <w:ind w:left="120" w:left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一、基坑支护</w:t>
            </w:r>
          </w:p>
        </w:tc>
        <w:tc>
          <w:tcPr>
            <w:tcW w:w="1294" w:type="dxa"/>
            <w:vAlign w:val="top"/>
          </w:tcPr>
          <w:p w14:paraId="3A59FE3B">
            <w:pPr>
              <w:keepNext w:val="0"/>
              <w:keepLines w:val="0"/>
              <w:pageBreakBefore w:val="0"/>
              <w:wordWrap w:val="0"/>
              <w:overflowPunct/>
              <w:topLinePunct w:val="0"/>
              <w:bidi w:val="0"/>
              <w:spacing w:before="128" w:line="223" w:lineRule="auto"/>
              <w:jc w:val="center"/>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bookmarkStart w:id="262" w:name="OLE_LINK39"/>
            <w:r>
              <w:rPr>
                <w:rFonts w:hint="eastAsia" w:ascii="宋体" w:hAnsi="宋体" w:eastAsia="宋体" w:cs="宋体"/>
                <w:color w:val="auto"/>
                <w:spacing w:val="0"/>
                <w:sz w:val="24"/>
                <w:szCs w:val="24"/>
                <w:highlight w:val="none"/>
              </w:rPr>
              <w:t xml:space="preserve">  </w:t>
            </w:r>
            <w:bookmarkEnd w:id="262"/>
            <w:r>
              <w:rPr>
                <w:rFonts w:hint="eastAsia" w:ascii="宋体" w:hAnsi="宋体" w:eastAsia="宋体" w:cs="宋体"/>
                <w:color w:val="auto"/>
                <w:spacing w:val="0"/>
                <w:w w:val="94"/>
                <w:sz w:val="24"/>
                <w:szCs w:val="24"/>
                <w:highlight w:val="none"/>
              </w:rPr>
              <w:t>)</w:t>
            </w:r>
          </w:p>
        </w:tc>
        <w:tc>
          <w:tcPr>
            <w:tcW w:w="1294" w:type="dxa"/>
            <w:vAlign w:val="top"/>
          </w:tcPr>
          <w:p w14:paraId="5B09B83E">
            <w:pPr>
              <w:keepNext w:val="0"/>
              <w:keepLines w:val="0"/>
              <w:pageBreakBefore w:val="0"/>
              <w:wordWrap w:val="0"/>
              <w:overflowPunct/>
              <w:topLinePunct w:val="0"/>
              <w:bidi w:val="0"/>
              <w:spacing w:before="12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65E747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A929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866B5D4">
            <w:pPr>
              <w:keepNext w:val="0"/>
              <w:keepLines w:val="0"/>
              <w:pageBreakBefore w:val="0"/>
              <w:wordWrap w:val="0"/>
              <w:overflowPunct/>
              <w:topLinePunct w:val="0"/>
              <w:bidi w:val="0"/>
              <w:spacing w:before="129" w:line="328" w:lineRule="auto"/>
              <w:ind w:left="135" w:leftChars="0" w:right="68" w:rightChars="0" w:hanging="8"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（一）开挖深度超过 3m（含 3m）的基坑（槽） 的土方开挖、支护、降水工程。</w:t>
            </w:r>
          </w:p>
        </w:tc>
        <w:tc>
          <w:tcPr>
            <w:tcW w:w="1294" w:type="dxa"/>
            <w:vAlign w:val="top"/>
          </w:tcPr>
          <w:p w14:paraId="52CC6617">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71793FF">
            <w:pPr>
              <w:keepNext w:val="0"/>
              <w:keepLines w:val="0"/>
              <w:pageBreakBefore w:val="0"/>
              <w:wordWrap w:val="0"/>
              <w:overflowPunct/>
              <w:topLinePunct w:val="0"/>
              <w:bidi w:val="0"/>
              <w:spacing w:before="78" w:line="223" w:lineRule="auto"/>
              <w:ind w:left="39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2833F7C">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FC716E1">
            <w:pPr>
              <w:keepNext w:val="0"/>
              <w:keepLines w:val="0"/>
              <w:pageBreakBefore w:val="0"/>
              <w:wordWrap w:val="0"/>
              <w:overflowPunct/>
              <w:topLinePunct w:val="0"/>
              <w:bidi w:val="0"/>
              <w:spacing w:before="7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DBA5CB6">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241B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64D29E4">
            <w:pPr>
              <w:keepNext w:val="0"/>
              <w:keepLines w:val="0"/>
              <w:pageBreakBefore w:val="0"/>
              <w:wordWrap w:val="0"/>
              <w:overflowPunct/>
              <w:topLinePunct w:val="0"/>
              <w:bidi w:val="0"/>
              <w:spacing w:before="132" w:line="354" w:lineRule="auto"/>
              <w:ind w:left="116" w:right="108" w:firstLine="11"/>
              <w:jc w:val="both"/>
              <w:rPr>
                <w:rFonts w:hint="eastAsia" w:ascii="宋体" w:hAnsi="宋体" w:eastAsia="宋体" w:cs="宋体"/>
                <w:color w:val="auto"/>
                <w:spacing w:val="0"/>
                <w:sz w:val="24"/>
                <w:szCs w:val="24"/>
                <w:highlight w:val="none"/>
              </w:rPr>
            </w:pPr>
            <w:bookmarkStart w:id="263" w:name="bookmark161"/>
            <w:bookmarkEnd w:id="263"/>
            <w:r>
              <w:rPr>
                <w:rFonts w:hint="eastAsia" w:ascii="宋体" w:hAnsi="宋体" w:eastAsia="宋体" w:cs="宋体"/>
                <w:color w:val="auto"/>
                <w:spacing w:val="0"/>
                <w:sz w:val="24"/>
                <w:szCs w:val="24"/>
                <w:highlight w:val="none"/>
              </w:rPr>
              <w:t>（二）开挖深度虽未超过 3m，但地质条件、周 围环境和地下管线复杂，或影响毗邻建、构筑 物安全的基坑（槽）的土方开挖、支护、降水 工程。</w:t>
            </w:r>
          </w:p>
        </w:tc>
        <w:tc>
          <w:tcPr>
            <w:tcW w:w="1294" w:type="dxa"/>
            <w:vAlign w:val="top"/>
          </w:tcPr>
          <w:p w14:paraId="7E60CF41">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51D12EE">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3C442F5">
            <w:pPr>
              <w:pStyle w:val="28"/>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14ABC2CB">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bookmarkStart w:id="264" w:name="OLE_LINK40"/>
            <w:r>
              <w:rPr>
                <w:rFonts w:hint="eastAsia" w:ascii="宋体" w:hAnsi="宋体" w:eastAsia="宋体" w:cs="宋体"/>
                <w:color w:val="auto"/>
                <w:spacing w:val="0"/>
                <w:sz w:val="24"/>
                <w:szCs w:val="24"/>
                <w:highlight w:val="none"/>
              </w:rPr>
              <w:t xml:space="preserve">     </w:t>
            </w:r>
            <w:bookmarkEnd w:id="264"/>
            <w:r>
              <w:rPr>
                <w:rFonts w:hint="eastAsia" w:ascii="宋体" w:hAnsi="宋体" w:eastAsia="宋体" w:cs="宋体"/>
                <w:color w:val="auto"/>
                <w:spacing w:val="0"/>
                <w:w w:val="94"/>
                <w:sz w:val="24"/>
                <w:szCs w:val="24"/>
                <w:highlight w:val="none"/>
              </w:rPr>
              <w:t>)</w:t>
            </w:r>
          </w:p>
        </w:tc>
        <w:tc>
          <w:tcPr>
            <w:tcW w:w="1294" w:type="dxa"/>
            <w:vAlign w:val="top"/>
          </w:tcPr>
          <w:p w14:paraId="770039C9">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54CE450D">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CCF9488">
            <w:pPr>
              <w:pStyle w:val="28"/>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7689B00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9FEBC0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3CB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69E555A">
            <w:pPr>
              <w:keepNext w:val="0"/>
              <w:keepLines w:val="0"/>
              <w:pageBreakBefore w:val="0"/>
              <w:wordWrap w:val="0"/>
              <w:overflowPunct/>
              <w:topLinePunct w:val="0"/>
              <w:bidi w:val="0"/>
              <w:spacing w:before="128"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7BA793E2">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D657697">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A737C1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A437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94CE71D">
            <w:pPr>
              <w:keepNext w:val="0"/>
              <w:keepLines w:val="0"/>
              <w:pageBreakBefore w:val="0"/>
              <w:wordWrap w:val="0"/>
              <w:overflowPunct/>
              <w:topLinePunct w:val="0"/>
              <w:bidi w:val="0"/>
              <w:spacing w:before="128" w:line="328"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2406FC3F">
            <w:pPr>
              <w:pStyle w:val="2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739CA4E3">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378FBB7">
            <w:pPr>
              <w:pStyle w:val="2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5ACE9F63">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B3919D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FBA5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D73F3B">
            <w:pPr>
              <w:keepNext w:val="0"/>
              <w:keepLines w:val="0"/>
              <w:pageBreakBefore w:val="0"/>
              <w:wordWrap w:val="0"/>
              <w:overflowPunct/>
              <w:topLinePunct w:val="0"/>
              <w:bidi w:val="0"/>
              <w:spacing w:before="131" w:line="362" w:lineRule="auto"/>
              <w:ind w:left="115" w:right="10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 5m 及以 上，或搭设跨度 10m 及以上，或施工总荷载（荷 载效应基本组合的设计值，以下简称设计值） 10kN/m2 及以上，或集中线荷载（设计值）15kN/m 及以上，或高度大于支撑水平投影宽度且相对 独立无联系构件的混凝土模板支撑工程。</w:t>
            </w:r>
          </w:p>
        </w:tc>
        <w:tc>
          <w:tcPr>
            <w:tcW w:w="1294" w:type="dxa"/>
            <w:vAlign w:val="top"/>
          </w:tcPr>
          <w:p w14:paraId="42ACCBCF">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5231D267">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DD59F9E">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08FCBFE7">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3487D98">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1718715B">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06D3B3D">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E97CEAE">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747DC48">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63AF9B4">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228AD552">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6DA8EB5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241895">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EEEF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A6084F">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 支撑体系。</w:t>
            </w:r>
          </w:p>
        </w:tc>
        <w:tc>
          <w:tcPr>
            <w:tcW w:w="1294" w:type="dxa"/>
            <w:vAlign w:val="top"/>
          </w:tcPr>
          <w:p w14:paraId="7B7A941C">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3BB3CC6C">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7080E67">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0DC12DD">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98AD20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C9B7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E116943">
            <w:pPr>
              <w:keepNext w:val="0"/>
              <w:keepLines w:val="0"/>
              <w:pageBreakBefore w:val="0"/>
              <w:wordWrap w:val="0"/>
              <w:overflowPunct/>
              <w:topLinePunct w:val="0"/>
              <w:bidi w:val="0"/>
              <w:spacing w:before="130"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7776DC43">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B05B6EC">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08E8F5">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9E9A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4EE175">
            <w:pPr>
              <w:keepNext w:val="0"/>
              <w:keepLines w:val="0"/>
              <w:pageBreakBefore w:val="0"/>
              <w:wordWrap w:val="0"/>
              <w:overflowPunct/>
              <w:topLinePunct w:val="0"/>
              <w:bidi w:val="0"/>
              <w:spacing w:before="131" w:line="327"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10kN 及以上的起重吊装工程。</w:t>
            </w:r>
          </w:p>
        </w:tc>
        <w:tc>
          <w:tcPr>
            <w:tcW w:w="1294" w:type="dxa"/>
            <w:vAlign w:val="top"/>
          </w:tcPr>
          <w:p w14:paraId="3ECCFB4E">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F2AB72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D6E9FC7">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375224C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D2CC17C">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11CF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D87C5DE">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（二）采用起重机械进行安装的工程。</w:t>
            </w:r>
          </w:p>
        </w:tc>
        <w:tc>
          <w:tcPr>
            <w:tcW w:w="1294" w:type="dxa"/>
            <w:vAlign w:val="top"/>
          </w:tcPr>
          <w:p w14:paraId="65148684">
            <w:pPr>
              <w:keepNext w:val="0"/>
              <w:keepLines w:val="0"/>
              <w:pageBreakBefore w:val="0"/>
              <w:wordWrap w:val="0"/>
              <w:overflowPunct/>
              <w:topLinePunct w:val="0"/>
              <w:bidi w:val="0"/>
              <w:spacing w:before="131"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573C892">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B85F5F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A4CF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7BD912C">
            <w:pPr>
              <w:keepNext w:val="0"/>
              <w:keepLines w:val="0"/>
              <w:pageBreakBefore w:val="0"/>
              <w:wordWrap w:val="0"/>
              <w:overflowPunct/>
              <w:topLinePunct w:val="0"/>
              <w:bidi w:val="0"/>
              <w:spacing w:before="130"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（三）起重机械安装和拆卸工程。</w:t>
            </w:r>
          </w:p>
        </w:tc>
        <w:tc>
          <w:tcPr>
            <w:tcW w:w="1294" w:type="dxa"/>
            <w:vAlign w:val="top"/>
          </w:tcPr>
          <w:p w14:paraId="6A9FC032">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183704F">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E3F1C01">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0E22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2E8808D">
            <w:pPr>
              <w:keepNext w:val="0"/>
              <w:keepLines w:val="0"/>
              <w:pageBreakBefore w:val="0"/>
              <w:wordWrap w:val="0"/>
              <w:overflowPunct/>
              <w:topLinePunct w:val="0"/>
              <w:bidi w:val="0"/>
              <w:spacing w:before="131"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29004C75">
            <w:pPr>
              <w:keepNext w:val="0"/>
              <w:keepLines w:val="0"/>
              <w:pageBreakBefore w:val="0"/>
              <w:wordWrap w:val="0"/>
              <w:overflowPunct/>
              <w:topLinePunct w:val="0"/>
              <w:bidi w:val="0"/>
              <w:spacing w:before="130"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BC9CFC1">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DAE856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6288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3A7292">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24m 及以上的落地式钢管脚手 架工程（包括采光井、电梯井脚手架）。</w:t>
            </w:r>
          </w:p>
        </w:tc>
        <w:tc>
          <w:tcPr>
            <w:tcW w:w="1294" w:type="dxa"/>
            <w:vAlign w:val="top"/>
          </w:tcPr>
          <w:p w14:paraId="3B3BB3CC">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F9451E5">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FFD5454">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441ED46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7B5B62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E101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126BF92">
            <w:pPr>
              <w:keepNext w:val="0"/>
              <w:keepLines w:val="0"/>
              <w:pageBreakBefore w:val="0"/>
              <w:wordWrap w:val="0"/>
              <w:overflowPunct/>
              <w:topLinePunct w:val="0"/>
              <w:bidi w:val="0"/>
              <w:spacing w:before="131"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（二）附着式升降脚手架工程。</w:t>
            </w:r>
          </w:p>
        </w:tc>
        <w:tc>
          <w:tcPr>
            <w:tcW w:w="1294" w:type="dxa"/>
            <w:vAlign w:val="top"/>
          </w:tcPr>
          <w:p w14:paraId="08D117F6">
            <w:pPr>
              <w:keepNext w:val="0"/>
              <w:keepLines w:val="0"/>
              <w:pageBreakBefore w:val="0"/>
              <w:wordWrap w:val="0"/>
              <w:overflowPunct/>
              <w:topLinePunct w:val="0"/>
              <w:bidi w:val="0"/>
              <w:spacing w:before="130"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5A4A2D8">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6F962C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D91A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31B38F7">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（三）悬挑式脚手架工程。</w:t>
            </w:r>
          </w:p>
        </w:tc>
        <w:tc>
          <w:tcPr>
            <w:tcW w:w="1294" w:type="dxa"/>
            <w:vAlign w:val="top"/>
          </w:tcPr>
          <w:p w14:paraId="2FBE243F">
            <w:pPr>
              <w:keepNext w:val="0"/>
              <w:keepLines w:val="0"/>
              <w:pageBreakBefore w:val="0"/>
              <w:wordWrap w:val="0"/>
              <w:overflowPunct/>
              <w:topLinePunct w:val="0"/>
              <w:bidi w:val="0"/>
              <w:spacing w:before="131"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4AEA52B">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764901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229D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2D7A4A7">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（四）高处作业吊篮。</w:t>
            </w:r>
          </w:p>
        </w:tc>
        <w:tc>
          <w:tcPr>
            <w:tcW w:w="1294" w:type="dxa"/>
            <w:vAlign w:val="top"/>
          </w:tcPr>
          <w:p w14:paraId="5B37BBD4">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A2F3730">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68DAB0D">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AC13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8902241">
            <w:pPr>
              <w:keepNext w:val="0"/>
              <w:keepLines w:val="0"/>
              <w:pageBreakBefore w:val="0"/>
              <w:wordWrap w:val="0"/>
              <w:overflowPunct/>
              <w:topLinePunct w:val="0"/>
              <w:bidi w:val="0"/>
              <w:spacing w:before="132"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（五）卸料平台、操作平台工程。</w:t>
            </w:r>
          </w:p>
        </w:tc>
        <w:tc>
          <w:tcPr>
            <w:tcW w:w="1294" w:type="dxa"/>
            <w:vAlign w:val="top"/>
          </w:tcPr>
          <w:p w14:paraId="31E0EA2F">
            <w:pPr>
              <w:keepNext w:val="0"/>
              <w:keepLines w:val="0"/>
              <w:pageBreakBefore w:val="0"/>
              <w:wordWrap w:val="0"/>
              <w:overflowPunct/>
              <w:topLinePunct w:val="0"/>
              <w:bidi w:val="0"/>
              <w:spacing w:before="132"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E84D438">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C3A762E">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0B0D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A20A302">
            <w:pPr>
              <w:keepNext w:val="0"/>
              <w:keepLines w:val="0"/>
              <w:pageBreakBefore w:val="0"/>
              <w:wordWrap w:val="0"/>
              <w:overflowPunct/>
              <w:topLinePunct w:val="0"/>
              <w:bidi w:val="0"/>
              <w:spacing w:before="133"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（六）异型脚手架工程。</w:t>
            </w:r>
          </w:p>
        </w:tc>
        <w:tc>
          <w:tcPr>
            <w:tcW w:w="1294" w:type="dxa"/>
            <w:vAlign w:val="top"/>
          </w:tcPr>
          <w:p w14:paraId="5AD1B9C8">
            <w:pPr>
              <w:keepNext w:val="0"/>
              <w:keepLines w:val="0"/>
              <w:pageBreakBefore w:val="0"/>
              <w:wordWrap w:val="0"/>
              <w:overflowPunct/>
              <w:topLinePunct w:val="0"/>
              <w:bidi w:val="0"/>
              <w:spacing w:before="132"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D352182">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6B7F2B3">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C485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4D852AD">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bookmarkStart w:id="265" w:name="bookmark162"/>
            <w:bookmarkEnd w:id="265"/>
            <w:r>
              <w:rPr>
                <w:rFonts w:hint="eastAsia" w:ascii="宋体" w:hAnsi="宋体" w:eastAsia="宋体" w:cs="宋体"/>
                <w:color w:val="auto"/>
                <w:spacing w:val="0"/>
                <w:sz w:val="24"/>
                <w:szCs w:val="24"/>
                <w:highlight w:val="none"/>
              </w:rPr>
              <w:t>五、拆除工程</w:t>
            </w:r>
          </w:p>
        </w:tc>
        <w:tc>
          <w:tcPr>
            <w:tcW w:w="1294" w:type="dxa"/>
            <w:vAlign w:val="top"/>
          </w:tcPr>
          <w:p w14:paraId="6DAA609D">
            <w:pPr>
              <w:keepNext w:val="0"/>
              <w:keepLines w:val="0"/>
              <w:pageBreakBefore w:val="0"/>
              <w:wordWrap w:val="0"/>
              <w:overflowPunct/>
              <w:topLinePunct w:val="0"/>
              <w:bidi w:val="0"/>
              <w:spacing w:before="131"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D561DFD">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03D5AB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CA77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796607">
            <w:pPr>
              <w:keepNext w:val="0"/>
              <w:keepLines w:val="0"/>
              <w:pageBreakBefore w:val="0"/>
              <w:wordWrap w:val="0"/>
              <w:overflowPunct/>
              <w:topLinePunct w:val="0"/>
              <w:bidi w:val="0"/>
              <w:spacing w:before="126" w:line="329" w:lineRule="auto"/>
              <w:ind w:left="117" w:right="1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可能影响行人、交通、电力设施、通讯设施或 其它建、构筑物安全的拆除工程。</w:t>
            </w:r>
          </w:p>
        </w:tc>
        <w:tc>
          <w:tcPr>
            <w:tcW w:w="1294" w:type="dxa"/>
            <w:vAlign w:val="top"/>
          </w:tcPr>
          <w:p w14:paraId="547E1A24">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40F3230C">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9DA0477">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5427EC8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D6BF17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61CF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42C7E3">
            <w:pPr>
              <w:keepNext w:val="0"/>
              <w:keepLines w:val="0"/>
              <w:pageBreakBefore w:val="0"/>
              <w:wordWrap w:val="0"/>
              <w:overflowPunct/>
              <w:topLinePunct w:val="0"/>
              <w:bidi w:val="0"/>
              <w:spacing w:before="126" w:line="221" w:lineRule="auto"/>
              <w:ind w:left="35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6FEC57AE">
            <w:pPr>
              <w:keepNext w:val="0"/>
              <w:keepLines w:val="0"/>
              <w:pageBreakBefore w:val="0"/>
              <w:wordWrap w:val="0"/>
              <w:overflowPunct/>
              <w:topLinePunct w:val="0"/>
              <w:bidi w:val="0"/>
              <w:spacing w:before="126"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7C2ECAC">
            <w:pPr>
              <w:keepNext w:val="0"/>
              <w:keepLines w:val="0"/>
              <w:pageBreakBefore w:val="0"/>
              <w:wordWrap w:val="0"/>
              <w:overflowPunct/>
              <w:topLinePunct w:val="0"/>
              <w:bidi w:val="0"/>
              <w:spacing w:before="126"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9D9124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12BD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6755111">
            <w:pPr>
              <w:keepNext w:val="0"/>
              <w:keepLines w:val="0"/>
              <w:pageBreakBefore w:val="0"/>
              <w:wordWrap w:val="0"/>
              <w:overflowPunct/>
              <w:topLinePunct w:val="0"/>
              <w:bidi w:val="0"/>
              <w:spacing w:before="128" w:line="328"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76E2B37E">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88F20C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80E732F">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10019281">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E64799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BF09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CB0D283">
            <w:pPr>
              <w:keepNext w:val="0"/>
              <w:keepLines w:val="0"/>
              <w:pageBreakBefore w:val="0"/>
              <w:wordWrap w:val="0"/>
              <w:overflowPunct/>
              <w:topLinePunct w:val="0"/>
              <w:bidi w:val="0"/>
              <w:spacing w:before="129"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25461D53">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9A3C7F">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D861A2A">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5785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7FF4A7C">
            <w:pPr>
              <w:keepNext w:val="0"/>
              <w:keepLines w:val="0"/>
              <w:pageBreakBefore w:val="0"/>
              <w:wordWrap w:val="0"/>
              <w:overflowPunct/>
              <w:topLinePunct w:val="0"/>
              <w:bidi w:val="0"/>
              <w:spacing w:before="128"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（一）建筑幕墙安装工程。</w:t>
            </w:r>
          </w:p>
        </w:tc>
        <w:tc>
          <w:tcPr>
            <w:tcW w:w="1294" w:type="dxa"/>
            <w:vAlign w:val="top"/>
          </w:tcPr>
          <w:p w14:paraId="71264C07">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E599175">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21CE6C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EBC4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4D62BC0">
            <w:pPr>
              <w:keepNext w:val="0"/>
              <w:keepLines w:val="0"/>
              <w:pageBreakBefore w:val="0"/>
              <w:wordWrap w:val="0"/>
              <w:overflowPunct/>
              <w:topLinePunct w:val="0"/>
              <w:bidi w:val="0"/>
              <w:spacing w:before="128"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（二）钢结构、网架和索膜结构安装工程。</w:t>
            </w:r>
          </w:p>
        </w:tc>
        <w:tc>
          <w:tcPr>
            <w:tcW w:w="1294" w:type="dxa"/>
            <w:vAlign w:val="top"/>
          </w:tcPr>
          <w:p w14:paraId="1BAC0F33">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89F53E9">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917062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5067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C9BDAF7">
            <w:pPr>
              <w:keepNext w:val="0"/>
              <w:keepLines w:val="0"/>
              <w:pageBreakBefore w:val="0"/>
              <w:wordWrap w:val="0"/>
              <w:overflowPunct/>
              <w:topLinePunct w:val="0"/>
              <w:bidi w:val="0"/>
              <w:spacing w:before="128"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（三）人工挖孔桩工程。</w:t>
            </w:r>
          </w:p>
        </w:tc>
        <w:tc>
          <w:tcPr>
            <w:tcW w:w="1294" w:type="dxa"/>
            <w:vAlign w:val="top"/>
          </w:tcPr>
          <w:p w14:paraId="4C3BF6E2">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BED40E3">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04B6CAA">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80DF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AFFAB4E">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1EA8951B">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1C3896B">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5E07B2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3C6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612A211">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（五）装配式建筑混凝土预制构件安装工程。</w:t>
            </w:r>
          </w:p>
        </w:tc>
        <w:tc>
          <w:tcPr>
            <w:tcW w:w="1294" w:type="dxa"/>
            <w:vAlign w:val="top"/>
          </w:tcPr>
          <w:p w14:paraId="24E113FD">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ED7C3CB">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4F2F63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FE96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C11A8A4">
            <w:pPr>
              <w:keepNext w:val="0"/>
              <w:keepLines w:val="0"/>
              <w:pageBreakBefore w:val="0"/>
              <w:wordWrap w:val="0"/>
              <w:overflowPunct/>
              <w:topLinePunct w:val="0"/>
              <w:bidi w:val="0"/>
              <w:spacing w:before="129" w:line="345"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00820C90">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1E845FD4">
            <w:pPr>
              <w:pStyle w:val="28"/>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13842199">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433F41D">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AFB55E6">
            <w:pPr>
              <w:pStyle w:val="28"/>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7997F817">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C1C9E26">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1492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BF8AEF5">
            <w:pPr>
              <w:keepNext w:val="0"/>
              <w:keepLines w:val="0"/>
              <w:pageBreakBefore w:val="0"/>
              <w:wordWrap w:val="0"/>
              <w:overflowPunct/>
              <w:topLinePunct w:val="0"/>
              <w:bidi w:val="0"/>
              <w:spacing w:before="129" w:line="328" w:lineRule="auto"/>
              <w:ind w:left="115" w:right="108" w:firstLine="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二、超过一定规模的危险性较大的分部分项工程清单</w:t>
            </w:r>
          </w:p>
        </w:tc>
        <w:tc>
          <w:tcPr>
            <w:tcW w:w="1294" w:type="dxa"/>
            <w:vAlign w:val="top"/>
          </w:tcPr>
          <w:p w14:paraId="25E192CE">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338E26D6">
            <w:pPr>
              <w:keepNext w:val="0"/>
              <w:keepLines w:val="0"/>
              <w:pageBreakBefore w:val="0"/>
              <w:wordWrap w:val="0"/>
              <w:overflowPunct/>
              <w:topLinePunct w:val="0"/>
              <w:bidi w:val="0"/>
              <w:spacing w:before="78" w:line="221" w:lineRule="auto"/>
              <w:ind w:left="20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66B57324">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0DA0FBCF">
            <w:pPr>
              <w:keepNext w:val="0"/>
              <w:keepLines w:val="0"/>
              <w:pageBreakBefore w:val="0"/>
              <w:wordWrap w:val="0"/>
              <w:overflowPunct/>
              <w:topLinePunct w:val="0"/>
              <w:bidi w:val="0"/>
              <w:spacing w:before="78" w:line="221" w:lineRule="auto"/>
              <w:ind w:left="11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481ED082">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34DBCF8F">
            <w:pPr>
              <w:keepNext w:val="0"/>
              <w:keepLines w:val="0"/>
              <w:pageBreakBefore w:val="0"/>
              <w:wordWrap w:val="0"/>
              <w:overflowPunct/>
              <w:topLinePunct w:val="0"/>
              <w:bidi w:val="0"/>
              <w:spacing w:before="78" w:line="222" w:lineRule="auto"/>
              <w:ind w:left="3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r>
      <w:tr w14:paraId="72CCE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526041E">
            <w:pPr>
              <w:keepNext w:val="0"/>
              <w:keepLines w:val="0"/>
              <w:pageBreakBefore w:val="0"/>
              <w:wordWrap w:val="0"/>
              <w:overflowPunct/>
              <w:topLinePunct w:val="0"/>
              <w:bidi w:val="0"/>
              <w:spacing w:before="129" w:line="221"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一、深基坑工程</w:t>
            </w:r>
          </w:p>
        </w:tc>
        <w:tc>
          <w:tcPr>
            <w:tcW w:w="1294" w:type="dxa"/>
            <w:vAlign w:val="top"/>
          </w:tcPr>
          <w:p w14:paraId="4A00C7A8">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1B6951C">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E6ED9F6">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89F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A51B4E">
            <w:pPr>
              <w:keepNext w:val="0"/>
              <w:keepLines w:val="0"/>
              <w:pageBreakBefore w:val="0"/>
              <w:wordWrap w:val="0"/>
              <w:overflowPunct/>
              <w:topLinePunct w:val="0"/>
              <w:bidi w:val="0"/>
              <w:spacing w:before="131" w:line="327" w:lineRule="auto"/>
              <w:ind w:left="117" w:right="1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开挖深度超过 5m（含 5m）的基坑（槽）的土方 开挖、支护、降水工程。</w:t>
            </w:r>
          </w:p>
        </w:tc>
        <w:tc>
          <w:tcPr>
            <w:tcW w:w="1294" w:type="dxa"/>
            <w:vAlign w:val="top"/>
          </w:tcPr>
          <w:p w14:paraId="6AB6E665">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6EA226E">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A9F7AF">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1EA9CF1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60F1D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07B4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8EB3673">
            <w:pPr>
              <w:keepNext w:val="0"/>
              <w:keepLines w:val="0"/>
              <w:pageBreakBefore w:val="0"/>
              <w:wordWrap w:val="0"/>
              <w:overflowPunct/>
              <w:topLinePunct w:val="0"/>
              <w:bidi w:val="0"/>
              <w:spacing w:before="130"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62D43701">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default" w:ascii="宋体" w:hAnsi="宋体" w:eastAsia="宋体" w:cs="宋体"/>
                <w:color w:val="auto"/>
                <w:spacing w:val="0"/>
                <w:sz w:val="24"/>
                <w:szCs w:val="24"/>
                <w:highlight w:val="none"/>
                <w:lang w:val="en-US"/>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D0B0996">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647FBD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C282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378C496">
            <w:pPr>
              <w:keepNext w:val="0"/>
              <w:keepLines w:val="0"/>
              <w:pageBreakBefore w:val="0"/>
              <w:wordWrap w:val="0"/>
              <w:overflowPunct/>
              <w:topLinePunct w:val="0"/>
              <w:bidi w:val="0"/>
              <w:spacing w:before="130" w:line="327"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2847ECEA">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7B6EF8F5">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C70290F">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4250C1D">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EBEC195">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3EF0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2ACBC42">
            <w:pPr>
              <w:keepNext w:val="0"/>
              <w:keepLines w:val="0"/>
              <w:pageBreakBefore w:val="0"/>
              <w:wordWrap w:val="0"/>
              <w:overflowPunct/>
              <w:topLinePunct w:val="0"/>
              <w:bidi w:val="0"/>
              <w:spacing w:before="132" w:line="353" w:lineRule="auto"/>
              <w:ind w:left="116" w:right="6" w:firstLine="1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（二）混凝土模板支撑工程：搭设高度8m 及以 上，或搭设跨度 18m 及以上，或施工总荷载（设计值）15kN/m2 及以上，或集中线荷载（设计值） 20kN/m 及以上。</w:t>
            </w:r>
          </w:p>
        </w:tc>
        <w:tc>
          <w:tcPr>
            <w:tcW w:w="1294" w:type="dxa"/>
            <w:vAlign w:val="top"/>
          </w:tcPr>
          <w:p w14:paraId="3DB17A90">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45075703">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23635A62">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059DB4DB">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4D677EA">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A9F4B83">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58CCAC5F">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524042C">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4C9740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D284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7" w:hRule="atLeast"/>
          <w:jc w:val="center"/>
        </w:trPr>
        <w:tc>
          <w:tcPr>
            <w:tcW w:w="4864" w:type="dxa"/>
            <w:gridSpan w:val="2"/>
            <w:vAlign w:val="top"/>
          </w:tcPr>
          <w:p w14:paraId="6BC47511">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w:t>
            </w:r>
          </w:p>
          <w:p w14:paraId="06444C80">
            <w:pPr>
              <w:keepNext w:val="0"/>
              <w:keepLines w:val="0"/>
              <w:pageBreakBefore w:val="0"/>
              <w:wordWrap w:val="0"/>
              <w:overflowPunct/>
              <w:topLinePunct w:val="0"/>
              <w:bidi w:val="0"/>
              <w:spacing w:before="131" w:line="220" w:lineRule="auto"/>
              <w:ind w:left="1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支撑体系，承受单点集中荷载 7kN 及以上。</w:t>
            </w:r>
          </w:p>
        </w:tc>
        <w:tc>
          <w:tcPr>
            <w:tcW w:w="1294" w:type="dxa"/>
            <w:vAlign w:val="top"/>
          </w:tcPr>
          <w:p w14:paraId="0B6B6155">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0331DD8">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7109A6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C3F1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3F348B7">
            <w:pPr>
              <w:keepNext w:val="0"/>
              <w:keepLines w:val="0"/>
              <w:pageBreakBefore w:val="0"/>
              <w:wordWrap w:val="0"/>
              <w:overflowPunct/>
              <w:topLinePunct w:val="0"/>
              <w:bidi w:val="0"/>
              <w:spacing w:before="128"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4B5B18A0">
            <w:pPr>
              <w:keepNext w:val="0"/>
              <w:keepLines w:val="0"/>
              <w:pageBreakBefore w:val="0"/>
              <w:wordWrap w:val="0"/>
              <w:overflowPunct/>
              <w:topLinePunct w:val="0"/>
              <w:bidi w:val="0"/>
              <w:spacing w:before="127"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DCA2441">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E66C6C3">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B1F4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8E5CE6">
            <w:pPr>
              <w:keepNext w:val="0"/>
              <w:keepLines w:val="0"/>
              <w:pageBreakBefore w:val="0"/>
              <w:wordWrap w:val="0"/>
              <w:overflowPunct/>
              <w:topLinePunct w:val="0"/>
              <w:bidi w:val="0"/>
              <w:spacing w:before="129" w:line="328"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100kN 及以上的起重吊装工程。</w:t>
            </w:r>
          </w:p>
        </w:tc>
        <w:tc>
          <w:tcPr>
            <w:tcW w:w="1294" w:type="dxa"/>
            <w:vAlign w:val="top"/>
          </w:tcPr>
          <w:p w14:paraId="0B93769B">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450A174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626A373">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57CCA8D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3031DCD">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67D9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5766B8F">
            <w:pPr>
              <w:keepNext w:val="0"/>
              <w:keepLines w:val="0"/>
              <w:pageBreakBefore w:val="0"/>
              <w:wordWrap w:val="0"/>
              <w:overflowPunct/>
              <w:topLinePunct w:val="0"/>
              <w:bidi w:val="0"/>
              <w:spacing w:before="129" w:line="345" w:lineRule="auto"/>
              <w:ind w:left="115" w:right="105" w:firstLine="1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（二）起重量 300kN 及以上，或搭设总高度 200m 及以上，或搭设基础标高在 200m 及以上的起重 机械安装和拆卸工程。</w:t>
            </w:r>
          </w:p>
        </w:tc>
        <w:tc>
          <w:tcPr>
            <w:tcW w:w="1294" w:type="dxa"/>
            <w:vAlign w:val="top"/>
          </w:tcPr>
          <w:p w14:paraId="5FC8010C">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3B83DF7B">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434274CD">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2CF9653">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098A0D28">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DB8EED5">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84DDE6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E22E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9B3FE5E">
            <w:pPr>
              <w:keepNext w:val="0"/>
              <w:keepLines w:val="0"/>
              <w:pageBreakBefore w:val="0"/>
              <w:wordWrap w:val="0"/>
              <w:overflowPunct/>
              <w:topLinePunct w:val="0"/>
              <w:bidi w:val="0"/>
              <w:spacing w:before="128"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26AEF497">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4BB1DBD">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A1780F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4A02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C66E392">
            <w:pPr>
              <w:keepNext w:val="0"/>
              <w:keepLines w:val="0"/>
              <w:pageBreakBefore w:val="0"/>
              <w:wordWrap w:val="0"/>
              <w:overflowPunct/>
              <w:topLinePunct w:val="0"/>
              <w:bidi w:val="0"/>
              <w:spacing w:before="128" w:line="328"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50m 及以上的落地式钢管脚手 架工程。</w:t>
            </w:r>
          </w:p>
        </w:tc>
        <w:tc>
          <w:tcPr>
            <w:tcW w:w="1294" w:type="dxa"/>
            <w:vAlign w:val="top"/>
          </w:tcPr>
          <w:p w14:paraId="5CECD352">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203EB36">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E4F54CE">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41B2BBF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6742C7E">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607B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F6FA3B2">
            <w:pPr>
              <w:keepNext w:val="0"/>
              <w:keepLines w:val="0"/>
              <w:pageBreakBefore w:val="0"/>
              <w:wordWrap w:val="0"/>
              <w:overflowPunct/>
              <w:topLinePunct w:val="0"/>
              <w:bidi w:val="0"/>
              <w:spacing w:before="131" w:line="327" w:lineRule="auto"/>
              <w:ind w:left="116" w:right="105" w:firstLine="1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（二）提升高度在 </w:t>
            </w:r>
            <w:r>
              <w:rPr>
                <w:rFonts w:hint="eastAsia" w:ascii="宋体" w:hAnsi="宋体" w:eastAsia="宋体" w:cs="宋体"/>
                <w:color w:val="auto"/>
                <w:spacing w:val="0"/>
                <w:sz w:val="24"/>
                <w:szCs w:val="24"/>
                <w:highlight w:val="none"/>
                <w:lang w:eastAsia="zh-CN"/>
              </w:rPr>
              <w:t>450</w:t>
            </w:r>
            <w:r>
              <w:rPr>
                <w:rFonts w:hint="eastAsia" w:ascii="宋体" w:hAnsi="宋体" w:eastAsia="宋体" w:cs="宋体"/>
                <w:color w:val="auto"/>
                <w:spacing w:val="0"/>
                <w:sz w:val="24"/>
                <w:szCs w:val="24"/>
                <w:highlight w:val="none"/>
              </w:rPr>
              <w:t>m 及以上的附着式升降脚 手架工程或附着式升降操作平台工程。</w:t>
            </w:r>
          </w:p>
        </w:tc>
        <w:tc>
          <w:tcPr>
            <w:tcW w:w="1294" w:type="dxa"/>
            <w:vAlign w:val="top"/>
          </w:tcPr>
          <w:p w14:paraId="13012163">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06E4EB02">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39DA6B1">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0ECDE72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B9A92E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A1D4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1452C08">
            <w:pPr>
              <w:keepNext w:val="0"/>
              <w:keepLines w:val="0"/>
              <w:pageBreakBefore w:val="0"/>
              <w:wordWrap w:val="0"/>
              <w:overflowPunct/>
              <w:topLinePunct w:val="0"/>
              <w:bidi w:val="0"/>
              <w:spacing w:before="129" w:line="328"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（三）分段架体搭设高度 20m 及以上的悬挑式 脚手架工程。</w:t>
            </w:r>
          </w:p>
        </w:tc>
        <w:tc>
          <w:tcPr>
            <w:tcW w:w="1294" w:type="dxa"/>
            <w:vAlign w:val="top"/>
          </w:tcPr>
          <w:p w14:paraId="05768C93">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30D38093">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3867058">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E223DA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8495B4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28C4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BAEB47B">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五、拆除工程</w:t>
            </w:r>
          </w:p>
        </w:tc>
        <w:tc>
          <w:tcPr>
            <w:tcW w:w="1294" w:type="dxa"/>
            <w:vAlign w:val="top"/>
          </w:tcPr>
          <w:p w14:paraId="2ECDAFD4">
            <w:pPr>
              <w:keepNext w:val="0"/>
              <w:keepLines w:val="0"/>
              <w:pageBreakBefore w:val="0"/>
              <w:wordWrap w:val="0"/>
              <w:overflowPunct/>
              <w:topLinePunct w:val="0"/>
              <w:bidi w:val="0"/>
              <w:spacing w:before="15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45AABAA">
            <w:pPr>
              <w:keepNext w:val="0"/>
              <w:keepLines w:val="0"/>
              <w:pageBreakBefore w:val="0"/>
              <w:wordWrap w:val="0"/>
              <w:overflowPunct/>
              <w:topLinePunct w:val="0"/>
              <w:bidi w:val="0"/>
              <w:spacing w:before="15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F7302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F964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9A59FF6">
            <w:pPr>
              <w:keepNext w:val="0"/>
              <w:keepLines w:val="0"/>
              <w:pageBreakBefore w:val="0"/>
              <w:wordWrap w:val="0"/>
              <w:overflowPunct/>
              <w:topLinePunct w:val="0"/>
              <w:bidi w:val="0"/>
              <w:spacing w:before="132" w:line="353"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（一）码头、桥梁、高架、烟囱、水塔或拆除 中容易引起有毒有害气（液）体或粉尘扩散、 易燃易爆事故发生的特殊建、构筑物的拆除工 程。</w:t>
            </w:r>
          </w:p>
        </w:tc>
        <w:tc>
          <w:tcPr>
            <w:tcW w:w="1294" w:type="dxa"/>
            <w:vAlign w:val="top"/>
          </w:tcPr>
          <w:p w14:paraId="216946DD">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D621977">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5E6FC249">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127DDC3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52C578A">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484E9D3D">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7E876D48">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1151F15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E4B6B2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F0A4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D902C42">
            <w:pPr>
              <w:keepNext w:val="0"/>
              <w:keepLines w:val="0"/>
              <w:pageBreakBefore w:val="0"/>
              <w:wordWrap w:val="0"/>
              <w:overflowPunct/>
              <w:topLinePunct w:val="0"/>
              <w:bidi w:val="0"/>
              <w:spacing w:before="131"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（二）文物保护建筑、优秀历史建筑或历史文 化风貌区影响范围内的拆除工程。</w:t>
            </w:r>
          </w:p>
        </w:tc>
        <w:tc>
          <w:tcPr>
            <w:tcW w:w="1294" w:type="dxa"/>
            <w:vAlign w:val="top"/>
          </w:tcPr>
          <w:p w14:paraId="5E0F5A30">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FD37E35">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C353111">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07C726D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5AD9F7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2DD0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EE25BC8">
            <w:pPr>
              <w:keepNext w:val="0"/>
              <w:keepLines w:val="0"/>
              <w:pageBreakBefore w:val="0"/>
              <w:wordWrap w:val="0"/>
              <w:overflowPunct/>
              <w:topLinePunct w:val="0"/>
              <w:bidi w:val="0"/>
              <w:spacing w:before="131" w:line="221" w:lineRule="auto"/>
              <w:ind w:left="1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61413393">
            <w:pPr>
              <w:keepNext w:val="0"/>
              <w:keepLines w:val="0"/>
              <w:pageBreakBefore w:val="0"/>
              <w:wordWrap w:val="0"/>
              <w:overflowPunct/>
              <w:topLinePunct w:val="0"/>
              <w:bidi w:val="0"/>
              <w:spacing w:before="14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2DF05C1">
            <w:pPr>
              <w:keepNext w:val="0"/>
              <w:keepLines w:val="0"/>
              <w:pageBreakBefore w:val="0"/>
              <w:wordWrap w:val="0"/>
              <w:overflowPunct/>
              <w:topLinePunct w:val="0"/>
              <w:bidi w:val="0"/>
              <w:spacing w:before="14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E34650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92ED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9EF33C6">
            <w:pPr>
              <w:keepNext w:val="0"/>
              <w:keepLines w:val="0"/>
              <w:pageBreakBefore w:val="0"/>
              <w:wordWrap w:val="0"/>
              <w:overflowPunct/>
              <w:topLinePunct w:val="0"/>
              <w:bidi w:val="0"/>
              <w:spacing w:before="131" w:line="327"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5BD762D4">
            <w:pPr>
              <w:pStyle w:val="28"/>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35C35428">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A3B448C">
            <w:pPr>
              <w:pStyle w:val="28"/>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2145032C">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2AF419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E704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98315EE">
            <w:pPr>
              <w:keepNext w:val="0"/>
              <w:keepLines w:val="0"/>
              <w:pageBreakBefore w:val="0"/>
              <w:wordWrap w:val="0"/>
              <w:overflowPunct/>
              <w:topLinePunct w:val="0"/>
              <w:bidi w:val="0"/>
              <w:spacing w:before="130"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16580953">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61B8B94">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EB7EC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0B89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443E68F">
            <w:pPr>
              <w:keepNext w:val="0"/>
              <w:keepLines w:val="0"/>
              <w:pageBreakBefore w:val="0"/>
              <w:wordWrap w:val="0"/>
              <w:overflowPunct/>
              <w:topLinePunct w:val="0"/>
              <w:bidi w:val="0"/>
              <w:spacing w:before="130" w:line="327"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（一）施工高度 50m 及以上的建筑幕墙安装工 程。</w:t>
            </w:r>
          </w:p>
        </w:tc>
        <w:tc>
          <w:tcPr>
            <w:tcW w:w="1294" w:type="dxa"/>
            <w:vAlign w:val="top"/>
          </w:tcPr>
          <w:p w14:paraId="40EC188D">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611713C">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1C075D8">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4F55CC9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1E1834A">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93B6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CCA9D6E">
            <w:pPr>
              <w:keepNext w:val="0"/>
              <w:keepLines w:val="0"/>
              <w:pageBreakBefore w:val="0"/>
              <w:wordWrap w:val="0"/>
              <w:overflowPunct/>
              <w:topLinePunct w:val="0"/>
              <w:bidi w:val="0"/>
              <w:spacing w:before="130"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（二）跨度 36m 及以上的钢结构安装工程，或</w:t>
            </w:r>
          </w:p>
        </w:tc>
        <w:tc>
          <w:tcPr>
            <w:tcW w:w="1294" w:type="dxa"/>
            <w:vAlign w:val="top"/>
          </w:tcPr>
          <w:p w14:paraId="5BAD2E3E">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0FC0CF8">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1348DA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8D21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E1C719">
            <w:pPr>
              <w:keepNext w:val="0"/>
              <w:keepLines w:val="0"/>
              <w:pageBreakBefore w:val="0"/>
              <w:wordWrap w:val="0"/>
              <w:overflowPunct/>
              <w:topLinePunct w:val="0"/>
              <w:bidi w:val="0"/>
              <w:spacing w:before="131" w:line="221" w:lineRule="auto"/>
              <w:ind w:left="11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跨度 60m 及以上的网架和索膜结构安装工程。</w:t>
            </w:r>
          </w:p>
        </w:tc>
        <w:tc>
          <w:tcPr>
            <w:tcW w:w="1294" w:type="dxa"/>
            <w:vAlign w:val="top"/>
          </w:tcPr>
          <w:p w14:paraId="58384A2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1294" w:type="dxa"/>
            <w:vAlign w:val="top"/>
          </w:tcPr>
          <w:p w14:paraId="25F331F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2428" w:type="dxa"/>
            <w:vAlign w:val="top"/>
          </w:tcPr>
          <w:p w14:paraId="3651FF3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DD69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8C7C33C">
            <w:pPr>
              <w:keepNext w:val="0"/>
              <w:keepLines w:val="0"/>
              <w:pageBreakBefore w:val="0"/>
              <w:wordWrap w:val="0"/>
              <w:overflowPunct/>
              <w:topLinePunct w:val="0"/>
              <w:bidi w:val="0"/>
              <w:spacing w:before="127"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（三）开挖深度 16m 及以上的人工挖孔桩工程。</w:t>
            </w:r>
          </w:p>
        </w:tc>
        <w:tc>
          <w:tcPr>
            <w:tcW w:w="1294" w:type="dxa"/>
            <w:vAlign w:val="top"/>
          </w:tcPr>
          <w:p w14:paraId="206BE919">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40D2BC0">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C1C4C0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ECC9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53796EB">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2C39153F">
            <w:pPr>
              <w:keepNext w:val="0"/>
              <w:keepLines w:val="0"/>
              <w:pageBreakBefore w:val="0"/>
              <w:wordWrap w:val="0"/>
              <w:overflowPunct/>
              <w:topLinePunct w:val="0"/>
              <w:bidi w:val="0"/>
              <w:spacing w:before="163"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2C5FE9E">
            <w:pPr>
              <w:keepNext w:val="0"/>
              <w:keepLines w:val="0"/>
              <w:pageBreakBefore w:val="0"/>
              <w:wordWrap w:val="0"/>
              <w:overflowPunct/>
              <w:topLinePunct w:val="0"/>
              <w:bidi w:val="0"/>
              <w:spacing w:before="163"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FBB5493">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A03A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CDEAAA2">
            <w:pPr>
              <w:keepNext w:val="0"/>
              <w:keepLines w:val="0"/>
              <w:pageBreakBefore w:val="0"/>
              <w:wordWrap w:val="0"/>
              <w:overflowPunct/>
              <w:topLinePunct w:val="0"/>
              <w:bidi w:val="0"/>
              <w:spacing w:before="130" w:line="327" w:lineRule="auto"/>
              <w:ind w:left="115" w:right="2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（五）重量 1000kN及以上的大型结构整体顶升、 平移、转体等施工工艺。</w:t>
            </w:r>
          </w:p>
        </w:tc>
        <w:tc>
          <w:tcPr>
            <w:tcW w:w="1294" w:type="dxa"/>
            <w:vAlign w:val="top"/>
          </w:tcPr>
          <w:p w14:paraId="535FB4FE">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DB8FD7D">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C0C0096">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F42ECC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6DCED6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4ED2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7DA1B8">
            <w:pPr>
              <w:keepNext w:val="0"/>
              <w:keepLines w:val="0"/>
              <w:pageBreakBefore w:val="0"/>
              <w:wordWrap w:val="0"/>
              <w:overflowPunct/>
              <w:topLinePunct w:val="0"/>
              <w:bidi w:val="0"/>
              <w:spacing w:before="129" w:line="346"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431AEE14">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6AADF824">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22E2F3C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04E3BDC">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25F7D271">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0FFEFD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9AA25E1">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bl>
    <w:p w14:paraId="090807B9">
      <w:pPr>
        <w:pStyle w:val="5"/>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2FA957AF">
      <w:pPr>
        <w:pStyle w:val="5"/>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1225CF70">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备注：1.根据《危险性较大的分部分项工程安全管理规定》，该《危险性较大的分部分项工程清单及超过一定规模的危险性较大的分部分项工程清单》</w:t>
      </w:r>
      <w:r>
        <w:rPr>
          <w:rFonts w:hint="eastAsia" w:ascii="宋体" w:hAnsi="宋体" w:eastAsia="宋体" w:cs="宋体"/>
          <w:color w:val="auto"/>
          <w:spacing w:val="0"/>
          <w:sz w:val="21"/>
          <w:szCs w:val="21"/>
          <w:highlight w:val="none"/>
          <w:lang w:eastAsia="zh-CN"/>
        </w:rPr>
        <w:t>应由建设单位组织勘察、设计等单位在招标文件中“勾选（对应项打“√”标识”危险性较大的分部分项工程。</w:t>
      </w:r>
    </w:p>
    <w:p w14:paraId="48100F90">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2.该《危险性较大的分部分项工程清单及超过一定规模的危险性较大的分部分项工程清单》在办理建设项目施工许可时必须提供，且各地建设行政主管部门可按照《广东省建设工程项目招标中标后监督 检查办法》相关规定开展检查。</w:t>
      </w:r>
    </w:p>
    <w:p w14:paraId="462A7D90">
      <w:pPr>
        <w:keepNext w:val="0"/>
        <w:keepLines w:val="0"/>
        <w:pageBreakBefore w:val="0"/>
        <w:wordWrap w:val="0"/>
        <w:overflowPunct/>
        <w:topLinePunct w:val="0"/>
        <w:bidi w:val="0"/>
        <w:spacing w:before="28" w:line="360" w:lineRule="auto"/>
        <w:ind w:left="545" w:leftChars="244" w:hanging="33" w:hangingChars="16"/>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3.如果需要（如需要通过计算编制专项方案，或者需要专家论证），可中标后提供</w:t>
      </w:r>
      <w:r>
        <w:rPr>
          <w:rFonts w:hint="eastAsia" w:ascii="宋体" w:hAnsi="宋体" w:eastAsia="宋体" w:cs="宋体"/>
          <w:color w:val="auto"/>
          <w:spacing w:val="0"/>
          <w:sz w:val="21"/>
          <w:szCs w:val="21"/>
          <w:highlight w:val="none"/>
          <w:lang w:eastAsia="zh-CN"/>
        </w:rPr>
        <w:t>详细版。</w:t>
      </w:r>
    </w:p>
    <w:p w14:paraId="6B793CFA">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33EB3366">
      <w:pPr>
        <w:keepNext w:val="0"/>
        <w:keepLines w:val="0"/>
        <w:pageBreakBefore w:val="0"/>
        <w:wordWrap w:val="0"/>
        <w:overflowPunct/>
        <w:topLinePunct w:val="0"/>
        <w:bidi w:val="0"/>
        <w:spacing w:before="78" w:line="220" w:lineRule="auto"/>
        <w:jc w:val="both"/>
        <w:outlineLvl w:val="2"/>
        <w:rPr>
          <w:rFonts w:hint="default" w:ascii="宋体" w:hAnsi="宋体" w:eastAsia="宋体" w:cs="宋体"/>
          <w:b/>
          <w:bCs/>
          <w:color w:val="auto"/>
          <w:spacing w:val="0"/>
          <w:sz w:val="24"/>
          <w:szCs w:val="24"/>
          <w:highlight w:val="none"/>
          <w:lang w:val="en-US" w:eastAsia="zh-CN"/>
        </w:rPr>
      </w:pPr>
      <w:bookmarkStart w:id="266" w:name="_Toc16211"/>
      <w:r>
        <w:rPr>
          <w:rFonts w:hint="eastAsia" w:ascii="宋体" w:hAnsi="宋体" w:eastAsia="宋体" w:cs="宋体"/>
          <w:b/>
          <w:bCs/>
          <w:color w:val="auto"/>
          <w:spacing w:val="0"/>
          <w:sz w:val="24"/>
          <w:szCs w:val="24"/>
          <w:highlight w:val="none"/>
        </w:rPr>
        <w:t>格式十四</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position w:val="3"/>
          <w:sz w:val="21"/>
          <w:szCs w:val="21"/>
          <w:highlight w:val="none"/>
        </w:rPr>
        <w:t>投标保证金信用承诺函</w:t>
      </w:r>
      <w:bookmarkEnd w:id="266"/>
    </w:p>
    <w:p w14:paraId="7A86ED62">
      <w:pPr>
        <w:keepNext w:val="0"/>
        <w:keepLines w:val="0"/>
        <w:pageBreakBefore w:val="0"/>
        <w:wordWrap w:val="0"/>
        <w:overflowPunct/>
        <w:topLinePunct w:val="0"/>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55940B92">
      <w:pPr>
        <w:pStyle w:val="5"/>
        <w:keepNext w:val="0"/>
        <w:keepLines w:val="0"/>
        <w:pageBreakBefore w:val="0"/>
        <w:wordWrap w:val="0"/>
        <w:overflowPunct/>
        <w:topLinePunct w:val="0"/>
        <w:bidi w:val="0"/>
        <w:spacing w:line="408" w:lineRule="auto"/>
        <w:rPr>
          <w:rFonts w:hint="eastAsia" w:ascii="宋体" w:hAnsi="宋体" w:eastAsia="宋体" w:cs="宋体"/>
          <w:color w:val="auto"/>
          <w:spacing w:val="0"/>
          <w:highlight w:val="none"/>
        </w:rPr>
      </w:pPr>
    </w:p>
    <w:p w14:paraId="4C7CDC4E">
      <w:pPr>
        <w:keepNext w:val="0"/>
        <w:keepLines w:val="0"/>
        <w:pageBreakBefore w:val="0"/>
        <w:wordWrap w:val="0"/>
        <w:overflowPunct/>
        <w:topLinePunct w:val="0"/>
        <w:bidi w:val="0"/>
        <w:spacing w:before="101" w:line="257"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1D61F4AD">
      <w:pPr>
        <w:keepNext w:val="0"/>
        <w:keepLines w:val="0"/>
        <w:pageBreakBefore w:val="0"/>
        <w:wordWrap w:val="0"/>
        <w:overflowPunct/>
        <w:topLinePunct w:val="0"/>
        <w:bidi w:val="0"/>
        <w:spacing w:before="48" w:line="252"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460D1CFA">
      <w:pPr>
        <w:keepNext w:val="0"/>
        <w:keepLines w:val="0"/>
        <w:pageBreakBefore w:val="0"/>
        <w:wordWrap w:val="0"/>
        <w:overflowPunct/>
        <w:topLinePunct w:val="0"/>
        <w:bidi w:val="0"/>
        <w:spacing w:before="52" w:line="247"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13377502">
      <w:pPr>
        <w:keepNext w:val="0"/>
        <w:keepLines w:val="0"/>
        <w:pageBreakBefore w:val="0"/>
        <w:wordWrap w:val="0"/>
        <w:overflowPunct/>
        <w:topLinePunct w:val="0"/>
        <w:bidi w:val="0"/>
        <w:spacing w:before="48"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16FEACF8">
      <w:pPr>
        <w:keepNext w:val="0"/>
        <w:keepLines w:val="0"/>
        <w:pageBreakBefore w:val="0"/>
        <w:wordWrap w:val="0"/>
        <w:overflowPunct/>
        <w:topLinePunct w:val="0"/>
        <w:bidi w:val="0"/>
        <w:spacing w:before="64"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42B75019">
      <w:pPr>
        <w:keepNext w:val="0"/>
        <w:keepLines w:val="0"/>
        <w:pageBreakBefore w:val="0"/>
        <w:wordWrap w:val="0"/>
        <w:overflowPunct/>
        <w:topLinePunct w:val="0"/>
        <w:bidi w:val="0"/>
        <w:spacing w:before="60" w:line="244"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7A7E8F9B">
      <w:pPr>
        <w:keepNext w:val="0"/>
        <w:keepLines w:val="0"/>
        <w:pageBreakBefore w:val="0"/>
        <w:wordWrap w:val="0"/>
        <w:overflowPunct/>
        <w:topLinePunct w:val="0"/>
        <w:bidi w:val="0"/>
        <w:spacing w:before="63"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6A48730C">
      <w:pPr>
        <w:pStyle w:val="5"/>
        <w:keepNext w:val="0"/>
        <w:keepLines w:val="0"/>
        <w:pageBreakBefore w:val="0"/>
        <w:wordWrap w:val="0"/>
        <w:overflowPunct/>
        <w:topLinePunct w:val="0"/>
        <w:bidi w:val="0"/>
        <w:spacing w:line="329" w:lineRule="auto"/>
        <w:rPr>
          <w:rFonts w:hint="eastAsia" w:ascii="宋体" w:hAnsi="宋体" w:eastAsia="宋体" w:cs="宋体"/>
          <w:color w:val="auto"/>
          <w:spacing w:val="0"/>
          <w:sz w:val="24"/>
          <w:szCs w:val="24"/>
          <w:highlight w:val="none"/>
        </w:rPr>
      </w:pPr>
    </w:p>
    <w:p w14:paraId="4A2BF93B">
      <w:pPr>
        <w:keepNext w:val="0"/>
        <w:keepLines w:val="0"/>
        <w:pageBreakBefore w:val="0"/>
        <w:wordWrap w:val="0"/>
        <w:overflowPunct/>
        <w:topLinePunct w:val="0"/>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793EFB1B">
      <w:pPr>
        <w:pStyle w:val="5"/>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371CEBBB">
      <w:pPr>
        <w:keepNext w:val="0"/>
        <w:keepLines w:val="0"/>
        <w:pageBreakBefore w:val="0"/>
        <w:wordWrap w:val="0"/>
        <w:overflowPunct/>
        <w:topLinePunct w:val="0"/>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31B5C5D4">
      <w:pPr>
        <w:pStyle w:val="5"/>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5D38D2EA">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49763140">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3F62F06F">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7F8C5959">
      <w:pPr>
        <w:pStyle w:val="14"/>
        <w:keepNext w:val="0"/>
        <w:keepLines w:val="0"/>
        <w:pageBreakBefore w:val="0"/>
        <w:wordWrap w:val="0"/>
        <w:overflowPunct/>
        <w:topLinePunct w:val="0"/>
        <w:bidi w:val="0"/>
        <w:rPr>
          <w:rFonts w:hint="eastAsia" w:ascii="宋体" w:hAnsi="宋体" w:eastAsia="宋体" w:cs="宋体"/>
          <w:color w:val="auto"/>
          <w:spacing w:val="0"/>
          <w:sz w:val="24"/>
          <w:szCs w:val="24"/>
          <w:highlight w:val="none"/>
          <w:lang w:eastAsia="zh-CN"/>
        </w:rPr>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B4940A9">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67" w:name="_Toc31403"/>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eastAsia="zh-CN"/>
        </w:rPr>
        <w:t>五</w:t>
      </w:r>
      <w:r>
        <w:rPr>
          <w:rFonts w:hint="eastAsia" w:ascii="宋体" w:hAnsi="宋体" w:eastAsia="宋体" w:cs="宋体"/>
          <w:b/>
          <w:bCs/>
          <w:color w:val="auto"/>
          <w:spacing w:val="0"/>
          <w:sz w:val="24"/>
          <w:szCs w:val="24"/>
          <w:highlight w:val="none"/>
        </w:rPr>
        <w:t xml:space="preserve">  原件一览表</w:t>
      </w:r>
      <w:bookmarkEnd w:id="267"/>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5BC0E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4B6605CD">
            <w:pPr>
              <w:keepNext w:val="0"/>
              <w:keepLines w:val="0"/>
              <w:pageBreakBefore w:val="0"/>
              <w:wordWrap w:val="0"/>
              <w:overflowPunct/>
              <w:topLinePunct w:val="0"/>
              <w:bidi w:val="0"/>
              <w:spacing w:before="132" w:line="22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2001E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20D9D1BA">
            <w:pPr>
              <w:keepNext w:val="0"/>
              <w:keepLines w:val="0"/>
              <w:pageBreakBefore w:val="0"/>
              <w:wordWrap w:val="0"/>
              <w:overflowPunct/>
              <w:topLinePunct w:val="0"/>
              <w:bidi w:val="0"/>
              <w:spacing w:before="62" w:line="23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663B5A60">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2AE5D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05679C22">
            <w:pPr>
              <w:keepNext w:val="0"/>
              <w:keepLines w:val="0"/>
              <w:pageBreakBefore w:val="0"/>
              <w:wordWrap w:val="0"/>
              <w:overflowPunct/>
              <w:topLinePunct w:val="0"/>
              <w:bidi w:val="0"/>
              <w:spacing w:before="150" w:line="23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658DD80A">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6F188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8CFCC12">
            <w:pPr>
              <w:keepNext w:val="0"/>
              <w:keepLines w:val="0"/>
              <w:pageBreakBefore w:val="0"/>
              <w:wordWrap w:val="0"/>
              <w:overflowPunct/>
              <w:topLinePunct w:val="0"/>
              <w:bidi w:val="0"/>
              <w:spacing w:before="151"/>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61C1D48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499" w:type="dxa"/>
            <w:gridSpan w:val="2"/>
            <w:vAlign w:val="top"/>
          </w:tcPr>
          <w:p w14:paraId="0B15925D">
            <w:pPr>
              <w:keepNext w:val="0"/>
              <w:keepLines w:val="0"/>
              <w:pageBreakBefore w:val="0"/>
              <w:wordWrap w:val="0"/>
              <w:overflowPunct/>
              <w:topLinePunct w:val="0"/>
              <w:bidi w:val="0"/>
              <w:spacing w:before="151" w:line="312"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00E8A0B7">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120A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6AEF6F72">
            <w:pPr>
              <w:keepNext w:val="0"/>
              <w:keepLines w:val="0"/>
              <w:pageBreakBefore w:val="0"/>
              <w:wordWrap w:val="0"/>
              <w:overflowPunct/>
              <w:topLinePunct w:val="0"/>
              <w:bidi w:val="0"/>
              <w:spacing w:before="62" w:line="228"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78440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BE822A9">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55C94D1B">
            <w:pPr>
              <w:keepNext w:val="0"/>
              <w:keepLines w:val="0"/>
              <w:pageBreakBefore w:val="0"/>
              <w:wordWrap w:val="0"/>
              <w:overflowPunct/>
              <w:topLinePunct w:val="0"/>
              <w:bidi w:val="0"/>
              <w:spacing w:before="62" w:line="23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5F5CA88F">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604EC594">
            <w:pPr>
              <w:keepNext w:val="0"/>
              <w:keepLines w:val="0"/>
              <w:pageBreakBefore w:val="0"/>
              <w:wordWrap w:val="0"/>
              <w:overflowPunct/>
              <w:topLinePunct w:val="0"/>
              <w:bidi w:val="0"/>
              <w:spacing w:before="61" w:line="228"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32654B32">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10D0229E">
            <w:pPr>
              <w:keepNext w:val="0"/>
              <w:keepLines w:val="0"/>
              <w:pageBreakBefore w:val="0"/>
              <w:wordWrap w:val="0"/>
              <w:overflowPunct/>
              <w:topLinePunct w:val="0"/>
              <w:bidi w:val="0"/>
              <w:spacing w:before="62" w:line="23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6733AE96">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5882AAEB">
            <w:pPr>
              <w:keepNext w:val="0"/>
              <w:keepLines w:val="0"/>
              <w:pageBreakBefore w:val="0"/>
              <w:wordWrap w:val="0"/>
              <w:overflowPunct/>
              <w:topLinePunct w:val="0"/>
              <w:bidi w:val="0"/>
              <w:spacing w:before="62" w:line="229"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1648B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8B2D55F">
            <w:pPr>
              <w:keepNext w:val="0"/>
              <w:keepLines w:val="0"/>
              <w:pageBreakBefore w:val="0"/>
              <w:wordWrap w:val="0"/>
              <w:overflowPunct/>
              <w:topLinePunct w:val="0"/>
              <w:bidi w:val="0"/>
              <w:spacing w:before="287" w:line="184"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74BAC0DA">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5BA0F112">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2DFB319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12DA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2641B34">
            <w:pPr>
              <w:keepNext w:val="0"/>
              <w:keepLines w:val="0"/>
              <w:pageBreakBefore w:val="0"/>
              <w:wordWrap w:val="0"/>
              <w:overflowPunct/>
              <w:topLinePunct w:val="0"/>
              <w:bidi w:val="0"/>
              <w:spacing w:before="288" w:line="183"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6ACE5FB3">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651B6F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0461D5B2">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61A0D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2D173689">
            <w:pPr>
              <w:keepNext w:val="0"/>
              <w:keepLines w:val="0"/>
              <w:pageBreakBefore w:val="0"/>
              <w:wordWrap w:val="0"/>
              <w:overflowPunct/>
              <w:topLinePunct w:val="0"/>
              <w:bidi w:val="0"/>
              <w:spacing w:before="287" w:line="183"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3AFB67A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44D07DA">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2DCC37C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56B9C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FD90D49">
            <w:pPr>
              <w:pStyle w:val="28"/>
              <w:keepNext w:val="0"/>
              <w:keepLines w:val="0"/>
              <w:pageBreakBefore w:val="0"/>
              <w:wordWrap w:val="0"/>
              <w:overflowPunct/>
              <w:topLinePunct w:val="0"/>
              <w:bidi w:val="0"/>
              <w:spacing w:line="348" w:lineRule="auto"/>
              <w:rPr>
                <w:rFonts w:hint="eastAsia" w:ascii="宋体" w:hAnsi="宋体" w:eastAsia="宋体" w:cs="宋体"/>
                <w:color w:val="auto"/>
                <w:spacing w:val="0"/>
                <w:sz w:val="24"/>
                <w:szCs w:val="24"/>
                <w:highlight w:val="none"/>
              </w:rPr>
            </w:pPr>
          </w:p>
          <w:p w14:paraId="57688A0B">
            <w:pPr>
              <w:keepNext w:val="0"/>
              <w:keepLines w:val="0"/>
              <w:pageBreakBefore w:val="0"/>
              <w:wordWrap w:val="0"/>
              <w:overflowPunct/>
              <w:topLinePunct w:val="0"/>
              <w:bidi w:val="0"/>
              <w:spacing w:before="78" w:line="99" w:lineRule="exact"/>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75847FB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2BEC2F1">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78BA79A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C82F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20C72BC9">
            <w:pPr>
              <w:pStyle w:val="28"/>
              <w:keepNext w:val="0"/>
              <w:keepLines w:val="0"/>
              <w:pageBreakBefore w:val="0"/>
              <w:wordWrap w:val="0"/>
              <w:overflowPunct/>
              <w:topLinePunct w:val="0"/>
              <w:bidi w:val="0"/>
              <w:spacing w:line="274" w:lineRule="auto"/>
              <w:rPr>
                <w:rFonts w:hint="eastAsia" w:ascii="宋体" w:hAnsi="宋体" w:eastAsia="宋体" w:cs="宋体"/>
                <w:color w:val="auto"/>
                <w:spacing w:val="0"/>
                <w:sz w:val="24"/>
                <w:szCs w:val="24"/>
                <w:highlight w:val="none"/>
              </w:rPr>
            </w:pPr>
          </w:p>
          <w:p w14:paraId="6C545250">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2C858D78">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31C0F83">
            <w:pPr>
              <w:keepNext w:val="0"/>
              <w:keepLines w:val="0"/>
              <w:pageBreakBefore w:val="0"/>
              <w:wordWrap w:val="0"/>
              <w:overflowPunct/>
              <w:topLinePunct w:val="0"/>
              <w:bidi w:val="0"/>
              <w:spacing w:before="62" w:line="233"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1085D35D">
            <w:pPr>
              <w:keepNext w:val="0"/>
              <w:keepLines w:val="0"/>
              <w:pageBreakBefore w:val="0"/>
              <w:wordWrap w:val="0"/>
              <w:overflowPunct/>
              <w:topLinePunct w:val="0"/>
              <w:bidi w:val="0"/>
              <w:spacing w:before="148"/>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284B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15173E87">
            <w:pPr>
              <w:pStyle w:val="28"/>
              <w:keepNext w:val="0"/>
              <w:keepLines w:val="0"/>
              <w:pageBreakBefore w:val="0"/>
              <w:wordWrap w:val="0"/>
              <w:overflowPunct/>
              <w:topLinePunct w:val="0"/>
              <w:bidi w:val="0"/>
              <w:spacing w:line="240" w:lineRule="auto"/>
              <w:rPr>
                <w:rFonts w:hint="eastAsia" w:ascii="宋体" w:hAnsi="宋体" w:eastAsia="宋体" w:cs="宋体"/>
                <w:color w:val="auto"/>
                <w:spacing w:val="0"/>
                <w:sz w:val="24"/>
                <w:szCs w:val="24"/>
                <w:highlight w:val="none"/>
              </w:rPr>
            </w:pPr>
          </w:p>
          <w:p w14:paraId="6ABE6CB8">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3EDB7E87">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4217294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0455F76A">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24BB07D4">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00F4CD7C">
            <w:pPr>
              <w:keepNext w:val="0"/>
              <w:keepLines w:val="0"/>
              <w:pageBreakBefore w:val="0"/>
              <w:wordWrap w:val="0"/>
              <w:overflowPunct/>
              <w:topLinePunct w:val="0"/>
              <w:bidi w:val="0"/>
              <w:spacing w:before="62" w:line="229"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2DB258E3">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53BD9771">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27797EFE">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7FA93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1241835D">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3B13E3E4">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19B023F1">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3B47D896">
            <w:pPr>
              <w:pStyle w:val="28"/>
              <w:keepNext w:val="0"/>
              <w:keepLines w:val="0"/>
              <w:pageBreakBefore w:val="0"/>
              <w:wordWrap w:val="0"/>
              <w:overflowPunct/>
              <w:topLinePunct w:val="0"/>
              <w:bidi w:val="0"/>
              <w:spacing w:line="336" w:lineRule="auto"/>
              <w:rPr>
                <w:rFonts w:hint="eastAsia" w:ascii="宋体" w:hAnsi="宋体" w:eastAsia="宋体" w:cs="宋体"/>
                <w:color w:val="auto"/>
                <w:spacing w:val="0"/>
                <w:sz w:val="24"/>
                <w:szCs w:val="24"/>
                <w:highlight w:val="none"/>
              </w:rPr>
            </w:pPr>
          </w:p>
          <w:p w14:paraId="217FF5B1">
            <w:pPr>
              <w:keepNext w:val="0"/>
              <w:keepLines w:val="0"/>
              <w:pageBreakBefore w:val="0"/>
              <w:wordWrap w:val="0"/>
              <w:overflowPunct/>
              <w:topLinePunct w:val="0"/>
              <w:bidi w:val="0"/>
              <w:spacing w:before="61" w:line="231"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040E5146">
            <w:pPr>
              <w:pStyle w:val="28"/>
              <w:keepNext w:val="0"/>
              <w:keepLines w:val="0"/>
              <w:pageBreakBefore w:val="0"/>
              <w:wordWrap w:val="0"/>
              <w:overflowPunct/>
              <w:topLinePunct w:val="0"/>
              <w:bidi w:val="0"/>
              <w:spacing w:line="335" w:lineRule="auto"/>
              <w:rPr>
                <w:rFonts w:hint="eastAsia" w:ascii="宋体" w:hAnsi="宋体" w:eastAsia="宋体" w:cs="宋体"/>
                <w:color w:val="auto"/>
                <w:spacing w:val="0"/>
                <w:sz w:val="24"/>
                <w:szCs w:val="24"/>
                <w:highlight w:val="none"/>
              </w:rPr>
            </w:pPr>
          </w:p>
          <w:p w14:paraId="332320C2">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05116951">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268" w:name="bookmark107"/>
      <w:bookmarkEnd w:id="268"/>
      <w:r>
        <w:rPr>
          <w:rFonts w:hint="eastAsia" w:ascii="宋体" w:hAnsi="宋体" w:eastAsia="宋体" w:cs="宋体"/>
          <w:b/>
          <w:bCs/>
          <w:color w:val="auto"/>
          <w:spacing w:val="0"/>
          <w:sz w:val="24"/>
          <w:szCs w:val="24"/>
          <w:highlight w:val="none"/>
        </w:rPr>
        <w:br w:type="page"/>
      </w:r>
    </w:p>
    <w:p w14:paraId="3EE8D0E2">
      <w:pPr>
        <w:keepNext w:val="0"/>
        <w:keepLines w:val="0"/>
        <w:pageBreakBefore w:val="0"/>
        <w:wordWrap w:val="0"/>
        <w:overflowPunct/>
        <w:topLinePunct w:val="0"/>
        <w:bidi w:val="0"/>
        <w:spacing w:before="78" w:line="219" w:lineRule="auto"/>
        <w:jc w:val="center"/>
        <w:outlineLvl w:val="1"/>
        <w:rPr>
          <w:rFonts w:hint="eastAsia" w:ascii="宋体" w:hAnsi="宋体" w:eastAsia="宋体" w:cs="宋体"/>
          <w:color w:val="auto"/>
          <w:spacing w:val="0"/>
          <w:highlight w:val="none"/>
        </w:rPr>
      </w:pPr>
      <w:bookmarkStart w:id="269" w:name="_Toc24054"/>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69"/>
    </w:p>
    <w:p w14:paraId="4DB9FA56">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CE13AB1">
      <w:pPr>
        <w:keepNext w:val="0"/>
        <w:keepLines w:val="0"/>
        <w:pageBreakBefore w:val="0"/>
        <w:wordWrap w:val="0"/>
        <w:overflowPunct/>
        <w:topLinePunct w:val="0"/>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 年版）或《建设工程施工合同（示范文本）》（GF—2017—0201）执行。</w:t>
      </w:r>
    </w:p>
    <w:p w14:paraId="035C627A">
      <w:pPr>
        <w:keepNext w:val="0"/>
        <w:keepLines w:val="0"/>
        <w:pageBreakBefore w:val="0"/>
        <w:wordWrap w:val="0"/>
        <w:overflowPunct/>
        <w:topLinePunct w:val="0"/>
        <w:bidi w:val="0"/>
        <w:rPr>
          <w:rFonts w:hint="eastAsia" w:ascii="宋体" w:hAnsi="宋体" w:eastAsia="宋体" w:cs="宋体"/>
          <w:color w:val="auto"/>
          <w:spacing w:val="0"/>
          <w:highlight w:val="none"/>
        </w:rPr>
      </w:pPr>
    </w:p>
    <w:sectPr>
      <w:footerReference r:id="rId2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webkit-standard">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802BE">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3F14A">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3C330">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713C330">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0F19A">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A14394">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7A14394">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0A9D3">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6628E">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A06628E">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7F41C">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86D5E">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3586D5E">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F9CA2">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DB191E">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0DB191E">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45F1F">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F083E">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30F083E">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DCA7E">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530EC">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3A530EC">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C27BC">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A3A42">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48A3A42">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22B2D">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E0F91">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59E0F91">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083CE">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408EB">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CC408EB">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F1F9A">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BA8F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ABA8F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CE455">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FDCE2">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ECFDCE2">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5C797">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83D083">
                          <w:pPr>
                            <w:pStyle w:val="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583D083">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BA4ED">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052FC">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E052FC">
                    <w:pPr>
                      <w:pStyle w:val="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64D02">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1B1F5A">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01B1F5A">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E8E2C">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0FD7E">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6B0FD7E">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0090">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4689D">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334689D">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4FF0C">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59E41">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4459E41">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A20D5">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77AB7">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E577AB7">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9AB7E">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7E182">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177E182">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7035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0A0AB">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556F">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0996E">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473031"/>
    <w:rsid w:val="009503B1"/>
    <w:rsid w:val="00D61DC8"/>
    <w:rsid w:val="00DE3995"/>
    <w:rsid w:val="00F661CB"/>
    <w:rsid w:val="01203FAE"/>
    <w:rsid w:val="012A2737"/>
    <w:rsid w:val="013F232E"/>
    <w:rsid w:val="014B09BB"/>
    <w:rsid w:val="014C6B51"/>
    <w:rsid w:val="016471F9"/>
    <w:rsid w:val="01916C5A"/>
    <w:rsid w:val="01B841E6"/>
    <w:rsid w:val="01D95F0B"/>
    <w:rsid w:val="02117D9A"/>
    <w:rsid w:val="021E0C99"/>
    <w:rsid w:val="02337D11"/>
    <w:rsid w:val="026E699E"/>
    <w:rsid w:val="0273635F"/>
    <w:rsid w:val="02866093"/>
    <w:rsid w:val="02AA30B8"/>
    <w:rsid w:val="02B7625C"/>
    <w:rsid w:val="02BF0C55"/>
    <w:rsid w:val="03091250"/>
    <w:rsid w:val="032C4E8C"/>
    <w:rsid w:val="0358304C"/>
    <w:rsid w:val="03696A9E"/>
    <w:rsid w:val="037C563F"/>
    <w:rsid w:val="039E06FB"/>
    <w:rsid w:val="03B51875"/>
    <w:rsid w:val="03B524C9"/>
    <w:rsid w:val="03C202A3"/>
    <w:rsid w:val="03C5042E"/>
    <w:rsid w:val="04011DB6"/>
    <w:rsid w:val="04021749"/>
    <w:rsid w:val="04200D92"/>
    <w:rsid w:val="043C0BB8"/>
    <w:rsid w:val="04540333"/>
    <w:rsid w:val="048719B2"/>
    <w:rsid w:val="04B67F25"/>
    <w:rsid w:val="04BF763A"/>
    <w:rsid w:val="04C50721"/>
    <w:rsid w:val="04C93D12"/>
    <w:rsid w:val="05654685"/>
    <w:rsid w:val="05C91C3B"/>
    <w:rsid w:val="05E732EC"/>
    <w:rsid w:val="05EC614B"/>
    <w:rsid w:val="063C112F"/>
    <w:rsid w:val="066642EF"/>
    <w:rsid w:val="066C1D20"/>
    <w:rsid w:val="066E18CA"/>
    <w:rsid w:val="06830831"/>
    <w:rsid w:val="069B537E"/>
    <w:rsid w:val="06B156A8"/>
    <w:rsid w:val="06C70A28"/>
    <w:rsid w:val="06C929F2"/>
    <w:rsid w:val="06EE2458"/>
    <w:rsid w:val="07133987"/>
    <w:rsid w:val="073360BD"/>
    <w:rsid w:val="0749368B"/>
    <w:rsid w:val="07A1396F"/>
    <w:rsid w:val="07A71DAB"/>
    <w:rsid w:val="07B90CB8"/>
    <w:rsid w:val="07EC510E"/>
    <w:rsid w:val="082A5712"/>
    <w:rsid w:val="083D3697"/>
    <w:rsid w:val="08CD7283"/>
    <w:rsid w:val="08DB07BA"/>
    <w:rsid w:val="08E30974"/>
    <w:rsid w:val="08EB6C4F"/>
    <w:rsid w:val="09000ACD"/>
    <w:rsid w:val="092D5890"/>
    <w:rsid w:val="09F06AB0"/>
    <w:rsid w:val="09FA34EB"/>
    <w:rsid w:val="0A182626"/>
    <w:rsid w:val="0A2763AD"/>
    <w:rsid w:val="0A5D3B7D"/>
    <w:rsid w:val="0A62467A"/>
    <w:rsid w:val="0A760F36"/>
    <w:rsid w:val="0A7D4664"/>
    <w:rsid w:val="0AD33307"/>
    <w:rsid w:val="0AEE3BCC"/>
    <w:rsid w:val="0B3866B7"/>
    <w:rsid w:val="0B3B5F5C"/>
    <w:rsid w:val="0B644CDF"/>
    <w:rsid w:val="0BD240F7"/>
    <w:rsid w:val="0C087B18"/>
    <w:rsid w:val="0C0B13B7"/>
    <w:rsid w:val="0C120997"/>
    <w:rsid w:val="0C350433"/>
    <w:rsid w:val="0C3C4EB1"/>
    <w:rsid w:val="0C3D67FB"/>
    <w:rsid w:val="0C4153D2"/>
    <w:rsid w:val="0CA07D76"/>
    <w:rsid w:val="0CA247B5"/>
    <w:rsid w:val="0CC51EAD"/>
    <w:rsid w:val="0CDD4579"/>
    <w:rsid w:val="0CEB3524"/>
    <w:rsid w:val="0CFE2CC9"/>
    <w:rsid w:val="0D03679A"/>
    <w:rsid w:val="0D410E67"/>
    <w:rsid w:val="0D471FD0"/>
    <w:rsid w:val="0D786450"/>
    <w:rsid w:val="0DB97443"/>
    <w:rsid w:val="0DCB0DFD"/>
    <w:rsid w:val="0DD203DE"/>
    <w:rsid w:val="0DDC125D"/>
    <w:rsid w:val="0DF525DE"/>
    <w:rsid w:val="0DF61CE0"/>
    <w:rsid w:val="0E122ED0"/>
    <w:rsid w:val="0E1E1875"/>
    <w:rsid w:val="0E574CE7"/>
    <w:rsid w:val="0E8E37ED"/>
    <w:rsid w:val="0EAF2E14"/>
    <w:rsid w:val="0ED22D06"/>
    <w:rsid w:val="0EDB59B8"/>
    <w:rsid w:val="0EF30E7F"/>
    <w:rsid w:val="0F1B4006"/>
    <w:rsid w:val="0F220EF1"/>
    <w:rsid w:val="0F312AB7"/>
    <w:rsid w:val="0FB775B8"/>
    <w:rsid w:val="0FF44D8A"/>
    <w:rsid w:val="10433815"/>
    <w:rsid w:val="105858FC"/>
    <w:rsid w:val="108403E2"/>
    <w:rsid w:val="109275A9"/>
    <w:rsid w:val="10C15734"/>
    <w:rsid w:val="110D36CE"/>
    <w:rsid w:val="11183B29"/>
    <w:rsid w:val="11533574"/>
    <w:rsid w:val="11785740"/>
    <w:rsid w:val="118440E5"/>
    <w:rsid w:val="11862732"/>
    <w:rsid w:val="118925A4"/>
    <w:rsid w:val="118F278E"/>
    <w:rsid w:val="119105B0"/>
    <w:rsid w:val="11994D85"/>
    <w:rsid w:val="11A47985"/>
    <w:rsid w:val="11D80D88"/>
    <w:rsid w:val="11F50B3F"/>
    <w:rsid w:val="127C66E3"/>
    <w:rsid w:val="127F665A"/>
    <w:rsid w:val="12906AB9"/>
    <w:rsid w:val="12B46AE6"/>
    <w:rsid w:val="12C7072D"/>
    <w:rsid w:val="12E7492B"/>
    <w:rsid w:val="12E74FC1"/>
    <w:rsid w:val="12EC0194"/>
    <w:rsid w:val="12F27F6E"/>
    <w:rsid w:val="12F53397"/>
    <w:rsid w:val="131A26A8"/>
    <w:rsid w:val="132A4818"/>
    <w:rsid w:val="133D279D"/>
    <w:rsid w:val="1358660F"/>
    <w:rsid w:val="1385172F"/>
    <w:rsid w:val="13B36C86"/>
    <w:rsid w:val="13C438FA"/>
    <w:rsid w:val="13E34C75"/>
    <w:rsid w:val="14141B79"/>
    <w:rsid w:val="143F630F"/>
    <w:rsid w:val="148650F4"/>
    <w:rsid w:val="14BC5944"/>
    <w:rsid w:val="1505553D"/>
    <w:rsid w:val="150D2643"/>
    <w:rsid w:val="150D2EA1"/>
    <w:rsid w:val="15192D96"/>
    <w:rsid w:val="15454BD5"/>
    <w:rsid w:val="155663AB"/>
    <w:rsid w:val="15DC13FE"/>
    <w:rsid w:val="15EF44B1"/>
    <w:rsid w:val="15F3699E"/>
    <w:rsid w:val="16005D04"/>
    <w:rsid w:val="16223ECC"/>
    <w:rsid w:val="16351E52"/>
    <w:rsid w:val="164B3423"/>
    <w:rsid w:val="16737FC1"/>
    <w:rsid w:val="16C60CFC"/>
    <w:rsid w:val="16DF591A"/>
    <w:rsid w:val="1722468F"/>
    <w:rsid w:val="172C4685"/>
    <w:rsid w:val="172D3193"/>
    <w:rsid w:val="1767428D"/>
    <w:rsid w:val="1776627E"/>
    <w:rsid w:val="17C50FB3"/>
    <w:rsid w:val="18226406"/>
    <w:rsid w:val="182A472E"/>
    <w:rsid w:val="1862610F"/>
    <w:rsid w:val="18710487"/>
    <w:rsid w:val="18A15E9B"/>
    <w:rsid w:val="18C06D07"/>
    <w:rsid w:val="190B3062"/>
    <w:rsid w:val="192D6E10"/>
    <w:rsid w:val="192E77AB"/>
    <w:rsid w:val="19597C05"/>
    <w:rsid w:val="1963464B"/>
    <w:rsid w:val="197764F6"/>
    <w:rsid w:val="1A1A1370"/>
    <w:rsid w:val="1A200723"/>
    <w:rsid w:val="1A2C70C8"/>
    <w:rsid w:val="1A3A6836"/>
    <w:rsid w:val="1A4A3FE0"/>
    <w:rsid w:val="1A5B5BFF"/>
    <w:rsid w:val="1A6040D2"/>
    <w:rsid w:val="1A6C0815"/>
    <w:rsid w:val="1AE57555"/>
    <w:rsid w:val="1B58704C"/>
    <w:rsid w:val="1BB32838"/>
    <w:rsid w:val="1BC25F36"/>
    <w:rsid w:val="1BCD48DA"/>
    <w:rsid w:val="1C116575"/>
    <w:rsid w:val="1C2A3ADB"/>
    <w:rsid w:val="1C324211"/>
    <w:rsid w:val="1C623275"/>
    <w:rsid w:val="1C7F3E27"/>
    <w:rsid w:val="1C977356"/>
    <w:rsid w:val="1CEE68B6"/>
    <w:rsid w:val="1CFE11EF"/>
    <w:rsid w:val="1D1C4C74"/>
    <w:rsid w:val="1D990C00"/>
    <w:rsid w:val="1DD106B2"/>
    <w:rsid w:val="1DED3012"/>
    <w:rsid w:val="1E020870"/>
    <w:rsid w:val="1E3817E4"/>
    <w:rsid w:val="1E3B5065"/>
    <w:rsid w:val="1E3B5B2B"/>
    <w:rsid w:val="1E491296"/>
    <w:rsid w:val="1E504393"/>
    <w:rsid w:val="1E5D49E3"/>
    <w:rsid w:val="1E6432D4"/>
    <w:rsid w:val="1E6D76F9"/>
    <w:rsid w:val="1E9F430C"/>
    <w:rsid w:val="1EB53B18"/>
    <w:rsid w:val="1EBD4792"/>
    <w:rsid w:val="1EE461C3"/>
    <w:rsid w:val="1F2962CC"/>
    <w:rsid w:val="1F297E9B"/>
    <w:rsid w:val="1F3C3740"/>
    <w:rsid w:val="1F487665"/>
    <w:rsid w:val="1F4E5D32"/>
    <w:rsid w:val="1F683A66"/>
    <w:rsid w:val="1FA6791C"/>
    <w:rsid w:val="1FB65DB1"/>
    <w:rsid w:val="1FDA1374"/>
    <w:rsid w:val="20210F16"/>
    <w:rsid w:val="202C035B"/>
    <w:rsid w:val="203504D6"/>
    <w:rsid w:val="20541126"/>
    <w:rsid w:val="206770AC"/>
    <w:rsid w:val="208714FC"/>
    <w:rsid w:val="20B41F4E"/>
    <w:rsid w:val="20B73CE8"/>
    <w:rsid w:val="20CB1F07"/>
    <w:rsid w:val="20E76E0C"/>
    <w:rsid w:val="21244F9D"/>
    <w:rsid w:val="216E1E9C"/>
    <w:rsid w:val="21CE7D40"/>
    <w:rsid w:val="222C2B90"/>
    <w:rsid w:val="22420C43"/>
    <w:rsid w:val="22457E73"/>
    <w:rsid w:val="2248233E"/>
    <w:rsid w:val="227D2BB6"/>
    <w:rsid w:val="229E3272"/>
    <w:rsid w:val="22B1206A"/>
    <w:rsid w:val="22E70030"/>
    <w:rsid w:val="22F866E1"/>
    <w:rsid w:val="23260E04"/>
    <w:rsid w:val="233953DA"/>
    <w:rsid w:val="234F2844"/>
    <w:rsid w:val="23515DF1"/>
    <w:rsid w:val="23641680"/>
    <w:rsid w:val="23790749"/>
    <w:rsid w:val="237B4B25"/>
    <w:rsid w:val="23931F66"/>
    <w:rsid w:val="24782AD4"/>
    <w:rsid w:val="249C3951"/>
    <w:rsid w:val="249F17D3"/>
    <w:rsid w:val="24A10C0D"/>
    <w:rsid w:val="24E61EB6"/>
    <w:rsid w:val="251E59E0"/>
    <w:rsid w:val="254479BB"/>
    <w:rsid w:val="254C2D14"/>
    <w:rsid w:val="256D06AE"/>
    <w:rsid w:val="2582242A"/>
    <w:rsid w:val="259077D0"/>
    <w:rsid w:val="25AF7A72"/>
    <w:rsid w:val="25B20381"/>
    <w:rsid w:val="25F25669"/>
    <w:rsid w:val="260357AC"/>
    <w:rsid w:val="260B6FC2"/>
    <w:rsid w:val="264763B7"/>
    <w:rsid w:val="264F6618"/>
    <w:rsid w:val="268B2A3A"/>
    <w:rsid w:val="268B3DAD"/>
    <w:rsid w:val="26A61FB0"/>
    <w:rsid w:val="26A654D5"/>
    <w:rsid w:val="26B13700"/>
    <w:rsid w:val="26DB7EAB"/>
    <w:rsid w:val="26E1530D"/>
    <w:rsid w:val="275131CB"/>
    <w:rsid w:val="277025E4"/>
    <w:rsid w:val="27734537"/>
    <w:rsid w:val="279B1E5B"/>
    <w:rsid w:val="28067A0E"/>
    <w:rsid w:val="28090A48"/>
    <w:rsid w:val="282B4E63"/>
    <w:rsid w:val="282B6C11"/>
    <w:rsid w:val="282E04AF"/>
    <w:rsid w:val="28541BD2"/>
    <w:rsid w:val="28884FF7"/>
    <w:rsid w:val="28B60B0F"/>
    <w:rsid w:val="28E16404"/>
    <w:rsid w:val="28F60FCD"/>
    <w:rsid w:val="290F389D"/>
    <w:rsid w:val="293033DF"/>
    <w:rsid w:val="293D2CA4"/>
    <w:rsid w:val="293E21D3"/>
    <w:rsid w:val="294A57BC"/>
    <w:rsid w:val="29567CBD"/>
    <w:rsid w:val="2962542C"/>
    <w:rsid w:val="29A9794B"/>
    <w:rsid w:val="29CF181E"/>
    <w:rsid w:val="29DB4666"/>
    <w:rsid w:val="2A2C6C70"/>
    <w:rsid w:val="2A7228D5"/>
    <w:rsid w:val="2AD73080"/>
    <w:rsid w:val="2B160E6F"/>
    <w:rsid w:val="2B351DFD"/>
    <w:rsid w:val="2B367172"/>
    <w:rsid w:val="2B6438CC"/>
    <w:rsid w:val="2B784A6E"/>
    <w:rsid w:val="2B9A7B07"/>
    <w:rsid w:val="2BAE2033"/>
    <w:rsid w:val="2BB138D1"/>
    <w:rsid w:val="2BB37649"/>
    <w:rsid w:val="2BB82A63"/>
    <w:rsid w:val="2BC730F4"/>
    <w:rsid w:val="2BE42462"/>
    <w:rsid w:val="2BFA2F81"/>
    <w:rsid w:val="2BFD3113"/>
    <w:rsid w:val="2BFD6B16"/>
    <w:rsid w:val="2C0003B4"/>
    <w:rsid w:val="2C15160E"/>
    <w:rsid w:val="2C3A068B"/>
    <w:rsid w:val="2CA156F3"/>
    <w:rsid w:val="2CA376BD"/>
    <w:rsid w:val="2D236108"/>
    <w:rsid w:val="2D906B09"/>
    <w:rsid w:val="2D9C5EBB"/>
    <w:rsid w:val="2DAC0A59"/>
    <w:rsid w:val="2E1E317A"/>
    <w:rsid w:val="2E9A689E"/>
    <w:rsid w:val="2ED7388A"/>
    <w:rsid w:val="2EDD4BB1"/>
    <w:rsid w:val="2EE212D0"/>
    <w:rsid w:val="2F2729AC"/>
    <w:rsid w:val="2F3C0F4C"/>
    <w:rsid w:val="2F5A6566"/>
    <w:rsid w:val="2F6D51D0"/>
    <w:rsid w:val="2F762E67"/>
    <w:rsid w:val="2FB82F9F"/>
    <w:rsid w:val="2FC11C09"/>
    <w:rsid w:val="2FD162F0"/>
    <w:rsid w:val="2FE5383E"/>
    <w:rsid w:val="30E67B79"/>
    <w:rsid w:val="313C778B"/>
    <w:rsid w:val="319C13AD"/>
    <w:rsid w:val="31D9592F"/>
    <w:rsid w:val="32105FF7"/>
    <w:rsid w:val="321A2D0F"/>
    <w:rsid w:val="322E1126"/>
    <w:rsid w:val="324D664C"/>
    <w:rsid w:val="32504AC8"/>
    <w:rsid w:val="325070D0"/>
    <w:rsid w:val="32BE6EB2"/>
    <w:rsid w:val="32C616FD"/>
    <w:rsid w:val="32C7154E"/>
    <w:rsid w:val="32D46E8A"/>
    <w:rsid w:val="3317207A"/>
    <w:rsid w:val="331A6B7B"/>
    <w:rsid w:val="33204F95"/>
    <w:rsid w:val="33396D39"/>
    <w:rsid w:val="33643EF5"/>
    <w:rsid w:val="33D80BF4"/>
    <w:rsid w:val="33E57C5B"/>
    <w:rsid w:val="34124B0B"/>
    <w:rsid w:val="346F60D7"/>
    <w:rsid w:val="348F605A"/>
    <w:rsid w:val="34A357B5"/>
    <w:rsid w:val="34AA1521"/>
    <w:rsid w:val="34C22379"/>
    <w:rsid w:val="34F51A33"/>
    <w:rsid w:val="35233259"/>
    <w:rsid w:val="35272742"/>
    <w:rsid w:val="357E4769"/>
    <w:rsid w:val="35B20971"/>
    <w:rsid w:val="35EE5151"/>
    <w:rsid w:val="35F03248"/>
    <w:rsid w:val="365D08DD"/>
    <w:rsid w:val="369F27CF"/>
    <w:rsid w:val="36B60605"/>
    <w:rsid w:val="36C73FA8"/>
    <w:rsid w:val="36DB3EF8"/>
    <w:rsid w:val="36F11025"/>
    <w:rsid w:val="3701395E"/>
    <w:rsid w:val="37117919"/>
    <w:rsid w:val="3727713D"/>
    <w:rsid w:val="37704A11"/>
    <w:rsid w:val="37C45ACE"/>
    <w:rsid w:val="37E335F2"/>
    <w:rsid w:val="37E76AA3"/>
    <w:rsid w:val="38060B00"/>
    <w:rsid w:val="3835053A"/>
    <w:rsid w:val="3860666A"/>
    <w:rsid w:val="387463B2"/>
    <w:rsid w:val="38BE1535"/>
    <w:rsid w:val="39316051"/>
    <w:rsid w:val="395A2DA3"/>
    <w:rsid w:val="397A7B42"/>
    <w:rsid w:val="39B4157B"/>
    <w:rsid w:val="39DF785B"/>
    <w:rsid w:val="3A1A0893"/>
    <w:rsid w:val="3A5C534F"/>
    <w:rsid w:val="3A5E69D2"/>
    <w:rsid w:val="3A60099C"/>
    <w:rsid w:val="3A8B1791"/>
    <w:rsid w:val="3AA16B06"/>
    <w:rsid w:val="3AD969A0"/>
    <w:rsid w:val="3AE93908"/>
    <w:rsid w:val="3B2C2F74"/>
    <w:rsid w:val="3B351E28"/>
    <w:rsid w:val="3B44781F"/>
    <w:rsid w:val="3B78218B"/>
    <w:rsid w:val="3B8B205B"/>
    <w:rsid w:val="3BA174BE"/>
    <w:rsid w:val="3BAE1FDB"/>
    <w:rsid w:val="3BAE3989"/>
    <w:rsid w:val="3BC05FBD"/>
    <w:rsid w:val="3BD258C9"/>
    <w:rsid w:val="3C123FA5"/>
    <w:rsid w:val="3C242530"/>
    <w:rsid w:val="3C607CD7"/>
    <w:rsid w:val="3C8B7826"/>
    <w:rsid w:val="3C8F5568"/>
    <w:rsid w:val="3CA078D1"/>
    <w:rsid w:val="3CCA02B2"/>
    <w:rsid w:val="3CE62383"/>
    <w:rsid w:val="3CEC7A2A"/>
    <w:rsid w:val="3D0433A8"/>
    <w:rsid w:val="3D15699B"/>
    <w:rsid w:val="3D6A66B2"/>
    <w:rsid w:val="3D867B10"/>
    <w:rsid w:val="3DA07301"/>
    <w:rsid w:val="3DBF44D4"/>
    <w:rsid w:val="3DCE35B6"/>
    <w:rsid w:val="3DD136B5"/>
    <w:rsid w:val="3DF14E3C"/>
    <w:rsid w:val="3DFC6C2D"/>
    <w:rsid w:val="3E0A3EC6"/>
    <w:rsid w:val="3E0D6740"/>
    <w:rsid w:val="3E2609B2"/>
    <w:rsid w:val="3E7F6463"/>
    <w:rsid w:val="3EAF459C"/>
    <w:rsid w:val="3ECB4852"/>
    <w:rsid w:val="3EEB0292"/>
    <w:rsid w:val="3EEF6792"/>
    <w:rsid w:val="3EF142B8"/>
    <w:rsid w:val="3EF313C9"/>
    <w:rsid w:val="3F281B00"/>
    <w:rsid w:val="3F4D76DD"/>
    <w:rsid w:val="3F930BE9"/>
    <w:rsid w:val="3F952DC8"/>
    <w:rsid w:val="3FAA4467"/>
    <w:rsid w:val="3FAF45ED"/>
    <w:rsid w:val="3FD91CE7"/>
    <w:rsid w:val="3FE15005"/>
    <w:rsid w:val="3FE77469"/>
    <w:rsid w:val="400E2C48"/>
    <w:rsid w:val="40324B88"/>
    <w:rsid w:val="403D2804"/>
    <w:rsid w:val="40792A47"/>
    <w:rsid w:val="40A62C14"/>
    <w:rsid w:val="40B21825"/>
    <w:rsid w:val="40C14BE6"/>
    <w:rsid w:val="40D774DE"/>
    <w:rsid w:val="40E85E9C"/>
    <w:rsid w:val="41173D7E"/>
    <w:rsid w:val="415B1214"/>
    <w:rsid w:val="417778B2"/>
    <w:rsid w:val="41E2613A"/>
    <w:rsid w:val="428D039F"/>
    <w:rsid w:val="42CD6DEA"/>
    <w:rsid w:val="42D77BC6"/>
    <w:rsid w:val="42E859D2"/>
    <w:rsid w:val="42FC0E58"/>
    <w:rsid w:val="431379ED"/>
    <w:rsid w:val="4315253F"/>
    <w:rsid w:val="437454B8"/>
    <w:rsid w:val="43784FA8"/>
    <w:rsid w:val="43947908"/>
    <w:rsid w:val="43AA0EDA"/>
    <w:rsid w:val="43CB418F"/>
    <w:rsid w:val="43CC2BFE"/>
    <w:rsid w:val="43D25E53"/>
    <w:rsid w:val="43E91A02"/>
    <w:rsid w:val="440138A0"/>
    <w:rsid w:val="44164B8B"/>
    <w:rsid w:val="44246EDE"/>
    <w:rsid w:val="44384737"/>
    <w:rsid w:val="44692B43"/>
    <w:rsid w:val="44740E09"/>
    <w:rsid w:val="44983428"/>
    <w:rsid w:val="44C47D79"/>
    <w:rsid w:val="44E36EBE"/>
    <w:rsid w:val="451A208F"/>
    <w:rsid w:val="451F3F0F"/>
    <w:rsid w:val="453170D2"/>
    <w:rsid w:val="45464C32"/>
    <w:rsid w:val="45717F01"/>
    <w:rsid w:val="45AD2F03"/>
    <w:rsid w:val="45BE2A1A"/>
    <w:rsid w:val="45D60635"/>
    <w:rsid w:val="460B7B64"/>
    <w:rsid w:val="4612476D"/>
    <w:rsid w:val="46276812"/>
    <w:rsid w:val="462F50FB"/>
    <w:rsid w:val="46617E0B"/>
    <w:rsid w:val="468F5CB4"/>
    <w:rsid w:val="46953618"/>
    <w:rsid w:val="46C027C2"/>
    <w:rsid w:val="46E75FA1"/>
    <w:rsid w:val="474820C5"/>
    <w:rsid w:val="475B13E7"/>
    <w:rsid w:val="476B2262"/>
    <w:rsid w:val="477A7EE5"/>
    <w:rsid w:val="47DD7AD0"/>
    <w:rsid w:val="47F51E94"/>
    <w:rsid w:val="481D611E"/>
    <w:rsid w:val="481F61AC"/>
    <w:rsid w:val="485D476D"/>
    <w:rsid w:val="48665BDE"/>
    <w:rsid w:val="48B545A9"/>
    <w:rsid w:val="48B979EC"/>
    <w:rsid w:val="48D34790"/>
    <w:rsid w:val="494D6EBA"/>
    <w:rsid w:val="49540A22"/>
    <w:rsid w:val="49557B3A"/>
    <w:rsid w:val="498A77E3"/>
    <w:rsid w:val="498C348F"/>
    <w:rsid w:val="49BA4655"/>
    <w:rsid w:val="49CD757C"/>
    <w:rsid w:val="49DA3B9B"/>
    <w:rsid w:val="49FA5FEB"/>
    <w:rsid w:val="4A3C6BE3"/>
    <w:rsid w:val="4A62606A"/>
    <w:rsid w:val="4A6F0787"/>
    <w:rsid w:val="4A7638C4"/>
    <w:rsid w:val="4AAE1013"/>
    <w:rsid w:val="4ADE1878"/>
    <w:rsid w:val="4ADE2E23"/>
    <w:rsid w:val="4AE64EED"/>
    <w:rsid w:val="4B380D6F"/>
    <w:rsid w:val="4B502367"/>
    <w:rsid w:val="4B5627EF"/>
    <w:rsid w:val="4BA47B1F"/>
    <w:rsid w:val="4BBC29D4"/>
    <w:rsid w:val="4C4F0383"/>
    <w:rsid w:val="4C560DCF"/>
    <w:rsid w:val="4CA73452"/>
    <w:rsid w:val="4CBE77A4"/>
    <w:rsid w:val="4CC32763"/>
    <w:rsid w:val="4D0F1621"/>
    <w:rsid w:val="4D24354A"/>
    <w:rsid w:val="4D4E6D7A"/>
    <w:rsid w:val="4D785BA5"/>
    <w:rsid w:val="4DAE5A6A"/>
    <w:rsid w:val="4DF97234"/>
    <w:rsid w:val="4E08651A"/>
    <w:rsid w:val="4E437F61"/>
    <w:rsid w:val="4E4C36AA"/>
    <w:rsid w:val="4E98717F"/>
    <w:rsid w:val="4EB7021F"/>
    <w:rsid w:val="4F377967"/>
    <w:rsid w:val="4F411EB6"/>
    <w:rsid w:val="4F42646A"/>
    <w:rsid w:val="4F582EF7"/>
    <w:rsid w:val="4F5F63A7"/>
    <w:rsid w:val="4FBA24A4"/>
    <w:rsid w:val="4FDA6E22"/>
    <w:rsid w:val="4FF5172F"/>
    <w:rsid w:val="4FFD0EF1"/>
    <w:rsid w:val="502F2E92"/>
    <w:rsid w:val="502F4C40"/>
    <w:rsid w:val="50353716"/>
    <w:rsid w:val="51202BC1"/>
    <w:rsid w:val="5135755A"/>
    <w:rsid w:val="514F12D7"/>
    <w:rsid w:val="515D758B"/>
    <w:rsid w:val="51754B1B"/>
    <w:rsid w:val="517B73AD"/>
    <w:rsid w:val="518A5306"/>
    <w:rsid w:val="51A37E3C"/>
    <w:rsid w:val="51B66656"/>
    <w:rsid w:val="51C818A3"/>
    <w:rsid w:val="51D16F4E"/>
    <w:rsid w:val="51D610EC"/>
    <w:rsid w:val="5209326F"/>
    <w:rsid w:val="521045FE"/>
    <w:rsid w:val="52534816"/>
    <w:rsid w:val="52634928"/>
    <w:rsid w:val="52E2243E"/>
    <w:rsid w:val="52F201A7"/>
    <w:rsid w:val="53277999"/>
    <w:rsid w:val="53353269"/>
    <w:rsid w:val="53663062"/>
    <w:rsid w:val="536746F1"/>
    <w:rsid w:val="536907D8"/>
    <w:rsid w:val="53764934"/>
    <w:rsid w:val="53A35FB7"/>
    <w:rsid w:val="53C80FD0"/>
    <w:rsid w:val="53E30294"/>
    <w:rsid w:val="540E3AF0"/>
    <w:rsid w:val="5429030A"/>
    <w:rsid w:val="54427E9B"/>
    <w:rsid w:val="544B3A05"/>
    <w:rsid w:val="5472334E"/>
    <w:rsid w:val="549269FE"/>
    <w:rsid w:val="54A86D6F"/>
    <w:rsid w:val="550F1330"/>
    <w:rsid w:val="556829A3"/>
    <w:rsid w:val="55782BE6"/>
    <w:rsid w:val="55B415BA"/>
    <w:rsid w:val="55D46448"/>
    <w:rsid w:val="560E3442"/>
    <w:rsid w:val="56111251"/>
    <w:rsid w:val="56193729"/>
    <w:rsid w:val="56252ADC"/>
    <w:rsid w:val="56327239"/>
    <w:rsid w:val="56426E9F"/>
    <w:rsid w:val="564725B8"/>
    <w:rsid w:val="56652099"/>
    <w:rsid w:val="56680EAC"/>
    <w:rsid w:val="566D353C"/>
    <w:rsid w:val="56796ABF"/>
    <w:rsid w:val="568E01E7"/>
    <w:rsid w:val="569B3338"/>
    <w:rsid w:val="56A01C11"/>
    <w:rsid w:val="56F269C8"/>
    <w:rsid w:val="56FC7CED"/>
    <w:rsid w:val="572A4BF6"/>
    <w:rsid w:val="57396CE5"/>
    <w:rsid w:val="57491B13"/>
    <w:rsid w:val="576176AA"/>
    <w:rsid w:val="5765355C"/>
    <w:rsid w:val="57690BD0"/>
    <w:rsid w:val="57750A44"/>
    <w:rsid w:val="57CA1153"/>
    <w:rsid w:val="57EF1159"/>
    <w:rsid w:val="58460B49"/>
    <w:rsid w:val="584A495B"/>
    <w:rsid w:val="586675E4"/>
    <w:rsid w:val="58947716"/>
    <w:rsid w:val="58B66C06"/>
    <w:rsid w:val="58CC5BF8"/>
    <w:rsid w:val="58D345D7"/>
    <w:rsid w:val="58DE5456"/>
    <w:rsid w:val="59152645"/>
    <w:rsid w:val="591526A4"/>
    <w:rsid w:val="591F4A55"/>
    <w:rsid w:val="59263406"/>
    <w:rsid w:val="59407EBE"/>
    <w:rsid w:val="59495785"/>
    <w:rsid w:val="59816B33"/>
    <w:rsid w:val="59A33FA9"/>
    <w:rsid w:val="59BE5287"/>
    <w:rsid w:val="59BF67D8"/>
    <w:rsid w:val="59BF6E54"/>
    <w:rsid w:val="59C96098"/>
    <w:rsid w:val="59CD22DC"/>
    <w:rsid w:val="5A2F2D66"/>
    <w:rsid w:val="5A9467BF"/>
    <w:rsid w:val="5AAE69DB"/>
    <w:rsid w:val="5ABD109B"/>
    <w:rsid w:val="5AC261B4"/>
    <w:rsid w:val="5AE42ACB"/>
    <w:rsid w:val="5AEC0684"/>
    <w:rsid w:val="5AF0582F"/>
    <w:rsid w:val="5B1B6AA6"/>
    <w:rsid w:val="5B224E28"/>
    <w:rsid w:val="5B9C02BE"/>
    <w:rsid w:val="5BAF7B56"/>
    <w:rsid w:val="5BF611E3"/>
    <w:rsid w:val="5C0E6052"/>
    <w:rsid w:val="5C313AEE"/>
    <w:rsid w:val="5C5B0B6B"/>
    <w:rsid w:val="5C7D4F86"/>
    <w:rsid w:val="5C86208C"/>
    <w:rsid w:val="5CAC7619"/>
    <w:rsid w:val="5D072AA1"/>
    <w:rsid w:val="5D211242"/>
    <w:rsid w:val="5D2B49E2"/>
    <w:rsid w:val="5D6D5A19"/>
    <w:rsid w:val="5D7C18C6"/>
    <w:rsid w:val="5D902A97"/>
    <w:rsid w:val="5D916BB6"/>
    <w:rsid w:val="5DC32E6C"/>
    <w:rsid w:val="5DE3467B"/>
    <w:rsid w:val="5E000678"/>
    <w:rsid w:val="5E3E24F3"/>
    <w:rsid w:val="5E4D7476"/>
    <w:rsid w:val="5EB639EA"/>
    <w:rsid w:val="5ED356F8"/>
    <w:rsid w:val="5F0059FA"/>
    <w:rsid w:val="5F0537AA"/>
    <w:rsid w:val="5F1267B5"/>
    <w:rsid w:val="5F2B3E04"/>
    <w:rsid w:val="5F4A1A8C"/>
    <w:rsid w:val="5F760F40"/>
    <w:rsid w:val="5FD9212E"/>
    <w:rsid w:val="5FFF5CB2"/>
    <w:rsid w:val="600532C8"/>
    <w:rsid w:val="60673F83"/>
    <w:rsid w:val="606E1F64"/>
    <w:rsid w:val="60CE0B25"/>
    <w:rsid w:val="60DE343C"/>
    <w:rsid w:val="61113EEE"/>
    <w:rsid w:val="61555832"/>
    <w:rsid w:val="6194560C"/>
    <w:rsid w:val="619C4100"/>
    <w:rsid w:val="61A30FEA"/>
    <w:rsid w:val="61D5316E"/>
    <w:rsid w:val="61DB6D9C"/>
    <w:rsid w:val="61F3208B"/>
    <w:rsid w:val="620F042E"/>
    <w:rsid w:val="62167482"/>
    <w:rsid w:val="623C3CCB"/>
    <w:rsid w:val="6277131B"/>
    <w:rsid w:val="62894736"/>
    <w:rsid w:val="62A274F4"/>
    <w:rsid w:val="62A72D5C"/>
    <w:rsid w:val="62B23D05"/>
    <w:rsid w:val="62DC02C2"/>
    <w:rsid w:val="632E6FDA"/>
    <w:rsid w:val="635D5082"/>
    <w:rsid w:val="63964B41"/>
    <w:rsid w:val="63CD05A1"/>
    <w:rsid w:val="6410048D"/>
    <w:rsid w:val="64371EBE"/>
    <w:rsid w:val="64487C27"/>
    <w:rsid w:val="647C3D75"/>
    <w:rsid w:val="647F0B6F"/>
    <w:rsid w:val="648570CD"/>
    <w:rsid w:val="64AD03D2"/>
    <w:rsid w:val="64AD3F2E"/>
    <w:rsid w:val="64B66E59"/>
    <w:rsid w:val="64CC5E52"/>
    <w:rsid w:val="650F4B9B"/>
    <w:rsid w:val="65196CE0"/>
    <w:rsid w:val="652D40DE"/>
    <w:rsid w:val="653A7EB8"/>
    <w:rsid w:val="654E657D"/>
    <w:rsid w:val="65864EAB"/>
    <w:rsid w:val="659D21F5"/>
    <w:rsid w:val="65AC2438"/>
    <w:rsid w:val="65B768E4"/>
    <w:rsid w:val="65BF216B"/>
    <w:rsid w:val="65C57872"/>
    <w:rsid w:val="65DA0D53"/>
    <w:rsid w:val="66042274"/>
    <w:rsid w:val="66043DF1"/>
    <w:rsid w:val="6614083B"/>
    <w:rsid w:val="661D46CA"/>
    <w:rsid w:val="667B0788"/>
    <w:rsid w:val="66887A48"/>
    <w:rsid w:val="66994D08"/>
    <w:rsid w:val="66B94E0C"/>
    <w:rsid w:val="66BB1AFB"/>
    <w:rsid w:val="66C8643E"/>
    <w:rsid w:val="66CA0DC7"/>
    <w:rsid w:val="66E119D5"/>
    <w:rsid w:val="66F0707E"/>
    <w:rsid w:val="66F95B50"/>
    <w:rsid w:val="673D6A15"/>
    <w:rsid w:val="67960780"/>
    <w:rsid w:val="67B90032"/>
    <w:rsid w:val="67BB2DBB"/>
    <w:rsid w:val="68051DB2"/>
    <w:rsid w:val="682609AB"/>
    <w:rsid w:val="682E5386"/>
    <w:rsid w:val="683F57E5"/>
    <w:rsid w:val="688D47A2"/>
    <w:rsid w:val="68CD623B"/>
    <w:rsid w:val="68E00D76"/>
    <w:rsid w:val="68FD36D6"/>
    <w:rsid w:val="694D7A8E"/>
    <w:rsid w:val="695536BB"/>
    <w:rsid w:val="69562DE6"/>
    <w:rsid w:val="696012B6"/>
    <w:rsid w:val="69642093"/>
    <w:rsid w:val="69A40A7D"/>
    <w:rsid w:val="69BD2E65"/>
    <w:rsid w:val="69CA6B08"/>
    <w:rsid w:val="69E95A08"/>
    <w:rsid w:val="6A042666"/>
    <w:rsid w:val="6A9736F0"/>
    <w:rsid w:val="6AB26742"/>
    <w:rsid w:val="6AF62B91"/>
    <w:rsid w:val="6AF97ECD"/>
    <w:rsid w:val="6B680BAF"/>
    <w:rsid w:val="6B6C68F1"/>
    <w:rsid w:val="6BA17D14"/>
    <w:rsid w:val="6BCC55E2"/>
    <w:rsid w:val="6BE41292"/>
    <w:rsid w:val="6BF43D6E"/>
    <w:rsid w:val="6C3A781B"/>
    <w:rsid w:val="6C4D0226"/>
    <w:rsid w:val="6C6B0234"/>
    <w:rsid w:val="6C761B82"/>
    <w:rsid w:val="6C884442"/>
    <w:rsid w:val="6CF25FA0"/>
    <w:rsid w:val="6CF3436B"/>
    <w:rsid w:val="6D5B6316"/>
    <w:rsid w:val="6D77157D"/>
    <w:rsid w:val="6D9143ED"/>
    <w:rsid w:val="6DC40A12"/>
    <w:rsid w:val="6DC74A88"/>
    <w:rsid w:val="6DD16EDF"/>
    <w:rsid w:val="6DDD7C5D"/>
    <w:rsid w:val="6DEA2117"/>
    <w:rsid w:val="6E113780"/>
    <w:rsid w:val="6E2178BF"/>
    <w:rsid w:val="6E2A65EF"/>
    <w:rsid w:val="6E6B7334"/>
    <w:rsid w:val="6E6C4C84"/>
    <w:rsid w:val="6E8C1058"/>
    <w:rsid w:val="6EBF142E"/>
    <w:rsid w:val="6F0267A2"/>
    <w:rsid w:val="6F0F5F11"/>
    <w:rsid w:val="6F120DB6"/>
    <w:rsid w:val="6F2946DA"/>
    <w:rsid w:val="6F550DE0"/>
    <w:rsid w:val="6F624B4B"/>
    <w:rsid w:val="6F63739B"/>
    <w:rsid w:val="6F791D90"/>
    <w:rsid w:val="6FD1766A"/>
    <w:rsid w:val="70294E19"/>
    <w:rsid w:val="707443AD"/>
    <w:rsid w:val="70990122"/>
    <w:rsid w:val="70C60851"/>
    <w:rsid w:val="70D00980"/>
    <w:rsid w:val="70E51DA8"/>
    <w:rsid w:val="71213150"/>
    <w:rsid w:val="712D267F"/>
    <w:rsid w:val="712F47EA"/>
    <w:rsid w:val="713C6679"/>
    <w:rsid w:val="714802B0"/>
    <w:rsid w:val="71812600"/>
    <w:rsid w:val="71946BA2"/>
    <w:rsid w:val="719C15B2"/>
    <w:rsid w:val="719C7804"/>
    <w:rsid w:val="71A843FB"/>
    <w:rsid w:val="71D82792"/>
    <w:rsid w:val="71F94EA8"/>
    <w:rsid w:val="71FA573D"/>
    <w:rsid w:val="721E450C"/>
    <w:rsid w:val="72356ABA"/>
    <w:rsid w:val="7262278F"/>
    <w:rsid w:val="72D76034"/>
    <w:rsid w:val="730C2768"/>
    <w:rsid w:val="7329331A"/>
    <w:rsid w:val="732A300A"/>
    <w:rsid w:val="7386081B"/>
    <w:rsid w:val="738E13CF"/>
    <w:rsid w:val="73A429A0"/>
    <w:rsid w:val="73BE1CB4"/>
    <w:rsid w:val="73D85A6B"/>
    <w:rsid w:val="74A278EF"/>
    <w:rsid w:val="74AE1D28"/>
    <w:rsid w:val="74C2331D"/>
    <w:rsid w:val="74CF1255"/>
    <w:rsid w:val="74E7523A"/>
    <w:rsid w:val="74FB54A4"/>
    <w:rsid w:val="751610E2"/>
    <w:rsid w:val="751A7B05"/>
    <w:rsid w:val="751C63E4"/>
    <w:rsid w:val="75611CC1"/>
    <w:rsid w:val="759233F8"/>
    <w:rsid w:val="75D25EEA"/>
    <w:rsid w:val="75DD731F"/>
    <w:rsid w:val="766641C7"/>
    <w:rsid w:val="766656C3"/>
    <w:rsid w:val="766C04D6"/>
    <w:rsid w:val="768014A2"/>
    <w:rsid w:val="768D4B1F"/>
    <w:rsid w:val="76B352F7"/>
    <w:rsid w:val="76C22210"/>
    <w:rsid w:val="77120FDD"/>
    <w:rsid w:val="774F3F66"/>
    <w:rsid w:val="7755292F"/>
    <w:rsid w:val="775C2950"/>
    <w:rsid w:val="77610F13"/>
    <w:rsid w:val="776B3787"/>
    <w:rsid w:val="778C37F8"/>
    <w:rsid w:val="77903967"/>
    <w:rsid w:val="779C4208"/>
    <w:rsid w:val="779D7E32"/>
    <w:rsid w:val="77B12E34"/>
    <w:rsid w:val="77CA451A"/>
    <w:rsid w:val="77D46CD2"/>
    <w:rsid w:val="77D83D50"/>
    <w:rsid w:val="77F50340"/>
    <w:rsid w:val="78056103"/>
    <w:rsid w:val="780F6F82"/>
    <w:rsid w:val="781D0CC1"/>
    <w:rsid w:val="7823193A"/>
    <w:rsid w:val="782E61C7"/>
    <w:rsid w:val="7836235A"/>
    <w:rsid w:val="783B33E4"/>
    <w:rsid w:val="78534B66"/>
    <w:rsid w:val="787B0197"/>
    <w:rsid w:val="787E1A12"/>
    <w:rsid w:val="78A00DCC"/>
    <w:rsid w:val="78BE10F6"/>
    <w:rsid w:val="78BF6934"/>
    <w:rsid w:val="78C25DA2"/>
    <w:rsid w:val="78D43D28"/>
    <w:rsid w:val="78FD502C"/>
    <w:rsid w:val="791B1956"/>
    <w:rsid w:val="792275BE"/>
    <w:rsid w:val="794672BF"/>
    <w:rsid w:val="79532E9E"/>
    <w:rsid w:val="797A5F8B"/>
    <w:rsid w:val="7A3C1D44"/>
    <w:rsid w:val="7A8B158A"/>
    <w:rsid w:val="7ADD5362"/>
    <w:rsid w:val="7B1A0118"/>
    <w:rsid w:val="7B62386D"/>
    <w:rsid w:val="7B6E2211"/>
    <w:rsid w:val="7B8620D2"/>
    <w:rsid w:val="7BD217F3"/>
    <w:rsid w:val="7C0E57A2"/>
    <w:rsid w:val="7C277454"/>
    <w:rsid w:val="7C4B40EC"/>
    <w:rsid w:val="7C594C70"/>
    <w:rsid w:val="7C7C270C"/>
    <w:rsid w:val="7C85264B"/>
    <w:rsid w:val="7CB63E70"/>
    <w:rsid w:val="7CC266CE"/>
    <w:rsid w:val="7CC76395"/>
    <w:rsid w:val="7D00333D"/>
    <w:rsid w:val="7D7A30EF"/>
    <w:rsid w:val="7D906276"/>
    <w:rsid w:val="7D9D293A"/>
    <w:rsid w:val="7DB41364"/>
    <w:rsid w:val="7DFF3A2E"/>
    <w:rsid w:val="7E1E7F1F"/>
    <w:rsid w:val="7E2F667A"/>
    <w:rsid w:val="7E321E60"/>
    <w:rsid w:val="7E493D4F"/>
    <w:rsid w:val="7E5356EF"/>
    <w:rsid w:val="7E916B3D"/>
    <w:rsid w:val="7E9B65C0"/>
    <w:rsid w:val="7EA95725"/>
    <w:rsid w:val="7F1205F3"/>
    <w:rsid w:val="7F69341C"/>
    <w:rsid w:val="7F6B3277"/>
    <w:rsid w:val="7F7C3A97"/>
    <w:rsid w:val="7F8F2756"/>
    <w:rsid w:val="7FFA6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adjustRightInd w:val="0"/>
      <w:spacing w:line="360" w:lineRule="atLeast"/>
      <w:jc w:val="left"/>
      <w:textAlignment w:val="baseline"/>
    </w:pPr>
    <w:rPr>
      <w:kern w:val="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next w:val="8"/>
    <w:qFormat/>
    <w:uiPriority w:val="0"/>
    <w:rPr>
      <w:rFonts w:ascii="宋体" w:hAnsi="Courier New"/>
      <w:szCs w:val="20"/>
    </w:rPr>
  </w:style>
  <w:style w:type="paragraph" w:customStyle="1" w:styleId="8">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5"/>
    <w:qFormat/>
    <w:uiPriority w:val="0"/>
    <w:pPr>
      <w:spacing w:line="500" w:lineRule="exact"/>
    </w:pPr>
    <w:rPr>
      <w:rFonts w:ascii="宋体"/>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5"/>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FollowedHyperlink"/>
    <w:basedOn w:val="17"/>
    <w:qFormat/>
    <w:uiPriority w:val="0"/>
    <w:rPr>
      <w:color w:val="333333"/>
      <w:u w:val="none"/>
    </w:rPr>
  </w:style>
  <w:style w:type="character" w:styleId="20">
    <w:name w:val="Emphasis"/>
    <w:basedOn w:val="17"/>
    <w:qFormat/>
    <w:uiPriority w:val="0"/>
    <w:rPr>
      <w:i/>
    </w:rPr>
  </w:style>
  <w:style w:type="character" w:styleId="21">
    <w:name w:val="HTML Variable"/>
    <w:basedOn w:val="17"/>
    <w:qFormat/>
    <w:uiPriority w:val="0"/>
    <w:rPr>
      <w:i/>
    </w:rPr>
  </w:style>
  <w:style w:type="character" w:styleId="22">
    <w:name w:val="Hyperlink"/>
    <w:basedOn w:val="17"/>
    <w:qFormat/>
    <w:uiPriority w:val="0"/>
    <w:rPr>
      <w:color w:val="333333"/>
      <w:u w:val="none"/>
    </w:rPr>
  </w:style>
  <w:style w:type="character" w:styleId="23">
    <w:name w:val="HTML Code"/>
    <w:basedOn w:val="17"/>
    <w:qFormat/>
    <w:uiPriority w:val="0"/>
    <w:rPr>
      <w:rFonts w:ascii="Courier New" w:hAnsi="Courier New"/>
      <w:sz w:val="20"/>
    </w:rPr>
  </w:style>
  <w:style w:type="character" w:styleId="24">
    <w:name w:val="HTML Cite"/>
    <w:basedOn w:val="17"/>
    <w:qFormat/>
    <w:uiPriority w:val="0"/>
    <w:rPr>
      <w:i/>
    </w:rPr>
  </w:style>
  <w:style w:type="paragraph" w:customStyle="1" w:styleId="25">
    <w:name w:val="样式 宋体 行距: 1.5 倍行距"/>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6">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7">
    <w:name w:val="NormalCharacter"/>
    <w:qFormat/>
    <w:uiPriority w:val="99"/>
  </w:style>
  <w:style w:type="paragraph" w:customStyle="1" w:styleId="28">
    <w:name w:val="Table Text"/>
    <w:basedOn w:val="1"/>
    <w:semiHidden/>
    <w:qFormat/>
    <w:uiPriority w:val="0"/>
    <w:rPr>
      <w:rFonts w:ascii="Arial" w:hAnsi="Arial" w:eastAsia="Arial" w:cs="Arial"/>
      <w:sz w:val="21"/>
      <w:szCs w:val="21"/>
      <w:lang w:val="en-US" w:eastAsia="en-US" w:bidi="ar-SA"/>
    </w:rPr>
  </w:style>
  <w:style w:type="paragraph" w:customStyle="1" w:styleId="2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缩进1"/>
    <w:basedOn w:val="1"/>
    <w:qFormat/>
    <w:uiPriority w:val="0"/>
    <w:pPr>
      <w:widowControl/>
      <w:ind w:firstLine="420"/>
      <w:jc w:val="left"/>
    </w:pPr>
    <w:rPr>
      <w:kern w:val="0"/>
    </w:rPr>
  </w:style>
  <w:style w:type="paragraph" w:customStyle="1" w:styleId="31">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2">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Heading2"/>
    <w:basedOn w:val="1"/>
    <w:next w:val="1"/>
    <w:qFormat/>
    <w:uiPriority w:val="99"/>
    <w:pPr>
      <w:jc w:val="left"/>
    </w:pPr>
    <w:rPr>
      <w:kern w:val="0"/>
    </w:rPr>
  </w:style>
  <w:style w:type="paragraph" w:customStyle="1" w:styleId="37">
    <w:name w:val="AnnotationText"/>
    <w:basedOn w:val="1"/>
    <w:qFormat/>
    <w:uiPriority w:val="99"/>
    <w:pPr>
      <w:spacing w:line="360" w:lineRule="atLeast"/>
      <w:jc w:val="left"/>
    </w:pPr>
    <w:rPr>
      <w:kern w:val="0"/>
    </w:rPr>
  </w:style>
  <w:style w:type="paragraph" w:customStyle="1" w:styleId="38">
    <w:name w:val="UserStyle_44"/>
    <w:basedOn w:val="39"/>
    <w:qFormat/>
    <w:uiPriority w:val="99"/>
    <w:rPr>
      <w:sz w:val="24"/>
      <w:szCs w:val="24"/>
    </w:rPr>
  </w:style>
  <w:style w:type="paragraph" w:customStyle="1" w:styleId="39">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0">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1">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2">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3">
    <w:name w:val="BodyText"/>
    <w:basedOn w:val="1"/>
    <w:next w:val="44"/>
    <w:qFormat/>
    <w:uiPriority w:val="99"/>
    <w:pPr>
      <w:spacing w:after="120"/>
    </w:pPr>
  </w:style>
  <w:style w:type="paragraph" w:customStyle="1" w:styleId="44">
    <w:name w:val="BodyText2"/>
    <w:basedOn w:val="1"/>
    <w:qFormat/>
    <w:uiPriority w:val="99"/>
    <w:pPr>
      <w:spacing w:line="500" w:lineRule="exact"/>
    </w:pPr>
  </w:style>
  <w:style w:type="paragraph" w:customStyle="1" w:styleId="45">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6">
    <w:name w:val="正文缩进 New"/>
    <w:basedOn w:val="47"/>
    <w:qFormat/>
    <w:uiPriority w:val="0"/>
    <w:pPr>
      <w:widowControl/>
      <w:ind w:firstLine="420"/>
      <w:jc w:val="left"/>
    </w:pPr>
    <w:rPr>
      <w:kern w:val="0"/>
      <w:sz w:val="20"/>
    </w:rPr>
  </w:style>
  <w:style w:type="paragraph" w:customStyle="1" w:styleId="47">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8">
    <w:name w:val="正文文本 (2) + 间距 0 pt3"/>
    <w:basedOn w:val="17"/>
    <w:qFormat/>
    <w:uiPriority w:val="0"/>
    <w:rPr>
      <w:rFonts w:ascii="MingLiU" w:hAnsi="Times New Roman" w:eastAsia="MingLiU" w:cs="MingLiU"/>
      <w:spacing w:val="0"/>
      <w:sz w:val="22"/>
      <w:szCs w:val="22"/>
      <w:u w:val="none"/>
    </w:rPr>
  </w:style>
  <w:style w:type="character" w:customStyle="1" w:styleId="49">
    <w:name w:val="hover21"/>
    <w:basedOn w:val="17"/>
    <w:qFormat/>
    <w:uiPriority w:val="0"/>
    <w:rPr>
      <w:color w:val="5FB878"/>
    </w:rPr>
  </w:style>
  <w:style w:type="character" w:customStyle="1" w:styleId="50">
    <w:name w:val="hover22"/>
    <w:basedOn w:val="17"/>
    <w:qFormat/>
    <w:uiPriority w:val="0"/>
    <w:rPr>
      <w:color w:val="FFFFFF"/>
    </w:rPr>
  </w:style>
  <w:style w:type="character" w:customStyle="1" w:styleId="51">
    <w:name w:val="hover23"/>
    <w:basedOn w:val="17"/>
    <w:qFormat/>
    <w:uiPriority w:val="0"/>
    <w:rPr>
      <w:color w:val="5FB878"/>
    </w:rPr>
  </w:style>
  <w:style w:type="paragraph" w:customStyle="1" w:styleId="5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5"/>
    <w:qFormat/>
    <w:uiPriority w:val="0"/>
    <w:pPr>
      <w:widowControl w:val="0"/>
      <w:jc w:val="both"/>
    </w:pPr>
    <w:rPr>
      <w:rFonts w:ascii="Calibri" w:hAnsi="Calibri" w:eastAsia="宋体" w:cs="黑体"/>
      <w:kern w:val="2"/>
      <w:sz w:val="21"/>
      <w:szCs w:val="24"/>
      <w:lang w:val="en-US" w:eastAsia="zh-CN" w:bidi="ar-SA"/>
    </w:rPr>
  </w:style>
  <w:style w:type="table" w:customStyle="1" w:styleId="53">
    <w:name w:val="Table Normal"/>
    <w:semiHidden/>
    <w:unhideWhenUsed/>
    <w:qFormat/>
    <w:uiPriority w:val="0"/>
    <w:tblPr>
      <w:tblCellMar>
        <w:top w:w="0" w:type="dxa"/>
        <w:left w:w="0" w:type="dxa"/>
        <w:bottom w:w="0" w:type="dxa"/>
        <w:right w:w="0" w:type="dxa"/>
      </w:tblCellMar>
    </w:tblPr>
  </w:style>
  <w:style w:type="paragraph" w:customStyle="1" w:styleId="54">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5">
    <w:name w:val="正文文本 New"/>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0" Type="http://schemas.openxmlformats.org/officeDocument/2006/relationships/fontTable" Target="fontTable.xml"/><Relationship Id="rId6" Type="http://schemas.openxmlformats.org/officeDocument/2006/relationships/footer" Target="footer2.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17.png"/><Relationship Id="rId56" Type="http://schemas.openxmlformats.org/officeDocument/2006/relationships/image" Target="media/image16.jpeg"/><Relationship Id="rId55" Type="http://schemas.openxmlformats.org/officeDocument/2006/relationships/image" Target="media/image15.png"/><Relationship Id="rId54" Type="http://schemas.openxmlformats.org/officeDocument/2006/relationships/image" Target="media/image14.png"/><Relationship Id="rId53" Type="http://schemas.openxmlformats.org/officeDocument/2006/relationships/image" Target="media/image13.wmf"/><Relationship Id="rId52" Type="http://schemas.openxmlformats.org/officeDocument/2006/relationships/oleObject" Target="embeddings/oleObject12.bin"/><Relationship Id="rId51" Type="http://schemas.openxmlformats.org/officeDocument/2006/relationships/image" Target="media/image12.wmf"/><Relationship Id="rId50" Type="http://schemas.openxmlformats.org/officeDocument/2006/relationships/oleObject" Target="embeddings/oleObject11.bin"/><Relationship Id="rId5" Type="http://schemas.openxmlformats.org/officeDocument/2006/relationships/footer" Target="footer1.xml"/><Relationship Id="rId49" Type="http://schemas.openxmlformats.org/officeDocument/2006/relationships/image" Target="media/image11.wmf"/><Relationship Id="rId48" Type="http://schemas.openxmlformats.org/officeDocument/2006/relationships/oleObject" Target="embeddings/oleObject10.bin"/><Relationship Id="rId47" Type="http://schemas.openxmlformats.org/officeDocument/2006/relationships/image" Target="media/image10.wmf"/><Relationship Id="rId46" Type="http://schemas.openxmlformats.org/officeDocument/2006/relationships/oleObject" Target="embeddings/oleObject9.bin"/><Relationship Id="rId45" Type="http://schemas.openxmlformats.org/officeDocument/2006/relationships/image" Target="media/image9.wmf"/><Relationship Id="rId44" Type="http://schemas.openxmlformats.org/officeDocument/2006/relationships/oleObject" Target="embeddings/oleObject8.bin"/><Relationship Id="rId43" Type="http://schemas.openxmlformats.org/officeDocument/2006/relationships/image" Target="media/image8.wmf"/><Relationship Id="rId42" Type="http://schemas.openxmlformats.org/officeDocument/2006/relationships/oleObject" Target="embeddings/oleObject7.bin"/><Relationship Id="rId41" Type="http://schemas.openxmlformats.org/officeDocument/2006/relationships/image" Target="media/image7.wmf"/><Relationship Id="rId40" Type="http://schemas.openxmlformats.org/officeDocument/2006/relationships/oleObject" Target="embeddings/oleObject6.bin"/><Relationship Id="rId4" Type="http://schemas.openxmlformats.org/officeDocument/2006/relationships/header" Target="header2.xml"/><Relationship Id="rId39" Type="http://schemas.openxmlformats.org/officeDocument/2006/relationships/image" Target="media/image6.wmf"/><Relationship Id="rId38" Type="http://schemas.openxmlformats.org/officeDocument/2006/relationships/oleObject" Target="embeddings/oleObject5.bin"/><Relationship Id="rId37" Type="http://schemas.openxmlformats.org/officeDocument/2006/relationships/image" Target="media/image5.wmf"/><Relationship Id="rId36" Type="http://schemas.openxmlformats.org/officeDocument/2006/relationships/oleObject" Target="embeddings/oleObject4.bin"/><Relationship Id="rId35" Type="http://schemas.openxmlformats.org/officeDocument/2006/relationships/image" Target="media/image4.wmf"/><Relationship Id="rId34" Type="http://schemas.openxmlformats.org/officeDocument/2006/relationships/oleObject" Target="embeddings/oleObject3.bin"/><Relationship Id="rId33" Type="http://schemas.openxmlformats.org/officeDocument/2006/relationships/image" Target="media/image3.wmf"/><Relationship Id="rId32" Type="http://schemas.openxmlformats.org/officeDocument/2006/relationships/oleObject" Target="embeddings/oleObject2.bin"/><Relationship Id="rId31" Type="http://schemas.openxmlformats.org/officeDocument/2006/relationships/image" Target="media/image2.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1.png"/><Relationship Id="rId28" Type="http://schemas.openxmlformats.org/officeDocument/2006/relationships/theme" Target="theme/theme1.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4641</Words>
  <Characters>4955</Characters>
  <Lines>0</Lines>
  <Paragraphs>0</Paragraphs>
  <TotalTime>22</TotalTime>
  <ScaleCrop>false</ScaleCrop>
  <LinksUpToDate>false</LinksUpToDate>
  <CharactersWithSpaces>5216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2024-09-28T04:36:00Z</dcterms:created>
  <dc:creator>Administrator</dc:creator>
  <cp:lastModifiedBy>___MaX</cp:lastModifiedBy>
  <cp:lastPrinted>2025-11-27T03:26:11Z</cp:lastPrinted>
  <dcterms:modified xsi:type="dcterms:W3CDTF">2025-11-27T03:28:34Z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77FF044613834CF1A4B012C7729FD4A3_13</vt:lpwstr>
  </property>
  <property fmtid="{D5CDD505-2E9C-101B-9397-08002B2CF9AE}" pid="4" name="KSOTemplateDocerSaveRecord">
    <vt:lpwstr>eyJoZGlkIjoiNTg1OWQwYzM3MjIwODIxNTNkYmM0MWVmY2Y1YWE4YWYiLCJ1c2VySWQiOiIzMDMxMjMyNDgifQ==</vt:lpwstr>
  </property>
</Properties>
</file>