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DB1EC">
      <w:pPr>
        <w:pStyle w:val="6"/>
        <w:keepNext/>
        <w:keepLines/>
        <w:pageBreakBefore w:val="0"/>
        <w:widowControl w:val="0"/>
        <w:kinsoku/>
        <w:wordWrap/>
        <w:overflowPunct/>
        <w:topLinePunct w:val="0"/>
        <w:autoSpaceDE/>
        <w:autoSpaceDN/>
        <w:bidi w:val="0"/>
        <w:adjustRightInd/>
        <w:snapToGrid/>
        <w:spacing w:before="161" w:beforeLines="50"/>
        <w:jc w:val="center"/>
        <w:textAlignment w:val="auto"/>
        <w:rPr>
          <w:rFonts w:hint="eastAsia" w:ascii="宋体" w:hAnsi="宋体" w:eastAsia="宋体" w:cs="宋体"/>
          <w:b/>
          <w:sz w:val="72"/>
          <w:szCs w:val="72"/>
          <w:highlight w:val="none"/>
          <w:lang w:eastAsia="zh-CN"/>
        </w:rPr>
      </w:pPr>
      <w:r>
        <w:rPr>
          <w:rFonts w:hint="eastAsia" w:eastAsia="仿宋"/>
          <w:highlight w:val="none"/>
          <w:lang w:eastAsia="zh-CN"/>
        </w:rPr>
        <w:drawing>
          <wp:anchor distT="0" distB="0" distL="114300" distR="114300" simplePos="0" relativeHeight="251660288" behindDoc="0" locked="0" layoutInCell="1" allowOverlap="1">
            <wp:simplePos x="0" y="0"/>
            <wp:positionH relativeFrom="column">
              <wp:posOffset>-1080135</wp:posOffset>
            </wp:positionH>
            <wp:positionV relativeFrom="paragraph">
              <wp:posOffset>-1014730</wp:posOffset>
            </wp:positionV>
            <wp:extent cx="7633970" cy="10797540"/>
            <wp:effectExtent l="0" t="0" r="5080" b="3810"/>
            <wp:wrapNone/>
            <wp:docPr id="3" name="图片 3" descr="SKM_C3682512191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KM_C36825121915080"/>
                    <pic:cNvPicPr>
                      <a:picLocks noChangeAspect="1"/>
                    </pic:cNvPicPr>
                  </pic:nvPicPr>
                  <pic:blipFill>
                    <a:blip r:embed="rId6"/>
                    <a:stretch>
                      <a:fillRect/>
                    </a:stretch>
                  </pic:blipFill>
                  <pic:spPr>
                    <a:xfrm>
                      <a:off x="0" y="0"/>
                      <a:ext cx="7633970" cy="10797540"/>
                    </a:xfrm>
                    <a:prstGeom prst="rect">
                      <a:avLst/>
                    </a:prstGeom>
                  </pic:spPr>
                </pic:pic>
              </a:graphicData>
            </a:graphic>
          </wp:anchor>
        </w:drawing>
      </w:r>
      <w:r>
        <w:rPr>
          <w:rFonts w:hint="eastAsia" w:ascii="宋体" w:hAnsi="宋体" w:eastAsia="宋体" w:cs="宋体"/>
          <w:b/>
          <w:sz w:val="72"/>
          <w:szCs w:val="72"/>
          <w:highlight w:val="none"/>
          <w:lang w:eastAsia="zh-CN"/>
        </w:rPr>
        <w:t>乐昌市两江镇洋莲桥水电站（装机总容量1200KW）承包经营权项目（二次）</w:t>
      </w:r>
    </w:p>
    <w:p w14:paraId="7D480D4A">
      <w:pPr>
        <w:rPr>
          <w:rFonts w:hint="eastAsia" w:ascii="宋体" w:hAnsi="宋体" w:eastAsia="宋体" w:cs="宋体"/>
          <w:b/>
          <w:sz w:val="72"/>
          <w:szCs w:val="72"/>
          <w:highlight w:val="none"/>
          <w:lang w:eastAsia="zh-CN"/>
        </w:rPr>
      </w:pPr>
    </w:p>
    <w:p w14:paraId="5A263A82">
      <w:pPr>
        <w:pStyle w:val="9"/>
        <w:rPr>
          <w:rFonts w:hint="eastAsia" w:eastAsia="仿宋"/>
          <w:highlight w:val="none"/>
          <w:lang w:eastAsia="zh-CN"/>
        </w:rPr>
      </w:pPr>
    </w:p>
    <w:p w14:paraId="505EC2EA">
      <w:pPr>
        <w:rPr>
          <w:rFonts w:hint="eastAsia"/>
          <w:highlight w:val="none"/>
        </w:rPr>
      </w:pPr>
    </w:p>
    <w:p w14:paraId="134CAE04">
      <w:pPr>
        <w:spacing w:line="36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公开招标文件</w:t>
      </w:r>
    </w:p>
    <w:p w14:paraId="57656BD3">
      <w:pPr>
        <w:pStyle w:val="25"/>
        <w:ind w:left="0" w:leftChars="0" w:firstLine="0" w:firstLineChars="0"/>
        <w:rPr>
          <w:rFonts w:hint="eastAsia" w:eastAsia="仿宋_GB2312"/>
          <w:highlight w:val="none"/>
          <w:lang w:eastAsia="zh-CN"/>
        </w:rPr>
      </w:pPr>
    </w:p>
    <w:p w14:paraId="366D6F41">
      <w:pPr>
        <w:pStyle w:val="25"/>
        <w:rPr>
          <w:rFonts w:hint="eastAsia" w:eastAsia="仿宋_GB2312"/>
          <w:highlight w:val="none"/>
          <w:lang w:eastAsia="zh-CN"/>
        </w:rPr>
      </w:pPr>
    </w:p>
    <w:p w14:paraId="09E6CF59">
      <w:pPr>
        <w:spacing w:line="360" w:lineRule="auto"/>
        <w:ind w:left="2631" w:leftChars="915" w:right="-92" w:rightChars="-44" w:hanging="710" w:hangingChars="221"/>
        <w:jc w:val="both"/>
        <w:rPr>
          <w:rFonts w:hint="default" w:ascii="宋体" w:hAnsi="宋体" w:eastAsia="宋体" w:cs="宋体"/>
          <w:b/>
          <w:sz w:val="32"/>
          <w:szCs w:val="32"/>
          <w:highlight w:val="none"/>
          <w:lang w:val="en-US" w:eastAsia="zh-CN"/>
        </w:rPr>
      </w:pPr>
      <w:r>
        <w:rPr>
          <w:rFonts w:hint="eastAsia" w:ascii="宋体" w:hAnsi="宋体" w:eastAsia="宋体" w:cs="宋体"/>
          <w:b/>
          <w:sz w:val="32"/>
          <w:szCs w:val="32"/>
          <w:highlight w:val="none"/>
          <w:lang w:eastAsia="zh-CN"/>
        </w:rPr>
        <w:t>项目编号：</w:t>
      </w:r>
      <w:r>
        <w:rPr>
          <w:rFonts w:hint="eastAsia" w:ascii="宋体" w:hAnsi="宋体" w:eastAsia="宋体" w:cs="宋体"/>
          <w:b/>
          <w:sz w:val="32"/>
          <w:szCs w:val="32"/>
          <w:highlight w:val="none"/>
          <w:lang w:val="en-US" w:eastAsia="zh-CN"/>
        </w:rPr>
        <w:t>CQZB250016</w:t>
      </w:r>
    </w:p>
    <w:p w14:paraId="14C09692">
      <w:pPr>
        <w:pStyle w:val="25"/>
        <w:rPr>
          <w:rFonts w:hint="eastAsia"/>
          <w:sz w:val="32"/>
          <w:szCs w:val="32"/>
          <w:highlight w:val="none"/>
        </w:rPr>
      </w:pPr>
    </w:p>
    <w:p w14:paraId="6C45D8C6">
      <w:pPr>
        <w:pStyle w:val="25"/>
        <w:rPr>
          <w:rFonts w:hint="eastAsia"/>
          <w:sz w:val="32"/>
          <w:szCs w:val="32"/>
          <w:highlight w:val="none"/>
        </w:rPr>
      </w:pPr>
    </w:p>
    <w:p w14:paraId="4FD1AD27">
      <w:pPr>
        <w:pStyle w:val="25"/>
        <w:ind w:firstLine="1179" w:firstLineChars="367"/>
        <w:jc w:val="left"/>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招标人：</w:t>
      </w:r>
      <w:r>
        <w:rPr>
          <w:rFonts w:hint="eastAsia" w:eastAsia="宋体" w:cs="宋体"/>
          <w:b/>
          <w:kern w:val="2"/>
          <w:sz w:val="32"/>
          <w:szCs w:val="32"/>
          <w:highlight w:val="none"/>
          <w:lang w:val="en-US" w:eastAsia="zh-CN" w:bidi="ar-SA"/>
        </w:rPr>
        <w:t>乐昌市两江镇人民政府</w:t>
      </w:r>
    </w:p>
    <w:p w14:paraId="15E9B8EA">
      <w:pPr>
        <w:pStyle w:val="25"/>
        <w:rPr>
          <w:rFonts w:hint="eastAsia" w:ascii="宋体" w:hAnsi="宋体" w:eastAsia="宋体" w:cs="宋体"/>
          <w:b/>
          <w:kern w:val="2"/>
          <w:sz w:val="32"/>
          <w:szCs w:val="32"/>
          <w:highlight w:val="none"/>
          <w:lang w:val="en-US" w:eastAsia="zh-CN" w:bidi="ar-SA"/>
        </w:rPr>
      </w:pPr>
    </w:p>
    <w:p w14:paraId="594AB3D6">
      <w:pPr>
        <w:pStyle w:val="25"/>
        <w:ind w:firstLine="1179" w:firstLineChars="367"/>
        <w:rPr>
          <w:rFonts w:hint="default"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招标代理机构</w:t>
      </w:r>
      <w:r>
        <w:rPr>
          <w:rFonts w:hint="eastAsia" w:eastAsia="宋体" w:cs="宋体"/>
          <w:b/>
          <w:kern w:val="2"/>
          <w:sz w:val="32"/>
          <w:szCs w:val="32"/>
          <w:highlight w:val="none"/>
          <w:lang w:val="en-US" w:eastAsia="zh-CN" w:bidi="ar-SA"/>
        </w:rPr>
        <w:t>：广东合正项目管理有限公司</w:t>
      </w:r>
    </w:p>
    <w:p w14:paraId="454AA056">
      <w:pPr>
        <w:pStyle w:val="25"/>
        <w:rPr>
          <w:rFonts w:hint="eastAsia"/>
          <w:sz w:val="32"/>
          <w:szCs w:val="32"/>
          <w:highlight w:val="none"/>
        </w:rPr>
      </w:pPr>
    </w:p>
    <w:p w14:paraId="0525F335">
      <w:pPr>
        <w:pStyle w:val="25"/>
        <w:ind w:left="0" w:leftChars="0" w:firstLine="0" w:firstLineChars="0"/>
        <w:jc w:val="both"/>
        <w:rPr>
          <w:rFonts w:hint="eastAsia" w:eastAsia="宋体" w:cs="宋体"/>
          <w:b/>
          <w:sz w:val="32"/>
          <w:szCs w:val="32"/>
          <w:highlight w:val="none"/>
          <w:lang w:eastAsia="zh-CN"/>
        </w:rPr>
      </w:pPr>
    </w:p>
    <w:p w14:paraId="09514070">
      <w:pPr>
        <w:pStyle w:val="25"/>
        <w:jc w:val="center"/>
        <w:rPr>
          <w:rFonts w:hint="eastAsia" w:ascii="宋体" w:hAnsi="宋体" w:eastAsia="宋体" w:cs="宋体"/>
          <w:b/>
          <w:sz w:val="32"/>
          <w:szCs w:val="32"/>
          <w:highlight w:val="none"/>
        </w:rPr>
      </w:pPr>
      <w:r>
        <w:rPr>
          <w:rFonts w:hint="eastAsia" w:eastAsia="宋体" w:cs="宋体"/>
          <w:b/>
          <w:sz w:val="32"/>
          <w:szCs w:val="32"/>
          <w:highlight w:val="none"/>
          <w:lang w:eastAsia="zh-CN"/>
        </w:rPr>
        <w:t>2025年</w:t>
      </w:r>
      <w:r>
        <w:rPr>
          <w:rFonts w:hint="eastAsia" w:eastAsia="宋体" w:cs="宋体"/>
          <w:b/>
          <w:sz w:val="32"/>
          <w:szCs w:val="32"/>
          <w:highlight w:val="none"/>
          <w:lang w:val="en-US" w:eastAsia="zh-CN"/>
        </w:rPr>
        <w:t>12</w:t>
      </w:r>
      <w:r>
        <w:rPr>
          <w:rFonts w:hint="eastAsia" w:eastAsia="宋体" w:cs="宋体"/>
          <w:b/>
          <w:sz w:val="32"/>
          <w:szCs w:val="32"/>
          <w:highlight w:val="none"/>
          <w:lang w:eastAsia="zh-CN"/>
        </w:rPr>
        <w:t>月</w:t>
      </w:r>
      <w:r>
        <w:rPr>
          <w:rFonts w:hint="eastAsia" w:eastAsia="宋体" w:cs="宋体"/>
          <w:b/>
          <w:sz w:val="32"/>
          <w:szCs w:val="32"/>
          <w:highlight w:val="none"/>
          <w:lang w:val="en-US" w:eastAsia="zh-CN"/>
        </w:rPr>
        <w:t>19</w:t>
      </w:r>
      <w:r>
        <w:rPr>
          <w:rFonts w:hint="eastAsia" w:eastAsia="宋体" w:cs="宋体"/>
          <w:b/>
          <w:sz w:val="32"/>
          <w:szCs w:val="32"/>
          <w:highlight w:val="none"/>
          <w:lang w:eastAsia="zh-CN"/>
        </w:rPr>
        <w:t>日</w:t>
      </w:r>
    </w:p>
    <w:p w14:paraId="7C15DC63">
      <w:pPr>
        <w:pStyle w:val="91"/>
        <w:tabs>
          <w:tab w:val="right" w:leader="dot" w:pos="8306"/>
        </w:tabs>
        <w:jc w:val="center"/>
        <w:rPr>
          <w:rFonts w:hint="eastAsia"/>
          <w:b/>
          <w:bCs/>
          <w:sz w:val="72"/>
          <w:szCs w:val="72"/>
          <w:highlight w:val="none"/>
        </w:rPr>
      </w:pPr>
    </w:p>
    <w:p w14:paraId="3AF3175F">
      <w:pPr>
        <w:pStyle w:val="91"/>
        <w:tabs>
          <w:tab w:val="right" w:leader="dot" w:pos="8306"/>
        </w:tabs>
        <w:jc w:val="center"/>
        <w:rPr>
          <w:rFonts w:hint="eastAsia"/>
          <w:b/>
          <w:bCs/>
          <w:sz w:val="72"/>
          <w:szCs w:val="72"/>
          <w:highlight w:val="none"/>
        </w:rPr>
      </w:pPr>
      <w:r>
        <w:rPr>
          <w:rFonts w:hint="eastAsia"/>
          <w:b/>
          <w:bCs/>
          <w:sz w:val="72"/>
          <w:szCs w:val="72"/>
          <w:highlight w:val="none"/>
        </w:rPr>
        <w:t>目  录</w:t>
      </w:r>
    </w:p>
    <w:p w14:paraId="08CB8715">
      <w:pPr>
        <w:pStyle w:val="91"/>
        <w:tabs>
          <w:tab w:val="right" w:leader="dot" w:pos="8306"/>
        </w:tabs>
        <w:spacing w:line="600" w:lineRule="exact"/>
        <w:jc w:val="center"/>
        <w:rPr>
          <w:rFonts w:hint="eastAsia"/>
          <w:sz w:val="32"/>
          <w:szCs w:val="32"/>
          <w:highlight w:val="none"/>
        </w:rPr>
      </w:pPr>
    </w:p>
    <w:p w14:paraId="25AAC6C9">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招标公告</w:t>
      </w:r>
    </w:p>
    <w:p w14:paraId="6F3FDB27">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第一章 投标人须知</w:t>
      </w:r>
    </w:p>
    <w:p w14:paraId="25A63849">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第二章 投标文件内容及格式</w:t>
      </w:r>
    </w:p>
    <w:p w14:paraId="3489CECF">
      <w:pPr>
        <w:pStyle w:val="91"/>
        <w:tabs>
          <w:tab w:val="right" w:leader="dot" w:pos="8306"/>
        </w:tabs>
        <w:spacing w:line="600" w:lineRule="exact"/>
        <w:ind w:left="1058" w:leftChars="504"/>
        <w:rPr>
          <w:rFonts w:hint="eastAsia" w:eastAsia="宋体"/>
          <w:sz w:val="32"/>
          <w:szCs w:val="32"/>
          <w:highlight w:val="none"/>
          <w:lang w:eastAsia="zh-CN"/>
        </w:rPr>
      </w:pPr>
      <w:r>
        <w:rPr>
          <w:rFonts w:hint="eastAsia"/>
          <w:sz w:val="32"/>
          <w:szCs w:val="32"/>
          <w:highlight w:val="none"/>
        </w:rPr>
        <w:t xml:space="preserve">第三章 </w:t>
      </w:r>
      <w:r>
        <w:rPr>
          <w:rFonts w:hint="eastAsia"/>
          <w:sz w:val="32"/>
          <w:szCs w:val="32"/>
          <w:highlight w:val="none"/>
          <w:lang w:eastAsia="zh-CN"/>
        </w:rPr>
        <w:t>采购需求</w:t>
      </w:r>
    </w:p>
    <w:p w14:paraId="71366E9A">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第四章 评标方法</w:t>
      </w:r>
    </w:p>
    <w:p w14:paraId="14AFBB96">
      <w:pPr>
        <w:pStyle w:val="91"/>
        <w:tabs>
          <w:tab w:val="right" w:leader="dot" w:pos="8306"/>
        </w:tabs>
        <w:spacing w:line="600" w:lineRule="exact"/>
        <w:ind w:left="1058" w:leftChars="504"/>
        <w:rPr>
          <w:sz w:val="32"/>
          <w:szCs w:val="32"/>
          <w:highlight w:val="none"/>
        </w:rPr>
      </w:pPr>
      <w:r>
        <w:rPr>
          <w:rFonts w:hint="eastAsia"/>
          <w:sz w:val="32"/>
          <w:szCs w:val="32"/>
          <w:highlight w:val="none"/>
        </w:rPr>
        <w:t>第五章 采购合同条款及格式</w:t>
      </w:r>
    </w:p>
    <w:p w14:paraId="02901B24">
      <w:pPr>
        <w:pStyle w:val="91"/>
        <w:tabs>
          <w:tab w:val="right" w:leader="dot" w:pos="8306"/>
        </w:tabs>
        <w:spacing w:line="600" w:lineRule="exact"/>
        <w:rPr>
          <w:rFonts w:hint="eastAsia" w:ascii="宋体" w:hAnsi="宋体" w:cs="宋体"/>
          <w:b/>
          <w:bCs/>
          <w:highlight w:val="none"/>
        </w:rPr>
      </w:pPr>
    </w:p>
    <w:p w14:paraId="13745241">
      <w:pPr>
        <w:pStyle w:val="2"/>
        <w:rPr>
          <w:rFonts w:hint="eastAsia" w:ascii="宋体" w:hAnsi="宋体" w:eastAsia="宋体" w:cs="宋体"/>
          <w:highlight w:val="none"/>
        </w:rPr>
      </w:pPr>
      <w:r>
        <w:rPr>
          <w:rFonts w:ascii="宋体" w:hAnsi="宋体" w:eastAsia="宋体" w:cs="宋体"/>
          <w:highlight w:val="none"/>
        </w:rPr>
        <w:br w:type="page"/>
      </w:r>
      <w:r>
        <w:rPr>
          <w:rFonts w:hint="eastAsia" w:ascii="宋体" w:hAnsi="宋体" w:eastAsia="宋体" w:cs="宋体"/>
          <w:highlight w:val="none"/>
        </w:rPr>
        <w:t>招标公告</w:t>
      </w:r>
    </w:p>
    <w:p w14:paraId="58551E5A">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4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项目概况</w:t>
      </w:r>
    </w:p>
    <w:p w14:paraId="4F437748">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乐昌市两江镇洋莲桥水电站（装机总容量1200KW）承包经营权项目（二次） </w:t>
      </w:r>
      <w:r>
        <w:rPr>
          <w:rFonts w:hint="eastAsia" w:ascii="宋体" w:hAnsi="宋体" w:eastAsia="宋体" w:cs="宋体"/>
          <w:sz w:val="21"/>
          <w:szCs w:val="21"/>
          <w:highlight w:val="none"/>
        </w:rPr>
        <w:t>招标项目的潜在投标人应在</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广东省公共资源交易平台（韶关市）（https://ygp.gdzwfw.gov.cn/ggzy-portal/#/440200/index）</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rPr>
        <w:t xml:space="preserve">韶关市公共资源交易一体化平台（http://portal.ythpt.sg.gov.cn/） </w:t>
      </w: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rPr>
        <w:t>获取招标文件，并于</w:t>
      </w:r>
      <w:r>
        <w:rPr>
          <w:rFonts w:hint="eastAsia" w:ascii="宋体" w:hAnsi="宋体" w:eastAsia="宋体" w:cs="宋体"/>
          <w:sz w:val="21"/>
          <w:szCs w:val="21"/>
          <w:highlight w:val="none"/>
          <w:u w:val="none"/>
          <w:lang w:eastAsia="zh-CN"/>
        </w:rPr>
        <w:t>202</w:t>
      </w:r>
      <w:r>
        <w:rPr>
          <w:rFonts w:hint="eastAsia" w:ascii="宋体" w:hAnsi="宋体" w:eastAsia="宋体" w:cs="宋体"/>
          <w:sz w:val="21"/>
          <w:szCs w:val="21"/>
          <w:highlight w:val="none"/>
          <w:u w:val="none"/>
          <w:lang w:val="en-US" w:eastAsia="zh-CN"/>
        </w:rPr>
        <w:t>6</w:t>
      </w:r>
      <w:r>
        <w:rPr>
          <w:rFonts w:hint="eastAsia" w:ascii="宋体" w:hAnsi="宋体" w:eastAsia="宋体" w:cs="宋体"/>
          <w:sz w:val="21"/>
          <w:szCs w:val="21"/>
          <w:highlight w:val="none"/>
          <w:u w:val="none"/>
          <w:lang w:eastAsia="zh-CN"/>
        </w:rPr>
        <w:t>年</w:t>
      </w:r>
      <w:r>
        <w:rPr>
          <w:rFonts w:hint="eastAsia" w:ascii="宋体" w:hAnsi="宋体" w:eastAsia="宋体" w:cs="宋体"/>
          <w:sz w:val="21"/>
          <w:szCs w:val="21"/>
          <w:highlight w:val="none"/>
          <w:u w:val="none"/>
          <w:lang w:val="en-US" w:eastAsia="zh-CN"/>
        </w:rPr>
        <w:t>01</w:t>
      </w:r>
      <w:r>
        <w:rPr>
          <w:rFonts w:hint="eastAsia" w:ascii="宋体" w:hAnsi="宋体" w:eastAsia="宋体" w:cs="宋体"/>
          <w:sz w:val="21"/>
          <w:szCs w:val="21"/>
          <w:highlight w:val="none"/>
          <w:u w:val="none"/>
          <w:lang w:eastAsia="zh-CN"/>
        </w:rPr>
        <w:t>月</w:t>
      </w:r>
      <w:r>
        <w:rPr>
          <w:rFonts w:hint="eastAsia" w:ascii="宋体" w:hAnsi="宋体" w:eastAsia="宋体" w:cs="宋体"/>
          <w:sz w:val="21"/>
          <w:szCs w:val="21"/>
          <w:highlight w:val="none"/>
          <w:u w:val="none"/>
          <w:lang w:val="en-US" w:eastAsia="zh-CN"/>
        </w:rPr>
        <w:t>09</w:t>
      </w:r>
      <w:r>
        <w:rPr>
          <w:rFonts w:hint="eastAsia" w:ascii="宋体" w:hAnsi="宋体" w:eastAsia="宋体" w:cs="宋体"/>
          <w:sz w:val="21"/>
          <w:szCs w:val="21"/>
          <w:highlight w:val="none"/>
          <w:u w:val="none"/>
          <w:lang w:eastAsia="zh-CN"/>
        </w:rPr>
        <w:t>日</w:t>
      </w:r>
      <w:r>
        <w:rPr>
          <w:rFonts w:hint="eastAsia" w:ascii="宋体" w:hAnsi="宋体" w:eastAsia="宋体" w:cs="宋体"/>
          <w:bCs/>
          <w:sz w:val="21"/>
          <w:szCs w:val="21"/>
          <w:highlight w:val="none"/>
          <w:u w:val="none"/>
          <w:lang w:val="en-US" w:eastAsia="zh-CN"/>
        </w:rPr>
        <w:t>09点30</w:t>
      </w:r>
      <w:r>
        <w:rPr>
          <w:rFonts w:hint="eastAsia" w:ascii="宋体" w:hAnsi="宋体" w:eastAsia="宋体" w:cs="宋体"/>
          <w:bCs/>
          <w:sz w:val="21"/>
          <w:szCs w:val="21"/>
          <w:highlight w:val="none"/>
          <w:u w:val="none"/>
        </w:rPr>
        <w:t>分（北</w:t>
      </w:r>
      <w:r>
        <w:rPr>
          <w:rFonts w:hint="eastAsia" w:ascii="宋体" w:hAnsi="宋体" w:eastAsia="宋体" w:cs="宋体"/>
          <w:bCs/>
          <w:sz w:val="21"/>
          <w:szCs w:val="21"/>
          <w:highlight w:val="none"/>
        </w:rPr>
        <w:t>京时间）前递交投标文件</w:t>
      </w:r>
      <w:r>
        <w:rPr>
          <w:rFonts w:hint="eastAsia" w:ascii="宋体" w:hAnsi="宋体" w:eastAsia="宋体" w:cs="宋体"/>
          <w:sz w:val="21"/>
          <w:szCs w:val="21"/>
          <w:highlight w:val="none"/>
        </w:rPr>
        <w:t>。</w:t>
      </w:r>
    </w:p>
    <w:p w14:paraId="70AF4DE8">
      <w:pPr>
        <w:pStyle w:val="3"/>
        <w:pageBreakBefore w:val="0"/>
        <w:kinsoku/>
        <w:wordWrap/>
        <w:overflowPunct/>
        <w:topLinePunct w:val="0"/>
        <w:autoSpaceDE/>
        <w:autoSpaceDN/>
        <w:bidi w:val="0"/>
        <w:adjustRightInd/>
        <w:snapToGrid/>
        <w:spacing w:before="0" w:after="0" w:line="400" w:lineRule="exact"/>
        <w:jc w:val="left"/>
        <w:rPr>
          <w:rFonts w:hint="eastAsia" w:ascii="宋体" w:hAnsi="宋体" w:eastAsia="宋体" w:cs="宋体"/>
          <w:bCs/>
          <w:sz w:val="21"/>
          <w:szCs w:val="21"/>
          <w:highlight w:val="none"/>
        </w:rPr>
      </w:pPr>
      <w:bookmarkStart w:id="0" w:name="_Toc28359002"/>
      <w:bookmarkStart w:id="1" w:name="_Toc35393621"/>
      <w:bookmarkStart w:id="2" w:name="_Toc28359079"/>
      <w:bookmarkStart w:id="3" w:name="_Toc35393790"/>
      <w:bookmarkStart w:id="4" w:name="_Hlk24379207"/>
      <w:r>
        <w:rPr>
          <w:rFonts w:hint="eastAsia" w:ascii="宋体" w:hAnsi="宋体" w:eastAsia="宋体" w:cs="宋体"/>
          <w:bCs/>
          <w:sz w:val="21"/>
          <w:szCs w:val="21"/>
          <w:highlight w:val="none"/>
        </w:rPr>
        <w:t>一、项目基本情况</w:t>
      </w:r>
      <w:bookmarkEnd w:id="0"/>
      <w:bookmarkEnd w:id="1"/>
      <w:bookmarkEnd w:id="2"/>
      <w:bookmarkEnd w:id="3"/>
    </w:p>
    <w:p w14:paraId="4F645550">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lang w:val="en-US" w:eastAsia="zh-CN"/>
        </w:rPr>
        <w:t>CQZB250016</w:t>
      </w:r>
    </w:p>
    <w:p w14:paraId="17C84B76">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项目名称：</w:t>
      </w:r>
      <w:bookmarkEnd w:id="4"/>
      <w:r>
        <w:rPr>
          <w:rFonts w:hint="eastAsia" w:ascii="宋体" w:hAnsi="宋体" w:eastAsia="宋体" w:cs="宋体"/>
          <w:sz w:val="21"/>
          <w:szCs w:val="21"/>
          <w:highlight w:val="none"/>
          <w:lang w:eastAsia="zh-CN"/>
        </w:rPr>
        <w:t>乐昌市两江镇洋莲桥水电站（装机总容量1200KW）承包经营权项目（二次）</w:t>
      </w:r>
    </w:p>
    <w:p w14:paraId="094EEF7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kern w:val="2"/>
          <w:sz w:val="21"/>
          <w:szCs w:val="21"/>
          <w:highlight w:val="none"/>
          <w:lang w:val="en-US" w:eastAsia="zh-CN"/>
        </w:rPr>
      </w:pPr>
      <w:r>
        <w:rPr>
          <w:rFonts w:hint="eastAsia" w:ascii="宋体" w:hAnsi="宋体" w:eastAsia="宋体" w:cs="宋体"/>
          <w:b w:val="0"/>
          <w:bCs w:val="0"/>
          <w:sz w:val="21"/>
          <w:szCs w:val="21"/>
          <w:highlight w:val="none"/>
        </w:rPr>
        <w:t>最低限价金额：</w:t>
      </w:r>
      <w:r>
        <w:rPr>
          <w:rFonts w:hint="eastAsia" w:ascii="宋体" w:hAnsi="宋体" w:eastAsia="宋体" w:cs="宋体"/>
          <w:b w:val="0"/>
          <w:bCs w:val="0"/>
          <w:sz w:val="21"/>
          <w:szCs w:val="21"/>
          <w:highlight w:val="none"/>
          <w:lang w:val="en-US" w:eastAsia="zh-CN"/>
        </w:rPr>
        <w:t>¥116,505.00元/年</w:t>
      </w:r>
    </w:p>
    <w:p w14:paraId="090EAB9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采购需求：(包括但不限于标的的名称、数量、简要技术需求或服务要求等)</w:t>
      </w:r>
    </w:p>
    <w:p w14:paraId="2E7FB20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标的名称：</w:t>
      </w:r>
      <w:r>
        <w:rPr>
          <w:rFonts w:hint="eastAsia" w:ascii="宋体" w:hAnsi="宋体" w:eastAsia="宋体" w:cs="宋体"/>
          <w:sz w:val="21"/>
          <w:szCs w:val="21"/>
          <w:highlight w:val="none"/>
          <w:lang w:eastAsia="zh-CN"/>
        </w:rPr>
        <w:t>乐昌市两江镇洋莲桥水电站（装机总容量1200KW）承包经营权项目（二次）</w:t>
      </w:r>
    </w:p>
    <w:p w14:paraId="0B9829D6">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标的数量：1项</w:t>
      </w:r>
    </w:p>
    <w:p w14:paraId="3B603AFA">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简要技术需求或服务要求：</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07"/>
        <w:gridCol w:w="2344"/>
        <w:gridCol w:w="748"/>
        <w:gridCol w:w="1665"/>
        <w:gridCol w:w="1471"/>
        <w:gridCol w:w="1812"/>
      </w:tblGrid>
      <w:tr w14:paraId="63EAE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jc w:val="center"/>
        </w:trPr>
        <w:tc>
          <w:tcPr>
            <w:tcW w:w="351" w:type="pct"/>
            <w:shd w:val="clear" w:color="auto" w:fill="FFFFFF"/>
            <w:noWrap w:val="0"/>
            <w:tcMar>
              <w:top w:w="15" w:type="dxa"/>
              <w:left w:w="15" w:type="dxa"/>
              <w:right w:w="15" w:type="dxa"/>
            </w:tcMar>
            <w:vAlign w:val="center"/>
          </w:tcPr>
          <w:p w14:paraId="35640D6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序号</w:t>
            </w:r>
          </w:p>
        </w:tc>
        <w:tc>
          <w:tcPr>
            <w:tcW w:w="1354" w:type="pct"/>
            <w:shd w:val="clear" w:color="auto" w:fill="FFFFFF"/>
            <w:noWrap w:val="0"/>
            <w:tcMar>
              <w:top w:w="15" w:type="dxa"/>
              <w:left w:w="15" w:type="dxa"/>
              <w:right w:w="15" w:type="dxa"/>
            </w:tcMar>
            <w:vAlign w:val="center"/>
          </w:tcPr>
          <w:p w14:paraId="7B880EF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采购内容</w:t>
            </w:r>
          </w:p>
        </w:tc>
        <w:tc>
          <w:tcPr>
            <w:tcW w:w="432" w:type="pct"/>
            <w:shd w:val="clear" w:color="auto" w:fill="FFFFFF"/>
            <w:noWrap w:val="0"/>
            <w:tcMar>
              <w:top w:w="15" w:type="dxa"/>
              <w:left w:w="15" w:type="dxa"/>
              <w:right w:w="15" w:type="dxa"/>
            </w:tcMar>
            <w:vAlign w:val="center"/>
          </w:tcPr>
          <w:p w14:paraId="01C58D5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数量</w:t>
            </w:r>
          </w:p>
        </w:tc>
        <w:tc>
          <w:tcPr>
            <w:tcW w:w="962" w:type="pct"/>
            <w:shd w:val="clear" w:color="auto" w:fill="FFFFFF"/>
            <w:noWrap w:val="0"/>
            <w:tcMar>
              <w:top w:w="15" w:type="dxa"/>
              <w:left w:w="15" w:type="dxa"/>
              <w:right w:w="15" w:type="dxa"/>
            </w:tcMar>
            <w:vAlign w:val="center"/>
          </w:tcPr>
          <w:p w14:paraId="32FE3A9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服务要求</w:t>
            </w:r>
          </w:p>
        </w:tc>
        <w:tc>
          <w:tcPr>
            <w:tcW w:w="850" w:type="pct"/>
            <w:shd w:val="clear" w:color="auto" w:fill="FFFFFF"/>
            <w:noWrap w:val="0"/>
            <w:tcMar>
              <w:top w:w="15" w:type="dxa"/>
              <w:left w:w="15" w:type="dxa"/>
              <w:right w:w="15" w:type="dxa"/>
            </w:tcMar>
            <w:vAlign w:val="center"/>
          </w:tcPr>
          <w:p w14:paraId="21E0801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服务期</w:t>
            </w:r>
          </w:p>
        </w:tc>
        <w:tc>
          <w:tcPr>
            <w:tcW w:w="1047" w:type="pct"/>
            <w:shd w:val="clear" w:color="auto" w:fill="FFFFFF"/>
            <w:noWrap w:val="0"/>
            <w:tcMar>
              <w:top w:w="15" w:type="dxa"/>
              <w:left w:w="15" w:type="dxa"/>
              <w:right w:w="15" w:type="dxa"/>
            </w:tcMar>
            <w:vAlign w:val="center"/>
          </w:tcPr>
          <w:p w14:paraId="2F86F42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val="en-US" w:eastAsia="zh-CN"/>
              </w:rPr>
            </w:pPr>
            <w:r>
              <w:rPr>
                <w:rFonts w:hint="eastAsia" w:ascii="宋体" w:hAnsi="宋体" w:eastAsia="宋体" w:cs="宋体"/>
                <w:b w:val="0"/>
                <w:bCs w:val="0"/>
                <w:sz w:val="21"/>
                <w:szCs w:val="21"/>
                <w:highlight w:val="none"/>
                <w:lang w:val="en-US" w:eastAsia="zh-CN"/>
              </w:rPr>
              <w:t>每年经营权承包费最低限价</w:t>
            </w:r>
          </w:p>
        </w:tc>
      </w:tr>
      <w:tr w14:paraId="40FB1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4" w:hRule="atLeast"/>
          <w:jc w:val="center"/>
        </w:trPr>
        <w:tc>
          <w:tcPr>
            <w:tcW w:w="351" w:type="pct"/>
            <w:shd w:val="clear" w:color="auto" w:fill="FFFFFF"/>
            <w:noWrap w:val="0"/>
            <w:tcMar>
              <w:top w:w="15" w:type="dxa"/>
              <w:left w:w="15" w:type="dxa"/>
              <w:right w:w="15" w:type="dxa"/>
            </w:tcMar>
            <w:vAlign w:val="center"/>
          </w:tcPr>
          <w:p w14:paraId="631C3AA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1354" w:type="pct"/>
            <w:shd w:val="clear" w:color="auto" w:fill="FFFFFF"/>
            <w:noWrap w:val="0"/>
            <w:tcMar>
              <w:top w:w="15" w:type="dxa"/>
              <w:left w:w="15" w:type="dxa"/>
              <w:right w:w="15" w:type="dxa"/>
            </w:tcMar>
            <w:vAlign w:val="center"/>
          </w:tcPr>
          <w:p w14:paraId="2243A03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乐昌市两江镇洋莲桥水电站（装机总容量1200KW）承包经营权项目（二次）</w:t>
            </w:r>
          </w:p>
        </w:tc>
        <w:tc>
          <w:tcPr>
            <w:tcW w:w="432" w:type="pct"/>
            <w:shd w:val="clear" w:color="auto" w:fill="FFFFFF"/>
            <w:noWrap w:val="0"/>
            <w:tcMar>
              <w:top w:w="15" w:type="dxa"/>
              <w:left w:w="15" w:type="dxa"/>
              <w:right w:w="15" w:type="dxa"/>
            </w:tcMar>
            <w:vAlign w:val="center"/>
          </w:tcPr>
          <w:p w14:paraId="5839BF8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1项</w:t>
            </w:r>
          </w:p>
        </w:tc>
        <w:tc>
          <w:tcPr>
            <w:tcW w:w="962" w:type="pct"/>
            <w:shd w:val="clear" w:color="auto" w:fill="FFFFFF"/>
            <w:noWrap w:val="0"/>
            <w:tcMar>
              <w:top w:w="15" w:type="dxa"/>
              <w:left w:w="15" w:type="dxa"/>
              <w:right w:w="15" w:type="dxa"/>
            </w:tcMar>
            <w:vAlign w:val="center"/>
          </w:tcPr>
          <w:p w14:paraId="68EE530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i w:val="0"/>
                <w:color w:val="auto"/>
                <w:sz w:val="21"/>
                <w:szCs w:val="21"/>
                <w:highlight w:val="none"/>
                <w:u w:val="none"/>
                <w:lang w:val="en-US" w:eastAsia="zh-CN"/>
              </w:rPr>
              <w:t>详见</w:t>
            </w:r>
            <w:r>
              <w:rPr>
                <w:rFonts w:hint="eastAsia" w:ascii="宋体" w:hAnsi="宋体" w:eastAsia="宋体" w:cs="宋体"/>
                <w:color w:val="auto"/>
                <w:sz w:val="21"/>
                <w:szCs w:val="21"/>
                <w:highlight w:val="none"/>
                <w:lang w:val="en-US" w:eastAsia="zh-CN"/>
              </w:rPr>
              <w:t>本项目《招标文件》第三章：采购需求</w:t>
            </w:r>
          </w:p>
        </w:tc>
        <w:tc>
          <w:tcPr>
            <w:tcW w:w="850" w:type="pct"/>
            <w:shd w:val="clear" w:color="auto" w:fill="FFFFFF"/>
            <w:noWrap w:val="0"/>
            <w:tcMar>
              <w:top w:w="15" w:type="dxa"/>
              <w:left w:w="15" w:type="dxa"/>
              <w:right w:w="15" w:type="dxa"/>
            </w:tcMar>
            <w:vAlign w:val="center"/>
          </w:tcPr>
          <w:p w14:paraId="18ACF5A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lang w:val="en-US" w:eastAsia="zh-CN"/>
              </w:rPr>
              <w:t>自合同签订之日起20年</w:t>
            </w:r>
          </w:p>
        </w:tc>
        <w:tc>
          <w:tcPr>
            <w:tcW w:w="1047" w:type="pct"/>
            <w:shd w:val="clear" w:color="auto" w:fill="FFFFFF"/>
            <w:noWrap w:val="0"/>
            <w:tcMar>
              <w:top w:w="15" w:type="dxa"/>
              <w:left w:w="15" w:type="dxa"/>
              <w:right w:w="15" w:type="dxa"/>
            </w:tcMar>
            <w:vAlign w:val="center"/>
          </w:tcPr>
          <w:p w14:paraId="5470FE4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¥116,505.00元/年</w:t>
            </w:r>
          </w:p>
        </w:tc>
      </w:tr>
    </w:tbl>
    <w:p w14:paraId="50C10646">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其他：无</w:t>
      </w:r>
    </w:p>
    <w:p w14:paraId="60B63719">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合同履行期限：</w:t>
      </w:r>
      <w:r>
        <w:rPr>
          <w:rFonts w:hint="eastAsia" w:ascii="宋体" w:hAnsi="宋体" w:eastAsia="宋体" w:cs="宋体"/>
          <w:sz w:val="21"/>
          <w:szCs w:val="21"/>
          <w:highlight w:val="none"/>
          <w:lang w:val="en-US" w:eastAsia="zh-CN"/>
        </w:rPr>
        <w:t>自合同签订之日起20年。</w:t>
      </w:r>
    </w:p>
    <w:p w14:paraId="4E2C200B">
      <w:pPr>
        <w:pageBreakBefore w:val="0"/>
        <w:kinsoku/>
        <w:wordWrap/>
        <w:overflowPunct/>
        <w:topLinePunct w:val="0"/>
        <w:autoSpaceDE/>
        <w:autoSpaceDN/>
        <w:bidi w:val="0"/>
        <w:adjustRightInd/>
        <w:snapToGrid/>
        <w:spacing w:line="40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本项目</w:t>
      </w:r>
      <w:r>
        <w:rPr>
          <w:rFonts w:hint="eastAsia" w:ascii="宋体" w:hAnsi="宋体" w:eastAsia="宋体" w:cs="宋体"/>
          <w:b/>
          <w:bCs/>
          <w:sz w:val="21"/>
          <w:szCs w:val="21"/>
          <w:highlight w:val="none"/>
          <w:lang w:val="en-US" w:eastAsia="zh-CN"/>
        </w:rPr>
        <w:t>不</w:t>
      </w:r>
      <w:r>
        <w:rPr>
          <w:rFonts w:hint="eastAsia" w:ascii="宋体" w:hAnsi="宋体" w:eastAsia="宋体" w:cs="宋体"/>
          <w:b/>
          <w:bCs/>
          <w:sz w:val="21"/>
          <w:szCs w:val="21"/>
          <w:highlight w:val="none"/>
        </w:rPr>
        <w:t>接受联合体投标</w:t>
      </w:r>
      <w:r>
        <w:rPr>
          <w:rFonts w:hint="eastAsia" w:ascii="宋体" w:hAnsi="宋体" w:eastAsia="宋体" w:cs="宋体"/>
          <w:b/>
          <w:bCs/>
          <w:sz w:val="21"/>
          <w:szCs w:val="21"/>
          <w:highlight w:val="none"/>
          <w:lang w:val="en-US" w:eastAsia="zh-CN"/>
        </w:rPr>
        <w:t>。</w:t>
      </w:r>
    </w:p>
    <w:p w14:paraId="78FACDA5">
      <w:pPr>
        <w:pStyle w:val="3"/>
        <w:pageBreakBefore w:val="0"/>
        <w:kinsoku/>
        <w:wordWrap/>
        <w:overflowPunct/>
        <w:topLinePunct w:val="0"/>
        <w:autoSpaceDE/>
        <w:autoSpaceDN/>
        <w:bidi w:val="0"/>
        <w:adjustRightInd/>
        <w:snapToGrid/>
        <w:spacing w:before="0" w:after="0" w:line="400" w:lineRule="exact"/>
        <w:jc w:val="left"/>
        <w:rPr>
          <w:rFonts w:hint="eastAsia" w:ascii="宋体" w:hAnsi="宋体" w:eastAsia="宋体" w:cs="宋体"/>
          <w:bCs/>
          <w:sz w:val="21"/>
          <w:szCs w:val="21"/>
          <w:highlight w:val="none"/>
        </w:rPr>
      </w:pPr>
      <w:bookmarkStart w:id="5" w:name="_Toc35393622"/>
      <w:bookmarkStart w:id="6" w:name="_Toc35393791"/>
      <w:bookmarkStart w:id="7" w:name="_Toc28359080"/>
      <w:bookmarkStart w:id="8" w:name="_Toc28359003"/>
      <w:r>
        <w:rPr>
          <w:rFonts w:hint="eastAsia" w:ascii="宋体" w:hAnsi="宋体" w:eastAsia="宋体" w:cs="宋体"/>
          <w:bCs/>
          <w:sz w:val="21"/>
          <w:szCs w:val="21"/>
          <w:highlight w:val="none"/>
        </w:rPr>
        <w:t>二、申请人的资格要求</w:t>
      </w:r>
      <w:bookmarkEnd w:id="5"/>
      <w:bookmarkEnd w:id="6"/>
      <w:bookmarkEnd w:id="7"/>
      <w:bookmarkEnd w:id="8"/>
    </w:p>
    <w:p w14:paraId="1CCA16D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bookmarkStart w:id="9" w:name="_Toc35393792"/>
      <w:bookmarkStart w:id="10" w:name="_Toc28359081"/>
      <w:bookmarkStart w:id="11" w:name="_Toc28359004"/>
      <w:bookmarkStart w:id="12" w:name="_Toc35393623"/>
      <w:r>
        <w:rPr>
          <w:rFonts w:hint="eastAsia" w:ascii="宋体" w:hAnsi="宋体" w:eastAsia="宋体" w:cs="宋体"/>
          <w:color w:val="auto"/>
          <w:sz w:val="21"/>
          <w:szCs w:val="21"/>
          <w:highlight w:val="none"/>
        </w:rPr>
        <w:t>1.投标人应具备以下规定；</w:t>
      </w:r>
    </w:p>
    <w:tbl>
      <w:tblPr>
        <w:tblStyle w:val="18"/>
        <w:tblW w:w="9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14:paraId="7096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0" w:type="dxa"/>
            <w:noWrap w:val="0"/>
            <w:vAlign w:val="top"/>
          </w:tcPr>
          <w:p w14:paraId="14D8B253">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（1）投标人必须是具有独立承担民事责任能力的在中华人民共和国境内注册的法人、其他组织或自然人（营业执照或事业单位法人证书或执业许可证等证明文件或自然人的身份证明）。</w:t>
            </w:r>
          </w:p>
          <w:p w14:paraId="1F755A8F">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（2）投标人必须具有良好的商业信誉和健全的财务会计制度（投标文件中提供《资格条件承诺函》）。</w:t>
            </w:r>
          </w:p>
          <w:p w14:paraId="66AD19D5">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（3）有依法缴纳税收和社会保障资金的良好记录（投标文件中提供《资格条件承诺函》）。</w:t>
            </w:r>
          </w:p>
          <w:p w14:paraId="754F63AF">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（4）具备履行合同所必需的设备和专业技术能力（投标文件中提供《资格条件承诺函》）。</w:t>
            </w:r>
          </w:p>
          <w:p w14:paraId="6CA69924">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投标人参加招标采购活动前三年内，在经营活动中没有重大违法记录（投标文件中提供《资格条件承诺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bl>
    <w:p w14:paraId="6FBCE681">
      <w:pPr>
        <w:pStyle w:val="4"/>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p w14:paraId="753D026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.本项目的特定资格要求：</w:t>
      </w:r>
    </w:p>
    <w:tbl>
      <w:tblPr>
        <w:tblStyle w:val="17"/>
        <w:tblW w:w="9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14:paraId="3CB3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390" w:type="dxa"/>
            <w:noWrap w:val="0"/>
            <w:vAlign w:val="top"/>
          </w:tcPr>
          <w:p w14:paraId="574DE5A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bookmarkStart w:id="13" w:name="OLE_LINK2"/>
            <w:r>
              <w:rPr>
                <w:rFonts w:hint="eastAsia" w:ascii="宋体" w:hAnsi="宋体" w:eastAsia="宋体" w:cs="宋体"/>
                <w:color w:val="auto"/>
                <w:kern w:val="2"/>
                <w:sz w:val="21"/>
                <w:szCs w:val="21"/>
                <w:highlight w:val="none"/>
                <w:lang w:val="en-US" w:eastAsia="zh-CN" w:bidi="ar-SA"/>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http://www.ccgp.gov.cn/）查询结果为准，如相关失信记录已失效，投标人需提供相关证明资料）。（2）单位负责人为同一人或者存在直接控股、 管理关系的不同投标人，不得同时参加本招标项目投标。为本项目提供整体设计、规范编制或者项目管理、监理、检测等服务的投标人，不得再参与本项目投标。（投标时提供承诺函，格式自拟）</w:t>
            </w:r>
          </w:p>
          <w:bookmarkEnd w:id="13"/>
          <w:p w14:paraId="707DAC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（3）已登记报名并获取本项目招标文件。</w:t>
            </w:r>
          </w:p>
        </w:tc>
      </w:tr>
    </w:tbl>
    <w:p w14:paraId="19C68F50">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三、获取招标文件</w:t>
      </w:r>
      <w:bookmarkEnd w:id="9"/>
      <w:bookmarkEnd w:id="10"/>
      <w:bookmarkEnd w:id="11"/>
      <w:bookmarkEnd w:id="12"/>
    </w:p>
    <w:p w14:paraId="771F8E81">
      <w:pPr>
        <w:keepNext w:val="0"/>
        <w:keepLines w:val="0"/>
        <w:pageBreakBefore w:val="0"/>
        <w:widowControl w:val="0"/>
        <w:kinsoku/>
        <w:wordWrap/>
        <w:overflowPunct/>
        <w:topLinePunct w:val="0"/>
        <w:autoSpaceDE/>
        <w:autoSpaceDN/>
        <w:bidi w:val="0"/>
        <w:adjustRightInd/>
        <w:snapToGrid/>
        <w:spacing w:line="400" w:lineRule="exact"/>
        <w:ind w:firstLine="53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时间：</w:t>
      </w:r>
      <w:r>
        <w:rPr>
          <w:rFonts w:hint="eastAsia" w:ascii="宋体" w:hAnsi="宋体" w:eastAsia="宋体" w:cs="宋体"/>
          <w:sz w:val="21"/>
          <w:szCs w:val="21"/>
          <w:highlight w:val="none"/>
          <w:lang w:eastAsia="zh-CN"/>
        </w:rPr>
        <w:t>20</w:t>
      </w:r>
      <w:r>
        <w:rPr>
          <w:rFonts w:hint="eastAsia" w:ascii="宋体" w:hAnsi="宋体" w:eastAsia="宋体" w:cs="宋体"/>
          <w:sz w:val="21"/>
          <w:szCs w:val="21"/>
          <w:highlight w:val="none"/>
          <w:lang w:val="en-US" w:eastAsia="zh-CN"/>
        </w:rPr>
        <w:t>25</w:t>
      </w:r>
      <w:r>
        <w:rPr>
          <w:rFonts w:hint="eastAsia" w:ascii="宋体" w:hAnsi="宋体" w:eastAsia="宋体" w:cs="宋体"/>
          <w:sz w:val="21"/>
          <w:szCs w:val="21"/>
          <w:highlight w:val="none"/>
          <w:lang w:eastAsia="zh-CN"/>
        </w:rPr>
        <w:t>年</w:t>
      </w:r>
      <w:r>
        <w:rPr>
          <w:rFonts w:hint="eastAsia" w:ascii="宋体" w:hAnsi="宋体" w:eastAsia="宋体" w:cs="宋体"/>
          <w:sz w:val="21"/>
          <w:szCs w:val="21"/>
          <w:highlight w:val="none"/>
          <w:lang w:val="en-US" w:eastAsia="zh-CN"/>
        </w:rPr>
        <w:t>12</w:t>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lang w:val="en-US" w:eastAsia="zh-CN"/>
        </w:rPr>
        <w:t>19</w:t>
      </w:r>
      <w:r>
        <w:rPr>
          <w:rFonts w:hint="eastAsia" w:ascii="宋体" w:hAnsi="宋体" w:eastAsia="宋体" w:cs="宋体"/>
          <w:sz w:val="21"/>
          <w:szCs w:val="21"/>
          <w:highlight w:val="none"/>
          <w:lang w:eastAsia="zh-CN"/>
        </w:rPr>
        <w:t>日</w:t>
      </w:r>
      <w:r>
        <w:rPr>
          <w:rFonts w:hint="eastAsia" w:ascii="宋体" w:hAnsi="宋体" w:eastAsia="宋体" w:cs="宋体"/>
          <w:sz w:val="21"/>
          <w:szCs w:val="21"/>
          <w:highlight w:val="none"/>
          <w:lang w:val="en-US" w:eastAsia="zh-CN"/>
        </w:rPr>
        <w:t>18:00</w:t>
      </w:r>
      <w:r>
        <w:rPr>
          <w:rFonts w:hint="eastAsia" w:ascii="宋体" w:hAnsi="宋体" w:eastAsia="宋体" w:cs="宋体"/>
          <w:sz w:val="21"/>
          <w:szCs w:val="21"/>
          <w:highlight w:val="none"/>
        </w:rPr>
        <w:t>起至202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12</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26</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18:00</w:t>
      </w:r>
      <w:r>
        <w:rPr>
          <w:rFonts w:hint="eastAsia" w:ascii="宋体" w:hAnsi="宋体" w:eastAsia="宋体" w:cs="宋体"/>
          <w:sz w:val="21"/>
          <w:szCs w:val="21"/>
          <w:highlight w:val="none"/>
        </w:rPr>
        <w:t>（提供期限自本公告发布之日起不得少于5个工作日</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北京时间，法定节假日除外）</w:t>
      </w:r>
    </w:p>
    <w:p w14:paraId="3BE832CA">
      <w:pPr>
        <w:keepNext w:val="0"/>
        <w:keepLines w:val="0"/>
        <w:pageBreakBefore w:val="0"/>
        <w:widowControl w:val="0"/>
        <w:kinsoku/>
        <w:wordWrap/>
        <w:overflowPunct/>
        <w:topLinePunct w:val="0"/>
        <w:autoSpaceDE/>
        <w:autoSpaceDN/>
        <w:bidi w:val="0"/>
        <w:adjustRightInd/>
        <w:snapToGrid/>
        <w:spacing w:line="400" w:lineRule="exact"/>
        <w:ind w:firstLine="539"/>
        <w:textAlignment w:val="auto"/>
        <w:rPr>
          <w:rFonts w:hint="eastAsia" w:ascii="宋体" w:hAnsi="宋体" w:eastAsia="宋体" w:cs="宋体"/>
          <w:color w:val="auto"/>
          <w:sz w:val="21"/>
          <w:szCs w:val="21"/>
          <w:highlight w:val="none"/>
          <w:u w:val="single"/>
          <w:lang w:eastAsia="zh-CN"/>
        </w:rPr>
      </w:pPr>
      <w:bookmarkStart w:id="14" w:name="_Toc28359005"/>
      <w:bookmarkStart w:id="15" w:name="_Toc28359082"/>
      <w:bookmarkStart w:id="16" w:name="_Toc35393793"/>
      <w:bookmarkStart w:id="17" w:name="_Toc35393624"/>
      <w:r>
        <w:rPr>
          <w:rFonts w:hint="eastAsia" w:ascii="宋体" w:hAnsi="宋体" w:eastAsia="宋体" w:cs="宋体"/>
          <w:color w:val="auto"/>
          <w:sz w:val="21"/>
          <w:szCs w:val="21"/>
          <w:highlight w:val="none"/>
        </w:rPr>
        <w:t>地点：本项目采用韶关市公共资源交易一体化平台“产权招标交易系统”进行网上报名，详见“六、其他补充事宜”</w:t>
      </w:r>
      <w:r>
        <w:rPr>
          <w:rFonts w:hint="eastAsia" w:ascii="宋体" w:hAnsi="宋体" w:eastAsia="宋体" w:cs="宋体"/>
          <w:color w:val="auto"/>
          <w:sz w:val="21"/>
          <w:szCs w:val="21"/>
          <w:highlight w:val="none"/>
          <w:lang w:eastAsia="zh-CN"/>
        </w:rPr>
        <w:t>。</w:t>
      </w:r>
    </w:p>
    <w:p w14:paraId="4D7A42E6">
      <w:pPr>
        <w:pageBreakBefore w:val="0"/>
        <w:kinsoku/>
        <w:wordWrap/>
        <w:overflowPunct/>
        <w:topLinePunct w:val="0"/>
        <w:autoSpaceDE/>
        <w:autoSpaceDN/>
        <w:bidi w:val="0"/>
        <w:adjustRightInd/>
        <w:snapToGrid/>
        <w:spacing w:line="400" w:lineRule="exact"/>
        <w:ind w:firstLine="54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方式：</w:t>
      </w:r>
      <w:r>
        <w:rPr>
          <w:rFonts w:hint="eastAsia" w:ascii="宋体" w:hAnsi="宋体" w:eastAsia="宋体" w:cs="宋体"/>
          <w:color w:val="auto"/>
          <w:sz w:val="21"/>
          <w:szCs w:val="21"/>
          <w:highlight w:val="none"/>
          <w:lang w:val="en-US" w:eastAsia="zh-CN"/>
        </w:rPr>
        <w:t>网上</w:t>
      </w:r>
      <w:r>
        <w:rPr>
          <w:rFonts w:hint="eastAsia" w:ascii="宋体" w:hAnsi="宋体" w:eastAsia="宋体" w:cs="宋体"/>
          <w:color w:val="auto"/>
          <w:sz w:val="21"/>
          <w:szCs w:val="21"/>
          <w:highlight w:val="none"/>
        </w:rPr>
        <w:t>报名</w:t>
      </w:r>
    </w:p>
    <w:p w14:paraId="6B7713E0">
      <w:pPr>
        <w:pageBreakBefore w:val="0"/>
        <w:kinsoku/>
        <w:wordWrap/>
        <w:overflowPunct/>
        <w:topLinePunct w:val="0"/>
        <w:autoSpaceDE/>
        <w:autoSpaceDN/>
        <w:bidi w:val="0"/>
        <w:adjustRightInd/>
        <w:snapToGrid/>
        <w:spacing w:line="400" w:lineRule="exact"/>
        <w:ind w:firstLine="540"/>
        <w:rPr>
          <w:rFonts w:hint="default" w:ascii="宋体" w:hAnsi="宋体" w:eastAsia="宋体" w:cs="宋体"/>
          <w:b/>
          <w:bCs/>
          <w:color w:val="auto"/>
          <w:sz w:val="21"/>
          <w:szCs w:val="21"/>
          <w:highlight w:val="none"/>
          <w:lang w:val="en-US" w:eastAsia="zh-CN"/>
        </w:rPr>
      </w:pPr>
      <w:r>
        <w:rPr>
          <w:rFonts w:hint="eastAsia" w:ascii="宋体" w:hAnsi="宋体" w:eastAsia="宋体" w:cs="宋体"/>
          <w:color w:val="auto"/>
          <w:sz w:val="21"/>
          <w:szCs w:val="21"/>
          <w:highlight w:val="none"/>
        </w:rPr>
        <w:t>售价（元）：</w:t>
      </w:r>
      <w:r>
        <w:rPr>
          <w:rFonts w:hint="eastAsia" w:ascii="宋体" w:hAnsi="宋体" w:eastAsia="宋体" w:cs="宋体"/>
          <w:color w:val="auto"/>
          <w:sz w:val="21"/>
          <w:szCs w:val="21"/>
          <w:highlight w:val="none"/>
          <w:lang w:val="en-US" w:eastAsia="zh-CN"/>
        </w:rPr>
        <w:t>免费获取</w:t>
      </w:r>
    </w:p>
    <w:p w14:paraId="24557C9B">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四、提交投标文件</w:t>
      </w:r>
      <w:bookmarkEnd w:id="14"/>
      <w:bookmarkEnd w:id="15"/>
      <w:r>
        <w:rPr>
          <w:rFonts w:hint="eastAsia" w:ascii="宋体" w:hAnsi="宋体" w:eastAsia="宋体" w:cs="宋体"/>
          <w:bCs/>
          <w:sz w:val="21"/>
          <w:szCs w:val="21"/>
          <w:highlight w:val="none"/>
        </w:rPr>
        <w:t>截止时间、开标时间和地点</w:t>
      </w:r>
      <w:bookmarkEnd w:id="16"/>
      <w:bookmarkEnd w:id="17"/>
    </w:p>
    <w:p w14:paraId="03F0322B">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u w:val="none"/>
          <w:lang w:val="en-US" w:eastAsia="zh-CN"/>
        </w:rPr>
      </w:pPr>
      <w:r>
        <w:rPr>
          <w:rFonts w:hint="eastAsia" w:ascii="宋体" w:hAnsi="宋体" w:eastAsia="宋体" w:cs="宋体"/>
          <w:sz w:val="21"/>
          <w:szCs w:val="21"/>
          <w:highlight w:val="none"/>
          <w:u w:val="none"/>
          <w:lang w:val="en-US" w:eastAsia="zh-CN"/>
        </w:rPr>
        <w:t>1.</w:t>
      </w:r>
      <w:r>
        <w:rPr>
          <w:rFonts w:hint="eastAsia" w:ascii="宋体" w:hAnsi="宋体" w:eastAsia="宋体" w:cs="宋体"/>
          <w:sz w:val="21"/>
          <w:szCs w:val="21"/>
          <w:highlight w:val="none"/>
          <w:u w:val="none"/>
        </w:rPr>
        <w:t>电子投标截止时间</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none"/>
        </w:rPr>
        <w:t>202</w:t>
      </w:r>
      <w:r>
        <w:rPr>
          <w:rFonts w:hint="eastAsia" w:ascii="宋体" w:hAnsi="宋体" w:eastAsia="宋体" w:cs="宋体"/>
          <w:sz w:val="21"/>
          <w:szCs w:val="21"/>
          <w:highlight w:val="none"/>
          <w:u w:val="none"/>
          <w:lang w:val="en-US" w:eastAsia="zh-CN"/>
        </w:rPr>
        <w:t>6</w:t>
      </w:r>
      <w:r>
        <w:rPr>
          <w:rFonts w:hint="eastAsia" w:ascii="宋体" w:hAnsi="宋体" w:eastAsia="宋体" w:cs="宋体"/>
          <w:sz w:val="21"/>
          <w:szCs w:val="21"/>
          <w:highlight w:val="none"/>
          <w:u w:val="none"/>
        </w:rPr>
        <w:t>年</w:t>
      </w:r>
      <w:r>
        <w:rPr>
          <w:rFonts w:hint="eastAsia" w:ascii="宋体" w:hAnsi="宋体" w:eastAsia="宋体" w:cs="宋体"/>
          <w:sz w:val="21"/>
          <w:szCs w:val="21"/>
          <w:highlight w:val="none"/>
          <w:u w:val="none"/>
          <w:lang w:val="en-US" w:eastAsia="zh-CN"/>
        </w:rPr>
        <w:t>01</w:t>
      </w:r>
      <w:r>
        <w:rPr>
          <w:rFonts w:hint="eastAsia" w:ascii="宋体" w:hAnsi="宋体" w:eastAsia="宋体" w:cs="宋体"/>
          <w:sz w:val="21"/>
          <w:szCs w:val="21"/>
          <w:highlight w:val="none"/>
          <w:u w:val="none"/>
        </w:rPr>
        <w:t>月</w:t>
      </w:r>
      <w:r>
        <w:rPr>
          <w:rFonts w:hint="eastAsia" w:ascii="宋体" w:hAnsi="宋体" w:eastAsia="宋体" w:cs="宋体"/>
          <w:sz w:val="21"/>
          <w:szCs w:val="21"/>
          <w:highlight w:val="none"/>
          <w:u w:val="none"/>
          <w:lang w:val="en-US" w:eastAsia="zh-CN"/>
        </w:rPr>
        <w:t>09</w:t>
      </w:r>
      <w:r>
        <w:rPr>
          <w:rFonts w:hint="eastAsia" w:ascii="宋体" w:hAnsi="宋体" w:eastAsia="宋体" w:cs="宋体"/>
          <w:sz w:val="21"/>
          <w:szCs w:val="21"/>
          <w:highlight w:val="none"/>
          <w:u w:val="none"/>
        </w:rPr>
        <w:t xml:space="preserve">日 09 点 30 分（北京时间） </w:t>
      </w:r>
    </w:p>
    <w:p w14:paraId="0A3461EA">
      <w:pPr>
        <w:pageBreakBefore w:val="0"/>
        <w:kinsoku/>
        <w:wordWrap/>
        <w:overflowPunct/>
        <w:topLinePunct w:val="0"/>
        <w:autoSpaceDE/>
        <w:autoSpaceDN/>
        <w:bidi w:val="0"/>
        <w:adjustRightInd/>
        <w:snapToGrid/>
        <w:spacing w:line="400" w:lineRule="exact"/>
        <w:ind w:firstLine="420" w:firstLineChars="200"/>
        <w:rPr>
          <w:rFonts w:hint="default" w:ascii="宋体" w:hAnsi="宋体" w:eastAsia="宋体" w:cs="宋体"/>
          <w:sz w:val="21"/>
          <w:szCs w:val="21"/>
          <w:highlight w:val="none"/>
          <w:u w:val="none"/>
          <w:lang w:val="en-US" w:eastAsia="zh-CN"/>
        </w:rPr>
      </w:pPr>
      <w:r>
        <w:rPr>
          <w:rFonts w:hint="eastAsia" w:ascii="宋体" w:hAnsi="宋体" w:eastAsia="宋体" w:cs="宋体"/>
          <w:sz w:val="21"/>
          <w:szCs w:val="21"/>
          <w:highlight w:val="none"/>
          <w:u w:val="none"/>
          <w:lang w:val="en-US" w:eastAsia="zh-CN"/>
        </w:rPr>
        <w:t>2.纸质投标文件递交截止时间：</w:t>
      </w:r>
      <w:r>
        <w:rPr>
          <w:rFonts w:hint="eastAsia" w:ascii="宋体" w:hAnsi="宋体" w:eastAsia="宋体" w:cs="宋体"/>
          <w:sz w:val="21"/>
          <w:szCs w:val="21"/>
          <w:highlight w:val="none"/>
          <w:u w:val="none"/>
        </w:rPr>
        <w:t>202</w:t>
      </w:r>
      <w:r>
        <w:rPr>
          <w:rFonts w:hint="eastAsia" w:ascii="宋体" w:hAnsi="宋体" w:eastAsia="宋体" w:cs="宋体"/>
          <w:sz w:val="21"/>
          <w:szCs w:val="21"/>
          <w:highlight w:val="none"/>
          <w:u w:val="none"/>
          <w:lang w:val="en-US" w:eastAsia="zh-CN"/>
        </w:rPr>
        <w:t>6</w:t>
      </w:r>
      <w:r>
        <w:rPr>
          <w:rFonts w:hint="eastAsia" w:ascii="宋体" w:hAnsi="宋体" w:eastAsia="宋体" w:cs="宋体"/>
          <w:sz w:val="21"/>
          <w:szCs w:val="21"/>
          <w:highlight w:val="none"/>
          <w:u w:val="none"/>
        </w:rPr>
        <w:t>年</w:t>
      </w:r>
      <w:r>
        <w:rPr>
          <w:rFonts w:hint="eastAsia" w:ascii="宋体" w:hAnsi="宋体" w:eastAsia="宋体" w:cs="宋体"/>
          <w:sz w:val="21"/>
          <w:szCs w:val="21"/>
          <w:highlight w:val="none"/>
          <w:u w:val="none"/>
          <w:lang w:val="en-US" w:eastAsia="zh-CN"/>
        </w:rPr>
        <w:t>01</w:t>
      </w:r>
      <w:r>
        <w:rPr>
          <w:rFonts w:hint="eastAsia" w:ascii="宋体" w:hAnsi="宋体" w:eastAsia="宋体" w:cs="宋体"/>
          <w:sz w:val="21"/>
          <w:szCs w:val="21"/>
          <w:highlight w:val="none"/>
          <w:u w:val="none"/>
        </w:rPr>
        <w:t>月</w:t>
      </w:r>
      <w:r>
        <w:rPr>
          <w:rFonts w:hint="eastAsia" w:ascii="宋体" w:hAnsi="宋体" w:eastAsia="宋体" w:cs="宋体"/>
          <w:sz w:val="21"/>
          <w:szCs w:val="21"/>
          <w:highlight w:val="none"/>
          <w:u w:val="none"/>
          <w:lang w:val="en-US" w:eastAsia="zh-CN"/>
        </w:rPr>
        <w:t>09</w:t>
      </w:r>
      <w:r>
        <w:rPr>
          <w:rFonts w:hint="eastAsia" w:ascii="宋体" w:hAnsi="宋体" w:eastAsia="宋体" w:cs="宋体"/>
          <w:sz w:val="21"/>
          <w:szCs w:val="21"/>
          <w:highlight w:val="none"/>
          <w:u w:val="none"/>
        </w:rPr>
        <w:t>日</w:t>
      </w:r>
      <w:r>
        <w:rPr>
          <w:rFonts w:hint="eastAsia" w:ascii="宋体" w:hAnsi="宋体" w:eastAsia="宋体" w:cs="宋体"/>
          <w:sz w:val="21"/>
          <w:szCs w:val="21"/>
          <w:highlight w:val="none"/>
          <w:u w:val="none"/>
          <w:lang w:val="en-US" w:eastAsia="zh-CN"/>
        </w:rPr>
        <w:t xml:space="preserve"> 09 点 30 分（北京时间）</w:t>
      </w:r>
    </w:p>
    <w:p w14:paraId="36A3C5DC">
      <w:pPr>
        <w:pStyle w:val="3"/>
        <w:pageBreakBefore w:val="0"/>
        <w:kinsoku/>
        <w:wordWrap/>
        <w:overflowPunct/>
        <w:topLinePunct w:val="0"/>
        <w:autoSpaceDE/>
        <w:autoSpaceDN/>
        <w:bidi w:val="0"/>
        <w:adjustRightInd/>
        <w:snapToGrid/>
        <w:spacing w:before="0" w:after="0" w:line="400" w:lineRule="exact"/>
        <w:ind w:firstLine="420" w:firstLineChars="200"/>
        <w:jc w:val="both"/>
        <w:rPr>
          <w:rFonts w:hint="default" w:ascii="宋体" w:hAnsi="宋体" w:eastAsia="宋体" w:cs="宋体"/>
          <w:b w:val="0"/>
          <w:bCs/>
          <w:kern w:val="2"/>
          <w:sz w:val="21"/>
          <w:szCs w:val="21"/>
          <w:highlight w:val="none"/>
          <w:u w:val="none"/>
          <w:lang w:val="en-US" w:eastAsia="zh-CN" w:bidi="ar-SA"/>
        </w:rPr>
      </w:pPr>
      <w:bookmarkStart w:id="18" w:name="_Toc35393625"/>
      <w:bookmarkStart w:id="19" w:name="_Toc35393794"/>
      <w:bookmarkStart w:id="20" w:name="_Toc28359007"/>
      <w:bookmarkStart w:id="21" w:name="_Toc28359084"/>
      <w:r>
        <w:rPr>
          <w:rFonts w:hint="eastAsia" w:ascii="宋体" w:hAnsi="宋体" w:eastAsia="宋体" w:cs="宋体"/>
          <w:b w:val="0"/>
          <w:bCs/>
          <w:kern w:val="2"/>
          <w:sz w:val="21"/>
          <w:szCs w:val="21"/>
          <w:highlight w:val="none"/>
          <w:u w:val="none"/>
          <w:lang w:val="en-US" w:eastAsia="zh-CN" w:bidi="ar-SA"/>
        </w:rPr>
        <w:t>地点：韶关市公共资源交易中心乐昌分中心(乐昌市昌山北路23号)，具体开标室以当日现场通知为准。</w:t>
      </w:r>
    </w:p>
    <w:p w14:paraId="5F6DA695">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五、公告期限</w:t>
      </w:r>
      <w:bookmarkEnd w:id="18"/>
      <w:bookmarkEnd w:id="19"/>
      <w:bookmarkEnd w:id="20"/>
      <w:bookmarkEnd w:id="21"/>
    </w:p>
    <w:p w14:paraId="44308D9F">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kern w:val="0"/>
          <w:sz w:val="21"/>
          <w:szCs w:val="21"/>
          <w:highlight w:val="none"/>
        </w:rPr>
        <w:t>自本公告发布之日起5个工作日。</w:t>
      </w:r>
      <w:bookmarkStart w:id="22" w:name="_Toc35393626"/>
      <w:bookmarkStart w:id="23" w:name="_Toc35393795"/>
    </w:p>
    <w:p w14:paraId="28E56223">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rPr>
        <w:t>六、其他补充事宜</w:t>
      </w:r>
      <w:bookmarkEnd w:id="22"/>
      <w:bookmarkEnd w:id="23"/>
      <w:r>
        <w:rPr>
          <w:rFonts w:hint="eastAsia" w:ascii="宋体" w:hAnsi="宋体" w:eastAsia="宋体" w:cs="宋体"/>
          <w:bCs/>
          <w:sz w:val="21"/>
          <w:szCs w:val="21"/>
          <w:highlight w:val="none"/>
          <w:lang w:val="en-US" w:eastAsia="zh-CN"/>
        </w:rPr>
        <w:t xml:space="preserve"> (温馨提示：为了避免投标人参与投标失败，请着重阅读此章节）</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14:paraId="71907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noWrap w:val="0"/>
            <w:vAlign w:val="top"/>
          </w:tcPr>
          <w:p w14:paraId="76649A04">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cs="宋体"/>
                <w:b/>
                <w:bCs/>
                <w:color w:val="auto"/>
                <w:kern w:val="16"/>
                <w:sz w:val="21"/>
                <w:szCs w:val="21"/>
                <w:highlight w:val="none"/>
                <w:lang w:eastAsia="zh-CN"/>
              </w:rPr>
              <w:t>（一）</w:t>
            </w:r>
            <w:r>
              <w:rPr>
                <w:rFonts w:hint="eastAsia" w:ascii="宋体" w:hAnsi="宋体" w:cs="宋体"/>
                <w:b/>
                <w:bCs/>
                <w:color w:val="auto"/>
                <w:kern w:val="16"/>
                <w:sz w:val="21"/>
                <w:szCs w:val="21"/>
                <w:highlight w:val="none"/>
                <w:lang w:val="en-US" w:eastAsia="zh-CN"/>
              </w:rPr>
              <w:t>招标</w:t>
            </w:r>
            <w:r>
              <w:rPr>
                <w:rFonts w:hint="eastAsia" w:ascii="宋体" w:hAnsi="宋体" w:eastAsia="宋体" w:cs="宋体"/>
                <w:b/>
                <w:bCs/>
                <w:color w:val="auto"/>
                <w:kern w:val="16"/>
                <w:sz w:val="21"/>
                <w:szCs w:val="21"/>
                <w:highlight w:val="none"/>
                <w:lang w:eastAsia="zh-CN"/>
              </w:rPr>
              <w:t>项目注意事项</w:t>
            </w:r>
          </w:p>
          <w:p w14:paraId="51DCD93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r>
              <w:rPr>
                <w:rFonts w:hint="eastAsia" w:cs="宋体"/>
                <w:b w:val="0"/>
                <w:bCs w:val="0"/>
                <w:color w:val="auto"/>
                <w:kern w:val="0"/>
                <w:sz w:val="21"/>
                <w:szCs w:val="21"/>
                <w:highlight w:val="none"/>
                <w:lang w:val="en-US" w:eastAsia="zh-CN" w:bidi="ar-SA"/>
              </w:rPr>
              <w:t>.</w:t>
            </w:r>
            <w:r>
              <w:rPr>
                <w:rFonts w:hint="eastAsia" w:ascii="宋体" w:hAnsi="宋体" w:eastAsia="宋体" w:cs="宋体"/>
                <w:b w:val="0"/>
                <w:bCs w:val="0"/>
                <w:color w:val="auto"/>
                <w:kern w:val="0"/>
                <w:sz w:val="21"/>
                <w:szCs w:val="21"/>
                <w:highlight w:val="none"/>
                <w:lang w:val="en-US" w:eastAsia="zh-CN" w:bidi="ar-SA"/>
              </w:rPr>
              <w:t>参与本项目的投标人须采用韶关市公共资源交易一体化平台“产权招标交易系统”进行网上报名</w:t>
            </w:r>
            <w:r>
              <w:rPr>
                <w:rFonts w:hint="eastAsia" w:ascii="宋体" w:hAnsi="宋体" w:eastAsia="宋体" w:cs="宋体"/>
                <w:color w:val="auto"/>
                <w:kern w:val="16"/>
                <w:sz w:val="21"/>
                <w:szCs w:val="21"/>
                <w:highlight w:val="none"/>
                <w:lang w:eastAsia="zh-CN"/>
              </w:rPr>
              <w:t>、交纳投标保证金。</w:t>
            </w:r>
          </w:p>
          <w:p w14:paraId="60FFE521">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2.</w:t>
            </w:r>
            <w:r>
              <w:rPr>
                <w:rFonts w:hint="eastAsia" w:ascii="宋体" w:hAnsi="宋体" w:eastAsia="宋体" w:cs="宋体"/>
                <w:b w:val="0"/>
                <w:bCs w:val="0"/>
                <w:color w:val="auto"/>
                <w:kern w:val="0"/>
                <w:sz w:val="21"/>
                <w:szCs w:val="21"/>
                <w:highlight w:val="none"/>
                <w:lang w:val="en-US" w:eastAsia="zh-CN" w:bidi="ar-SA"/>
              </w:rPr>
              <w:t>报名事宜</w:t>
            </w:r>
          </w:p>
          <w:p w14:paraId="5923AF35">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（1）</w:t>
            </w:r>
            <w:r>
              <w:rPr>
                <w:rFonts w:hint="eastAsia" w:ascii="宋体" w:hAnsi="宋体" w:eastAsia="宋体" w:cs="宋体"/>
                <w:b w:val="0"/>
                <w:bCs w:val="0"/>
                <w:color w:val="auto"/>
                <w:kern w:val="0"/>
                <w:sz w:val="21"/>
                <w:szCs w:val="21"/>
                <w:highlight w:val="none"/>
                <w:lang w:val="en-US" w:eastAsia="zh-CN" w:bidi="ar-SA"/>
              </w:rPr>
              <w:t>报名流程：投标人必须在报名时间内登录广东省公共资源交易平台（韶关市）（https://ygp.gdzwfw.gov.cn/ggzy-portal/#/440200/index），韶关市公共资源交易一体化平台（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），在用户登录窗口登录。登录成功后，点击“产权招标交易系统”进入产权招标交易系统，点击“系统功能菜单”中的“投标报名 &gt; 项目列表”查看可报名的项目，选择需参与的项目分包，点击“报名”，输入联系人、联系电话，输入Pin码验证成功后，点击“确认”即可。在“已报项目”栏中看到已报项目，即为报名成功。</w:t>
            </w:r>
          </w:p>
          <w:p w14:paraId="0611BDFE">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（2）</w:t>
            </w:r>
            <w:r>
              <w:rPr>
                <w:rFonts w:hint="eastAsia" w:ascii="宋体" w:hAnsi="宋体" w:eastAsia="宋体" w:cs="宋体"/>
                <w:b w:val="0"/>
                <w:bCs w:val="0"/>
                <w:color w:val="auto"/>
                <w:kern w:val="0"/>
                <w:sz w:val="21"/>
                <w:szCs w:val="21"/>
                <w:highlight w:val="none"/>
                <w:lang w:val="en-US" w:eastAsia="zh-CN" w:bidi="ar-SA"/>
              </w:rPr>
              <w:t>未在韶关市公共资源交易中心办理韶关市电子交易平台数字证书和产权招标交易系统</w:t>
            </w:r>
            <w:r>
              <w:rPr>
                <w:rFonts w:hint="eastAsia" w:cs="宋体"/>
                <w:b w:val="0"/>
                <w:bCs w:val="0"/>
                <w:color w:val="auto"/>
                <w:kern w:val="0"/>
                <w:sz w:val="21"/>
                <w:szCs w:val="21"/>
                <w:highlight w:val="none"/>
                <w:lang w:val="en-US" w:eastAsia="zh-CN" w:bidi="ar-SA"/>
              </w:rPr>
              <w:t>投标人</w:t>
            </w:r>
            <w:r>
              <w:rPr>
                <w:rFonts w:hint="eastAsia" w:ascii="宋体" w:hAnsi="宋体" w:eastAsia="宋体" w:cs="宋体"/>
                <w:b w:val="0"/>
                <w:bCs w:val="0"/>
                <w:color w:val="auto"/>
                <w:kern w:val="0"/>
                <w:sz w:val="21"/>
                <w:szCs w:val="21"/>
                <w:highlight w:val="none"/>
                <w:lang w:val="en-US" w:eastAsia="zh-CN" w:bidi="ar-SA"/>
              </w:rPr>
              <w:t>入库手续的，投标人应当登录广东省公共资源交易平台（韶关市）（https://ygp.gdzwfw.gov.cn/ggzy-portal/#/440200/index）、韶关市公共资源交易一体化平台（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用户注册及完善企业信息、上传资料，携带相关资料到韶关市公共资源交易中心1号楼一楼办事大厅办理相关手续（详见韶关市公共资源交易一体化平台的《韶关市公共资源交易一体化平台使用产权招标交易系统注意事项》的附件《韶关市公共资源交易一体化平台产权招标交易-投标人用户手册》）。</w:t>
            </w:r>
          </w:p>
          <w:p w14:paraId="38D19452">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（3）</w:t>
            </w:r>
            <w:r>
              <w:rPr>
                <w:rFonts w:hint="eastAsia" w:ascii="宋体" w:hAnsi="宋体" w:eastAsia="宋体" w:cs="宋体"/>
                <w:b w:val="0"/>
                <w:bCs w:val="0"/>
                <w:color w:val="auto"/>
                <w:kern w:val="0"/>
                <w:sz w:val="21"/>
                <w:szCs w:val="21"/>
                <w:highlight w:val="none"/>
                <w:lang w:val="en-US" w:eastAsia="zh-CN" w:bidi="ar-SA"/>
              </w:rPr>
              <w:t>报名成功后，投标人自行登录广东省公共资源交易平台（韶关市）（https://ygp.gdzwfw.gov.cn/ggzy-portal/#/440200/index）、韶关市公共资源交易一体化平台（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）或产权招标交易系统下载招标文件、操作指南（以最新日期版本为准）参加投标活动。</w:t>
            </w:r>
          </w:p>
          <w:p w14:paraId="3627F10B">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（4）</w:t>
            </w:r>
            <w:r>
              <w:rPr>
                <w:rFonts w:hint="eastAsia" w:ascii="宋体" w:hAnsi="宋体" w:eastAsia="宋体" w:cs="宋体"/>
                <w:b w:val="0"/>
                <w:bCs w:val="0"/>
                <w:color w:val="auto"/>
                <w:kern w:val="0"/>
                <w:sz w:val="21"/>
                <w:szCs w:val="21"/>
                <w:highlight w:val="none"/>
                <w:lang w:val="en-US" w:eastAsia="zh-CN" w:bidi="ar-SA"/>
              </w:rPr>
              <w:t>其他事宜（技术支持：0751-8379671伍工）</w:t>
            </w:r>
          </w:p>
          <w:p w14:paraId="60CC206B">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3.投标保证金</w:t>
            </w:r>
            <w:r>
              <w:rPr>
                <w:rFonts w:hint="eastAsia" w:ascii="宋体" w:hAnsi="宋体" w:eastAsia="宋体" w:cs="宋体"/>
                <w:b w:val="0"/>
                <w:bCs w:val="0"/>
                <w:color w:val="auto"/>
                <w:kern w:val="0"/>
                <w:sz w:val="21"/>
                <w:szCs w:val="21"/>
                <w:highlight w:val="none"/>
                <w:lang w:val="en-US" w:eastAsia="zh-CN" w:bidi="ar-SA"/>
              </w:rPr>
              <w:t>事宜</w:t>
            </w:r>
          </w:p>
          <w:p w14:paraId="0A325F6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（1）投标保证金交纳截止时间：202</w:t>
            </w:r>
            <w:r>
              <w:rPr>
                <w:rFonts w:hint="eastAsia" w:cs="宋体"/>
                <w:color w:val="auto"/>
                <w:kern w:val="0"/>
                <w:sz w:val="21"/>
                <w:szCs w:val="21"/>
                <w:highlight w:val="none"/>
                <w:lang w:val="en-US" w:eastAsia="zh-CN" w:bidi="ar-SA"/>
              </w:rPr>
              <w:t>6</w:t>
            </w:r>
            <w:r>
              <w:rPr>
                <w:rFonts w:hint="eastAsia" w:ascii="宋体" w:hAnsi="宋体" w:eastAsia="宋体" w:cs="宋体"/>
                <w:color w:val="auto"/>
                <w:kern w:val="0"/>
                <w:sz w:val="21"/>
                <w:szCs w:val="21"/>
                <w:highlight w:val="none"/>
                <w:lang w:val="en-US" w:eastAsia="zh-CN" w:bidi="ar-SA"/>
              </w:rPr>
              <w:t>年</w:t>
            </w:r>
            <w:r>
              <w:rPr>
                <w:rFonts w:hint="eastAsia" w:cs="宋体"/>
                <w:sz w:val="21"/>
                <w:szCs w:val="21"/>
                <w:highlight w:val="none"/>
                <w:u w:val="none"/>
                <w:lang w:val="en-US" w:eastAsia="zh-CN"/>
              </w:rPr>
              <w:t>01</w:t>
            </w:r>
            <w:r>
              <w:rPr>
                <w:rFonts w:hint="eastAsia" w:ascii="宋体" w:hAnsi="宋体" w:eastAsia="宋体" w:cs="宋体"/>
                <w:sz w:val="21"/>
                <w:szCs w:val="21"/>
                <w:highlight w:val="none"/>
                <w:u w:val="none"/>
              </w:rPr>
              <w:t>月</w:t>
            </w:r>
            <w:r>
              <w:rPr>
                <w:rFonts w:hint="eastAsia" w:cs="宋体"/>
                <w:sz w:val="21"/>
                <w:szCs w:val="21"/>
                <w:highlight w:val="none"/>
                <w:u w:val="none"/>
                <w:lang w:val="en-US" w:eastAsia="zh-CN"/>
              </w:rPr>
              <w:t>08</w:t>
            </w:r>
            <w:r>
              <w:rPr>
                <w:rFonts w:hint="eastAsia" w:ascii="宋体" w:hAnsi="宋体" w:eastAsia="宋体" w:cs="宋体"/>
                <w:sz w:val="21"/>
                <w:szCs w:val="21"/>
                <w:highlight w:val="none"/>
                <w:u w:val="none"/>
              </w:rPr>
              <w:t>日</w:t>
            </w:r>
            <w:r>
              <w:rPr>
                <w:rFonts w:hint="eastAsia" w:cs="宋体"/>
                <w:color w:val="auto"/>
                <w:kern w:val="0"/>
                <w:sz w:val="21"/>
                <w:szCs w:val="21"/>
                <w:highlight w:val="none"/>
                <w:lang w:val="en-US" w:eastAsia="zh-CN" w:bidi="ar-SA"/>
              </w:rPr>
              <w:t>10</w:t>
            </w:r>
            <w:r>
              <w:rPr>
                <w:rFonts w:hint="eastAsia" w:ascii="宋体" w:hAnsi="宋体" w:eastAsia="宋体" w:cs="宋体"/>
                <w:color w:val="auto"/>
                <w:kern w:val="0"/>
                <w:sz w:val="21"/>
                <w:szCs w:val="21"/>
                <w:highlight w:val="none"/>
                <w:lang w:val="en-US" w:eastAsia="zh-CN" w:bidi="ar-SA"/>
              </w:rPr>
              <w:t>时</w:t>
            </w:r>
            <w:r>
              <w:rPr>
                <w:rFonts w:hint="eastAsia" w:cs="宋体"/>
                <w:color w:val="auto"/>
                <w:kern w:val="0"/>
                <w:sz w:val="21"/>
                <w:szCs w:val="21"/>
                <w:highlight w:val="none"/>
                <w:lang w:val="en-US" w:eastAsia="zh-CN" w:bidi="ar-SA"/>
              </w:rPr>
              <w:t>0</w:t>
            </w:r>
            <w:r>
              <w:rPr>
                <w:rFonts w:hint="eastAsia" w:ascii="宋体" w:hAnsi="宋体" w:eastAsia="宋体" w:cs="宋体"/>
                <w:color w:val="auto"/>
                <w:kern w:val="0"/>
                <w:sz w:val="21"/>
                <w:szCs w:val="21"/>
                <w:highlight w:val="none"/>
                <w:lang w:val="en-US" w:eastAsia="zh-CN" w:bidi="ar-SA"/>
              </w:rPr>
              <w:t>0分（北京时间）</w:t>
            </w:r>
          </w:p>
          <w:p w14:paraId="28462342">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（2）本项目投标保证金金额为：</w:t>
            </w:r>
            <w:r>
              <w:rPr>
                <w:rFonts w:hint="eastAsia" w:ascii="宋体" w:hAnsi="宋体" w:eastAsia="宋体" w:cs="宋体"/>
                <w:b/>
                <w:bCs/>
                <w:color w:val="auto"/>
                <w:kern w:val="2"/>
                <w:sz w:val="21"/>
                <w:szCs w:val="21"/>
                <w:highlight w:val="none"/>
                <w:lang w:val="en-US" w:eastAsia="zh-CN" w:bidi="ar-SA"/>
              </w:rPr>
              <w:t>¥</w:t>
            </w:r>
            <w:r>
              <w:rPr>
                <w:rFonts w:hint="eastAsia" w:cs="宋体"/>
                <w:b/>
                <w:bCs/>
                <w:color w:val="auto"/>
                <w:kern w:val="2"/>
                <w:sz w:val="21"/>
                <w:szCs w:val="21"/>
                <w:highlight w:val="none"/>
                <w:lang w:val="en-US" w:eastAsia="zh-CN" w:bidi="ar-SA"/>
              </w:rPr>
              <w:t>46</w:t>
            </w:r>
            <w:r>
              <w:rPr>
                <w:rFonts w:hint="eastAsia" w:ascii="宋体" w:hAnsi="宋体" w:eastAsia="宋体" w:cs="宋体"/>
                <w:b/>
                <w:bCs/>
                <w:color w:val="auto"/>
                <w:kern w:val="2"/>
                <w:sz w:val="21"/>
                <w:szCs w:val="21"/>
                <w:highlight w:val="none"/>
                <w:lang w:val="en-US" w:eastAsia="zh-CN" w:bidi="ar-SA"/>
              </w:rPr>
              <w:t>,000.00元（人民币</w:t>
            </w:r>
            <w:r>
              <w:rPr>
                <w:rFonts w:hint="eastAsia" w:cs="宋体"/>
                <w:b/>
                <w:bCs/>
                <w:color w:val="auto"/>
                <w:kern w:val="2"/>
                <w:sz w:val="21"/>
                <w:szCs w:val="21"/>
                <w:highlight w:val="none"/>
                <w:lang w:val="en-US" w:eastAsia="zh-CN" w:bidi="ar-SA"/>
              </w:rPr>
              <w:t>肆万陆仟元</w:t>
            </w:r>
            <w:r>
              <w:rPr>
                <w:rFonts w:hint="eastAsia" w:ascii="宋体" w:hAnsi="宋体" w:eastAsia="宋体" w:cs="宋体"/>
                <w:b/>
                <w:bCs/>
                <w:color w:val="auto"/>
                <w:kern w:val="2"/>
                <w:sz w:val="21"/>
                <w:szCs w:val="21"/>
                <w:highlight w:val="none"/>
                <w:lang w:val="en-US" w:eastAsia="zh-CN" w:bidi="ar-SA"/>
              </w:rPr>
              <w:t>整）</w:t>
            </w:r>
          </w:p>
          <w:p w14:paraId="0D6C88FC">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（3）交纳投标保证金流程：</w:t>
            </w:r>
            <w:r>
              <w:rPr>
                <w:rFonts w:hint="eastAsia" w:ascii="宋体" w:hAnsi="宋体" w:eastAsia="宋体" w:cs="宋体"/>
                <w:color w:val="auto"/>
                <w:kern w:val="16"/>
                <w:sz w:val="21"/>
                <w:szCs w:val="21"/>
                <w:highlight w:val="none"/>
                <w:lang w:eastAsia="zh-CN"/>
              </w:rPr>
              <w:t>报名成功后，</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w:t>
            </w:r>
            <w:r>
              <w:rPr>
                <w:rFonts w:hint="eastAsia" w:ascii="宋体" w:hAnsi="宋体" w:eastAsia="宋体" w:cs="宋体"/>
                <w:color w:val="auto"/>
                <w:kern w:val="0"/>
                <w:sz w:val="21"/>
                <w:szCs w:val="21"/>
                <w:highlight w:val="none"/>
                <w:lang w:val="en-US" w:eastAsia="zh-CN" w:bidi="ar-SA"/>
              </w:rPr>
              <w:t>在已报项目处理页面中，点击“缴纳保证金”按钮，可以进入缴纳投标保证金页面。</w:t>
            </w:r>
          </w:p>
          <w:p w14:paraId="123570E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（4）缴纳投标保证金方式：①转账、②保函</w:t>
            </w:r>
          </w:p>
          <w:p w14:paraId="38E81918">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①转账：</w:t>
            </w:r>
            <w:bookmarkStart w:id="24" w:name="OLE_LINK45"/>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必须在投标保证金交纳截止时间前登录产权招标交易系统，点击“系统功能菜单”中的“投标报名 &gt; 已报项目”，选择相应的项目，点击“缴纳保证金”，产权招标交易系统将弹出“缴纳保证金”窗口，选择缴费银行，点击“确定，下一步”，产权招标交易系统将自动生成子账号（特别注意：该子账号为一次性账号，仅限当前获取该子账号的</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参加该项目当次采购活动有效），</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将投标保证金一次性足额汇入子帐号。在“是否缴纳保证金”栏显示为“是”后（请勿在显示“否”时打印），点击“打印保证金交纳信息表”，将保证金交纳信息表打印出来，并粘贴或装订在投标文件。产权招标交易系统将根据投标保证金到达产权招标交易系统的时间判断投标保证金是否有效，“保证金是否有效交纳”栏显示为“已交纳”，即为投标保证金有效。投标保证金有效与否，将以产权招标交易系统作为判断依据。请各</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充分考虑到银行转账的时间差，适时提前转账（建议</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在投标保证金提交截止时间的2个工作日之前交纳投标保证金），否则，由此产生的一切后果由</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自行承担。</w:t>
            </w:r>
            <w:bookmarkEnd w:id="24"/>
          </w:p>
          <w:p w14:paraId="59D4EFA7">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default" w:ascii="宋体" w:hAnsi="宋体" w:eastAsia="宋体" w:cs="宋体"/>
                <w:color w:val="auto"/>
                <w:kern w:val="0"/>
                <w:sz w:val="21"/>
                <w:szCs w:val="21"/>
                <w:highlight w:val="none"/>
                <w:lang w:val="en-US" w:eastAsia="zh-CN" w:bidi="ar-SA"/>
              </w:rPr>
              <w:t>②保函</w:t>
            </w:r>
            <w:r>
              <w:rPr>
                <w:rFonts w:hint="eastAsia" w:ascii="宋体" w:hAnsi="宋体" w:eastAsia="宋体" w:cs="宋体"/>
                <w:color w:val="auto"/>
                <w:kern w:val="0"/>
                <w:sz w:val="21"/>
                <w:szCs w:val="21"/>
                <w:highlight w:val="none"/>
                <w:lang w:val="en-US" w:eastAsia="zh-CN" w:bidi="ar-SA"/>
              </w:rPr>
              <w:t>：</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必须在投标保证金交纳截止时间前登录产权招标交易系统，点击“系统功能菜单”中的“投标报名 &gt; 已报项目”，选择相应的项目，点击“缴纳保证金”，按照产权交易系统的要求制作和上传</w:t>
            </w:r>
            <w:r>
              <w:rPr>
                <w:rFonts w:hint="eastAsia" w:ascii="宋体" w:hAnsi="宋体" w:eastAsia="宋体" w:cs="宋体"/>
                <w:color w:val="auto"/>
                <w:kern w:val="0"/>
                <w:sz w:val="21"/>
                <w:szCs w:val="21"/>
                <w:highlight w:val="none"/>
                <w:lang w:val="en-US" w:eastAsia="zh-CN" w:bidi="ar-SA"/>
              </w:rPr>
              <w:t>有效的</w:t>
            </w:r>
            <w:r>
              <w:rPr>
                <w:rFonts w:hint="eastAsia" w:ascii="宋体" w:hAnsi="宋体" w:eastAsia="宋体" w:cs="宋体"/>
                <w:color w:val="auto"/>
                <w:kern w:val="16"/>
                <w:sz w:val="21"/>
                <w:szCs w:val="21"/>
                <w:highlight w:val="none"/>
                <w:lang w:eastAsia="zh-CN"/>
              </w:rPr>
              <w:t>保函电子文件</w:t>
            </w:r>
            <w:r>
              <w:rPr>
                <w:rFonts w:hint="eastAsia" w:cs="宋体"/>
                <w:color w:val="auto"/>
                <w:kern w:val="0"/>
                <w:sz w:val="21"/>
                <w:szCs w:val="21"/>
                <w:highlight w:val="none"/>
                <w:lang w:val="en-US" w:eastAsia="zh-CN" w:bidi="ar-SA"/>
              </w:rPr>
              <w:t>（保函的有效期不得短于投标有效期）</w:t>
            </w:r>
            <w:r>
              <w:rPr>
                <w:rFonts w:hint="eastAsia" w:ascii="宋体" w:hAnsi="宋体" w:eastAsia="宋体" w:cs="宋体"/>
                <w:color w:val="auto"/>
                <w:kern w:val="0"/>
                <w:sz w:val="21"/>
                <w:szCs w:val="21"/>
                <w:highlight w:val="none"/>
                <w:lang w:val="en-US" w:eastAsia="zh-CN" w:bidi="ar-SA"/>
              </w:rPr>
              <w:t>。保证金缴纳成功，才能参与评标。</w:t>
            </w:r>
          </w:p>
          <w:p w14:paraId="7A7C2B4B">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具体操作流程：登录广东省公共资源交易平台（韶关市）（https://ygp.gdzwfw.gov.cn/ggzy-portal/#/440200/index）－服务指南－下载《韶关市公共资源交易一体化平台产权招标交易-投标人用户手册》</w:t>
            </w:r>
          </w:p>
          <w:p w14:paraId="339B86B7">
            <w:pPr>
              <w:pStyle w:val="16"/>
              <w:keepNext w:val="0"/>
              <w:keepLines w:val="0"/>
              <w:pageBreakBefore w:val="0"/>
              <w:widowControl/>
              <w:numPr>
                <w:ilvl w:val="0"/>
                <w:numId w:val="3"/>
              </w:numPr>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技术支持：0751-8379671 伍工</w:t>
            </w:r>
          </w:p>
          <w:p w14:paraId="25C589FD">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4.交纳投标保证金注意事项：</w:t>
            </w:r>
          </w:p>
          <w:p w14:paraId="139EB5B4">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交纳投标保证金的投标人必须已报名本项目，投标人必须按招标文件规定的金额和规定的期限内交纳投标保证金，投标人与投标保证金的交款人名称必须一致，否则，评标委员会将对其投标文件作无效投标处理。</w:t>
            </w:r>
          </w:p>
          <w:p w14:paraId="060C8C2E">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(2)投标人必须将投标保证金一次性足额汇入交易系统自动生成的子账户，不接受现金、分批次交款或采用EFT系统(广东金融结算系统)方式交纳投标保证金，否则，评标委员会将对其投标文件作无效投标处理。</w:t>
            </w:r>
          </w:p>
          <w:p w14:paraId="719FAB8C">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(3)产权招标交易系统将在采购活动结束后按政府采购相关法律法规的规定以“原渠道返回”方式退回投标保证金。</w:t>
            </w:r>
          </w:p>
          <w:p w14:paraId="408139F5">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5.特别注意事项</w:t>
            </w:r>
          </w:p>
          <w:p w14:paraId="6E132FE9">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1）首次在韶关市公共资源交易一体化平台“产权招标交易”招标投标活动的投标人，必须在平台系统上传企业相关资料办理企业入库事宜。投标人可登录全国公共资源交易平台（广东省·韶关市）（https://ygp.gdzwfw.gov.cn/#/440200/index）办理办理企业入库、数字证书及电子印章事宜，具体请在平台查阅相应的交易指引。已入库企业有关信息（如单位名称、基本账号、资质、人员等）发生变化的，须及时在交易系统进行相应变更。投标人未及时变更信息而造成的损失和后果，由投标人自行承担。（请及时办理相关电子印章）</w:t>
            </w:r>
          </w:p>
          <w:p w14:paraId="6945FA43">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2）在投标文件提交截止时间前，投标人须在产权招标交易系统按要求完成授权、保证金递交及在线投标（上传标书），相关操作流程可查看投标韶关市公共资源交易一体化平台的《韶关市公共资源交易一体化平台使用产权招标交易系统注意事项》的附件《韶关市公共资源交易一体化平台产权招标交易-投标人用户手册》）。如遇系统问题请联系系统</w:t>
            </w:r>
            <w:r>
              <w:rPr>
                <w:rFonts w:hint="eastAsia" w:ascii="宋体" w:hAnsi="宋体" w:eastAsia="宋体" w:cs="宋体"/>
                <w:b/>
                <w:bCs/>
                <w:color w:val="auto"/>
                <w:kern w:val="16"/>
                <w:sz w:val="21"/>
                <w:szCs w:val="21"/>
                <w:highlight w:val="none"/>
                <w:lang w:eastAsia="zh-CN"/>
              </w:rPr>
              <w:t>技术支持：</w:t>
            </w:r>
            <w:r>
              <w:rPr>
                <w:rFonts w:hint="eastAsia" w:ascii="宋体" w:hAnsi="宋体" w:eastAsia="宋体" w:cs="宋体"/>
                <w:b/>
                <w:bCs/>
                <w:color w:val="auto"/>
                <w:kern w:val="16"/>
                <w:sz w:val="21"/>
                <w:szCs w:val="21"/>
                <w:highlight w:val="none"/>
                <w:lang w:val="en-US" w:eastAsia="zh-CN"/>
              </w:rPr>
              <w:t>伍工 0751-8379671。</w:t>
            </w:r>
          </w:p>
          <w:p w14:paraId="5D68FD0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default"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（3）</w:t>
            </w:r>
            <w:r>
              <w:rPr>
                <w:rFonts w:hint="default" w:ascii="宋体" w:hAnsi="宋体" w:eastAsia="宋体" w:cs="Times New Roman"/>
                <w:b/>
                <w:bCs/>
                <w:color w:val="auto"/>
                <w:sz w:val="21"/>
                <w:szCs w:val="21"/>
                <w:highlight w:val="none"/>
                <w:lang w:val="en-US" w:eastAsia="zh-CN"/>
              </w:rPr>
              <w:t>补救方案</w:t>
            </w:r>
            <w:r>
              <w:rPr>
                <w:rFonts w:hint="eastAsia" w:ascii="宋体" w:hAnsi="宋体" w:eastAsia="宋体" w:cs="Times New Roman"/>
                <w:b/>
                <w:bCs/>
                <w:color w:val="auto"/>
                <w:sz w:val="21"/>
                <w:szCs w:val="21"/>
                <w:highlight w:val="none"/>
                <w:lang w:val="en-US" w:eastAsia="zh-CN"/>
              </w:rPr>
              <w:t>：</w:t>
            </w:r>
          </w:p>
          <w:p w14:paraId="4C4DEC30">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default" w:ascii="宋体" w:hAnsi="宋体" w:eastAsia="宋体" w:cs="Times New Roman"/>
                <w:b/>
                <w:bCs/>
                <w:color w:val="auto"/>
                <w:sz w:val="21"/>
                <w:szCs w:val="21"/>
                <w:highlight w:val="none"/>
                <w:lang w:val="en-US" w:eastAsia="zh-CN"/>
              </w:rPr>
            </w:pPr>
            <w:r>
              <w:rPr>
                <w:rFonts w:hint="eastAsia" w:ascii="宋体" w:hAnsi="宋体" w:eastAsia="宋体" w:cs="宋体"/>
                <w:b/>
                <w:bCs/>
                <w:color w:val="auto"/>
                <w:kern w:val="0"/>
                <w:sz w:val="21"/>
                <w:szCs w:val="21"/>
                <w:highlight w:val="none"/>
                <w:lang w:val="en-US" w:eastAsia="zh-CN" w:bidi="ar-SA"/>
              </w:rPr>
              <w:t>①</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评标时突发情况的补救方案</w:t>
            </w:r>
          </w:p>
          <w:p w14:paraId="289FB39D">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default" w:ascii="宋体" w:hAnsi="宋体" w:eastAsia="宋体" w:cs="Times New Roman"/>
                <w:b/>
                <w:bCs/>
                <w:color w:val="auto"/>
                <w:sz w:val="21"/>
                <w:szCs w:val="21"/>
                <w:highlight w:val="none"/>
                <w:lang w:val="en-US" w:eastAsia="zh-CN"/>
              </w:rPr>
            </w:pPr>
            <w:r>
              <w:rPr>
                <w:rFonts w:hint="default" w:ascii="宋体" w:hAnsi="宋体" w:eastAsia="宋体" w:cs="Times New Roman"/>
                <w:b/>
                <w:bCs/>
                <w:color w:val="auto"/>
                <w:sz w:val="21"/>
                <w:szCs w:val="21"/>
                <w:highlight w:val="none"/>
                <w:lang w:val="en-US" w:eastAsia="zh-CN"/>
              </w:rPr>
              <w:t>在</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评标过程中，因主场或副场网络故障、电子设备或者评标系统故障，以及其他原因导致无法继续进行</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w:t>
            </w:r>
            <w:r>
              <w:rPr>
                <w:rFonts w:hint="eastAsia" w:ascii="宋体" w:hAnsi="宋体" w:eastAsia="宋体" w:cs="Times New Roman"/>
                <w:b/>
                <w:bCs/>
                <w:color w:val="auto"/>
                <w:sz w:val="21"/>
                <w:szCs w:val="21"/>
                <w:highlight w:val="none"/>
                <w:lang w:val="en-US" w:eastAsia="zh-CN"/>
              </w:rPr>
              <w:t>活动</w:t>
            </w:r>
            <w:r>
              <w:rPr>
                <w:rFonts w:hint="default" w:ascii="宋体" w:hAnsi="宋体" w:eastAsia="宋体" w:cs="Times New Roman"/>
                <w:b/>
                <w:bCs/>
                <w:color w:val="auto"/>
                <w:sz w:val="21"/>
                <w:szCs w:val="21"/>
                <w:highlight w:val="none"/>
                <w:lang w:val="en-US" w:eastAsia="zh-CN"/>
              </w:rPr>
              <w:t>时，在</w:t>
            </w:r>
            <w:r>
              <w:rPr>
                <w:rFonts w:hint="eastAsia" w:ascii="宋体" w:hAnsi="宋体" w:eastAsia="宋体" w:cs="Times New Roman"/>
                <w:b/>
                <w:bCs/>
                <w:color w:val="auto"/>
                <w:sz w:val="21"/>
                <w:szCs w:val="21"/>
                <w:highlight w:val="none"/>
                <w:lang w:val="en-US" w:eastAsia="zh-CN"/>
              </w:rPr>
              <w:t>短时间</w:t>
            </w:r>
            <w:r>
              <w:rPr>
                <w:rFonts w:hint="default" w:ascii="宋体" w:hAnsi="宋体" w:eastAsia="宋体" w:cs="Times New Roman"/>
                <w:b/>
                <w:bCs/>
                <w:color w:val="auto"/>
                <w:sz w:val="21"/>
                <w:szCs w:val="21"/>
                <w:highlight w:val="none"/>
                <w:lang w:val="en-US" w:eastAsia="zh-CN"/>
              </w:rPr>
              <w:t>内无法解除故障的，</w:t>
            </w:r>
            <w:r>
              <w:rPr>
                <w:rFonts w:hint="eastAsia" w:ascii="宋体" w:hAnsi="宋体" w:eastAsia="宋体" w:cs="Times New Roman"/>
                <w:b/>
                <w:bCs/>
                <w:color w:val="auto"/>
                <w:sz w:val="21"/>
                <w:szCs w:val="21"/>
                <w:highlight w:val="none"/>
                <w:lang w:val="en-US" w:eastAsia="zh-CN"/>
              </w:rPr>
              <w:t>则转为线下评审</w:t>
            </w:r>
            <w:r>
              <w:rPr>
                <w:rFonts w:hint="default" w:ascii="宋体" w:hAnsi="宋体" w:eastAsia="宋体" w:cs="Times New Roman"/>
                <w:b/>
                <w:bCs/>
                <w:color w:val="auto"/>
                <w:sz w:val="21"/>
                <w:szCs w:val="21"/>
                <w:highlight w:val="none"/>
                <w:lang w:val="en-US" w:eastAsia="zh-CN"/>
              </w:rPr>
              <w:t>。</w:t>
            </w:r>
          </w:p>
          <w:p w14:paraId="047EA307">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eastAsia" w:ascii="宋体" w:hAnsi="宋体" w:eastAsia="宋体" w:cs="宋体"/>
                <w:b/>
                <w:bCs/>
                <w:color w:val="auto"/>
                <w:kern w:val="16"/>
                <w:sz w:val="21"/>
                <w:szCs w:val="21"/>
                <w:highlight w:val="none"/>
                <w:lang w:val="en-US" w:eastAsia="zh-CN"/>
              </w:rPr>
            </w:pPr>
            <w:r>
              <w:rPr>
                <w:rFonts w:hint="default" w:ascii="宋体" w:hAnsi="宋体" w:eastAsia="宋体" w:cs="宋体"/>
                <w:b/>
                <w:bCs/>
                <w:color w:val="auto"/>
                <w:kern w:val="0"/>
                <w:sz w:val="21"/>
                <w:szCs w:val="21"/>
                <w:highlight w:val="none"/>
                <w:lang w:val="en-US" w:eastAsia="zh-CN" w:bidi="ar-SA"/>
              </w:rPr>
              <w:t>②</w:t>
            </w:r>
            <w:r>
              <w:rPr>
                <w:rFonts w:hint="default" w:ascii="宋体" w:hAnsi="宋体" w:eastAsia="宋体" w:cs="Times New Roman"/>
                <w:b/>
                <w:bCs/>
                <w:color w:val="auto"/>
                <w:sz w:val="21"/>
                <w:szCs w:val="21"/>
                <w:highlight w:val="none"/>
                <w:lang w:val="en-US" w:eastAsia="zh-CN"/>
              </w:rPr>
              <w:t>本次招标实行电子投标，开标评标均以投标人通过交易平台</w:t>
            </w:r>
            <w:r>
              <w:rPr>
                <w:rFonts w:hint="eastAsia" w:ascii="宋体" w:hAnsi="宋体" w:eastAsia="宋体" w:cs="Times New Roman"/>
                <w:b/>
                <w:bCs/>
                <w:color w:val="auto"/>
                <w:sz w:val="21"/>
                <w:szCs w:val="21"/>
                <w:highlight w:val="none"/>
                <w:lang w:val="en-US" w:eastAsia="zh-CN"/>
              </w:rPr>
              <w:t>上传的</w:t>
            </w:r>
            <w:r>
              <w:rPr>
                <w:rFonts w:hint="default" w:ascii="宋体" w:hAnsi="宋体" w:eastAsia="宋体" w:cs="Times New Roman"/>
                <w:b/>
                <w:bCs/>
                <w:color w:val="auto"/>
                <w:sz w:val="21"/>
                <w:szCs w:val="21"/>
                <w:highlight w:val="none"/>
                <w:lang w:val="en-US" w:eastAsia="zh-CN"/>
              </w:rPr>
              <w:t>电子投标文件为准</w:t>
            </w:r>
            <w:r>
              <w:rPr>
                <w:rFonts w:hint="eastAsia" w:ascii="宋体" w:hAnsi="宋体" w:eastAsia="宋体" w:cs="Times New Roman"/>
                <w:b/>
                <w:bCs/>
                <w:color w:val="auto"/>
                <w:sz w:val="21"/>
                <w:szCs w:val="21"/>
                <w:highlight w:val="none"/>
                <w:lang w:val="en-US" w:eastAsia="zh-CN"/>
              </w:rPr>
              <w:t>，若因系统故障转为线下评审，则以递交的纸质投标文件为准</w:t>
            </w:r>
            <w:r>
              <w:rPr>
                <w:rFonts w:hint="default" w:ascii="宋体" w:hAnsi="宋体" w:eastAsia="宋体" w:cs="Times New Roman"/>
                <w:color w:val="auto"/>
                <w:sz w:val="21"/>
                <w:szCs w:val="21"/>
                <w:highlight w:val="none"/>
                <w:lang w:val="en-US" w:eastAsia="zh-CN"/>
              </w:rPr>
              <w:t>。</w:t>
            </w:r>
          </w:p>
          <w:p w14:paraId="2B81CA8F">
            <w:pPr>
              <w:pStyle w:val="87"/>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kern w:val="16"/>
                <w:sz w:val="21"/>
                <w:szCs w:val="21"/>
                <w:highlight w:val="none"/>
              </w:rPr>
            </w:pPr>
            <w:r>
              <w:rPr>
                <w:rFonts w:hint="eastAsia" w:ascii="宋体" w:hAnsi="宋体" w:eastAsia="宋体" w:cs="宋体"/>
                <w:color w:val="auto"/>
                <w:kern w:val="16"/>
                <w:sz w:val="21"/>
                <w:szCs w:val="21"/>
                <w:highlight w:val="none"/>
                <w:lang w:eastAsia="zh-CN"/>
              </w:rPr>
              <w:t>（二）</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应当在参与采购活动前详细研究</w:t>
            </w:r>
            <w:r>
              <w:rPr>
                <w:rFonts w:hint="eastAsia" w:ascii="宋体" w:hAnsi="宋体" w:eastAsia="宋体" w:cs="宋体"/>
                <w:b/>
                <w:bCs/>
                <w:color w:val="auto"/>
                <w:kern w:val="16"/>
                <w:sz w:val="21"/>
                <w:szCs w:val="21"/>
                <w:highlight w:val="none"/>
                <w:lang w:val="en-US" w:eastAsia="zh-CN"/>
              </w:rPr>
              <w:t>《韶关市公共资源交易一体化平台产权招标交易-投标人用户手册》</w:t>
            </w:r>
            <w:r>
              <w:rPr>
                <w:rFonts w:hint="eastAsia" w:ascii="宋体" w:hAnsi="宋体" w:eastAsia="宋体" w:cs="宋体"/>
                <w:b w:val="0"/>
                <w:bCs w:val="0"/>
                <w:color w:val="auto"/>
                <w:kern w:val="16"/>
                <w:sz w:val="21"/>
                <w:szCs w:val="21"/>
                <w:highlight w:val="none"/>
                <w:lang w:val="en-US" w:eastAsia="zh-CN"/>
              </w:rPr>
              <w:t>，以及</w:t>
            </w:r>
            <w:r>
              <w:rPr>
                <w:rFonts w:hint="eastAsia" w:ascii="宋体" w:hAnsi="宋体" w:eastAsia="宋体" w:cs="宋体"/>
                <w:b/>
                <w:bCs/>
                <w:color w:val="auto"/>
                <w:kern w:val="16"/>
                <w:sz w:val="21"/>
                <w:szCs w:val="21"/>
                <w:highlight w:val="none"/>
                <w:lang w:eastAsia="zh-CN"/>
              </w:rPr>
              <w:t>招标文件</w:t>
            </w:r>
            <w:r>
              <w:rPr>
                <w:rFonts w:hint="eastAsia" w:ascii="宋体" w:hAnsi="宋体" w:eastAsia="宋体" w:cs="宋体"/>
                <w:color w:val="auto"/>
                <w:kern w:val="16"/>
                <w:sz w:val="21"/>
                <w:szCs w:val="21"/>
                <w:highlight w:val="none"/>
                <w:lang w:eastAsia="zh-CN"/>
              </w:rPr>
              <w:t>的所有内容，包括澄清、修改文件（如果有）和所有已提供的参考资料以及有关附件，且不存在任何含糊不清和误解之处，否则，由此产生的一切后果由</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自行承担。</w:t>
            </w:r>
          </w:p>
        </w:tc>
      </w:tr>
    </w:tbl>
    <w:p w14:paraId="1CB3565E">
      <w:pPr>
        <w:pStyle w:val="3"/>
        <w:spacing w:line="360" w:lineRule="auto"/>
        <w:jc w:val="left"/>
        <w:rPr>
          <w:rFonts w:hint="eastAsia" w:ascii="宋体" w:hAnsi="宋体" w:eastAsia="宋体" w:cs="宋体"/>
          <w:bCs/>
          <w:sz w:val="21"/>
          <w:szCs w:val="21"/>
          <w:highlight w:val="none"/>
        </w:rPr>
      </w:pPr>
      <w:bookmarkStart w:id="25" w:name="_Toc35393627"/>
      <w:bookmarkStart w:id="26" w:name="_Toc35393796"/>
      <w:bookmarkStart w:id="27" w:name="_Toc28359085"/>
      <w:bookmarkStart w:id="28" w:name="_Toc28359008"/>
      <w:r>
        <w:rPr>
          <w:rFonts w:hint="eastAsia" w:ascii="宋体" w:hAnsi="宋体" w:eastAsia="宋体" w:cs="宋体"/>
          <w:bCs/>
          <w:sz w:val="21"/>
          <w:szCs w:val="21"/>
          <w:highlight w:val="none"/>
        </w:rPr>
        <w:t>七、对本次招标提出询问，请按以下方式联系。</w:t>
      </w:r>
      <w:bookmarkEnd w:id="25"/>
      <w:bookmarkEnd w:id="26"/>
      <w:bookmarkEnd w:id="27"/>
      <w:bookmarkEnd w:id="28"/>
    </w:p>
    <w:p w14:paraId="033BE1ED">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1.</w:t>
      </w:r>
      <w:r>
        <w:rPr>
          <w:rFonts w:hint="eastAsia" w:ascii="宋体" w:hAnsi="宋体" w:cs="宋体"/>
          <w:kern w:val="16"/>
          <w:sz w:val="21"/>
          <w:szCs w:val="21"/>
          <w:highlight w:val="none"/>
          <w:lang w:eastAsia="zh-CN"/>
        </w:rPr>
        <w:t>招标人</w:t>
      </w:r>
      <w:r>
        <w:rPr>
          <w:rFonts w:hint="eastAsia" w:ascii="宋体" w:hAnsi="宋体" w:eastAsia="宋体" w:cs="宋体"/>
          <w:kern w:val="16"/>
          <w:sz w:val="21"/>
          <w:szCs w:val="21"/>
          <w:highlight w:val="none"/>
        </w:rPr>
        <w:t>信息</w:t>
      </w:r>
    </w:p>
    <w:p w14:paraId="72E68ED3">
      <w:pPr>
        <w:pStyle w:val="87"/>
        <w:snapToGrid w:val="0"/>
        <w:spacing w:line="360" w:lineRule="auto"/>
        <w:ind w:firstLine="420" w:firstLineChars="200"/>
        <w:rPr>
          <w:rFonts w:hint="eastAsia" w:ascii="宋体" w:hAnsi="宋体" w:eastAsia="宋体" w:cs="宋体"/>
          <w:kern w:val="16"/>
          <w:sz w:val="21"/>
          <w:szCs w:val="21"/>
          <w:highlight w:val="none"/>
        </w:rPr>
      </w:pPr>
      <w:bookmarkStart w:id="29" w:name="_Toc28359086"/>
      <w:bookmarkStart w:id="30" w:name="_Toc28359009"/>
      <w:r>
        <w:rPr>
          <w:rFonts w:hint="eastAsia" w:ascii="宋体" w:hAnsi="宋体" w:eastAsia="宋体" w:cs="宋体"/>
          <w:kern w:val="16"/>
          <w:sz w:val="21"/>
          <w:szCs w:val="21"/>
          <w:highlight w:val="none"/>
        </w:rPr>
        <w:t>名 称：</w:t>
      </w:r>
      <w:r>
        <w:rPr>
          <w:rFonts w:hint="eastAsia" w:ascii="宋体" w:hAnsi="宋体" w:cs="宋体"/>
          <w:kern w:val="16"/>
          <w:sz w:val="21"/>
          <w:szCs w:val="21"/>
          <w:highlight w:val="none"/>
          <w:lang w:eastAsia="zh-CN"/>
        </w:rPr>
        <w:t>乐昌市两江镇人民政府</w:t>
      </w:r>
      <w:r>
        <w:rPr>
          <w:rFonts w:hint="eastAsia" w:ascii="宋体" w:hAnsi="宋体" w:eastAsia="宋体" w:cs="宋体"/>
          <w:kern w:val="16"/>
          <w:sz w:val="21"/>
          <w:szCs w:val="21"/>
          <w:highlight w:val="none"/>
        </w:rPr>
        <w:t>　</w:t>
      </w:r>
    </w:p>
    <w:p w14:paraId="17CB7893">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地 址：</w:t>
      </w:r>
      <w:r>
        <w:rPr>
          <w:rFonts w:hint="eastAsia" w:ascii="宋体" w:hAnsi="宋体" w:eastAsia="宋体" w:cs="宋体"/>
          <w:kern w:val="16"/>
          <w:sz w:val="21"/>
          <w:szCs w:val="21"/>
          <w:highlight w:val="none"/>
          <w:lang w:val="en-US" w:eastAsia="zh-CN"/>
        </w:rPr>
        <w:t>广东省韶关市乐昌市两江镇大坪子街7号</w:t>
      </w:r>
    </w:p>
    <w:p w14:paraId="56A218C8">
      <w:pPr>
        <w:pStyle w:val="87"/>
        <w:snapToGrid w:val="0"/>
        <w:spacing w:line="360" w:lineRule="auto"/>
        <w:ind w:firstLine="420" w:firstLineChars="200"/>
        <w:rPr>
          <w:rFonts w:hint="default" w:ascii="宋体" w:hAnsi="宋体" w:eastAsia="宋体" w:cs="宋体"/>
          <w:kern w:val="16"/>
          <w:sz w:val="21"/>
          <w:szCs w:val="21"/>
          <w:highlight w:val="none"/>
          <w:lang w:val="en-US" w:eastAsia="zh-CN"/>
        </w:rPr>
      </w:pPr>
      <w:r>
        <w:rPr>
          <w:rFonts w:hint="eastAsia" w:ascii="宋体" w:hAnsi="宋体" w:eastAsia="宋体" w:cs="宋体"/>
          <w:kern w:val="16"/>
          <w:sz w:val="21"/>
          <w:szCs w:val="21"/>
          <w:highlight w:val="none"/>
        </w:rPr>
        <w:t>联系方式：</w:t>
      </w:r>
      <w:r>
        <w:rPr>
          <w:rFonts w:hint="eastAsia" w:ascii="宋体" w:hAnsi="宋体" w:cs="宋体"/>
          <w:kern w:val="16"/>
          <w:sz w:val="21"/>
          <w:szCs w:val="21"/>
          <w:highlight w:val="none"/>
          <w:lang w:val="en-US" w:eastAsia="zh-CN"/>
        </w:rPr>
        <w:t>0751-5740178</w:t>
      </w:r>
    </w:p>
    <w:p w14:paraId="5E86E46A">
      <w:pPr>
        <w:pStyle w:val="87"/>
        <w:snapToGrid w:val="0"/>
        <w:spacing w:line="360" w:lineRule="auto"/>
        <w:ind w:firstLine="420" w:firstLineChars="200"/>
        <w:rPr>
          <w:rFonts w:hint="eastAsia" w:ascii="宋体" w:hAnsi="宋体" w:eastAsia="宋体" w:cs="宋体"/>
          <w:kern w:val="16"/>
          <w:sz w:val="21"/>
          <w:szCs w:val="21"/>
          <w:highlight w:val="none"/>
        </w:rPr>
      </w:pPr>
    </w:p>
    <w:p w14:paraId="620B252C">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2.采购代理机构信息</w:t>
      </w:r>
      <w:bookmarkEnd w:id="29"/>
      <w:bookmarkEnd w:id="30"/>
    </w:p>
    <w:p w14:paraId="39BFEF61">
      <w:pPr>
        <w:pStyle w:val="87"/>
        <w:snapToGrid w:val="0"/>
        <w:spacing w:line="360" w:lineRule="auto"/>
        <w:ind w:firstLine="420" w:firstLineChars="200"/>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名 称：</w:t>
      </w:r>
      <w:r>
        <w:rPr>
          <w:rFonts w:hint="eastAsia" w:ascii="宋体" w:hAnsi="宋体" w:cs="宋体"/>
          <w:kern w:val="16"/>
          <w:sz w:val="21"/>
          <w:szCs w:val="21"/>
          <w:highlight w:val="none"/>
          <w:lang w:eastAsia="zh-CN"/>
        </w:rPr>
        <w:t>广东合正项目管理有限公司</w:t>
      </w:r>
    </w:p>
    <w:p w14:paraId="748059B3">
      <w:pPr>
        <w:pStyle w:val="87"/>
        <w:snapToGrid w:val="0"/>
        <w:spacing w:line="360" w:lineRule="auto"/>
        <w:ind w:firstLine="420" w:firstLineChars="200"/>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地　址：</w:t>
      </w:r>
      <w:r>
        <w:rPr>
          <w:rFonts w:hint="eastAsia" w:ascii="宋体" w:hAnsi="宋体" w:cs="宋体"/>
          <w:kern w:val="16"/>
          <w:sz w:val="21"/>
          <w:szCs w:val="21"/>
          <w:highlight w:val="none"/>
          <w:lang w:eastAsia="zh-CN"/>
        </w:rPr>
        <w:t>广东省韶关市武江区百旺大道42号莞韶双创中心研发办公楼5楼03号</w:t>
      </w:r>
    </w:p>
    <w:p w14:paraId="78C48A80">
      <w:pPr>
        <w:pStyle w:val="87"/>
        <w:snapToGrid w:val="0"/>
        <w:spacing w:line="360" w:lineRule="auto"/>
        <w:ind w:firstLine="420" w:firstLineChars="200"/>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联系方式：</w:t>
      </w:r>
      <w:bookmarkStart w:id="31" w:name="_Toc28359010"/>
      <w:bookmarkStart w:id="32" w:name="_Toc28359087"/>
      <w:r>
        <w:rPr>
          <w:rFonts w:hint="eastAsia" w:ascii="宋体" w:hAnsi="宋体" w:cs="宋体"/>
          <w:kern w:val="16"/>
          <w:sz w:val="21"/>
          <w:szCs w:val="21"/>
          <w:highlight w:val="none"/>
          <w:lang w:eastAsia="zh-CN"/>
        </w:rPr>
        <w:t>0751-8219991</w:t>
      </w:r>
    </w:p>
    <w:p w14:paraId="577F4890">
      <w:pPr>
        <w:pStyle w:val="87"/>
        <w:snapToGrid w:val="0"/>
        <w:spacing w:line="360" w:lineRule="auto"/>
        <w:ind w:firstLine="420" w:firstLineChars="200"/>
        <w:rPr>
          <w:rFonts w:hint="eastAsia" w:ascii="宋体" w:hAnsi="宋体" w:eastAsia="宋体" w:cs="宋体"/>
          <w:kern w:val="16"/>
          <w:sz w:val="21"/>
          <w:szCs w:val="21"/>
          <w:highlight w:val="none"/>
        </w:rPr>
      </w:pPr>
    </w:p>
    <w:p w14:paraId="460F49B8">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3.项目联系方式</w:t>
      </w:r>
      <w:bookmarkEnd w:id="31"/>
      <w:bookmarkEnd w:id="32"/>
    </w:p>
    <w:p w14:paraId="4485292D">
      <w:pPr>
        <w:pStyle w:val="87"/>
        <w:snapToGrid w:val="0"/>
        <w:spacing w:line="360" w:lineRule="auto"/>
        <w:ind w:firstLine="420" w:firstLineChars="200"/>
        <w:rPr>
          <w:rFonts w:hint="default" w:ascii="宋体" w:hAnsi="宋体" w:eastAsia="宋体" w:cs="宋体"/>
          <w:kern w:val="16"/>
          <w:sz w:val="21"/>
          <w:szCs w:val="21"/>
          <w:highlight w:val="none"/>
          <w:lang w:val="en-US" w:eastAsia="zh-CN"/>
        </w:rPr>
      </w:pPr>
      <w:r>
        <w:rPr>
          <w:rFonts w:hint="eastAsia" w:ascii="宋体" w:hAnsi="宋体" w:eastAsia="宋体" w:cs="宋体"/>
          <w:kern w:val="16"/>
          <w:sz w:val="21"/>
          <w:szCs w:val="21"/>
          <w:highlight w:val="none"/>
        </w:rPr>
        <w:t>项目联系人：</w:t>
      </w:r>
      <w:r>
        <w:rPr>
          <w:rFonts w:hint="eastAsia" w:ascii="宋体" w:hAnsi="宋体" w:cs="宋体"/>
          <w:kern w:val="16"/>
          <w:sz w:val="21"/>
          <w:szCs w:val="21"/>
          <w:highlight w:val="none"/>
          <w:lang w:val="en-US" w:eastAsia="zh-CN"/>
        </w:rPr>
        <w:t>谭工</w:t>
      </w:r>
    </w:p>
    <w:p w14:paraId="24F06BA6">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电　话：</w:t>
      </w:r>
      <w:r>
        <w:rPr>
          <w:rFonts w:hint="eastAsia" w:ascii="宋体" w:hAnsi="宋体" w:cs="宋体"/>
          <w:kern w:val="16"/>
          <w:sz w:val="21"/>
          <w:szCs w:val="21"/>
          <w:highlight w:val="none"/>
          <w:lang w:eastAsia="zh-CN"/>
        </w:rPr>
        <w:t>0751-8219991</w:t>
      </w:r>
    </w:p>
    <w:p w14:paraId="7B1FC528">
      <w:pPr>
        <w:pStyle w:val="87"/>
        <w:snapToGrid w:val="0"/>
        <w:spacing w:line="360" w:lineRule="auto"/>
        <w:rPr>
          <w:rFonts w:hint="eastAsia" w:ascii="宋体" w:hAnsi="宋体" w:eastAsia="宋体" w:cs="宋体"/>
          <w:kern w:val="16"/>
          <w:sz w:val="21"/>
          <w:szCs w:val="21"/>
          <w:highlight w:val="none"/>
        </w:rPr>
      </w:pPr>
    </w:p>
    <w:p w14:paraId="424A3646">
      <w:pPr>
        <w:pStyle w:val="87"/>
        <w:snapToGrid w:val="0"/>
        <w:spacing w:line="360" w:lineRule="auto"/>
        <w:rPr>
          <w:rFonts w:hint="eastAsia" w:ascii="宋体" w:hAnsi="宋体" w:eastAsia="宋体" w:cs="宋体"/>
          <w:kern w:val="16"/>
          <w:sz w:val="21"/>
          <w:szCs w:val="21"/>
          <w:highlight w:val="none"/>
        </w:rPr>
      </w:pPr>
    </w:p>
    <w:p w14:paraId="5D7AAAE5">
      <w:pPr>
        <w:pStyle w:val="82"/>
        <w:numPr>
          <w:ins w:id="0" w:author="Sky123.Org" w:date=""/>
        </w:numPr>
        <w:snapToGrid w:val="0"/>
        <w:spacing w:before="0" w:after="0" w:line="360" w:lineRule="auto"/>
        <w:ind w:firstLine="420"/>
        <w:jc w:val="right"/>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发布人：</w:t>
      </w:r>
      <w:r>
        <w:rPr>
          <w:rFonts w:hint="eastAsia" w:ascii="宋体" w:hAnsi="宋体" w:cs="宋体"/>
          <w:kern w:val="16"/>
          <w:sz w:val="21"/>
          <w:szCs w:val="21"/>
          <w:highlight w:val="none"/>
          <w:lang w:eastAsia="zh-CN"/>
        </w:rPr>
        <w:t>广东合正项目管理有限公司</w:t>
      </w:r>
    </w:p>
    <w:p w14:paraId="5B901415">
      <w:pPr>
        <w:pStyle w:val="82"/>
        <w:snapToGrid w:val="0"/>
        <w:spacing w:before="0" w:after="0" w:line="360" w:lineRule="auto"/>
        <w:ind w:firstLine="420"/>
        <w:jc w:val="right"/>
        <w:rPr>
          <w:rFonts w:hint="eastAsia" w:ascii="宋体" w:hAnsi="宋体" w:eastAsia="宋体" w:cs="宋体"/>
          <w:sz w:val="21"/>
          <w:szCs w:val="21"/>
          <w:highlight w:val="none"/>
          <w:lang w:eastAsia="zh-CN"/>
        </w:rPr>
      </w:pPr>
      <w:r>
        <w:rPr>
          <w:rFonts w:hint="eastAsia" w:ascii="宋体" w:hAnsi="宋体" w:eastAsia="宋体" w:cs="宋体"/>
          <w:kern w:val="16"/>
          <w:sz w:val="21"/>
          <w:szCs w:val="21"/>
          <w:highlight w:val="none"/>
        </w:rPr>
        <w:t>　　　　　　　　　　　　　　　　　　  发布时间：</w:t>
      </w:r>
      <w:r>
        <w:rPr>
          <w:rFonts w:hint="eastAsia" w:ascii="宋体" w:hAnsi="宋体" w:cs="宋体"/>
          <w:kern w:val="16"/>
          <w:sz w:val="21"/>
          <w:szCs w:val="21"/>
          <w:highlight w:val="none"/>
          <w:lang w:eastAsia="zh-CN"/>
        </w:rPr>
        <w:t>2025年</w:t>
      </w:r>
      <w:r>
        <w:rPr>
          <w:rFonts w:hint="eastAsia" w:ascii="宋体" w:hAnsi="宋体" w:cs="宋体"/>
          <w:kern w:val="16"/>
          <w:sz w:val="21"/>
          <w:szCs w:val="21"/>
          <w:highlight w:val="none"/>
          <w:lang w:val="en-US" w:eastAsia="zh-CN"/>
        </w:rPr>
        <w:t>12</w:t>
      </w:r>
      <w:r>
        <w:rPr>
          <w:rFonts w:hint="eastAsia" w:ascii="宋体" w:hAnsi="宋体" w:cs="宋体"/>
          <w:kern w:val="16"/>
          <w:sz w:val="21"/>
          <w:szCs w:val="21"/>
          <w:highlight w:val="none"/>
          <w:lang w:eastAsia="zh-CN"/>
        </w:rPr>
        <w:t>月</w:t>
      </w:r>
      <w:r>
        <w:rPr>
          <w:rFonts w:hint="eastAsia" w:ascii="宋体" w:hAnsi="宋体" w:cs="宋体"/>
          <w:kern w:val="16"/>
          <w:sz w:val="21"/>
          <w:szCs w:val="21"/>
          <w:highlight w:val="none"/>
          <w:lang w:val="en-US" w:eastAsia="zh-CN"/>
        </w:rPr>
        <w:t>19</w:t>
      </w:r>
      <w:r>
        <w:rPr>
          <w:rFonts w:hint="eastAsia" w:ascii="宋体" w:hAnsi="宋体" w:cs="宋体"/>
          <w:kern w:val="16"/>
          <w:sz w:val="21"/>
          <w:szCs w:val="21"/>
          <w:highlight w:val="none"/>
          <w:lang w:eastAsia="zh-CN"/>
        </w:rPr>
        <w:t>日</w:t>
      </w:r>
    </w:p>
    <w:p w14:paraId="6591525C">
      <w:pPr>
        <w:pStyle w:val="82"/>
        <w:numPr>
          <w:ilvl w:val="0"/>
          <w:numId w:val="0"/>
        </w:numPr>
        <w:snapToGrid w:val="0"/>
        <w:spacing w:before="0" w:after="0" w:line="240" w:lineRule="auto"/>
        <w:ind w:leftChars="0"/>
        <w:jc w:val="left"/>
        <w:rPr>
          <w:rFonts w:hint="default" w:cs="宋体"/>
          <w:b/>
          <w:bCs/>
          <w:color w:val="FF0000"/>
          <w:szCs w:val="21"/>
          <w:highlight w:val="none"/>
          <w:lang w:val="en-US" w:eastAsia="zh-CN"/>
        </w:rPr>
      </w:pPr>
    </w:p>
    <w:p w14:paraId="58522C2E">
      <w:pPr>
        <w:keepNext/>
        <w:keepLines/>
        <w:adjustRightInd w:val="0"/>
        <w:snapToGrid w:val="0"/>
        <w:spacing w:line="360" w:lineRule="auto"/>
        <w:jc w:val="center"/>
        <w:rPr>
          <w:rFonts w:hint="eastAsia" w:ascii="宋体" w:hAnsi="宋体" w:eastAsia="宋体" w:cs="宋体"/>
          <w:highlight w:val="none"/>
        </w:rPr>
      </w:pPr>
      <w:r>
        <w:rPr>
          <w:rFonts w:hint="eastAsia" w:ascii="宋体" w:hAnsi="宋体" w:eastAsia="宋体" w:cs="宋体"/>
          <w:highlight w:val="none"/>
        </w:rPr>
        <w:br w:type="page"/>
      </w:r>
    </w:p>
    <w:p w14:paraId="44B11213">
      <w:pPr>
        <w:pStyle w:val="2"/>
        <w:rPr>
          <w:rFonts w:hint="eastAsia" w:ascii="宋体" w:hAnsi="宋体" w:eastAsia="宋体" w:cs="宋体"/>
          <w:highlight w:val="none"/>
        </w:rPr>
      </w:pPr>
      <w:r>
        <w:rPr>
          <w:rFonts w:hint="eastAsia" w:ascii="宋体" w:hAnsi="宋体" w:eastAsia="宋体" w:cs="宋体"/>
          <w:highlight w:val="none"/>
        </w:rPr>
        <w:t>第一章 投标人须知</w:t>
      </w:r>
    </w:p>
    <w:p w14:paraId="3C065169">
      <w:pPr>
        <w:pStyle w:val="3"/>
        <w:rPr>
          <w:rFonts w:hint="eastAsia" w:ascii="宋体" w:hAnsi="宋体" w:eastAsia="宋体" w:cs="宋体"/>
          <w:highlight w:val="none"/>
        </w:rPr>
      </w:pPr>
      <w:r>
        <w:rPr>
          <w:rFonts w:hint="eastAsia" w:ascii="宋体" w:hAnsi="宋体" w:eastAsia="宋体" w:cs="宋体"/>
          <w:highlight w:val="none"/>
        </w:rPr>
        <w:t>一 投标人须知表</w:t>
      </w:r>
    </w:p>
    <w:tbl>
      <w:tblPr>
        <w:tblStyle w:val="17"/>
        <w:tblW w:w="8656" w:type="dxa"/>
        <w:jc w:val="center"/>
        <w:tblLayout w:type="fixed"/>
        <w:tblCellMar>
          <w:top w:w="0" w:type="dxa"/>
          <w:left w:w="108" w:type="dxa"/>
          <w:bottom w:w="0" w:type="dxa"/>
          <w:right w:w="108" w:type="dxa"/>
        </w:tblCellMar>
      </w:tblPr>
      <w:tblGrid>
        <w:gridCol w:w="951"/>
        <w:gridCol w:w="1895"/>
        <w:gridCol w:w="5810"/>
      </w:tblGrid>
      <w:tr w14:paraId="2441568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05792E9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条款号</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6B88A908">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   目</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C506A2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内     容</w:t>
            </w:r>
          </w:p>
        </w:tc>
      </w:tr>
      <w:tr w14:paraId="1E46BA5B">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657EB3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5327426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招标</w:t>
            </w:r>
            <w:r>
              <w:rPr>
                <w:rFonts w:hint="eastAsia" w:ascii="宋体" w:hAnsi="宋体" w:eastAsia="宋体" w:cs="宋体"/>
                <w:color w:val="auto"/>
                <w:kern w:val="0"/>
                <w:szCs w:val="21"/>
                <w:highlight w:val="none"/>
              </w:rPr>
              <w:t>人</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165E8A7B">
            <w:pPr>
              <w:widowControl/>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乐昌市两江镇人民政府</w:t>
            </w:r>
          </w:p>
        </w:tc>
      </w:tr>
      <w:tr w14:paraId="17162268">
        <w:tblPrEx>
          <w:tblCellMar>
            <w:top w:w="0" w:type="dxa"/>
            <w:left w:w="108" w:type="dxa"/>
            <w:bottom w:w="0" w:type="dxa"/>
            <w:right w:w="108" w:type="dxa"/>
          </w:tblCellMar>
        </w:tblPrEx>
        <w:trPr>
          <w:trHeight w:val="90"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7A1CA7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E71391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招标</w:t>
            </w:r>
            <w:r>
              <w:rPr>
                <w:rFonts w:hint="eastAsia" w:ascii="宋体" w:hAnsi="宋体" w:eastAsia="宋体" w:cs="宋体"/>
                <w:color w:val="auto"/>
                <w:kern w:val="0"/>
                <w:szCs w:val="21"/>
                <w:highlight w:val="none"/>
              </w:rPr>
              <w:t>代理机构</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48F4E970">
            <w:pPr>
              <w:widowControl/>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广东合正项目管理有限公司</w:t>
            </w:r>
          </w:p>
        </w:tc>
      </w:tr>
      <w:tr w14:paraId="6439F74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F44461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2A3BCCF8">
            <w:pPr>
              <w:tabs>
                <w:tab w:val="left" w:pos="1425"/>
              </w:tabs>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计量单位</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24801D6">
            <w:pPr>
              <w:rPr>
                <w:rFonts w:hint="eastAsia" w:ascii="宋体" w:hAnsi="宋体" w:eastAsia="宋体" w:cs="宋体"/>
                <w:bCs/>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bCs/>
                <w:color w:val="auto"/>
                <w:kern w:val="0"/>
                <w:szCs w:val="21"/>
                <w:highlight w:val="none"/>
              </w:rPr>
              <w:t>中华人民共和国法定计量单位</w:t>
            </w:r>
          </w:p>
        </w:tc>
      </w:tr>
      <w:tr w14:paraId="7C28A75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6EEFBBC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54739A0">
            <w:pPr>
              <w:shd w:val="clear" w:color="auto" w:fill="FFFFFF"/>
              <w:jc w:val="center"/>
              <w:rPr>
                <w:rFonts w:hint="eastAsia" w:ascii="宋体" w:hAnsi="宋体" w:eastAsia="宋体" w:cs="宋体"/>
                <w:color w:val="auto"/>
                <w:szCs w:val="21"/>
                <w:highlight w:val="none"/>
                <w:lang w:eastAsia="zh-CN"/>
              </w:rPr>
            </w:pPr>
            <w:r>
              <w:rPr>
                <w:rFonts w:hint="eastAsia" w:ascii="宋体" w:hAnsi="宋体" w:eastAsia="宋体" w:cs="宋体"/>
                <w:color w:val="auto"/>
                <w:kern w:val="0"/>
                <w:szCs w:val="21"/>
                <w:highlight w:val="none"/>
              </w:rPr>
              <w:t>现场考察</w:t>
            </w:r>
            <w:r>
              <w:rPr>
                <w:rFonts w:hint="eastAsia" w:ascii="宋体" w:hAnsi="宋体" w:eastAsia="宋体" w:cs="宋体"/>
                <w:color w:val="auto"/>
                <w:kern w:val="0"/>
                <w:szCs w:val="21"/>
                <w:highlight w:val="none"/>
                <w:lang w:eastAsia="zh-CN"/>
              </w:rPr>
              <w:t>踏勘</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1D5DAB56">
            <w:pPr>
              <w:rPr>
                <w:rFonts w:hint="eastAsia" w:ascii="宋体" w:hAnsi="宋体" w:eastAsia="宋体" w:cs="宋体"/>
                <w:color w:val="auto"/>
                <w:kern w:val="0"/>
                <w:szCs w:val="21"/>
                <w:highlight w:val="none"/>
                <w:lang w:eastAsia="zh-CN"/>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组织</w:t>
            </w:r>
            <w:r>
              <w:rPr>
                <w:rFonts w:hint="eastAsia" w:ascii="宋体" w:hAnsi="宋体" w:eastAsia="宋体" w:cs="宋体"/>
                <w:color w:val="auto"/>
                <w:kern w:val="0"/>
                <w:szCs w:val="21"/>
                <w:highlight w:val="none"/>
                <w:lang w:eastAsia="zh-CN"/>
              </w:rPr>
              <w:t>。投标人自行按需踏勘</w:t>
            </w:r>
          </w:p>
          <w:p w14:paraId="1F85AE18">
            <w:pPr>
              <w:numPr>
                <w:ilvl w:val="0"/>
                <w:numId w:val="4"/>
              </w:numP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踏勘要求：本项目招标人不统一组织现场踏勘，投标人可根据投标工作需要，自行前往项目现场开展实地考察工作。</w:t>
            </w:r>
          </w:p>
          <w:p w14:paraId="5395436A">
            <w:pPr>
              <w:numPr>
                <w:ilvl w:val="0"/>
                <w:numId w:val="4"/>
              </w:numP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投标人踏勘前，须提前与招标人（业主）取得联系并预约踏勘时间，联系方式：黄先生，联系电话：</w:t>
            </w:r>
            <w:r>
              <w:rPr>
                <w:rFonts w:hint="eastAsia" w:ascii="宋体" w:hAnsi="宋体" w:eastAsia="宋体" w:cs="宋体"/>
                <w:color w:val="auto"/>
                <w:kern w:val="0"/>
                <w:szCs w:val="21"/>
                <w:highlight w:val="none"/>
                <w:lang w:val="en-US" w:eastAsia="zh-CN"/>
              </w:rPr>
              <w:t>17725713971</w:t>
            </w:r>
            <w:r>
              <w:rPr>
                <w:rFonts w:hint="eastAsia" w:ascii="宋体" w:hAnsi="宋体" w:eastAsia="宋体" w:cs="宋体"/>
                <w:color w:val="auto"/>
                <w:kern w:val="0"/>
                <w:szCs w:val="21"/>
                <w:highlight w:val="none"/>
                <w:lang w:eastAsia="zh-CN"/>
              </w:rPr>
              <w:t>。</w:t>
            </w:r>
          </w:p>
          <w:p w14:paraId="620A7BF4">
            <w:pPr>
              <w:numPr>
                <w:ilvl w:val="0"/>
                <w:numId w:val="4"/>
              </w:numP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投标人须严格按照预约时间抵达项目现场，服从招标人现场管理要求，不得擅自进入非踏勘区域，不得干扰项目现场正常秩序。</w:t>
            </w:r>
          </w:p>
          <w:p w14:paraId="69D5B98E">
            <w:pPr>
              <w:numPr>
                <w:ilvl w:val="0"/>
                <w:numId w:val="4"/>
              </w:numP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费用与风险：踏勘所产生的交通、食宿、安全保障等全部费用及风险，均由投标人自行承担。</w:t>
            </w:r>
          </w:p>
          <w:p w14:paraId="31A54176">
            <w:pPr>
              <w:numPr>
                <w:ilvl w:val="0"/>
                <w:numId w:val="4"/>
              </w:numP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信息确认：投标人应在踏勘前仔细研读招标文件及相关需求内容，通过踏勘充分了解场地现状、周边配套、施工限制等关键信息。</w:t>
            </w:r>
          </w:p>
          <w:p w14:paraId="43175AA7">
            <w:pPr>
              <w:numPr>
                <w:ilvl w:val="0"/>
                <w:numId w:val="4"/>
              </w:numP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承诺条款：投标人递交投标文件，即视为已完成现场踏勘并认可现场所有现状条件，中标后不得因不了解现场情况提出调整报价或合同条款的要求。</w:t>
            </w:r>
          </w:p>
        </w:tc>
      </w:tr>
      <w:tr w14:paraId="084EE85E">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7A03C77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ascii="宋体" w:hAnsi="宋体" w:eastAsia="宋体" w:cs="宋体"/>
                <w:color w:val="auto"/>
                <w:kern w:val="0"/>
                <w:szCs w:val="21"/>
                <w:highlight w:val="none"/>
              </w:rPr>
              <w:t>.3</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70B9CC9">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招标公告发布媒体</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53E247BA">
            <w:pPr>
              <w:rPr>
                <w:rFonts w:hint="default" w:ascii="宋体" w:hAnsi="宋体" w:eastAsia="宋体" w:cs="宋体"/>
                <w:color w:val="auto"/>
                <w:highlight w:val="none"/>
                <w:lang w:val="en-US" w:eastAsia="zh-CN"/>
              </w:rPr>
            </w:pPr>
            <w:r>
              <w:rPr>
                <w:rFonts w:hint="eastAsia" w:ascii="宋体" w:hAnsi="宋体" w:eastAsia="宋体" w:cs="宋体"/>
                <w:color w:val="auto"/>
                <w:highlight w:val="none"/>
              </w:rPr>
              <w:t>■韶关市公共资源交易一体化平台</w:t>
            </w:r>
            <w:r>
              <w:rPr>
                <w:rFonts w:hint="eastAsia" w:ascii="宋体" w:hAnsi="宋体" w:eastAsia="宋体" w:cs="宋体"/>
                <w:color w:val="auto"/>
                <w:highlight w:val="none"/>
                <w:lang w:val="en-US" w:eastAsia="zh-CN"/>
              </w:rPr>
              <w:t xml:space="preserve">    </w:t>
            </w:r>
          </w:p>
          <w:p w14:paraId="4C3CE796">
            <w:pP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 xml:space="preserve">■广东省公共资源交易平台（韶关）  </w:t>
            </w:r>
          </w:p>
          <w:p w14:paraId="6906E6E6">
            <w:pPr>
              <w:rPr>
                <w:rFonts w:hint="eastAsia" w:ascii="宋体" w:hAnsi="宋体" w:eastAsia="宋体" w:cs="宋体"/>
                <w:color w:val="auto"/>
                <w:kern w:val="0"/>
                <w:szCs w:val="21"/>
                <w:highlight w:val="none"/>
              </w:rPr>
            </w:pPr>
            <w:r>
              <w:rPr>
                <w:rFonts w:hint="eastAsia" w:ascii="宋体" w:hAnsi="宋体" w:eastAsia="宋体" w:cs="宋体"/>
                <w:color w:val="auto"/>
                <w:kern w:val="2"/>
                <w:sz w:val="21"/>
                <w:szCs w:val="24"/>
                <w:highlight w:val="none"/>
                <w:lang w:val="en-US" w:eastAsia="zh-CN" w:bidi="ar-SA"/>
              </w:rPr>
              <w:t>■招标代理机构官网</w:t>
            </w:r>
          </w:p>
        </w:tc>
      </w:tr>
      <w:tr w14:paraId="69F10A1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7E38351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10.3</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06EDDD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核心产品</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7C7D0959">
            <w:pPr>
              <w:widowControl/>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无</w:t>
            </w:r>
          </w:p>
        </w:tc>
      </w:tr>
      <w:tr w14:paraId="09E7CD3E">
        <w:tblPrEx>
          <w:tblCellMar>
            <w:top w:w="0" w:type="dxa"/>
            <w:left w:w="108" w:type="dxa"/>
            <w:bottom w:w="0" w:type="dxa"/>
            <w:right w:w="108" w:type="dxa"/>
          </w:tblCellMar>
        </w:tblPrEx>
        <w:trPr>
          <w:trHeight w:val="23" w:hRule="atLeast"/>
          <w:jc w:val="center"/>
        </w:trPr>
        <w:tc>
          <w:tcPr>
            <w:tcW w:w="951" w:type="dxa"/>
            <w:vMerge w:val="restart"/>
            <w:tcBorders>
              <w:top w:val="single" w:color="auto" w:sz="4" w:space="0"/>
              <w:left w:val="single" w:color="auto" w:sz="4" w:space="0"/>
              <w:right w:val="single" w:color="auto" w:sz="4" w:space="0"/>
            </w:tcBorders>
            <w:noWrap w:val="0"/>
            <w:vAlign w:val="center"/>
          </w:tcPr>
          <w:p w14:paraId="7B4EA455">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895" w:type="dxa"/>
            <w:vMerge w:val="restart"/>
            <w:tcBorders>
              <w:top w:val="single" w:color="auto" w:sz="4" w:space="0"/>
              <w:left w:val="single" w:color="auto" w:sz="4" w:space="0"/>
              <w:right w:val="single" w:color="auto" w:sz="4" w:space="0"/>
            </w:tcBorders>
            <w:noWrap w:val="0"/>
            <w:vAlign w:val="center"/>
          </w:tcPr>
          <w:p w14:paraId="2EAB9AFC">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样品或演示</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59D2708A">
            <w:pPr>
              <w:rPr>
                <w:rFonts w:hint="eastAsia" w:ascii="宋体" w:hAnsi="宋体" w:eastAsia="宋体" w:cs="宋体"/>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不需要</w:t>
            </w:r>
            <w:r>
              <w:rPr>
                <w:rFonts w:hint="eastAsia" w:ascii="宋体" w:hAnsi="宋体" w:eastAsia="宋体" w:cs="宋体"/>
                <w:bCs/>
                <w:color w:val="auto"/>
                <w:kern w:val="0"/>
                <w:szCs w:val="21"/>
                <w:highlight w:val="none"/>
              </w:rPr>
              <w:t>提供样品</w:t>
            </w:r>
          </w:p>
        </w:tc>
      </w:tr>
      <w:tr w14:paraId="4F0BCAFD">
        <w:tblPrEx>
          <w:tblCellMar>
            <w:top w:w="0" w:type="dxa"/>
            <w:left w:w="108" w:type="dxa"/>
            <w:bottom w:w="0" w:type="dxa"/>
            <w:right w:w="108" w:type="dxa"/>
          </w:tblCellMar>
        </w:tblPrEx>
        <w:trPr>
          <w:trHeight w:val="23" w:hRule="atLeast"/>
          <w:jc w:val="center"/>
        </w:trPr>
        <w:tc>
          <w:tcPr>
            <w:tcW w:w="951" w:type="dxa"/>
            <w:vMerge w:val="continue"/>
            <w:tcBorders>
              <w:left w:val="single" w:color="auto" w:sz="4" w:space="0"/>
              <w:bottom w:val="single" w:color="auto" w:sz="4" w:space="0"/>
              <w:right w:val="single" w:color="auto" w:sz="4" w:space="0"/>
            </w:tcBorders>
            <w:noWrap w:val="0"/>
            <w:vAlign w:val="center"/>
          </w:tcPr>
          <w:p w14:paraId="295222B4">
            <w:pPr>
              <w:widowControl/>
              <w:jc w:val="center"/>
              <w:rPr>
                <w:rFonts w:hint="eastAsia" w:ascii="宋体" w:hAnsi="宋体" w:eastAsia="宋体" w:cs="宋体"/>
                <w:color w:val="auto"/>
                <w:kern w:val="0"/>
                <w:szCs w:val="21"/>
                <w:highlight w:val="none"/>
              </w:rPr>
            </w:pPr>
          </w:p>
        </w:tc>
        <w:tc>
          <w:tcPr>
            <w:tcW w:w="1895" w:type="dxa"/>
            <w:vMerge w:val="continue"/>
            <w:tcBorders>
              <w:left w:val="single" w:color="auto" w:sz="4" w:space="0"/>
              <w:bottom w:val="single" w:color="auto" w:sz="4" w:space="0"/>
              <w:right w:val="single" w:color="auto" w:sz="4" w:space="0"/>
            </w:tcBorders>
            <w:noWrap w:val="0"/>
            <w:vAlign w:val="center"/>
          </w:tcPr>
          <w:p w14:paraId="5A270307">
            <w:pPr>
              <w:shd w:val="clear" w:color="auto" w:fill="FFFFFF"/>
              <w:jc w:val="center"/>
              <w:rPr>
                <w:rFonts w:hint="eastAsia" w:ascii="宋体" w:hAnsi="宋体" w:eastAsia="宋体" w:cs="宋体"/>
                <w:color w:val="auto"/>
                <w:kern w:val="0"/>
                <w:szCs w:val="21"/>
                <w:highlight w:val="none"/>
              </w:rPr>
            </w:pP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938E681">
            <w:pP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w:t>
            </w:r>
            <w:r>
              <w:rPr>
                <w:rFonts w:hint="eastAsia" w:ascii="宋体" w:hAnsi="宋体" w:eastAsia="宋体" w:cs="宋体"/>
                <w:bCs/>
                <w:color w:val="auto"/>
                <w:kern w:val="0"/>
                <w:szCs w:val="21"/>
                <w:highlight w:val="none"/>
              </w:rPr>
              <w:t>需要提供演示</w:t>
            </w:r>
          </w:p>
        </w:tc>
      </w:tr>
      <w:tr w14:paraId="074F3F06">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2438A09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E3B77A">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投标报价货币要求</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32C7AF61">
            <w:pPr>
              <w:rPr>
                <w:rFonts w:hint="eastAsia" w:ascii="宋体" w:hAnsi="宋体" w:eastAsia="宋体" w:cs="宋体"/>
                <w:color w:val="auto"/>
                <w:kern w:val="0"/>
                <w:szCs w:val="21"/>
                <w:highlight w:val="none"/>
                <w:u w:val="singl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所有投标均按</w:t>
            </w:r>
            <w:r>
              <w:rPr>
                <w:rFonts w:hint="eastAsia" w:ascii="宋体" w:hAnsi="宋体" w:eastAsia="宋体" w:cs="宋体"/>
                <w:color w:val="auto"/>
                <w:kern w:val="0"/>
                <w:szCs w:val="21"/>
                <w:highlight w:val="none"/>
                <w:u w:val="single"/>
              </w:rPr>
              <w:t xml:space="preserve"> 人民币 </w:t>
            </w:r>
            <w:r>
              <w:rPr>
                <w:rFonts w:hint="eastAsia" w:ascii="宋体" w:hAnsi="宋体" w:eastAsia="宋体" w:cs="宋体"/>
                <w:color w:val="auto"/>
                <w:kern w:val="0"/>
                <w:szCs w:val="21"/>
                <w:highlight w:val="none"/>
              </w:rPr>
              <w:t>货币进行报价。</w:t>
            </w:r>
          </w:p>
        </w:tc>
      </w:tr>
      <w:tr w14:paraId="2040FF7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8" w:space="0"/>
              <w:right w:val="single" w:color="auto" w:sz="4" w:space="0"/>
            </w:tcBorders>
            <w:noWrap w:val="0"/>
            <w:vAlign w:val="center"/>
          </w:tcPr>
          <w:p w14:paraId="19BFAF8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895" w:type="dxa"/>
            <w:tcBorders>
              <w:top w:val="single" w:color="auto" w:sz="4" w:space="0"/>
              <w:left w:val="single" w:color="auto" w:sz="4" w:space="0"/>
              <w:bottom w:val="single" w:color="auto" w:sz="8" w:space="0"/>
              <w:right w:val="single" w:color="auto" w:sz="8" w:space="0"/>
            </w:tcBorders>
            <w:noWrap w:val="0"/>
            <w:vAlign w:val="center"/>
          </w:tcPr>
          <w:p w14:paraId="209B509A">
            <w:pPr>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投标保证金</w:t>
            </w:r>
          </w:p>
        </w:tc>
        <w:tc>
          <w:tcPr>
            <w:tcW w:w="5810" w:type="dxa"/>
            <w:tcBorders>
              <w:top w:val="single" w:color="auto" w:sz="4" w:space="0"/>
              <w:left w:val="nil"/>
              <w:bottom w:val="single" w:color="auto" w:sz="8" w:space="0"/>
              <w:right w:val="single" w:color="auto" w:sz="8" w:space="0"/>
            </w:tcBorders>
            <w:noWrap w:val="0"/>
            <w:vAlign w:val="center"/>
          </w:tcPr>
          <w:p w14:paraId="771BF060">
            <w:pP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1.</w:t>
            </w:r>
            <w:r>
              <w:rPr>
                <w:rFonts w:hint="eastAsia" w:ascii="宋体" w:hAnsi="宋体" w:eastAsia="宋体" w:cs="宋体"/>
                <w:bCs/>
                <w:color w:val="auto"/>
                <w:kern w:val="0"/>
                <w:szCs w:val="21"/>
                <w:highlight w:val="none"/>
              </w:rPr>
              <w:t>投标保证金金额：</w:t>
            </w:r>
            <w:r>
              <w:rPr>
                <w:rFonts w:hint="eastAsia" w:ascii="宋体" w:hAnsi="宋体" w:eastAsia="宋体" w:cs="宋体"/>
                <w:b w:val="0"/>
                <w:bCs w:val="0"/>
                <w:sz w:val="21"/>
                <w:szCs w:val="21"/>
                <w:highlight w:val="none"/>
                <w:lang w:val="en-US" w:eastAsia="zh-CN"/>
              </w:rPr>
              <w:t>¥</w:t>
            </w:r>
            <w:r>
              <w:rPr>
                <w:rFonts w:hint="eastAsia" w:ascii="宋体" w:hAnsi="宋体" w:eastAsia="宋体"/>
                <w:color w:val="000000"/>
                <w:szCs w:val="21"/>
                <w:highlight w:val="none"/>
                <w:lang w:val="en-US" w:eastAsia="zh-CN"/>
              </w:rPr>
              <w:t>46</w:t>
            </w:r>
            <w:r>
              <w:rPr>
                <w:rFonts w:hint="eastAsia" w:ascii="宋体" w:hAnsi="宋体"/>
                <w:color w:val="000000"/>
                <w:szCs w:val="21"/>
                <w:highlight w:val="none"/>
              </w:rPr>
              <w:t>,000.00</w:t>
            </w:r>
            <w:r>
              <w:rPr>
                <w:rFonts w:hint="eastAsia" w:ascii="宋体" w:hAnsi="宋体" w:eastAsia="宋体" w:cs="宋体"/>
                <w:bCs/>
                <w:color w:val="auto"/>
                <w:kern w:val="0"/>
                <w:szCs w:val="21"/>
                <w:highlight w:val="none"/>
                <w:lang w:val="en-US" w:eastAsia="zh-CN"/>
              </w:rPr>
              <w:t>元</w:t>
            </w:r>
            <w:r>
              <w:rPr>
                <w:rFonts w:hint="eastAsia" w:ascii="宋体" w:hAnsi="宋体" w:eastAsia="宋体" w:cs="宋体"/>
                <w:bCs/>
                <w:color w:val="auto"/>
                <w:kern w:val="0"/>
                <w:szCs w:val="21"/>
                <w:highlight w:val="none"/>
              </w:rPr>
              <w:t xml:space="preserve">  </w:t>
            </w:r>
          </w:p>
          <w:p w14:paraId="55B7E5C0">
            <w:pPr>
              <w:rPr>
                <w:rFonts w:hint="default" w:ascii="宋体" w:hAnsi="宋体" w:eastAsia="宋体" w:cs="宋体"/>
                <w:bCs/>
                <w:kern w:val="0"/>
                <w:szCs w:val="21"/>
                <w:highlight w:val="none"/>
                <w:lang w:val="en-US" w:eastAsia="zh-CN"/>
              </w:rPr>
            </w:pPr>
            <w:r>
              <w:rPr>
                <w:rFonts w:hint="eastAsia" w:ascii="宋体" w:hAnsi="宋体" w:eastAsia="宋体" w:cs="宋体"/>
                <w:bCs/>
                <w:kern w:val="0"/>
                <w:szCs w:val="21"/>
                <w:highlight w:val="none"/>
                <w:lang w:val="en-US" w:eastAsia="zh-CN"/>
              </w:rPr>
              <w:t>2.</w:t>
            </w:r>
            <w:r>
              <w:rPr>
                <w:rFonts w:hint="eastAsia" w:ascii="宋体" w:hAnsi="宋体" w:eastAsia="宋体" w:cs="宋体"/>
                <w:bCs/>
                <w:kern w:val="0"/>
                <w:szCs w:val="21"/>
                <w:highlight w:val="none"/>
              </w:rPr>
              <w:t>采用投标保证金的，</w:t>
            </w:r>
            <w:r>
              <w:rPr>
                <w:rFonts w:hint="eastAsia" w:ascii="宋体" w:hAnsi="宋体" w:eastAsia="宋体" w:cs="宋体"/>
                <w:bCs/>
                <w:kern w:val="0"/>
                <w:szCs w:val="21"/>
                <w:highlight w:val="none"/>
                <w:lang w:val="en-US" w:eastAsia="zh-CN"/>
              </w:rPr>
              <w:t>详见招标公告 “六、其他补充事宜”。</w:t>
            </w:r>
          </w:p>
          <w:p w14:paraId="13C5D22D">
            <w:pPr>
              <w:rPr>
                <w:rFonts w:hint="eastAsia" w:ascii="宋体" w:hAnsi="宋体" w:eastAsia="宋体" w:cs="宋体"/>
                <w:bCs/>
                <w:kern w:val="0"/>
                <w:szCs w:val="21"/>
                <w:highlight w:val="none"/>
              </w:rPr>
            </w:pPr>
            <w:r>
              <w:rPr>
                <w:rFonts w:hint="eastAsia" w:ascii="宋体" w:hAnsi="宋体" w:eastAsia="宋体" w:cs="宋体"/>
                <w:bCs/>
                <w:kern w:val="0"/>
                <w:szCs w:val="21"/>
                <w:highlight w:val="none"/>
                <w:lang w:val="en-US" w:eastAsia="zh-CN"/>
              </w:rPr>
              <w:t>3.</w:t>
            </w:r>
            <w:r>
              <w:rPr>
                <w:rFonts w:hint="eastAsia" w:ascii="宋体" w:hAnsi="宋体" w:eastAsia="宋体" w:cs="宋体"/>
                <w:bCs/>
                <w:kern w:val="0"/>
                <w:szCs w:val="21"/>
                <w:highlight w:val="none"/>
              </w:rPr>
              <w:t>采用投标</w:t>
            </w:r>
            <w:r>
              <w:rPr>
                <w:rFonts w:hint="eastAsia" w:ascii="宋体" w:hAnsi="宋体" w:eastAsia="宋体" w:cs="宋体"/>
                <w:bCs/>
                <w:kern w:val="0"/>
                <w:szCs w:val="21"/>
                <w:highlight w:val="none"/>
                <w:lang w:eastAsia="zh-CN"/>
              </w:rPr>
              <w:t>保函</w:t>
            </w:r>
            <w:r>
              <w:rPr>
                <w:rFonts w:hint="eastAsia" w:ascii="宋体" w:hAnsi="宋体" w:eastAsia="宋体" w:cs="宋体"/>
                <w:bCs/>
                <w:kern w:val="0"/>
                <w:szCs w:val="21"/>
                <w:highlight w:val="none"/>
              </w:rPr>
              <w:t>的，投标人应提交有效的保函，保函的有效期不得短于投标有效期。投标人必须</w:t>
            </w:r>
            <w:r>
              <w:rPr>
                <w:rFonts w:hint="eastAsia" w:ascii="宋体" w:hAnsi="宋体" w:eastAsia="宋体" w:cs="宋体"/>
                <w:bCs/>
                <w:kern w:val="0"/>
                <w:szCs w:val="21"/>
                <w:highlight w:val="none"/>
                <w:lang w:eastAsia="zh-CN"/>
              </w:rPr>
              <w:t>将</w:t>
            </w:r>
            <w:r>
              <w:rPr>
                <w:rFonts w:hint="eastAsia" w:ascii="宋体" w:hAnsi="宋体" w:eastAsia="宋体" w:cs="宋体"/>
                <w:bCs/>
                <w:kern w:val="0"/>
                <w:szCs w:val="21"/>
                <w:highlight w:val="none"/>
              </w:rPr>
              <w:t>投标保</w:t>
            </w:r>
            <w:r>
              <w:rPr>
                <w:rFonts w:hint="eastAsia" w:ascii="宋体" w:hAnsi="宋体" w:eastAsia="宋体" w:cs="宋体"/>
                <w:bCs/>
                <w:kern w:val="0"/>
                <w:szCs w:val="21"/>
                <w:highlight w:val="none"/>
                <w:lang w:eastAsia="zh-CN"/>
              </w:rPr>
              <w:t>函</w:t>
            </w:r>
            <w:r>
              <w:rPr>
                <w:rFonts w:hint="eastAsia" w:ascii="宋体" w:hAnsi="宋体" w:eastAsia="宋体" w:cs="宋体"/>
                <w:bCs/>
                <w:kern w:val="0"/>
                <w:szCs w:val="21"/>
                <w:highlight w:val="none"/>
              </w:rPr>
              <w:t>上传截止时间（见</w:t>
            </w:r>
            <w:r>
              <w:rPr>
                <w:rFonts w:hint="eastAsia" w:ascii="宋体" w:hAnsi="宋体" w:eastAsia="宋体" w:cs="宋体"/>
                <w:bCs/>
                <w:kern w:val="0"/>
                <w:szCs w:val="21"/>
                <w:highlight w:val="none"/>
                <w:lang w:eastAsia="zh-CN"/>
              </w:rPr>
              <w:t>招标</w:t>
            </w:r>
            <w:r>
              <w:rPr>
                <w:rFonts w:hint="eastAsia" w:ascii="宋体" w:hAnsi="宋体" w:eastAsia="宋体" w:cs="宋体"/>
                <w:bCs/>
                <w:kern w:val="0"/>
                <w:szCs w:val="21"/>
                <w:highlight w:val="none"/>
              </w:rPr>
              <w:t>公告“四、提交投标文件截止时间、开标时间和地点”）前，按照</w:t>
            </w:r>
            <w:r>
              <w:rPr>
                <w:rFonts w:hint="eastAsia" w:ascii="宋体" w:hAnsi="宋体" w:eastAsia="宋体" w:cs="宋体"/>
                <w:bCs/>
                <w:kern w:val="0"/>
                <w:szCs w:val="21"/>
                <w:highlight w:val="none"/>
                <w:lang w:eastAsia="zh-CN"/>
              </w:rPr>
              <w:t>产权</w:t>
            </w:r>
            <w:r>
              <w:rPr>
                <w:rFonts w:hint="eastAsia" w:ascii="宋体" w:hAnsi="宋体" w:eastAsia="宋体" w:cs="宋体"/>
                <w:bCs/>
                <w:kern w:val="0"/>
                <w:szCs w:val="21"/>
                <w:highlight w:val="none"/>
              </w:rPr>
              <w:t>交易系统的要求制作和上传保函电子文件。保函原件连同投标文件一并现场递交。逾期上传的、未递交原件的，其投标无效。</w:t>
            </w:r>
          </w:p>
          <w:p w14:paraId="7099A6A5">
            <w:pPr>
              <w:rPr>
                <w:rFonts w:hint="eastAsia" w:ascii="宋体" w:hAnsi="宋体" w:eastAsia="宋体" w:cs="宋体"/>
                <w:bCs/>
                <w:color w:val="auto"/>
                <w:kern w:val="0"/>
                <w:szCs w:val="21"/>
                <w:highlight w:val="none"/>
              </w:rPr>
            </w:pPr>
            <w:r>
              <w:rPr>
                <w:rFonts w:hint="eastAsia" w:ascii="宋体" w:hAnsi="宋体" w:eastAsia="宋体" w:cs="宋体"/>
                <w:b/>
                <w:bCs w:val="0"/>
                <w:kern w:val="0"/>
                <w:szCs w:val="21"/>
                <w:highlight w:val="none"/>
              </w:rPr>
              <w:t>温馨提醒：1.投标人采用投标保</w:t>
            </w:r>
            <w:r>
              <w:rPr>
                <w:rFonts w:hint="eastAsia" w:ascii="宋体" w:hAnsi="宋体" w:eastAsia="宋体" w:cs="宋体"/>
                <w:b/>
                <w:bCs w:val="0"/>
                <w:kern w:val="0"/>
                <w:szCs w:val="21"/>
                <w:highlight w:val="none"/>
                <w:lang w:eastAsia="zh-CN"/>
              </w:rPr>
              <w:t>函</w:t>
            </w:r>
            <w:r>
              <w:rPr>
                <w:rFonts w:hint="eastAsia" w:ascii="宋体" w:hAnsi="宋体" w:eastAsia="宋体" w:cs="宋体"/>
                <w:b/>
                <w:bCs w:val="0"/>
                <w:kern w:val="0"/>
                <w:szCs w:val="21"/>
                <w:highlight w:val="none"/>
              </w:rPr>
              <w:t>的，为避免在评标过程中因有效期发生争议，建议投标人将保函有效期设置为较招标文件规定的投标有效期延长不少于20个日历天。</w:t>
            </w:r>
          </w:p>
        </w:tc>
      </w:tr>
      <w:tr w14:paraId="1E89D204">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8" w:space="0"/>
              <w:right w:val="single" w:color="auto" w:sz="4" w:space="0"/>
            </w:tcBorders>
            <w:noWrap w:val="0"/>
            <w:vAlign w:val="center"/>
          </w:tcPr>
          <w:p w14:paraId="69399F9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15.1</w:t>
            </w:r>
          </w:p>
        </w:tc>
        <w:tc>
          <w:tcPr>
            <w:tcW w:w="1895" w:type="dxa"/>
            <w:tcBorders>
              <w:top w:val="single" w:color="auto" w:sz="4" w:space="0"/>
              <w:left w:val="single" w:color="auto" w:sz="4" w:space="0"/>
              <w:bottom w:val="single" w:color="auto" w:sz="8" w:space="0"/>
              <w:right w:val="single" w:color="auto" w:sz="8" w:space="0"/>
            </w:tcBorders>
            <w:noWrap w:val="0"/>
            <w:vAlign w:val="center"/>
          </w:tcPr>
          <w:p w14:paraId="23E1A7E9">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投标有效期</w:t>
            </w:r>
          </w:p>
        </w:tc>
        <w:tc>
          <w:tcPr>
            <w:tcW w:w="5810" w:type="dxa"/>
            <w:tcBorders>
              <w:top w:val="single" w:color="auto" w:sz="4" w:space="0"/>
              <w:left w:val="nil"/>
              <w:bottom w:val="single" w:color="auto" w:sz="8" w:space="0"/>
              <w:right w:val="single" w:color="auto" w:sz="8" w:space="0"/>
            </w:tcBorders>
            <w:noWrap w:val="0"/>
            <w:vAlign w:val="center"/>
          </w:tcPr>
          <w:p w14:paraId="44D9CEBF">
            <w:pPr>
              <w:pStyle w:val="8"/>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90  </w:t>
            </w:r>
            <w:r>
              <w:rPr>
                <w:rFonts w:hint="eastAsia" w:ascii="宋体" w:hAnsi="宋体" w:eastAsia="宋体" w:cs="宋体"/>
                <w:color w:val="auto"/>
                <w:kern w:val="0"/>
                <w:szCs w:val="21"/>
                <w:highlight w:val="none"/>
                <w:lang w:eastAsia="zh-CN"/>
              </w:rPr>
              <w:t>日</w:t>
            </w:r>
          </w:p>
        </w:tc>
      </w:tr>
      <w:tr w14:paraId="7A188CD3">
        <w:tblPrEx>
          <w:tblCellMar>
            <w:top w:w="0" w:type="dxa"/>
            <w:left w:w="108" w:type="dxa"/>
            <w:bottom w:w="0" w:type="dxa"/>
            <w:right w:w="108" w:type="dxa"/>
          </w:tblCellMar>
        </w:tblPrEx>
        <w:trPr>
          <w:trHeight w:val="23" w:hRule="atLeast"/>
          <w:jc w:val="center"/>
        </w:trPr>
        <w:tc>
          <w:tcPr>
            <w:tcW w:w="951" w:type="dxa"/>
            <w:vMerge w:val="restart"/>
            <w:tcBorders>
              <w:top w:val="nil"/>
              <w:left w:val="single" w:color="auto" w:sz="8" w:space="0"/>
              <w:right w:val="single" w:color="auto" w:sz="4" w:space="0"/>
            </w:tcBorders>
            <w:noWrap w:val="0"/>
            <w:vAlign w:val="center"/>
          </w:tcPr>
          <w:p w14:paraId="55A99E0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16.1</w:t>
            </w:r>
          </w:p>
        </w:tc>
        <w:tc>
          <w:tcPr>
            <w:tcW w:w="1895" w:type="dxa"/>
            <w:tcBorders>
              <w:top w:val="nil"/>
              <w:left w:val="single" w:color="auto" w:sz="4" w:space="0"/>
              <w:bottom w:val="single" w:color="auto" w:sz="4" w:space="0"/>
              <w:right w:val="single" w:color="auto" w:sz="8" w:space="0"/>
            </w:tcBorders>
            <w:noWrap w:val="0"/>
            <w:vAlign w:val="center"/>
          </w:tcPr>
          <w:p w14:paraId="60B5A76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val="en-US" w:eastAsia="zh-CN"/>
              </w:rPr>
              <w:t>纸质文档</w:t>
            </w:r>
            <w:r>
              <w:rPr>
                <w:rFonts w:hint="eastAsia" w:ascii="宋体" w:hAnsi="宋体" w:eastAsia="宋体" w:cs="宋体"/>
                <w:color w:val="auto"/>
                <w:szCs w:val="21"/>
                <w:highlight w:val="none"/>
              </w:rPr>
              <w:t>份数</w:t>
            </w:r>
          </w:p>
        </w:tc>
        <w:tc>
          <w:tcPr>
            <w:tcW w:w="5810" w:type="dxa"/>
            <w:tcBorders>
              <w:top w:val="nil"/>
              <w:left w:val="nil"/>
              <w:bottom w:val="single" w:color="auto" w:sz="4" w:space="0"/>
              <w:right w:val="single" w:color="auto" w:sz="8" w:space="0"/>
            </w:tcBorders>
            <w:noWrap w:val="0"/>
            <w:vAlign w:val="center"/>
          </w:tcPr>
          <w:p w14:paraId="14AC9E45">
            <w:pPr>
              <w:widowControl/>
              <w:rPr>
                <w:rFonts w:hint="eastAsia" w:ascii="宋体" w:hAnsi="宋体" w:eastAsia="宋体" w:cs="宋体"/>
                <w:b/>
                <w:bCs/>
                <w:color w:val="auto"/>
                <w:kern w:val="0"/>
                <w:szCs w:val="21"/>
                <w:highlight w:val="none"/>
              </w:rPr>
            </w:pPr>
            <w:r>
              <w:rPr>
                <w:rFonts w:hint="eastAsia" w:ascii="宋体" w:hAnsi="宋体" w:eastAsia="宋体" w:cs="宋体"/>
                <w:b/>
                <w:bCs/>
                <w:color w:val="auto"/>
                <w:szCs w:val="21"/>
                <w:highlight w:val="none"/>
                <w:lang w:val="en-US" w:eastAsia="zh-CN"/>
              </w:rPr>
              <w:t>现场须递交</w:t>
            </w:r>
            <w:r>
              <w:rPr>
                <w:rFonts w:hint="eastAsia" w:ascii="宋体" w:hAnsi="宋体" w:eastAsia="宋体" w:cs="宋体"/>
                <w:b/>
                <w:bCs/>
                <w:color w:val="auto"/>
                <w:szCs w:val="21"/>
                <w:highlight w:val="none"/>
              </w:rPr>
              <w:t>投标文件正本</w:t>
            </w:r>
            <w:r>
              <w:rPr>
                <w:rFonts w:hint="eastAsia" w:ascii="宋体" w:hAnsi="宋体" w:eastAsia="宋体" w:cs="宋体"/>
                <w:b/>
                <w:bCs/>
                <w:color w:val="auto"/>
                <w:szCs w:val="21"/>
                <w:highlight w:val="none"/>
                <w:u w:val="single"/>
              </w:rPr>
              <w:t xml:space="preserve">  1  </w:t>
            </w:r>
            <w:r>
              <w:rPr>
                <w:rFonts w:hint="eastAsia" w:ascii="宋体" w:hAnsi="宋体" w:eastAsia="宋体" w:cs="宋体"/>
                <w:b/>
                <w:bCs/>
                <w:color w:val="auto"/>
                <w:szCs w:val="21"/>
                <w:highlight w:val="none"/>
              </w:rPr>
              <w:t>份,副本</w:t>
            </w:r>
            <w:r>
              <w:rPr>
                <w:rFonts w:hint="eastAsia" w:ascii="宋体" w:hAnsi="宋体" w:eastAsia="宋体" w:cs="宋体"/>
                <w:b/>
                <w:bCs/>
                <w:color w:val="auto"/>
                <w:szCs w:val="21"/>
                <w:highlight w:val="none"/>
                <w:u w:val="single"/>
              </w:rPr>
              <w:t xml:space="preserve">  </w:t>
            </w:r>
            <w:r>
              <w:rPr>
                <w:rFonts w:hint="eastAsia" w:ascii="宋体" w:hAnsi="宋体" w:eastAsia="宋体" w:cs="宋体"/>
                <w:b/>
                <w:bCs/>
                <w:color w:val="auto"/>
                <w:szCs w:val="21"/>
                <w:highlight w:val="none"/>
                <w:u w:val="single"/>
                <w:lang w:val="en-US" w:eastAsia="zh-CN"/>
              </w:rPr>
              <w:t>4</w:t>
            </w:r>
            <w:r>
              <w:rPr>
                <w:rFonts w:hint="eastAsia" w:ascii="宋体" w:hAnsi="宋体" w:eastAsia="宋体" w:cs="宋体"/>
                <w:b/>
                <w:bCs/>
                <w:color w:val="auto"/>
                <w:szCs w:val="21"/>
                <w:highlight w:val="none"/>
                <w:u w:val="single"/>
              </w:rPr>
              <w:t xml:space="preserve">  </w:t>
            </w:r>
            <w:r>
              <w:rPr>
                <w:rFonts w:hint="eastAsia" w:ascii="宋体" w:hAnsi="宋体" w:eastAsia="宋体" w:cs="宋体"/>
                <w:b/>
                <w:bCs/>
                <w:color w:val="auto"/>
                <w:szCs w:val="21"/>
                <w:highlight w:val="none"/>
              </w:rPr>
              <w:t>份</w:t>
            </w:r>
            <w:r>
              <w:rPr>
                <w:rFonts w:hint="eastAsia" w:ascii="宋体" w:hAnsi="宋体" w:eastAsia="宋体" w:cs="宋体"/>
                <w:b/>
                <w:bCs/>
                <w:color w:val="auto"/>
                <w:szCs w:val="21"/>
                <w:highlight w:val="none"/>
                <w:lang w:eastAsia="zh-CN"/>
              </w:rPr>
              <w:t>，</w:t>
            </w:r>
          </w:p>
        </w:tc>
      </w:tr>
      <w:tr w14:paraId="55C83087">
        <w:tblPrEx>
          <w:tblCellMar>
            <w:top w:w="0" w:type="dxa"/>
            <w:left w:w="108" w:type="dxa"/>
            <w:bottom w:w="0" w:type="dxa"/>
            <w:right w:w="108" w:type="dxa"/>
          </w:tblCellMar>
        </w:tblPrEx>
        <w:trPr>
          <w:trHeight w:val="23" w:hRule="atLeast"/>
          <w:jc w:val="center"/>
        </w:trPr>
        <w:tc>
          <w:tcPr>
            <w:tcW w:w="951" w:type="dxa"/>
            <w:vMerge w:val="continue"/>
            <w:tcBorders>
              <w:left w:val="single" w:color="auto" w:sz="8" w:space="0"/>
              <w:right w:val="single" w:color="auto" w:sz="4" w:space="0"/>
            </w:tcBorders>
            <w:noWrap w:val="0"/>
            <w:vAlign w:val="center"/>
          </w:tcPr>
          <w:p w14:paraId="7CF4BD48">
            <w:pPr>
              <w:widowControl/>
              <w:jc w:val="center"/>
              <w:rPr>
                <w:rFonts w:hint="eastAsia" w:ascii="宋体" w:hAnsi="宋体" w:eastAsia="宋体" w:cs="宋体"/>
                <w:color w:val="auto"/>
                <w:kern w:val="0"/>
                <w:szCs w:val="21"/>
                <w:highlight w:val="none"/>
              </w:rPr>
            </w:pPr>
          </w:p>
        </w:tc>
        <w:tc>
          <w:tcPr>
            <w:tcW w:w="1895" w:type="dxa"/>
            <w:vMerge w:val="restart"/>
            <w:tcBorders>
              <w:top w:val="nil"/>
              <w:left w:val="single" w:color="auto" w:sz="4" w:space="0"/>
              <w:right w:val="single" w:color="auto" w:sz="8" w:space="0"/>
            </w:tcBorders>
            <w:noWrap w:val="0"/>
            <w:vAlign w:val="center"/>
          </w:tcPr>
          <w:p w14:paraId="0A6976ED">
            <w:pPr>
              <w:widowControl/>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投标文件电子文档份数</w:t>
            </w:r>
          </w:p>
        </w:tc>
        <w:tc>
          <w:tcPr>
            <w:tcW w:w="5810" w:type="dxa"/>
            <w:tcBorders>
              <w:top w:val="nil"/>
              <w:left w:val="nil"/>
              <w:bottom w:val="single" w:color="auto" w:sz="4" w:space="0"/>
              <w:right w:val="single" w:color="auto" w:sz="8" w:space="0"/>
            </w:tcBorders>
            <w:noWrap w:val="0"/>
            <w:vAlign w:val="center"/>
          </w:tcPr>
          <w:p w14:paraId="265D3B1F">
            <w:pPr>
              <w:widowControl/>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eastAsia="宋体" w:cs="宋体"/>
                <w:b/>
                <w:bCs/>
                <w:color w:val="auto"/>
                <w:szCs w:val="21"/>
                <w:highlight w:val="none"/>
                <w:lang w:val="en-US" w:eastAsia="zh-CN"/>
              </w:rPr>
              <w:t>需要提供：</w:t>
            </w:r>
            <w:r>
              <w:rPr>
                <w:rFonts w:hint="eastAsia" w:ascii="宋体" w:hAnsi="宋体" w:eastAsia="宋体" w:cs="宋体"/>
                <w:b/>
                <w:bCs/>
                <w:color w:val="auto"/>
                <w:szCs w:val="21"/>
                <w:highlight w:val="none"/>
                <w:u w:val="single"/>
                <w:lang w:val="en-US" w:eastAsia="zh-CN"/>
              </w:rPr>
              <w:t xml:space="preserve">  1  </w:t>
            </w:r>
            <w:r>
              <w:rPr>
                <w:rFonts w:hint="eastAsia" w:ascii="宋体" w:hAnsi="宋体" w:eastAsia="宋体" w:cs="宋体"/>
                <w:b/>
                <w:bCs/>
                <w:color w:val="auto"/>
                <w:szCs w:val="21"/>
                <w:highlight w:val="none"/>
                <w:lang w:val="en-US" w:eastAsia="zh-CN"/>
              </w:rPr>
              <w:t>份，</w:t>
            </w:r>
            <w:r>
              <w:rPr>
                <w:rFonts w:hint="eastAsia" w:ascii="宋体" w:hAnsi="宋体" w:eastAsia="宋体" w:cs="宋体"/>
                <w:b/>
                <w:bCs/>
                <w:color w:val="auto"/>
                <w:kern w:val="0"/>
                <w:szCs w:val="21"/>
                <w:highlight w:val="none"/>
                <w:lang w:val="en-US" w:eastAsia="zh-CN"/>
              </w:rPr>
              <w:t>电子文档必须是正本签署盖章后扫描后制作的PDF电子文档格式和WORD版，以U盘或光盘为载体随投标文件正副本一起提交</w:t>
            </w:r>
            <w:r>
              <w:rPr>
                <w:rFonts w:hint="eastAsia" w:ascii="宋体" w:hAnsi="宋体" w:eastAsia="宋体" w:cs="宋体"/>
                <w:b/>
                <w:bCs/>
                <w:color w:val="auto"/>
                <w:kern w:val="0"/>
                <w:szCs w:val="21"/>
                <w:highlight w:val="none"/>
                <w:lang w:eastAsia="zh-CN"/>
              </w:rPr>
              <w:t>。</w:t>
            </w:r>
          </w:p>
        </w:tc>
      </w:tr>
      <w:tr w14:paraId="7A8100D6">
        <w:tblPrEx>
          <w:tblCellMar>
            <w:top w:w="0" w:type="dxa"/>
            <w:left w:w="108" w:type="dxa"/>
            <w:bottom w:w="0" w:type="dxa"/>
            <w:right w:w="108" w:type="dxa"/>
          </w:tblCellMar>
        </w:tblPrEx>
        <w:trPr>
          <w:trHeight w:val="23" w:hRule="atLeast"/>
          <w:jc w:val="center"/>
        </w:trPr>
        <w:tc>
          <w:tcPr>
            <w:tcW w:w="951" w:type="dxa"/>
            <w:vMerge w:val="continue"/>
            <w:tcBorders>
              <w:left w:val="single" w:color="auto" w:sz="8" w:space="0"/>
              <w:bottom w:val="single" w:color="auto" w:sz="4" w:space="0"/>
              <w:right w:val="single" w:color="auto" w:sz="4" w:space="0"/>
            </w:tcBorders>
            <w:noWrap w:val="0"/>
            <w:vAlign w:val="center"/>
          </w:tcPr>
          <w:p w14:paraId="08872877">
            <w:pPr>
              <w:widowControl/>
              <w:jc w:val="center"/>
              <w:rPr>
                <w:rFonts w:hint="eastAsia" w:ascii="宋体" w:hAnsi="宋体" w:eastAsia="宋体" w:cs="宋体"/>
                <w:color w:val="auto"/>
                <w:kern w:val="0"/>
                <w:szCs w:val="21"/>
                <w:highlight w:val="none"/>
              </w:rPr>
            </w:pPr>
          </w:p>
        </w:tc>
        <w:tc>
          <w:tcPr>
            <w:tcW w:w="1895" w:type="dxa"/>
            <w:vMerge w:val="continue"/>
            <w:tcBorders>
              <w:left w:val="single" w:color="auto" w:sz="4" w:space="0"/>
              <w:bottom w:val="single" w:color="auto" w:sz="4" w:space="0"/>
              <w:right w:val="single" w:color="auto" w:sz="8" w:space="0"/>
            </w:tcBorders>
            <w:noWrap w:val="0"/>
            <w:vAlign w:val="center"/>
          </w:tcPr>
          <w:p w14:paraId="06588BAC">
            <w:pPr>
              <w:widowControl/>
              <w:jc w:val="center"/>
              <w:rPr>
                <w:rFonts w:hint="eastAsia" w:ascii="宋体" w:hAnsi="宋体" w:eastAsia="宋体" w:cs="宋体"/>
                <w:color w:val="auto"/>
                <w:szCs w:val="21"/>
                <w:highlight w:val="none"/>
                <w:lang w:val="en-US" w:eastAsia="zh-CN"/>
              </w:rPr>
            </w:pPr>
          </w:p>
        </w:tc>
        <w:tc>
          <w:tcPr>
            <w:tcW w:w="5810" w:type="dxa"/>
            <w:tcBorders>
              <w:top w:val="nil"/>
              <w:left w:val="nil"/>
              <w:bottom w:val="single" w:color="auto" w:sz="4" w:space="0"/>
              <w:right w:val="single" w:color="auto" w:sz="8" w:space="0"/>
            </w:tcBorders>
            <w:noWrap w:val="0"/>
            <w:vAlign w:val="center"/>
          </w:tcPr>
          <w:p w14:paraId="7E75C411">
            <w:pPr>
              <w:widowControl/>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口不需要</w:t>
            </w:r>
          </w:p>
        </w:tc>
      </w:tr>
      <w:tr w14:paraId="1A924FC6">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4" w:space="0"/>
              <w:right w:val="single" w:color="auto" w:sz="4" w:space="0"/>
            </w:tcBorders>
            <w:noWrap w:val="0"/>
            <w:vAlign w:val="center"/>
          </w:tcPr>
          <w:p w14:paraId="0784362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895" w:type="dxa"/>
            <w:tcBorders>
              <w:top w:val="nil"/>
              <w:left w:val="single" w:color="auto" w:sz="4" w:space="0"/>
              <w:bottom w:val="single" w:color="auto" w:sz="4" w:space="0"/>
              <w:right w:val="single" w:color="auto" w:sz="8" w:space="0"/>
            </w:tcBorders>
            <w:noWrap w:val="0"/>
            <w:vAlign w:val="center"/>
          </w:tcPr>
          <w:p w14:paraId="0F659209">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评标委员会组成</w:t>
            </w:r>
          </w:p>
        </w:tc>
        <w:tc>
          <w:tcPr>
            <w:tcW w:w="5810" w:type="dxa"/>
            <w:tcBorders>
              <w:top w:val="nil"/>
              <w:left w:val="nil"/>
              <w:bottom w:val="single" w:color="auto" w:sz="4" w:space="0"/>
              <w:right w:val="single" w:color="auto" w:sz="8" w:space="0"/>
            </w:tcBorders>
            <w:noWrap w:val="0"/>
            <w:vAlign w:val="center"/>
          </w:tcPr>
          <w:p w14:paraId="5BD0C7C8">
            <w:pPr>
              <w:widowControl/>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评标委员会由5名单数组成。</w:t>
            </w:r>
          </w:p>
        </w:tc>
      </w:tr>
      <w:tr w14:paraId="7A98FDF2">
        <w:tblPrEx>
          <w:tblCellMar>
            <w:top w:w="0" w:type="dxa"/>
            <w:left w:w="108" w:type="dxa"/>
            <w:bottom w:w="0" w:type="dxa"/>
            <w:right w:w="108" w:type="dxa"/>
          </w:tblCellMar>
        </w:tblPrEx>
        <w:trPr>
          <w:trHeight w:val="23" w:hRule="atLeast"/>
          <w:jc w:val="center"/>
        </w:trPr>
        <w:tc>
          <w:tcPr>
            <w:tcW w:w="951" w:type="dxa"/>
            <w:vMerge w:val="restart"/>
            <w:tcBorders>
              <w:top w:val="single" w:color="auto" w:sz="4" w:space="0"/>
              <w:left w:val="single" w:color="auto" w:sz="4" w:space="0"/>
              <w:bottom w:val="single" w:color="auto" w:sz="4" w:space="0"/>
              <w:right w:val="single" w:color="auto" w:sz="4" w:space="0"/>
            </w:tcBorders>
            <w:noWrap w:val="0"/>
            <w:vAlign w:val="center"/>
          </w:tcPr>
          <w:p w14:paraId="5D1E927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25.1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2D4E742E">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样品的评审方法以及评审标准</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7F7C86A1">
            <w:pPr>
              <w:shd w:val="clear" w:color="auto" w:fill="FFFFFF"/>
              <w:jc w:val="both"/>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样品的评审方法以及评审标准</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详见《采购需求》或《评标标准》</w:t>
            </w:r>
          </w:p>
        </w:tc>
      </w:tr>
      <w:tr w14:paraId="4CC9C212">
        <w:tblPrEx>
          <w:tblCellMar>
            <w:top w:w="0" w:type="dxa"/>
            <w:left w:w="108" w:type="dxa"/>
            <w:bottom w:w="0" w:type="dxa"/>
            <w:right w:w="108" w:type="dxa"/>
          </w:tblCellMar>
        </w:tblPrEx>
        <w:trPr>
          <w:trHeight w:val="23" w:hRule="atLeast"/>
          <w:jc w:val="center"/>
        </w:trPr>
        <w:tc>
          <w:tcPr>
            <w:tcW w:w="951" w:type="dxa"/>
            <w:vMerge w:val="continue"/>
            <w:tcBorders>
              <w:top w:val="single" w:color="auto" w:sz="4" w:space="0"/>
              <w:left w:val="single" w:color="auto" w:sz="4" w:space="0"/>
              <w:bottom w:val="single" w:color="auto" w:sz="4" w:space="0"/>
              <w:right w:val="single" w:color="auto" w:sz="4" w:space="0"/>
            </w:tcBorders>
            <w:noWrap w:val="0"/>
            <w:vAlign w:val="center"/>
          </w:tcPr>
          <w:p w14:paraId="083BCC87">
            <w:pPr>
              <w:widowControl/>
              <w:jc w:val="center"/>
              <w:rPr>
                <w:rFonts w:hint="eastAsia" w:ascii="宋体" w:hAnsi="宋体" w:eastAsia="宋体" w:cs="宋体"/>
                <w:color w:val="auto"/>
                <w:kern w:val="0"/>
                <w:szCs w:val="21"/>
                <w:highlight w:val="none"/>
              </w:rPr>
            </w:pP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C439BAE">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演示的评审方法及评审标准</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253203FD">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w:t>
            </w:r>
            <w:r>
              <w:rPr>
                <w:rFonts w:hint="eastAsia" w:ascii="宋体" w:hAnsi="宋体" w:eastAsia="宋体" w:cs="宋体"/>
                <w:color w:val="auto"/>
                <w:szCs w:val="21"/>
                <w:highlight w:val="none"/>
              </w:rPr>
              <w:t>的评审方法以及评审标准</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详见《采购需求》或《评标标准》</w:t>
            </w:r>
          </w:p>
        </w:tc>
      </w:tr>
      <w:tr w14:paraId="44A3ED5C">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629A369">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27.2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115AA7">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评标办法</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36477F4E">
            <w:pPr>
              <w:widowControl/>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szCs w:val="21"/>
                <w:highlight w:val="none"/>
              </w:rPr>
              <w:t xml:space="preserve">综合评分法              </w:t>
            </w:r>
          </w:p>
        </w:tc>
      </w:tr>
      <w:tr w14:paraId="4F2B97C9">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38215B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29.2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3BA22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推荐中标候选人的数量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A31997D">
            <w:pPr>
              <w:widowControl/>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中标候选人的数量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3</w:t>
            </w:r>
          </w:p>
        </w:tc>
      </w:tr>
      <w:tr w14:paraId="6CA54956">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440E07E6">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31</w:t>
            </w:r>
            <w:r>
              <w:rPr>
                <w:rFonts w:hint="eastAsia" w:ascii="宋体" w:hAnsi="宋体" w:eastAsia="宋体" w:cs="宋体"/>
                <w:color w:val="auto"/>
                <w:kern w:val="0"/>
                <w:szCs w:val="21"/>
                <w:highlight w:val="none"/>
                <w:lang w:val="en-US" w:eastAsia="zh-CN"/>
              </w:rPr>
              <w:t>.1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02E0F10D">
            <w:pPr>
              <w:widowControl/>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确定中标人的</w:t>
            </w:r>
            <w:r>
              <w:rPr>
                <w:rFonts w:hint="eastAsia" w:ascii="宋体" w:hAnsi="宋体" w:eastAsia="宋体" w:cs="宋体"/>
                <w:color w:val="auto"/>
                <w:kern w:val="0"/>
                <w:szCs w:val="21"/>
                <w:highlight w:val="none"/>
                <w:lang w:val="en-US" w:eastAsia="zh-CN"/>
              </w:rPr>
              <w:t>数量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7FB2402">
            <w:pPr>
              <w:widowControl/>
              <w:spacing w:line="24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中标人</w:t>
            </w:r>
            <w:r>
              <w:rPr>
                <w:rFonts w:hint="eastAsia" w:ascii="宋体" w:hAnsi="宋体" w:eastAsia="宋体" w:cs="宋体"/>
                <w:color w:val="auto"/>
                <w:kern w:val="0"/>
                <w:szCs w:val="21"/>
                <w:highlight w:val="none"/>
                <w:lang w:val="en-US" w:eastAsia="zh-CN"/>
              </w:rPr>
              <w:t>的数量：1</w:t>
            </w:r>
          </w:p>
        </w:tc>
      </w:tr>
      <w:tr w14:paraId="34DACBDB">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13D56445">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31.2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671873D3">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确定中标人的方式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68E41030">
            <w:pPr>
              <w:widowControl/>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lang w:val="en-US" w:eastAsia="zh-CN"/>
              </w:rPr>
              <w:t>确定方式按本</w:t>
            </w:r>
            <w:r>
              <w:rPr>
                <w:rFonts w:hint="eastAsia" w:ascii="宋体" w:hAnsi="宋体" w:eastAsia="宋体" w:cs="宋体"/>
                <w:color w:val="auto"/>
                <w:kern w:val="0"/>
                <w:szCs w:val="21"/>
                <w:highlight w:val="none"/>
                <w:lang w:val="en-US" w:eastAsia="zh-CN"/>
              </w:rPr>
              <w:t>项目《委托代理协议》约定。</w:t>
            </w:r>
          </w:p>
        </w:tc>
      </w:tr>
      <w:tr w14:paraId="7FB61F6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DBDA6B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0ACDFF81">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履约保证金</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275976FA">
            <w:pPr>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■本项目收取履约保证金</w:t>
            </w:r>
          </w:p>
          <w:p w14:paraId="040DBDA8">
            <w:pP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1.中标人须在发布中标结果公告后两个工作日内向招标人提交¥300,000.00元（人民币叁拾万元整）的履约保证</w:t>
            </w:r>
            <w:r>
              <w:rPr>
                <w:rFonts w:hint="eastAsia" w:ascii="宋体" w:hAnsi="宋体" w:eastAsia="宋体" w:cs="宋体"/>
                <w:szCs w:val="21"/>
                <w:highlight w:val="none"/>
                <w:lang w:val="en-US" w:eastAsia="zh-CN"/>
              </w:rPr>
              <w:t>金</w:t>
            </w:r>
            <w:r>
              <w:rPr>
                <w:rFonts w:hint="eastAsia" w:ascii="宋体" w:hAnsi="宋体" w:eastAsia="宋体" w:cs="宋体"/>
                <w:color w:val="auto"/>
                <w:kern w:val="0"/>
                <w:szCs w:val="21"/>
                <w:highlight w:val="none"/>
                <w:lang w:val="en-US" w:eastAsia="zh-CN"/>
              </w:rPr>
              <w:t>。履约保证</w:t>
            </w:r>
            <w:r>
              <w:rPr>
                <w:rFonts w:hint="eastAsia" w:ascii="宋体" w:hAnsi="宋体" w:eastAsia="宋体" w:cs="宋体"/>
                <w:szCs w:val="21"/>
                <w:highlight w:val="none"/>
                <w:lang w:val="en-US" w:eastAsia="zh-CN"/>
              </w:rPr>
              <w:t>金</w:t>
            </w:r>
            <w:r>
              <w:rPr>
                <w:rFonts w:hint="eastAsia" w:ascii="宋体" w:hAnsi="宋体" w:eastAsia="宋体" w:cs="宋体"/>
                <w:color w:val="auto"/>
                <w:kern w:val="0"/>
                <w:szCs w:val="21"/>
                <w:highlight w:val="none"/>
                <w:lang w:val="en-US" w:eastAsia="zh-CN"/>
              </w:rPr>
              <w:t>的形式包括履约保证金（现金或转账）、履约保证担保（只限四大银行）两种，由中标人自主选择。否则将视为中标人放弃中标的权利，招标人有权选择按规定选出的中标候选人为本项目的中标人或对本项目重新进行招标。</w:t>
            </w:r>
          </w:p>
          <w:p w14:paraId="07DBE2EB">
            <w:pPr>
              <w:shd w:val="clear" w:color="auto" w:fill="FFFFFF"/>
              <w:jc w:val="left"/>
              <w:rPr>
                <w:color w:val="auto"/>
                <w:highlight w:val="none"/>
              </w:rPr>
            </w:pPr>
            <w:r>
              <w:rPr>
                <w:rFonts w:hint="eastAsia" w:ascii="宋体" w:hAnsi="宋体" w:eastAsia="宋体" w:cs="宋体"/>
                <w:color w:val="auto"/>
                <w:kern w:val="0"/>
                <w:szCs w:val="21"/>
                <w:highlight w:val="none"/>
                <w:lang w:val="en-US" w:eastAsia="zh-CN"/>
              </w:rPr>
              <w:t>2.履约保证金有效期比合同有效期延长1个月。履约保证金将在中标人履行完合同义务，合同期满且投标人无违约事实的，凭招标人原开具的押金凭证在五个工作日内无息退还。</w:t>
            </w:r>
          </w:p>
        </w:tc>
      </w:tr>
      <w:tr w14:paraId="463F0038">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538488D1">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36</w:t>
            </w:r>
            <w:r>
              <w:rPr>
                <w:rFonts w:hint="eastAsia" w:ascii="宋体" w:hAnsi="宋体" w:eastAsia="宋体" w:cs="宋体"/>
                <w:color w:val="auto"/>
                <w:kern w:val="0"/>
                <w:szCs w:val="21"/>
                <w:highlight w:val="none"/>
                <w:lang w:val="en-US" w:eastAsia="zh-CN"/>
              </w:rPr>
              <w:t>.1</w:t>
            </w:r>
          </w:p>
        </w:tc>
        <w:tc>
          <w:tcPr>
            <w:tcW w:w="1895" w:type="dxa"/>
            <w:tcBorders>
              <w:top w:val="nil"/>
              <w:left w:val="single" w:color="auto" w:sz="4" w:space="0"/>
              <w:bottom w:val="single" w:color="auto" w:sz="8" w:space="0"/>
              <w:right w:val="single" w:color="auto" w:sz="8" w:space="0"/>
            </w:tcBorders>
            <w:noWrap w:val="0"/>
            <w:vAlign w:val="center"/>
          </w:tcPr>
          <w:p w14:paraId="3487E676">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招标代理服务费</w:t>
            </w:r>
            <w:r>
              <w:rPr>
                <w:rFonts w:hint="eastAsia" w:ascii="宋体" w:hAnsi="宋体" w:eastAsia="宋体" w:cs="宋体"/>
                <w:color w:val="auto"/>
                <w:szCs w:val="21"/>
                <w:highlight w:val="none"/>
                <w:lang w:val="en-US" w:eastAsia="zh-CN"/>
              </w:rPr>
              <w:t>支付方</w:t>
            </w:r>
          </w:p>
        </w:tc>
        <w:tc>
          <w:tcPr>
            <w:tcW w:w="5810" w:type="dxa"/>
            <w:tcBorders>
              <w:top w:val="nil"/>
              <w:left w:val="nil"/>
              <w:bottom w:val="single" w:color="auto" w:sz="8" w:space="0"/>
              <w:right w:val="single" w:color="auto" w:sz="8" w:space="0"/>
            </w:tcBorders>
            <w:noWrap w:val="0"/>
            <w:vAlign w:val="center"/>
          </w:tcPr>
          <w:p w14:paraId="6FDD2A4A">
            <w:pPr>
              <w:widowControl/>
              <w:numPr>
                <w:ilvl w:val="0"/>
                <w:numId w:val="0"/>
              </w:numPr>
              <w:snapToGrid w:val="0"/>
              <w:rPr>
                <w:rFonts w:hint="default"/>
                <w:color w:val="auto"/>
                <w:highlight w:val="none"/>
                <w:lang w:val="en-US"/>
              </w:rPr>
            </w:pPr>
            <w:r>
              <w:rPr>
                <w:rFonts w:hint="eastAsia" w:ascii="宋体" w:hAnsi="宋体" w:eastAsia="宋体" w:cs="宋体"/>
                <w:color w:val="auto"/>
                <w:highlight w:val="none"/>
              </w:rPr>
              <w:t>■</w:t>
            </w:r>
            <w:r>
              <w:rPr>
                <w:rFonts w:hint="eastAsia" w:ascii="宋体" w:hAnsi="宋体" w:eastAsia="宋体" w:cs="宋体"/>
                <w:color w:val="auto"/>
                <w:szCs w:val="21"/>
                <w:highlight w:val="none"/>
                <w:lang w:val="en-US" w:eastAsia="zh-CN"/>
              </w:rPr>
              <w:t xml:space="preserve"> 中标人</w:t>
            </w:r>
          </w:p>
        </w:tc>
      </w:tr>
      <w:tr w14:paraId="67928B00">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2E7F3418">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36.2</w:t>
            </w:r>
          </w:p>
        </w:tc>
        <w:tc>
          <w:tcPr>
            <w:tcW w:w="1895" w:type="dxa"/>
            <w:tcBorders>
              <w:top w:val="nil"/>
              <w:left w:val="single" w:color="auto" w:sz="4" w:space="0"/>
              <w:bottom w:val="single" w:color="auto" w:sz="8" w:space="0"/>
              <w:right w:val="single" w:color="auto" w:sz="8" w:space="0"/>
            </w:tcBorders>
            <w:noWrap w:val="0"/>
            <w:vAlign w:val="center"/>
          </w:tcPr>
          <w:p w14:paraId="5DE3DB3C">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招标代理服务费收费标准</w:t>
            </w:r>
          </w:p>
        </w:tc>
        <w:tc>
          <w:tcPr>
            <w:tcW w:w="5810" w:type="dxa"/>
            <w:tcBorders>
              <w:top w:val="nil"/>
              <w:left w:val="nil"/>
              <w:bottom w:val="single" w:color="auto" w:sz="8" w:space="0"/>
              <w:right w:val="single" w:color="auto" w:sz="8" w:space="0"/>
            </w:tcBorders>
            <w:noWrap w:val="0"/>
            <w:vAlign w:val="center"/>
          </w:tcPr>
          <w:p w14:paraId="183E49FA">
            <w:pPr>
              <w:widowControl/>
              <w:snapToGrid w:val="0"/>
              <w:jc w:val="both"/>
              <w:rPr>
                <w:rFonts w:hint="default" w:ascii="宋体" w:hAnsi="宋体" w:eastAsia="宋体" w:cs="宋体"/>
                <w:color w:val="auto"/>
                <w:szCs w:val="21"/>
                <w:highlight w:val="none"/>
                <w:lang w:val="en-US" w:eastAsia="zh-CN"/>
              </w:rPr>
            </w:pPr>
            <w:r>
              <w:rPr>
                <w:rFonts w:hint="eastAsia" w:ascii="宋体" w:hAnsi="宋体" w:eastAsia="宋体" w:cs="宋体"/>
                <w:szCs w:val="21"/>
                <w:highlight w:val="none"/>
              </w:rPr>
              <w:t>详见《</w:t>
            </w:r>
            <w:r>
              <w:rPr>
                <w:rFonts w:hint="eastAsia" w:ascii="宋体" w:hAnsi="宋体" w:eastAsia="宋体" w:cs="宋体"/>
                <w:szCs w:val="21"/>
                <w:highlight w:val="none"/>
                <w:lang w:val="en-US" w:eastAsia="zh-CN"/>
              </w:rPr>
              <w:t>招标</w:t>
            </w:r>
            <w:r>
              <w:rPr>
                <w:rFonts w:hint="eastAsia" w:ascii="宋体" w:hAnsi="宋体" w:eastAsia="宋体" w:cs="宋体"/>
                <w:szCs w:val="21"/>
                <w:highlight w:val="none"/>
              </w:rPr>
              <w:t>代理服务缴费通知书》。</w:t>
            </w:r>
          </w:p>
        </w:tc>
      </w:tr>
      <w:tr w14:paraId="62BE295A">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06ECDEC1">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36.3</w:t>
            </w:r>
          </w:p>
        </w:tc>
        <w:tc>
          <w:tcPr>
            <w:tcW w:w="1895" w:type="dxa"/>
            <w:tcBorders>
              <w:top w:val="nil"/>
              <w:left w:val="single" w:color="auto" w:sz="4" w:space="0"/>
              <w:bottom w:val="single" w:color="auto" w:sz="8" w:space="0"/>
              <w:right w:val="single" w:color="auto" w:sz="8" w:space="0"/>
            </w:tcBorders>
            <w:noWrap w:val="0"/>
            <w:vAlign w:val="center"/>
          </w:tcPr>
          <w:p w14:paraId="2EAF0EB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招标代理服务费支付形式、支付时间</w:t>
            </w:r>
          </w:p>
        </w:tc>
        <w:tc>
          <w:tcPr>
            <w:tcW w:w="5810" w:type="dxa"/>
            <w:tcBorders>
              <w:top w:val="nil"/>
              <w:left w:val="nil"/>
              <w:bottom w:val="single" w:color="auto" w:sz="8" w:space="0"/>
              <w:right w:val="single" w:color="auto" w:sz="8" w:space="0"/>
            </w:tcBorders>
            <w:noWrap w:val="0"/>
            <w:vAlign w:val="center"/>
          </w:tcPr>
          <w:p w14:paraId="7EA454E1">
            <w:pPr>
              <w:widowControl/>
              <w:numPr>
                <w:ilvl w:val="0"/>
                <w:numId w:val="0"/>
              </w:numPr>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详见《</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代理服务缴费通知书》。</w:t>
            </w:r>
          </w:p>
        </w:tc>
      </w:tr>
      <w:tr w14:paraId="211F4B9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4" w:space="0"/>
              <w:right w:val="single" w:color="auto" w:sz="4" w:space="0"/>
            </w:tcBorders>
            <w:noWrap w:val="0"/>
            <w:vAlign w:val="center"/>
          </w:tcPr>
          <w:p w14:paraId="1E74065E">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39.3</w:t>
            </w:r>
          </w:p>
        </w:tc>
        <w:tc>
          <w:tcPr>
            <w:tcW w:w="1895" w:type="dxa"/>
            <w:tcBorders>
              <w:top w:val="single" w:color="auto" w:sz="4" w:space="0"/>
              <w:left w:val="single" w:color="auto" w:sz="4" w:space="0"/>
              <w:bottom w:val="single" w:color="auto" w:sz="4" w:space="0"/>
              <w:right w:val="single" w:color="auto" w:sz="8" w:space="0"/>
            </w:tcBorders>
            <w:noWrap w:val="0"/>
            <w:vAlign w:val="center"/>
          </w:tcPr>
          <w:p w14:paraId="0AF5436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质疑</w:t>
            </w:r>
          </w:p>
        </w:tc>
        <w:tc>
          <w:tcPr>
            <w:tcW w:w="5810" w:type="dxa"/>
            <w:tcBorders>
              <w:top w:val="single" w:color="auto" w:sz="4" w:space="0"/>
              <w:left w:val="nil"/>
              <w:bottom w:val="single" w:color="auto" w:sz="4" w:space="0"/>
              <w:right w:val="single" w:color="auto" w:sz="8" w:space="0"/>
            </w:tcBorders>
            <w:noWrap w:val="0"/>
            <w:vAlign w:val="center"/>
          </w:tcPr>
          <w:p w14:paraId="30A085AD">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一、投标人认为自己的权益受到损害的，可以在知道或者应知其权益受到损害之日起七个工作日内，向</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代理机构提出质疑。</w:t>
            </w:r>
          </w:p>
          <w:p w14:paraId="435719AB">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1.接收质疑函的方式：接收加盖单位公章的书面纸质疑函</w:t>
            </w:r>
          </w:p>
          <w:p w14:paraId="7A3BB83C">
            <w:pPr>
              <w:widowControl/>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联系单位：</w:t>
            </w:r>
            <w:r>
              <w:rPr>
                <w:rFonts w:hint="eastAsia" w:ascii="宋体" w:hAnsi="宋体" w:eastAsia="宋体" w:cs="宋体"/>
                <w:color w:val="auto"/>
                <w:szCs w:val="21"/>
                <w:highlight w:val="none"/>
                <w:lang w:eastAsia="zh-CN"/>
              </w:rPr>
              <w:t>广东合正项目管理有限公司</w:t>
            </w:r>
            <w:r>
              <w:rPr>
                <w:rFonts w:hint="eastAsia" w:ascii="宋体" w:hAnsi="宋体" w:eastAsia="宋体" w:cs="宋体"/>
                <w:color w:val="auto"/>
                <w:szCs w:val="21"/>
                <w:highlight w:val="none"/>
              </w:rPr>
              <w:t xml:space="preserve"> </w:t>
            </w:r>
          </w:p>
          <w:p w14:paraId="2777829A">
            <w:pPr>
              <w:widowControl/>
              <w:snapToGrid w:val="0"/>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联系电话： 0751-8219991</w:t>
            </w:r>
          </w:p>
          <w:p w14:paraId="6C23EC3C">
            <w:pPr>
              <w:widowControl/>
              <w:snapToGrid w:val="0"/>
              <w:ind w:firstLine="210" w:firstLineChars="1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通讯地址：</w:t>
            </w:r>
            <w:r>
              <w:rPr>
                <w:rFonts w:hint="eastAsia" w:ascii="宋体" w:hAnsi="宋体" w:eastAsia="宋体" w:cs="宋体"/>
                <w:color w:val="auto"/>
                <w:szCs w:val="21"/>
                <w:highlight w:val="none"/>
                <w:lang w:eastAsia="zh-CN"/>
              </w:rPr>
              <w:t>广东省韶关市武江区百旺大道42号莞韶双创中心研发办公楼5楼03号</w:t>
            </w:r>
          </w:p>
          <w:p w14:paraId="6B11579B">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2.质疑函的内容、格式：应符合相关规定和</w:t>
            </w:r>
            <w:r>
              <w:rPr>
                <w:rFonts w:hint="eastAsia" w:ascii="宋体" w:hAnsi="宋体" w:eastAsia="宋体" w:cs="宋体"/>
                <w:color w:val="auto"/>
                <w:szCs w:val="21"/>
                <w:highlight w:val="none"/>
                <w:lang w:val="en-US" w:eastAsia="zh-CN"/>
              </w:rPr>
              <w:t>有关</w:t>
            </w:r>
            <w:r>
              <w:rPr>
                <w:rFonts w:hint="eastAsia" w:ascii="宋体" w:hAnsi="宋体" w:eastAsia="宋体" w:cs="宋体"/>
                <w:color w:val="auto"/>
                <w:szCs w:val="21"/>
                <w:highlight w:val="none"/>
              </w:rPr>
              <w:t>部门制定的《质疑函范本》格式。</w:t>
            </w:r>
          </w:p>
          <w:p w14:paraId="5B2C5F01">
            <w:pPr>
              <w:pStyle w:val="8"/>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二、投标人应在法定质疑期内一次性针对同一采购程序环节提出质疑，否则针对再次提出质疑将不予接收。（采购程序环节分为：</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公告、招标文件、招标过程、中标结果）</w:t>
            </w:r>
          </w:p>
        </w:tc>
      </w:tr>
    </w:tbl>
    <w:p w14:paraId="5FD6BFE2">
      <w:pPr>
        <w:rPr>
          <w:rFonts w:hint="eastAsia" w:ascii="宋体" w:hAnsi="宋体" w:eastAsia="宋体" w:cs="宋体"/>
          <w:highlight w:val="none"/>
        </w:rPr>
      </w:pPr>
      <w:r>
        <w:rPr>
          <w:rFonts w:hint="eastAsia" w:ascii="宋体" w:hAnsi="宋体" w:eastAsia="宋体" w:cs="宋体"/>
          <w:highlight w:val="none"/>
        </w:rPr>
        <w:t>注：表格中“</w:t>
      </w:r>
      <w:r>
        <w:rPr>
          <w:rFonts w:hint="eastAsia" w:ascii="宋体" w:hAnsi="宋体" w:eastAsia="宋体" w:cs="宋体"/>
          <w:highlight w:val="none"/>
        </w:rPr>
        <w:sym w:font="Wingdings" w:char="00FE"/>
      </w:r>
      <w:r>
        <w:rPr>
          <w:rFonts w:hint="eastAsia" w:ascii="宋体" w:hAnsi="宋体" w:eastAsia="宋体" w:cs="宋体"/>
          <w:highlight w:val="none"/>
        </w:rPr>
        <w:t>”项或“■”项为被选中项。</w:t>
      </w:r>
    </w:p>
    <w:p w14:paraId="4708B64C">
      <w:pPr>
        <w:pStyle w:val="25"/>
        <w:rPr>
          <w:rFonts w:hint="default" w:ascii="宋体" w:hAnsi="宋体" w:eastAsia="宋体" w:cs="宋体"/>
          <w:highlight w:val="none"/>
          <w:lang w:val="en-US" w:eastAsia="zh-CN"/>
        </w:rPr>
      </w:pPr>
    </w:p>
    <w:p w14:paraId="1FC20AE2">
      <w:pPr>
        <w:pStyle w:val="3"/>
        <w:adjustRightInd w:val="0"/>
        <w:snapToGrid w:val="0"/>
        <w:spacing w:before="0" w:after="0" w:line="240" w:lineRule="auto"/>
        <w:rPr>
          <w:rFonts w:hint="eastAsia" w:ascii="宋体" w:hAnsi="宋体" w:eastAsia="宋体" w:cs="宋体"/>
          <w:highlight w:val="none"/>
        </w:rPr>
      </w:pPr>
      <w:r>
        <w:rPr>
          <w:rFonts w:hint="eastAsia" w:ascii="宋体" w:hAnsi="宋体" w:eastAsia="宋体" w:cs="宋体"/>
          <w:sz w:val="21"/>
          <w:szCs w:val="21"/>
          <w:highlight w:val="none"/>
        </w:rPr>
        <w:br w:type="page"/>
      </w:r>
      <w:r>
        <w:rPr>
          <w:rFonts w:hint="eastAsia" w:ascii="宋体" w:hAnsi="宋体" w:eastAsia="宋体" w:cs="宋体"/>
          <w:highlight w:val="none"/>
        </w:rPr>
        <w:t>二 总则</w:t>
      </w:r>
    </w:p>
    <w:p w14:paraId="539C0EB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及投标人</w:t>
      </w:r>
    </w:p>
    <w:p w14:paraId="74C8366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：是指依法进行</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采购的国家机关、事业单位、团体组织。本项目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见投标人须知表1.1款。</w:t>
      </w:r>
    </w:p>
    <w:p w14:paraId="702A995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：是指集中采购机构或从事采购代理业务的社会中介机构，本项目的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见投标人须知表1.2款。</w:t>
      </w:r>
    </w:p>
    <w:p w14:paraId="11ED124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 投标人：是指向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提供货物、工程或者服务的法人、非法人组织或者自然人。本项目的投标人及其投标货物须满足以下条件：</w:t>
      </w:r>
    </w:p>
    <w:p w14:paraId="5541199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在中华人民共和国境内注册，能够独立承担民事责任，有生产或供应能力的本国</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33F0E83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 具备关于</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条件的规定，遵守本项目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本级和上级财政部门政府采购的有关规定。</w:t>
      </w:r>
    </w:p>
    <w:p w14:paraId="733B849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以</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认可的方式获得了本项目的招标文件。</w:t>
      </w:r>
    </w:p>
    <w:p w14:paraId="2F53994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1.3.4 符合投标人须知表1.3.4款中规定的资格条件。</w:t>
      </w:r>
    </w:p>
    <w:p w14:paraId="5A267D5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如投标人须知表1.4款中允许联合体投标，对联合体规定如下：</w:t>
      </w:r>
    </w:p>
    <w:p w14:paraId="027247A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两个以上</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可以组成一个投标联合体，以一个投标人的身份投标。</w:t>
      </w:r>
    </w:p>
    <w:p w14:paraId="5017BCD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联合体各方均应符合《中华人民共和国政府采购法》第二十二条规定的条件。</w:t>
      </w:r>
    </w:p>
    <w:p w14:paraId="4330B43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1.4.3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根据采购项目对投标人的特殊要求，联合体中至少应当有一方符合相关规定。</w:t>
      </w:r>
    </w:p>
    <w:p w14:paraId="0CFAF3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联合体各方应签订共同投标协议，明确约定联合体各方承担的工作和相应的责任。</w:t>
      </w:r>
    </w:p>
    <w:p w14:paraId="61CB977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1.4.5 大中型企业、其他自然人、法人或者非法人组织与小型、微型企业组成联合体共同参加投标，共同投标协议中应写明小型、微型企业的协议合同金额占到共同投标协议投标总金额的比例。</w:t>
      </w:r>
    </w:p>
    <w:p w14:paraId="512B2B2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1.4.6 联合体中有同类资质的</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按照联合体分工承担相同工作的，按照较低的资质等级确定联合体的资质等级。</w:t>
      </w:r>
    </w:p>
    <w:p w14:paraId="332F17F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1.4.7 以联合体形式参加政府采购活动的，联合体各方不得再单独参加或者与其他</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另外组成联合体参加本项目投标，否则相关投标将被认定为投标无效。</w:t>
      </w:r>
    </w:p>
    <w:p w14:paraId="15AD8E3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（1）两个以上的自然人、法人或者其他组织可以组成一个联合体，以一个投标人的身份共同参加政府采购活动。</w:t>
      </w:r>
    </w:p>
    <w:p w14:paraId="1CDF1C7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（2）联合体中标的，联合体各方应共同与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签订采购合同，就采购合同约定的事项对</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承担连带责任。</w:t>
      </w:r>
    </w:p>
    <w:p w14:paraId="3A7F9DC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1.4.8 对联合体投标的其他资格要求见投标人须知表1.4.8款。</w:t>
      </w:r>
    </w:p>
    <w:p w14:paraId="6AAF51D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 单位负责人为同一人或者存在直接控股、管理关系的不同</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，其相关投标将被认定为投标无效。</w:t>
      </w:r>
    </w:p>
    <w:p w14:paraId="605B238B">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 为本项目提供过整体设计、规范编制或者项目管理、监理、检测等服务的</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，不得再参加本项目上述服务以外的其他采购活动。否则其投标将被认定为投标无效。</w:t>
      </w:r>
    </w:p>
    <w:p w14:paraId="3D45BB1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1.7 投标人在投标过程中不得向</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提供、给予任何有价值的物品，影响其正常决策行为。一经发现，其将被认定为投标无效。</w:t>
      </w:r>
    </w:p>
    <w:p w14:paraId="57E5E70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2.资金来源</w:t>
      </w:r>
    </w:p>
    <w:p w14:paraId="49ABEB1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  本项目的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已获得足以支付本次招标后所签订的合同项下的资金（包括财政性资金和本项目采购中无法与财政性资金分割的非财政性资金）。</w:t>
      </w:r>
    </w:p>
    <w:p w14:paraId="5B11B6C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2.2项目预算金额和分项或分包最高限价见投标人须知表2.2款。</w:t>
      </w:r>
    </w:p>
    <w:p w14:paraId="29FF1895">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2.3投标人报价</w:t>
      </w:r>
      <w:r>
        <w:rPr>
          <w:rFonts w:hint="eastAsia" w:ascii="宋体" w:hAnsi="宋体" w:eastAsia="宋体" w:cs="宋体"/>
          <w:b/>
          <w:bCs/>
          <w:color w:val="auto"/>
          <w:szCs w:val="21"/>
          <w:highlight w:val="none"/>
          <w:lang w:val="en-US" w:eastAsia="zh-CN"/>
        </w:rPr>
        <w:t>低于</w:t>
      </w:r>
      <w:r>
        <w:rPr>
          <w:rFonts w:hint="eastAsia" w:ascii="宋体" w:hAnsi="宋体" w:eastAsia="宋体" w:cs="宋体"/>
          <w:b/>
          <w:bCs/>
          <w:color w:val="auto"/>
          <w:szCs w:val="21"/>
          <w:highlight w:val="none"/>
        </w:rPr>
        <w:t>招标文件规定的预算金额或者分项、分包</w:t>
      </w:r>
      <w:r>
        <w:rPr>
          <w:rFonts w:hint="eastAsia" w:ascii="宋体" w:hAnsi="宋体" w:eastAsia="宋体" w:cs="宋体"/>
          <w:b/>
          <w:bCs/>
          <w:color w:val="auto"/>
          <w:szCs w:val="21"/>
          <w:highlight w:val="none"/>
          <w:lang w:val="en-US" w:eastAsia="zh-CN"/>
        </w:rPr>
        <w:t>最低</w:t>
      </w:r>
      <w:r>
        <w:rPr>
          <w:rFonts w:hint="eastAsia" w:ascii="宋体" w:hAnsi="宋体" w:eastAsia="宋体" w:cs="宋体"/>
          <w:b/>
          <w:bCs/>
          <w:color w:val="auto"/>
          <w:szCs w:val="21"/>
          <w:highlight w:val="none"/>
        </w:rPr>
        <w:t>限价的，其投标将被认定为投标无效。</w:t>
      </w:r>
    </w:p>
    <w:p w14:paraId="00FB76CE">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3.语言文字</w:t>
      </w:r>
    </w:p>
    <w:p w14:paraId="6FE01465">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除专用术语外，与投标有关的语言均使用中文。必要时专用术语应附有中文注释。对不同文字文本投标文件的解释发生异议的，以中文文本为准。</w:t>
      </w:r>
    </w:p>
    <w:p w14:paraId="7828CCE0">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4.计量单位</w:t>
      </w:r>
    </w:p>
    <w:p w14:paraId="08C2CE7C">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除投标人须知表4款中有特殊要求外，投标文件中所使用的计量单位，应采用中华人民共和国法定计量单位。</w:t>
      </w:r>
    </w:p>
    <w:p w14:paraId="1A6198F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5.投标费用</w:t>
      </w:r>
    </w:p>
    <w:p w14:paraId="30E4764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不论投标的结果如何，投标人应承担所有与准备和参加投标有关的费用。</w:t>
      </w:r>
    </w:p>
    <w:p w14:paraId="67CC517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6.现场考察、开标前答疑会</w:t>
      </w:r>
    </w:p>
    <w:p w14:paraId="6F9A49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"_踏勘现场" </w:instrText>
      </w:r>
      <w:r>
        <w:rPr>
          <w:rFonts w:hint="eastAsia" w:ascii="宋体" w:hAnsi="宋体" w:eastAsia="宋体" w:cs="宋体"/>
          <w:color w:val="auto"/>
          <w:highlight w:val="none"/>
        </w:rPr>
        <w:fldChar w:fldCharType="separate"/>
      </w:r>
      <w:r>
        <w:rPr>
          <w:rFonts w:hint="eastAsia" w:ascii="宋体" w:hAnsi="宋体" w:eastAsia="宋体" w:cs="宋体"/>
          <w:color w:val="auto"/>
          <w:szCs w:val="21"/>
          <w:highlight w:val="none"/>
        </w:rPr>
        <w:t>投标人须知表</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6.1款规定组织现场考察的，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按规定的时间、地点组织投标人现场考察，或者在领取招标文件期限截止后以书面形式通知所有获取招标文件的潜在投标人。</w:t>
      </w:r>
    </w:p>
    <w:p w14:paraId="386FEF61">
      <w:pPr>
        <w:adjustRightInd w:val="0"/>
        <w:snapToGrid w:val="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6.2</w:t>
      </w:r>
      <w:r>
        <w:rPr>
          <w:rFonts w:hint="eastAsia" w:ascii="宋体" w:hAnsi="宋体" w:eastAsia="宋体" w:cs="宋体"/>
          <w:color w:val="auto"/>
          <w:kern w:val="0"/>
          <w:szCs w:val="21"/>
          <w:highlight w:val="none"/>
        </w:rPr>
        <w:t>由于未参加现场踏勘或标前答疑而导致对项目实际情况不了解，影响技术文件编制、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"https://www.baidu.com/s?wd=%E6%8A%95%E6%A0%87%E6%8A%A5%E4%BB%B7&amp;tn=44039180_cpr&amp;fenlei=mv6quAkxTZn0IZRqIHckPjm4nH00T1dWuyfdP1u9uyPBrjKhmvDv0ZwV5Hcvrjm3rH6sPfKWUMw85HfYnjn4nH6sgvPsT6KdThsqpZwYTjCEQLGCpyw9Uz4Bmy-bIi4WUvYETgN-TLwGUv3EPj63P1RkPH6Y" \t "_blank"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Cs w:val="21"/>
          <w:highlight w:val="none"/>
        </w:rPr>
        <w:t>投标报价</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准确性、综合因素响应不全面等问题的，由投标人自行承担相应后果。</w:t>
      </w:r>
    </w:p>
    <w:p w14:paraId="3F2A9E9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6.3现场考察及参加标前答疑会所发生的费用及一切责任由投标人自行承担。</w:t>
      </w:r>
    </w:p>
    <w:p w14:paraId="1DB13A4F">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三 招标文件</w:t>
      </w:r>
    </w:p>
    <w:p w14:paraId="2D73A6B4">
      <w:pPr>
        <w:numPr>
          <w:ilvl w:val="0"/>
          <w:numId w:val="5"/>
        </w:num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招标文件构成</w:t>
      </w:r>
    </w:p>
    <w:p w14:paraId="0C08A89A">
      <w:pPr>
        <w:numPr>
          <w:ilvl w:val="1"/>
          <w:numId w:val="5"/>
        </w:numPr>
        <w:adjustRightInd w:val="0"/>
        <w:snapToGrid w:val="0"/>
        <w:rPr>
          <w:rFonts w:hint="eastAsia" w:ascii="宋体" w:hAnsi="宋体" w:eastAsia="宋体" w:cs="宋体"/>
          <w:color w:val="auto"/>
          <w:highlight w:val="none"/>
        </w:rPr>
      </w:pPr>
      <w:r>
        <w:rPr>
          <w:rFonts w:hint="eastAsia" w:ascii="宋体" w:hAnsi="宋体" w:eastAsia="宋体" w:cs="宋体"/>
          <w:color w:val="auto"/>
          <w:szCs w:val="21"/>
          <w:highlight w:val="none"/>
        </w:rPr>
        <w:t>招标</w:t>
      </w:r>
      <w:r>
        <w:rPr>
          <w:rFonts w:hint="eastAsia" w:ascii="宋体" w:hAnsi="宋体" w:eastAsia="宋体" w:cs="宋体"/>
          <w:color w:val="auto"/>
          <w:highlight w:val="none"/>
        </w:rPr>
        <w:t>文件内容如下:</w:t>
      </w:r>
    </w:p>
    <w:p w14:paraId="12C30120">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招标公告</w:t>
      </w:r>
    </w:p>
    <w:p w14:paraId="4A8E2EA0">
      <w:pPr>
        <w:numPr>
          <w:ilvl w:val="0"/>
          <w:numId w:val="6"/>
        </w:num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投标人须知</w:t>
      </w:r>
    </w:p>
    <w:p w14:paraId="54287952">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第二章 投标文件内容及格式</w:t>
      </w:r>
    </w:p>
    <w:p w14:paraId="4315069C">
      <w:pPr>
        <w:adjustRightInd w:val="0"/>
        <w:snapToGrid w:val="0"/>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第三章 </w:t>
      </w:r>
      <w:r>
        <w:rPr>
          <w:rFonts w:hint="eastAsia" w:ascii="宋体" w:hAnsi="宋体" w:eastAsia="宋体" w:cs="宋体"/>
          <w:color w:val="auto"/>
          <w:highlight w:val="none"/>
          <w:lang w:eastAsia="zh-CN"/>
        </w:rPr>
        <w:t>采购需求</w:t>
      </w:r>
    </w:p>
    <w:p w14:paraId="636D6DBF">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第四章 评标方法</w:t>
      </w:r>
    </w:p>
    <w:p w14:paraId="04B84CA3">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第五章 采购合同条款及格式</w:t>
      </w:r>
    </w:p>
    <w:p w14:paraId="1B8BCA16">
      <w:pPr>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8.2 投标人应认真阅读招标文件所有的事项、格式、条款等。如投标人没有按照招标文件要求提交资料，或者投标文件没有对招标文件做出实质性响应，可能导致其投标被认定为投标无效。</w:t>
      </w:r>
    </w:p>
    <w:p w14:paraId="245A6D3C">
      <w:pPr>
        <w:adjustRightInd w:val="0"/>
        <w:snapToGrid w:val="0"/>
        <w:rPr>
          <w:rFonts w:hint="eastAsia" w:ascii="宋体" w:hAnsi="宋体" w:eastAsia="宋体" w:cs="宋体"/>
          <w:color w:val="auto"/>
          <w:szCs w:val="21"/>
          <w:highlight w:val="none"/>
          <w:lang w:eastAsia="zh-CN"/>
        </w:rPr>
      </w:pPr>
      <w:bookmarkStart w:id="33" w:name="_Hlk30060307"/>
      <w:r>
        <w:rPr>
          <w:rFonts w:ascii="宋体" w:hAnsi="宋体" w:eastAsia="宋体" w:cs="宋体"/>
          <w:color w:val="auto"/>
          <w:szCs w:val="21"/>
          <w:highlight w:val="none"/>
        </w:rPr>
        <w:t xml:space="preserve">8.3 </w:t>
      </w:r>
      <w:r>
        <w:rPr>
          <w:rFonts w:hint="eastAsia" w:ascii="宋体" w:hAnsi="宋体" w:eastAsia="宋体" w:cs="宋体"/>
          <w:color w:val="auto"/>
          <w:szCs w:val="21"/>
          <w:highlight w:val="none"/>
        </w:rPr>
        <w:t>本项目招标公告发布媒体见投标人须知表8.3款。</w:t>
      </w:r>
      <w:bookmarkEnd w:id="33"/>
    </w:p>
    <w:p w14:paraId="04E931FE">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9.招标文件的澄清与修改</w:t>
      </w:r>
    </w:p>
    <w:p w14:paraId="1B46E1F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可以对已发出的招标文件进行澄清或者修改。澄清或者修改的内容可能影响投标文件编制的，应当在投标截止时间至少15日前，在原公告发布媒体上发布变更公告，并以书面形式通知所有获取招标文件的潜在投标人；不足15日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应当顺延提交投标文件的截止时间。</w:t>
      </w:r>
    </w:p>
    <w:p w14:paraId="0BFA7D1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9.2澄清或者修改的内容为招标文件的组成部分，对所有招标文件的收受人具有约束力。投标人在收到上述通知后，应及时向</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回函确认。</w:t>
      </w:r>
    </w:p>
    <w:p w14:paraId="412A6795">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四  投标文件的编制</w:t>
      </w:r>
    </w:p>
    <w:p w14:paraId="13A386F2">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10. 投标范围</w:t>
      </w:r>
    </w:p>
    <w:p w14:paraId="40A7CF97">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10.1 项目有分包的，投标人可对招标文件其中某一个分包或几个分包进行投标。</w:t>
      </w:r>
    </w:p>
    <w:p w14:paraId="7948CFEE">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10.2 投标人应当对所投分包在招标文件中“</w:t>
      </w:r>
      <w:r>
        <w:rPr>
          <w:rFonts w:hint="eastAsia" w:ascii="宋体" w:hAnsi="宋体" w:eastAsia="宋体" w:cs="宋体"/>
          <w:b/>
          <w:bCs/>
          <w:color w:val="auto"/>
          <w:szCs w:val="21"/>
          <w:highlight w:val="none"/>
          <w:lang w:eastAsia="zh-CN"/>
        </w:rPr>
        <w:t>采购需求</w:t>
      </w:r>
      <w:r>
        <w:rPr>
          <w:rFonts w:hint="eastAsia" w:ascii="宋体" w:hAnsi="宋体" w:eastAsia="宋体" w:cs="宋体"/>
          <w:b/>
          <w:bCs/>
          <w:color w:val="auto"/>
          <w:szCs w:val="21"/>
          <w:highlight w:val="none"/>
        </w:rPr>
        <w:t>”所列的所有内容进行投标，如仅响应分包中某一部分内容，其该包投标将被认定为投标无效。</w:t>
      </w:r>
    </w:p>
    <w:p w14:paraId="4C6D3999">
      <w:pPr>
        <w:pStyle w:val="8"/>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10.3 如一个分包内包含多种产品的，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将在投标人须知表10.3款中载明核心产品，多家投标人提供的核心产品品牌相同的，按照第四章“评标办法”第3款“同一品牌产品”规定处理。</w:t>
      </w:r>
    </w:p>
    <w:p w14:paraId="4DBDEA1C">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10.4 无论招标文件第三章</w:t>
      </w:r>
      <w:r>
        <w:rPr>
          <w:rFonts w:hint="eastAsia" w:ascii="宋体" w:hAnsi="宋体" w:eastAsia="宋体" w:cs="宋体"/>
          <w:color w:val="auto"/>
          <w:szCs w:val="21"/>
          <w:highlight w:val="none"/>
          <w:lang w:eastAsia="zh-CN"/>
        </w:rPr>
        <w:t>采购需求</w:t>
      </w:r>
      <w:r>
        <w:rPr>
          <w:rFonts w:hint="eastAsia" w:ascii="宋体" w:hAnsi="宋体" w:eastAsia="宋体" w:cs="宋体"/>
          <w:color w:val="auto"/>
          <w:szCs w:val="21"/>
          <w:highlight w:val="none"/>
        </w:rPr>
        <w:t>中是否要求，投标人所投货物均应符合国家强制性标准。</w:t>
      </w:r>
    </w:p>
    <w:p w14:paraId="068DACAA">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11.投标文件构成</w:t>
      </w:r>
    </w:p>
    <w:p w14:paraId="08EF021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投标人应完整地按招标文件提供的投标文件格式及要求编写投标文件。投标文件应包括资格证明文件、符合性证明文件、其它材料</w:t>
      </w:r>
      <w:r>
        <w:rPr>
          <w:rFonts w:hint="eastAsia" w:ascii="宋体" w:hAnsi="宋体" w:eastAsia="宋体" w:cs="宋体"/>
          <w:color w:val="auto"/>
          <w:szCs w:val="21"/>
          <w:highlight w:val="none"/>
          <w:lang w:val="en-US" w:eastAsia="zh-CN"/>
        </w:rPr>
        <w:t>及落实政府采购政策证明材料四</w:t>
      </w:r>
      <w:r>
        <w:rPr>
          <w:rFonts w:hint="eastAsia" w:ascii="宋体" w:hAnsi="宋体" w:eastAsia="宋体" w:cs="宋体"/>
          <w:color w:val="auto"/>
          <w:szCs w:val="21"/>
          <w:highlight w:val="none"/>
        </w:rPr>
        <w:t>部分。具体见第二章 投标文件内容及格式。</w:t>
      </w:r>
    </w:p>
    <w:p w14:paraId="3FC4204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 投标人应按招标文件提供的格式编写投标文件。招标文件提供标准格式的按标准格式填列，未提供标准格式的可自行拟定。</w:t>
      </w:r>
    </w:p>
    <w:p w14:paraId="3BEF75C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样品或演示要求详见投标人须知表11.3款。</w:t>
      </w:r>
    </w:p>
    <w:p w14:paraId="39534F6F">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12.投标报价</w:t>
      </w:r>
    </w:p>
    <w:p w14:paraId="130E3635">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12.1 所有投标均按投标人须知表12.1款中要求货币进行报价。投标人的投标报价应遵守《中华人民共和国价格法》。同时，根据《中华人民共和国政府采购法》第三条的规定，为保证公平竞争，如有货物主体部分的赠与行为，其投标将被认定为投标无效。</w:t>
      </w:r>
    </w:p>
    <w:p w14:paraId="7FD94B87">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12.2投标价格应为投标货物（包括备品备件、专用工具等）的出厂价格（包括已在中国国内的进口货物完税后的交货价）、购买货物和伴随服务需缴纳的所有税费、运输费、保险费、装卸费、安装及调试费、检验费、技术服务费和培训费等完成所需的一切费用。</w:t>
      </w:r>
    </w:p>
    <w:p w14:paraId="5AEBE25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投标人应按招标文件要求在相关表格中标明投标货物及伴随服务的单价和总价，并由法定代表人（非法人组织的负责人）或其委托代理人签署。</w:t>
      </w:r>
    </w:p>
    <w:p w14:paraId="353929D5">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12.4  投标人所报的各分项投标单价在合同履行过程中是固定不变的，不得以任何理由予以变更。任何包含价格调整要求的投标，其投标将被认定为投标无效。</w:t>
      </w:r>
    </w:p>
    <w:p w14:paraId="28CB28F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12.5  每种货物只能有一个投标报价。</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不接受具有附加条件的报价。</w:t>
      </w:r>
    </w:p>
    <w:p w14:paraId="3DFDF11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12.6除非招标文件另有规定，报价原则上精确到小数点后两位。</w:t>
      </w:r>
    </w:p>
    <w:p w14:paraId="1285A066">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13.投标保证金</w:t>
      </w:r>
    </w:p>
    <w:p w14:paraId="76A4F72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投标人应提交投标人须知表13.1款中规定的投标保证金，并作为其投标的一部分。</w:t>
      </w:r>
    </w:p>
    <w:p w14:paraId="61E7A3DE">
      <w:pPr>
        <w:adjustRightInd w:val="0"/>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13.2投标保证金缴纳人、招标文件领取人、投标登记人和投标人必须为同一组织机构或联合体内不同成员单位，否则将视同未按招标文件规定交纳投标保证金。</w:t>
      </w:r>
    </w:p>
    <w:p w14:paraId="73147FEF">
      <w:pPr>
        <w:adjustRightInd w:val="0"/>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投标人存在下列情形的，投标保证金不予退还:</w:t>
      </w:r>
    </w:p>
    <w:p w14:paraId="2843F7E8">
      <w:pPr>
        <w:adjustRightInd w:val="0"/>
        <w:snapToGrid w:val="0"/>
        <w:ind w:left="420" w:left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(1)在投标有效期内，投标人撤销投标的;</w:t>
      </w:r>
    </w:p>
    <w:p w14:paraId="25C0D098">
      <w:pPr>
        <w:adjustRightInd w:val="0"/>
        <w:snapToGrid w:val="0"/>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(2)中标后不按本须知第34款的规定与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签订合同的;</w:t>
      </w:r>
    </w:p>
    <w:p w14:paraId="01B5B24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(3)中标后不按本须知第35款的规定提交履约保证金的;</w:t>
      </w:r>
    </w:p>
    <w:p w14:paraId="3D614D6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(4)中标后不按本须知第36款的规定缴纳招标代理服务费的;</w:t>
      </w:r>
    </w:p>
    <w:p w14:paraId="7E72F6CC">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(5)存在其他违法违规行为的。</w:t>
      </w:r>
    </w:p>
    <w:p w14:paraId="4A667AA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  联合体投标的，可以由联合体中的一方或者共同提交投标保证金。以一方名义提交投标保证金的，对联合体各方均具有约束力。</w:t>
      </w:r>
    </w:p>
    <w:p w14:paraId="5E1C6595">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13.5  投标保证金的退还</w:t>
      </w:r>
    </w:p>
    <w:p w14:paraId="25934F28">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13.5.1  中标人应在与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签订合同之日起5个工作日内，及时联系保证金收受机构办理投标保证金退还手续。</w:t>
      </w:r>
    </w:p>
    <w:p w14:paraId="031B9C7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13.5.2 未中标投标人的投标保证金将在中标通知书发出之日暨中标结果公告公布之日起5个工作日内无息退还。投标人应及时联系保证金收受机构办理退还投标保证金手续。</w:t>
      </w:r>
    </w:p>
    <w:p w14:paraId="4B4404C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13.5.3投标人在投标截止时间前撤回已提交的投标文件的，投标人应自</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收到投标人书面撤回通知之日起５个工作日内，及时联系保证金收受机构办理投标保证金退还手续。</w:t>
      </w:r>
    </w:p>
    <w:p w14:paraId="3046EFB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13.5.4 采购投标担保函不予退回。</w:t>
      </w:r>
    </w:p>
    <w:p w14:paraId="4A2C5D9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因投标人自身原因导致无法及时退还的，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将不承担相应责任。</w:t>
      </w:r>
    </w:p>
    <w:p w14:paraId="246AEC08">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14. 证明投标标的的合格性和符合招标文件规定的技术文件</w:t>
      </w:r>
    </w:p>
    <w:p w14:paraId="0F321D5E">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14.1  投标人应提交证明文件，证明其投标内容符合招标文件规定。该证明文件是投标文件的一部分。</w:t>
      </w:r>
    </w:p>
    <w:p w14:paraId="661BD6E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上款所述的证明文件，可以是文字资料、图纸和数据，它包括：</w:t>
      </w:r>
    </w:p>
    <w:p w14:paraId="1465DEF6">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14.2.1货物主要技术指标和性能的详细说明；</w:t>
      </w:r>
    </w:p>
    <w:p w14:paraId="3C1943A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14.2.2 货物从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开始使用至招标文件规定的保质期内正常、连续地使用所必须的备件和专用工具清单，包括备件和专用工具的货源及现行价格;</w:t>
      </w:r>
    </w:p>
    <w:p w14:paraId="3A2C943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14.2.3 对照招标文件技术规格，逐条说明所提供货物及伴随的工程和服务已对招标文件的技术规格做出了实质性的响应，或申明与技术规格条文的偏差和例外。</w:t>
      </w:r>
    </w:p>
    <w:p w14:paraId="191B728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15.投标有效期</w:t>
      </w:r>
    </w:p>
    <w:p w14:paraId="644E934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15.1 投标应在投标人须知表15.1款中规定的投标有效期内保持有效。投标有效期不满足要求的投标，其投标将被认定为投标无效。</w:t>
      </w:r>
    </w:p>
    <w:p w14:paraId="4DE820F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 在特殊情况下，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可根据实际情况，在原投标有效期截止之前，要求投标人延长投标文件的有效期。接受该要求的投标人将不会被要求和允许修正其投标，且本须知中有关投标保证金的要求须在延长的有效期内继续有效。投标人可以拒绝延长投标有效期的要求，其投标保证金将及时无息退还。上述要求和答复都应以书面形式提交。</w:t>
      </w:r>
    </w:p>
    <w:p w14:paraId="7C6D7453">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rPr>
        <w:t>投标文件的签署及规定</w:t>
      </w:r>
    </w:p>
    <w:p w14:paraId="2B228164">
      <w:pPr>
        <w:adjustRightInd w:val="0"/>
        <w:snapToGrid w:val="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16.1 投标人应按投标人须知表16.1款中的规定，准备和递交投标文件正本、副本</w:t>
      </w:r>
      <w:r>
        <w:rPr>
          <w:rFonts w:hint="eastAsia" w:ascii="宋体" w:hAnsi="宋体" w:eastAsia="宋体" w:cs="宋体"/>
          <w:color w:val="auto"/>
          <w:szCs w:val="21"/>
          <w:highlight w:val="none"/>
          <w:lang w:val="en-US" w:eastAsia="zh-CN"/>
        </w:rPr>
        <w:t>和电子文档</w:t>
      </w:r>
      <w:r>
        <w:rPr>
          <w:rFonts w:hint="eastAsia" w:ascii="宋体" w:hAnsi="宋体" w:eastAsia="宋体" w:cs="宋体"/>
          <w:color w:val="auto"/>
          <w:szCs w:val="21"/>
          <w:highlight w:val="none"/>
        </w:rPr>
        <w:t>，每份投标文件封皮须清楚地标明“正本”或“副本”。若正本和副本不符，以正本为准。</w:t>
      </w:r>
    </w:p>
    <w:p w14:paraId="0DA9CDE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投标文件的正本需打印或用不褪色墨水书写，并由投标人的法定代表人（非法人组织负责人）或经其正式委托代理人按招标文件规定在投标文件上签字或盖章，并加盖单位印章。委托代理人须持有书面的“法定代表人（非法人组织负责人）授权委托书”，并将其附在投标文件中。如对投标文件进行了修改，则应由投标人的法定代表人（非法人组织负责人）或其委托代理人在每一修改处签字。投标文件的副本可采用正本的复印件。</w:t>
      </w:r>
    </w:p>
    <w:p w14:paraId="41285BBC">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16.3 所有投标文件采用不可拆装的胶订方式装订，否则其投标将被认定为投标无效。</w:t>
      </w:r>
    </w:p>
    <w:p w14:paraId="1427589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投标文件因字迹潦草无法辨认、表达不清或装订不当所引起的后果由投标人负责。</w:t>
      </w:r>
    </w:p>
    <w:p w14:paraId="2FD9D556">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五 投标文件的递交</w:t>
      </w:r>
    </w:p>
    <w:p w14:paraId="4FBD5439">
      <w:pPr>
        <w:numPr>
          <w:ilvl w:val="0"/>
          <w:numId w:val="7"/>
        </w:numPr>
        <w:adjustRightInd w:val="0"/>
        <w:snapToGrid w:val="0"/>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rPr>
        <w:t>投标文件的密封</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标记</w:t>
      </w:r>
      <w:r>
        <w:rPr>
          <w:rFonts w:hint="eastAsia" w:ascii="宋体" w:hAnsi="宋体" w:eastAsia="宋体" w:cs="宋体"/>
          <w:b/>
          <w:bCs/>
          <w:color w:val="auto"/>
          <w:szCs w:val="21"/>
          <w:highlight w:val="none"/>
          <w:lang w:val="en-US" w:eastAsia="zh-CN"/>
        </w:rPr>
        <w:t>及递交</w:t>
      </w:r>
    </w:p>
    <w:p w14:paraId="1A2CCF5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投标人应将投标文件装订成册、密封，将正本和所有的副本密封，并进行包封。</w:t>
      </w:r>
    </w:p>
    <w:p w14:paraId="614930B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17.2 所有包装封皮上均应：</w:t>
      </w:r>
    </w:p>
    <w:p w14:paraId="289E0AE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（1）注明采购项目名称、</w:t>
      </w:r>
      <w:r>
        <w:rPr>
          <w:rFonts w:hint="eastAsia" w:ascii="宋体" w:hAnsi="宋体" w:eastAsia="宋体" w:cs="宋体"/>
          <w:color w:val="auto"/>
          <w:szCs w:val="21"/>
          <w:highlight w:val="none"/>
          <w:lang w:eastAsia="zh-CN"/>
        </w:rPr>
        <w:t>采购计划编号</w:t>
      </w:r>
      <w:r>
        <w:rPr>
          <w:rFonts w:hint="eastAsia" w:ascii="宋体" w:hAnsi="宋体" w:eastAsia="宋体" w:cs="宋体"/>
          <w:color w:val="auto"/>
          <w:szCs w:val="21"/>
          <w:highlight w:val="none"/>
        </w:rPr>
        <w:t>、包组号、投标人名称和“在（开标时间）之前不得启封”的字样。</w:t>
      </w:r>
    </w:p>
    <w:p w14:paraId="1B7766C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（2）在封口处加盖投标人单位公章。</w:t>
      </w:r>
    </w:p>
    <w:p w14:paraId="2722D9B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17.3 如果投标人未按上述要求密封，其投标文件将被</w:t>
      </w:r>
      <w:r>
        <w:rPr>
          <w:rFonts w:hint="eastAsia" w:ascii="宋体" w:hAnsi="宋体" w:eastAsia="宋体" w:cs="宋体"/>
          <w:b/>
          <w:bCs/>
          <w:color w:val="auto"/>
          <w:szCs w:val="21"/>
          <w:highlight w:val="none"/>
        </w:rPr>
        <w:t>拒绝接收</w:t>
      </w:r>
      <w:r>
        <w:rPr>
          <w:rFonts w:hint="eastAsia" w:ascii="宋体" w:hAnsi="宋体" w:eastAsia="宋体" w:cs="宋体"/>
          <w:color w:val="auto"/>
          <w:szCs w:val="21"/>
          <w:highlight w:val="none"/>
        </w:rPr>
        <w:t>。</w:t>
      </w:r>
    </w:p>
    <w:p w14:paraId="400C7233">
      <w:pPr>
        <w:numPr>
          <w:ilvl w:val="0"/>
          <w:numId w:val="0"/>
        </w:numPr>
        <w:adjustRightInd w:val="0"/>
        <w:snapToGrid w:val="0"/>
        <w:ind w:leftChars="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val="en-US" w:eastAsia="zh-CN"/>
        </w:rPr>
        <w:t xml:space="preserve">17.4 </w:t>
      </w:r>
      <w:r>
        <w:rPr>
          <w:rFonts w:hint="eastAsia" w:ascii="宋体" w:hAnsi="宋体" w:eastAsia="宋体" w:cs="宋体"/>
          <w:b/>
          <w:bCs/>
          <w:color w:val="auto"/>
          <w:szCs w:val="21"/>
          <w:highlight w:val="none"/>
        </w:rPr>
        <w:t>投标人须于投标截止时间前将电子投标文件上传到产权招标交易系统并完成在线投标。</w:t>
      </w:r>
    </w:p>
    <w:p w14:paraId="099F04A8">
      <w:pPr>
        <w:numPr>
          <w:ilvl w:val="0"/>
          <w:numId w:val="8"/>
        </w:num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投标截止</w:t>
      </w:r>
    </w:p>
    <w:p w14:paraId="3DBFDBA8">
      <w:pPr>
        <w:pStyle w:val="6"/>
        <w:rPr>
          <w:rFonts w:hint="eastAsia" w:ascii="宋体" w:hAnsi="宋体" w:eastAsia="宋体" w:cs="宋体"/>
          <w:b w:val="0"/>
          <w:bCs w:val="0"/>
          <w:color w:val="auto"/>
          <w:szCs w:val="21"/>
          <w:highlight w:val="none"/>
        </w:rPr>
      </w:pPr>
      <w:r>
        <w:rPr>
          <w:rFonts w:hint="eastAsia" w:ascii="宋体" w:hAnsi="宋体" w:eastAsia="宋体" w:cs="宋体"/>
          <w:b w:val="0"/>
          <w:bCs w:val="0"/>
          <w:color w:val="auto"/>
          <w:kern w:val="2"/>
          <w:sz w:val="21"/>
          <w:szCs w:val="21"/>
          <w:highlight w:val="none"/>
          <w:lang w:val="en-US" w:eastAsia="zh-CN" w:bidi="ar-SA"/>
        </w:rPr>
        <w:t>18.1 投标人应在招标公告中规定的递交投标文件截止时间前，将投标文件递交到招标公告中规定的地点。</w:t>
      </w:r>
    </w:p>
    <w:p w14:paraId="4F577D6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有权按本须知的规定，延迟投标截止时间。在此情况下，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和投标人受投标截止时间制约的所有权利和义务均应延长至新的截止时间。</w:t>
      </w:r>
    </w:p>
    <w:p w14:paraId="2BC169B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19. 投标文件的接收、修改与撤回</w:t>
      </w:r>
    </w:p>
    <w:p w14:paraId="455AF2B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19.1 投标人在韶关市公共资源交易一体化平台“产权招标交易系统”成功上传投标文件后，在电子投标截止时间前</w:t>
      </w:r>
      <w:r>
        <w:rPr>
          <w:rFonts w:hint="eastAsia" w:ascii="宋体" w:hAnsi="宋体" w:eastAsia="宋体" w:cs="宋体"/>
          <w:b/>
          <w:bCs/>
          <w:color w:val="auto"/>
          <w:szCs w:val="21"/>
          <w:highlight w:val="none"/>
          <w:u w:val="none"/>
        </w:rPr>
        <w:t>可以撤回其投标</w:t>
      </w:r>
      <w:r>
        <w:rPr>
          <w:rFonts w:hint="eastAsia" w:ascii="宋体" w:hAnsi="宋体" w:eastAsia="宋体" w:cs="宋体"/>
          <w:color w:val="auto"/>
          <w:szCs w:val="21"/>
          <w:highlight w:val="none"/>
        </w:rPr>
        <w:t>。</w:t>
      </w:r>
    </w:p>
    <w:p w14:paraId="2D46200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19.2 纸质投标文件在投标截止时间后送达的，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w:t>
      </w:r>
      <w:r>
        <w:rPr>
          <w:rFonts w:hint="eastAsia" w:ascii="宋体" w:hAnsi="宋体" w:eastAsia="宋体" w:cs="宋体"/>
          <w:b/>
          <w:bCs/>
          <w:color w:val="auto"/>
          <w:szCs w:val="21"/>
          <w:highlight w:val="none"/>
        </w:rPr>
        <w:t>拒绝接收</w:t>
      </w:r>
      <w:r>
        <w:rPr>
          <w:rFonts w:hint="eastAsia" w:ascii="宋体" w:hAnsi="宋体" w:eastAsia="宋体" w:cs="宋体"/>
          <w:color w:val="auto"/>
          <w:szCs w:val="21"/>
          <w:highlight w:val="none"/>
        </w:rPr>
        <w:t>。</w:t>
      </w:r>
    </w:p>
    <w:p w14:paraId="4D947FA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19.3</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收到</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投标文件后，应当如实记载投标文件的送达时间和密封情况，并向投标人出具以下签收回执。</w:t>
      </w:r>
    </w:p>
    <w:p w14:paraId="54660696">
      <w:pPr>
        <w:adjustRightInd w:val="0"/>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接收投标文件回执单</w:t>
      </w:r>
    </w:p>
    <w:tbl>
      <w:tblPr>
        <w:tblStyle w:val="17"/>
        <w:tblW w:w="7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4"/>
        <w:gridCol w:w="5396"/>
      </w:tblGrid>
      <w:tr w14:paraId="1104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520762C5">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采购项目名称</w:t>
            </w:r>
          </w:p>
        </w:tc>
        <w:tc>
          <w:tcPr>
            <w:tcW w:w="5396" w:type="dxa"/>
            <w:noWrap w:val="0"/>
            <w:vAlign w:val="center"/>
          </w:tcPr>
          <w:p w14:paraId="52EEC4D9">
            <w:pPr>
              <w:adjustRightInd w:val="0"/>
              <w:snapToGrid w:val="0"/>
              <w:jc w:val="center"/>
              <w:rPr>
                <w:rFonts w:hint="eastAsia" w:ascii="宋体" w:hAnsi="宋体" w:eastAsia="宋体" w:cs="宋体"/>
                <w:color w:val="auto"/>
                <w:szCs w:val="21"/>
                <w:highlight w:val="none"/>
              </w:rPr>
            </w:pPr>
          </w:p>
        </w:tc>
      </w:tr>
      <w:tr w14:paraId="64E21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06809592">
            <w:pPr>
              <w:adjustRightInd w:val="0"/>
              <w:snapToGrid w:val="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采购计划编号</w:t>
            </w:r>
          </w:p>
        </w:tc>
        <w:tc>
          <w:tcPr>
            <w:tcW w:w="5396" w:type="dxa"/>
            <w:noWrap w:val="0"/>
            <w:vAlign w:val="center"/>
          </w:tcPr>
          <w:p w14:paraId="582863CA">
            <w:pPr>
              <w:adjustRightInd w:val="0"/>
              <w:snapToGrid w:val="0"/>
              <w:jc w:val="center"/>
              <w:rPr>
                <w:rFonts w:hint="eastAsia" w:ascii="宋体" w:hAnsi="宋体" w:eastAsia="宋体" w:cs="宋体"/>
                <w:color w:val="auto"/>
                <w:szCs w:val="21"/>
                <w:highlight w:val="none"/>
              </w:rPr>
            </w:pPr>
          </w:p>
        </w:tc>
      </w:tr>
      <w:tr w14:paraId="228B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703F5973">
            <w:pPr>
              <w:adjustRightInd w:val="0"/>
              <w:snapToGrid w:val="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项目编号</w:t>
            </w:r>
          </w:p>
        </w:tc>
        <w:tc>
          <w:tcPr>
            <w:tcW w:w="5396" w:type="dxa"/>
            <w:noWrap w:val="0"/>
            <w:vAlign w:val="center"/>
          </w:tcPr>
          <w:p w14:paraId="7566E972">
            <w:pPr>
              <w:adjustRightInd w:val="0"/>
              <w:snapToGrid w:val="0"/>
              <w:jc w:val="center"/>
              <w:rPr>
                <w:rFonts w:hint="eastAsia" w:ascii="宋体" w:hAnsi="宋体" w:eastAsia="宋体" w:cs="宋体"/>
                <w:color w:val="auto"/>
                <w:szCs w:val="21"/>
                <w:highlight w:val="none"/>
              </w:rPr>
            </w:pPr>
          </w:p>
        </w:tc>
      </w:tr>
      <w:tr w14:paraId="34FB6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3A3781F1">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5396" w:type="dxa"/>
            <w:noWrap w:val="0"/>
            <w:vAlign w:val="center"/>
          </w:tcPr>
          <w:p w14:paraId="26B74879">
            <w:pPr>
              <w:adjustRightInd w:val="0"/>
              <w:snapToGrid w:val="0"/>
              <w:jc w:val="center"/>
              <w:rPr>
                <w:rFonts w:hint="eastAsia" w:ascii="宋体" w:hAnsi="宋体" w:eastAsia="宋体" w:cs="宋体"/>
                <w:color w:val="auto"/>
                <w:szCs w:val="21"/>
                <w:highlight w:val="none"/>
              </w:rPr>
            </w:pPr>
          </w:p>
        </w:tc>
      </w:tr>
      <w:tr w14:paraId="3158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4D51FD89">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递交时间</w:t>
            </w:r>
          </w:p>
        </w:tc>
        <w:tc>
          <w:tcPr>
            <w:tcW w:w="5396" w:type="dxa"/>
            <w:noWrap w:val="0"/>
            <w:vAlign w:val="center"/>
          </w:tcPr>
          <w:p w14:paraId="27582541">
            <w:pPr>
              <w:adjustRightInd w:val="0"/>
              <w:snapToGrid w:val="0"/>
              <w:jc w:val="center"/>
              <w:rPr>
                <w:rFonts w:hint="eastAsia" w:ascii="宋体" w:hAnsi="宋体" w:eastAsia="宋体" w:cs="宋体"/>
                <w:color w:val="auto"/>
                <w:szCs w:val="21"/>
                <w:highlight w:val="none"/>
              </w:rPr>
            </w:pPr>
          </w:p>
        </w:tc>
      </w:tr>
      <w:tr w14:paraId="05B5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29F00CCF">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接收单位</w:t>
            </w:r>
          </w:p>
        </w:tc>
        <w:tc>
          <w:tcPr>
            <w:tcW w:w="5396" w:type="dxa"/>
            <w:noWrap w:val="0"/>
            <w:vAlign w:val="center"/>
          </w:tcPr>
          <w:p w14:paraId="1A279C35">
            <w:pPr>
              <w:adjustRightInd w:val="0"/>
              <w:snapToGrid w:val="0"/>
              <w:jc w:val="center"/>
              <w:rPr>
                <w:rFonts w:hint="eastAsia" w:ascii="宋体" w:hAnsi="宋体" w:eastAsia="宋体" w:cs="宋体"/>
                <w:color w:val="auto"/>
                <w:szCs w:val="21"/>
                <w:highlight w:val="none"/>
              </w:rPr>
            </w:pPr>
          </w:p>
        </w:tc>
      </w:tr>
      <w:tr w14:paraId="483D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23FCF6E5">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接收人签字</w:t>
            </w:r>
          </w:p>
        </w:tc>
        <w:tc>
          <w:tcPr>
            <w:tcW w:w="5396" w:type="dxa"/>
            <w:noWrap w:val="0"/>
            <w:vAlign w:val="center"/>
          </w:tcPr>
          <w:p w14:paraId="5A0F0139">
            <w:pPr>
              <w:adjustRightInd w:val="0"/>
              <w:snapToGrid w:val="0"/>
              <w:jc w:val="center"/>
              <w:rPr>
                <w:rFonts w:hint="eastAsia" w:ascii="宋体" w:hAnsi="宋体" w:eastAsia="宋体" w:cs="宋体"/>
                <w:color w:val="auto"/>
                <w:szCs w:val="21"/>
                <w:highlight w:val="none"/>
              </w:rPr>
            </w:pPr>
          </w:p>
        </w:tc>
      </w:tr>
    </w:tbl>
    <w:p w14:paraId="234346B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 xml:space="preserve"> 递交投标文件以后，如果投标人要进行修改或撤回投标，须提出书面申请并在投标截止时间前送达开标地点，投标人对投标文件的修改或撤回通知应按本须知规定编制、密封、标记。</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将予以接收，并视为投标文件的组成部分。否则，修改后的投标文件或撤回行为无效。</w:t>
      </w:r>
    </w:p>
    <w:p w14:paraId="27017D2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在投标截止时间之后，投标人不得对其</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投标文件做任何修改。</w:t>
      </w:r>
    </w:p>
    <w:p w14:paraId="07F3F0B4">
      <w:pPr>
        <w:adjustRightInd w:val="0"/>
        <w:snapToGrid w:val="0"/>
        <w:rPr>
          <w:rFonts w:hint="eastAsia"/>
          <w:color w:val="auto"/>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对所接收并当众宣读投标内容的投标文件概不退回。</w:t>
      </w:r>
    </w:p>
    <w:p w14:paraId="3A15C0D4">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六 开标及评标</w:t>
      </w:r>
    </w:p>
    <w:p w14:paraId="1D09130D">
      <w:pPr>
        <w:pStyle w:val="10"/>
        <w:adjustRightInd w:val="0"/>
        <w:snapToGrid w:val="0"/>
        <w:spacing w:line="360" w:lineRule="auto"/>
        <w:ind w:left="420" w:hanging="422" w:hanging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20. 开标（电子开标）</w:t>
      </w:r>
    </w:p>
    <w:p w14:paraId="5ECF3C9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20.1 招标代理机构在《招标公告》中规定的日期、时间和地点组织公开开标。开标时原则上应当有招标人代表和投标人代表参加。参加开标的代表应签到以证明其出席。</w:t>
      </w:r>
    </w:p>
    <w:p w14:paraId="6A26582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20.2 开标时，主持人进入开标会议后，页面上将进行开标倒计时。到达开标时间后，主持人宣读“开标会议议程”，议程宣读完成后进行开标，点击“开始开标，下一步”，显示投标企业公司名，授权代表名称等信息，下一步进入“文件解密”环节。主持人点击“主持人解密”环节，并插入 CA 进行认证后，对投标电子标书进行解密操作。文件解密完成后，参会人员确认内容和电子投标书的有效性。点击“文件解密完成，进入评标环节”，进入评标环节。纸质标书由投标人或其推选的代表检查投标文件的密封情况，或由招标人委托的机构检查并见证，经确认无误后由招标代理机构保管，在电子评标过程无异常时，不需要拆封使用。</w:t>
      </w:r>
    </w:p>
    <w:p w14:paraId="3FE1B8B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20.3 招标人或招标代理机构将对开标过程进行记录，由参加开标的各投标人代表和相关工作人员签字确认，并存档备查。投标人未参加开标或未签字确认的，视同认可开标结果。</w:t>
      </w:r>
    </w:p>
    <w:p w14:paraId="5E214411">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20.4 投标人代表对开标过程和开标记录有疑义，以及认为招标人、招标代理机构相关工作人员有需要回避的情形的，应当场提出询问或者回避申请。</w:t>
      </w:r>
    </w:p>
    <w:p w14:paraId="4FDBB3C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20.5 开标结束后，招标人或者招标代理机构或评标委员会依法对投标人的资格进行审查。</w:t>
      </w:r>
    </w:p>
    <w:p w14:paraId="5FD92A1A">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20.6 开标截止后发现投标人不足三家或通过符合性审查的投标人少于三家时，作废标处理。</w:t>
      </w:r>
    </w:p>
    <w:p w14:paraId="2D2F975B">
      <w:pPr>
        <w:adjustRightInd w:val="0"/>
        <w:snapToGrid w:val="0"/>
        <w:rPr>
          <w:rFonts w:hint="eastAsia" w:ascii="宋体" w:hAnsi="宋体" w:eastAsia="宋体" w:cs="宋体"/>
          <w:b/>
          <w:bCs/>
          <w:color w:val="auto"/>
          <w:szCs w:val="21"/>
          <w:highlight w:val="none"/>
        </w:rPr>
      </w:pPr>
    </w:p>
    <w:p w14:paraId="6817EE3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21. 组建评标委员会</w:t>
      </w:r>
    </w:p>
    <w:p w14:paraId="6E713DD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按照有关规定依法组建评标委员会，负责本项目评标工作。</w:t>
      </w:r>
      <w:r>
        <w:rPr>
          <w:rFonts w:hint="eastAsia" w:ascii="宋体" w:hAnsi="宋体" w:eastAsia="宋体" w:cs="宋体"/>
          <w:b/>
          <w:bCs/>
          <w:color w:val="auto"/>
          <w:szCs w:val="21"/>
          <w:highlight w:val="none"/>
          <w:lang w:val="en-US" w:eastAsia="zh-CN"/>
        </w:rPr>
        <w:t>评标委员会成员由</w:t>
      </w:r>
      <w:r>
        <w:rPr>
          <w:rFonts w:hint="eastAsia" w:ascii="宋体" w:hAnsi="宋体" w:eastAsia="宋体" w:cs="宋体"/>
          <w:b/>
          <w:bCs/>
          <w:color w:val="auto"/>
          <w:szCs w:val="21"/>
          <w:highlight w:val="none"/>
          <w:u w:val="single"/>
          <w:lang w:val="en-US" w:eastAsia="zh-CN"/>
        </w:rPr>
        <w:t xml:space="preserve"> 5 </w:t>
      </w:r>
      <w:r>
        <w:rPr>
          <w:rFonts w:hint="eastAsia" w:ascii="宋体" w:hAnsi="宋体" w:eastAsia="宋体" w:cs="宋体"/>
          <w:b/>
          <w:bCs/>
          <w:color w:val="auto"/>
          <w:szCs w:val="21"/>
          <w:highlight w:val="none"/>
        </w:rPr>
        <w:t>名</w:t>
      </w:r>
      <w:r>
        <w:rPr>
          <w:rFonts w:hint="eastAsia" w:ascii="宋体" w:hAnsi="宋体" w:eastAsia="宋体" w:cs="宋体"/>
          <w:b/>
          <w:bCs/>
          <w:color w:val="auto"/>
          <w:szCs w:val="21"/>
          <w:highlight w:val="none"/>
          <w:lang w:eastAsia="zh-CN"/>
        </w:rPr>
        <w:t>单数成员组成</w:t>
      </w:r>
      <w:r>
        <w:rPr>
          <w:rFonts w:hint="eastAsia" w:ascii="宋体" w:hAnsi="宋体" w:eastAsia="宋体" w:cs="宋体"/>
          <w:b/>
          <w:bCs/>
          <w:color w:val="auto"/>
          <w:szCs w:val="21"/>
          <w:highlight w:val="none"/>
          <w:lang w:val="en-US" w:eastAsia="zh-CN"/>
        </w:rPr>
        <w:t>。</w:t>
      </w:r>
    </w:p>
    <w:p w14:paraId="22B31524">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 xml:space="preserve">22.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rPr>
        <w:t>资格审查</w:t>
      </w:r>
    </w:p>
    <w:p w14:paraId="60CC6B0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22.1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或</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依据法律法规和招标文件中规定的内容，对投标人的资格进行审查，投标人应按照第二章《投标文件内容及格式》中的相应要求提交资格证明材料。未通过资格审查的投标人不能进入评标，其投标将被认定为投标无效；通过资格审查的投标人不足3家的，不得评标。</w:t>
      </w:r>
    </w:p>
    <w:p w14:paraId="0661041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22.2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或</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将在投标截止日当天查询投标人的信用记录。投标人存在不良信用记录的，其投标将被认定为投标无效。</w:t>
      </w:r>
    </w:p>
    <w:p w14:paraId="74F0CA8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22.2.1 不良信用记录指：投标人在中国政府采购网（www.ccgp.gov.cn）被列入政府采购严重违法失信行为记录名单，或在“信用中国”网站（www.creditchina.gov.cn）被列入失信被执行人、重大税收违法</w:t>
      </w:r>
      <w:r>
        <w:rPr>
          <w:rFonts w:hint="eastAsia" w:ascii="宋体" w:hAnsi="宋体" w:eastAsia="宋体" w:cs="宋体"/>
          <w:color w:val="auto"/>
          <w:szCs w:val="21"/>
          <w:highlight w:val="none"/>
          <w:lang w:val="en-US" w:eastAsia="zh-CN"/>
        </w:rPr>
        <w:t>失信主体</w:t>
      </w:r>
      <w:r>
        <w:rPr>
          <w:rFonts w:hint="eastAsia" w:ascii="宋体" w:hAnsi="宋体" w:eastAsia="宋体" w:cs="宋体"/>
          <w:color w:val="auto"/>
          <w:szCs w:val="21"/>
          <w:highlight w:val="none"/>
        </w:rPr>
        <w:t>，以及存在《中华人民共和国政府采购法实施条例》第十九条规定的行政处罚记录。</w:t>
      </w:r>
    </w:p>
    <w:p w14:paraId="0591CECA">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以联合体形式参加投标的，联合体任何成员存在以上不良信用记录的，联合体投标将被认定为</w:t>
      </w:r>
      <w:r>
        <w:rPr>
          <w:rFonts w:hint="eastAsia" w:ascii="宋体" w:hAnsi="宋体" w:eastAsia="宋体" w:cs="宋体"/>
          <w:b/>
          <w:bCs/>
          <w:color w:val="auto"/>
          <w:szCs w:val="21"/>
          <w:highlight w:val="none"/>
        </w:rPr>
        <w:t>投标无效</w:t>
      </w:r>
      <w:r>
        <w:rPr>
          <w:rFonts w:hint="eastAsia" w:ascii="宋体" w:hAnsi="宋体" w:eastAsia="宋体" w:cs="宋体"/>
          <w:color w:val="auto"/>
          <w:szCs w:val="21"/>
          <w:highlight w:val="none"/>
        </w:rPr>
        <w:t>。</w:t>
      </w:r>
    </w:p>
    <w:p w14:paraId="10FDCFA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22.2.2 查询及记录方式：</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经办人将查询网页打印并存档备查。投标人不良信用记录以</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查询结果为准。</w:t>
      </w:r>
    </w:p>
    <w:p w14:paraId="30740E9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在本招标文件规定的查询时间之后，网站信息发生的任何变更均不再作为评标依据。</w:t>
      </w:r>
    </w:p>
    <w:p w14:paraId="4C4C5EB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投标人自行提供的与网站信息不一致的其他证明材料亦不作为资格审查依据。</w:t>
      </w:r>
    </w:p>
    <w:p w14:paraId="7E946C9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23.符合性审查</w:t>
      </w:r>
    </w:p>
    <w:p w14:paraId="1327DBA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    符合性检查是指依据招标文件的规定，从投标文件的有效性和完整性对招标文件的响应程度进行审查，以确定是否对招标文件的实质性要求做出响应。投标人应按照第二章《投标文件内容及格式》中的相应要求，提交符合性证明材料。未通过符合性审查的投标人不能进入下一阶段评审，其投标将被认定为投标无效；通过符合性审查的投标人数量不足3家的，不得作进一步的比较和评价。</w:t>
      </w:r>
    </w:p>
    <w:p w14:paraId="0DF3793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24 投标文件的澄清</w:t>
      </w:r>
    </w:p>
    <w:p w14:paraId="22E6AF1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在评标期间，评标委员会将以书面方式要求投标人对其投标文件中含义不明确、对同类问题表述不一致或者有明显文字和计算错误的内容作必要的澄清、说明或补正。投标人的澄清、说明或补正应在评标委员会规定的时间内以书面方式进行，并不得超出投标文件范围或者改变投标文件的实质性内容。</w:t>
      </w:r>
      <w:r>
        <w:rPr>
          <w:rFonts w:hint="eastAsia" w:ascii="宋体" w:hAnsi="宋体" w:eastAsia="宋体" w:cs="宋体"/>
          <w:b/>
          <w:bCs/>
          <w:color w:val="auto"/>
          <w:szCs w:val="21"/>
          <w:highlight w:val="none"/>
        </w:rPr>
        <w:t>投标人拒不进行澄清、说明、补正的，或者不能在规定时间内作出书面澄清、说明、补正的，其投标将被作为无效投标处理。</w:t>
      </w:r>
    </w:p>
    <w:p w14:paraId="3CFA965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投标人的澄清、说明或补正将作为投标文件的一部分。</w:t>
      </w:r>
    </w:p>
    <w:p w14:paraId="4C90573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24.3 投标文件报价出现前后不一致的，按照下列规定修正：</w:t>
      </w:r>
    </w:p>
    <w:p w14:paraId="691B711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（1）投标文件中开标一览表内容与投标文件中相应内容不一致的，以开标一览表为准；</w:t>
      </w:r>
    </w:p>
    <w:p w14:paraId="6507410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（2）大写金额和小写金额不一致的，以大写金额为准；</w:t>
      </w:r>
    </w:p>
    <w:p w14:paraId="236FA25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（3）单价金额小数点或者百分比有明显错位的，以开标一览表的总价为准，并修改单价；</w:t>
      </w:r>
    </w:p>
    <w:p w14:paraId="4CF486B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（4）总价金额与按单价汇总金额不一致的，以单价金额计算结果为准。</w:t>
      </w:r>
    </w:p>
    <w:p w14:paraId="15ACF09E">
      <w:pPr>
        <w:adjustRightInd w:val="0"/>
        <w:snapToGrid w:val="0"/>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同时出现两种以上不一致的，按照前款规定的顺序修正。修正后的报价经投标人确认后产生约束力，投标人不确认的，其投标将被认定为投标无效。</w:t>
      </w:r>
    </w:p>
    <w:p w14:paraId="5C207FE4">
      <w:pPr>
        <w:adjustRightInd w:val="0"/>
        <w:snapToGrid w:val="0"/>
        <w:rPr>
          <w:rFonts w:hint="eastAsia" w:ascii="宋体" w:hAnsi="宋体" w:eastAsia="宋体" w:cs="宋体"/>
          <w:color w:val="auto"/>
          <w:highlight w:val="none"/>
        </w:rPr>
      </w:pPr>
      <w:r>
        <w:rPr>
          <w:rFonts w:hint="eastAsia" w:ascii="宋体" w:hAnsi="宋体" w:eastAsia="宋体" w:cs="宋体"/>
          <w:color w:val="auto"/>
          <w:szCs w:val="21"/>
          <w:highlight w:val="none"/>
        </w:rPr>
        <w:t>24.4</w:t>
      </w:r>
      <w:r>
        <w:rPr>
          <w:rFonts w:hint="eastAsia" w:ascii="宋体" w:hAnsi="宋体" w:eastAsia="宋体" w:cs="宋体"/>
          <w:b/>
          <w:bCs/>
          <w:color w:val="auto"/>
          <w:szCs w:val="21"/>
          <w:highlight w:val="none"/>
        </w:rPr>
        <w:t>评标委员会认为</w:t>
      </w:r>
      <w:r>
        <w:rPr>
          <w:rFonts w:hint="eastAsia" w:ascii="宋体" w:hAnsi="宋体" w:eastAsia="宋体" w:cs="宋体"/>
          <w:color w:val="auto"/>
          <w:szCs w:val="21"/>
          <w:highlight w:val="none"/>
        </w:rPr>
        <w:t>投标人的报价明显低于其他通过符合性审查投标人的报价，有可能影响产品质量或者不能诚信履约的，应当要求其在评标现场合理的时间内提供书面说明，必要时提交相关证明材料；投标人在不能证明其报价合理性的，评标委员会应当将其作为</w:t>
      </w:r>
      <w:r>
        <w:rPr>
          <w:rFonts w:hint="eastAsia" w:ascii="宋体" w:hAnsi="宋体" w:eastAsia="宋体" w:cs="宋体"/>
          <w:b/>
          <w:bCs/>
          <w:color w:val="auto"/>
          <w:szCs w:val="21"/>
          <w:highlight w:val="none"/>
        </w:rPr>
        <w:t>无效投标</w:t>
      </w:r>
      <w:r>
        <w:rPr>
          <w:rFonts w:hint="eastAsia" w:ascii="宋体" w:hAnsi="宋体" w:eastAsia="宋体" w:cs="宋体"/>
          <w:color w:val="auto"/>
          <w:szCs w:val="21"/>
          <w:highlight w:val="none"/>
        </w:rPr>
        <w:t>处理。提交证明材料的合理时间按第四章 评标方法规定执行。</w:t>
      </w:r>
    </w:p>
    <w:p w14:paraId="08C51070">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25样品及演示</w:t>
      </w:r>
    </w:p>
    <w:p w14:paraId="183E302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25.1投标人须知表11.3款中要求投标人提供样品的，按照投标人须知表25.1款中样品的评审方法以及评审标准进行评审。</w:t>
      </w:r>
    </w:p>
    <w:p w14:paraId="6AE7DF3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25.2采购活动结束后，对于未中标人提供的样品，应当及时退还或者经未中标人同意后自行处理；对于中标人提供的样品，应当按招标文件规定进行保管、封存，并作为履约验收的参考。</w:t>
      </w:r>
    </w:p>
    <w:p w14:paraId="247B02E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25.3演示的评审方法以及评审标准具体内容见投标人须知表25.1款。</w:t>
      </w:r>
    </w:p>
    <w:p w14:paraId="098297D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26.投标无效</w:t>
      </w:r>
    </w:p>
    <w:p w14:paraId="585CBF56">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26.1 在比较与评价之前，根据本须知的规定，评标委员会将审查每份投标文件是否实质上响应了招标文件的要求。</w:t>
      </w:r>
    </w:p>
    <w:p w14:paraId="1CCBA119">
      <w:pPr>
        <w:adjustRightInd w:val="0"/>
        <w:snapToGrid w:val="0"/>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实质性要求是指招标文件中带有★号标识内容（包括本级及其下级编号中所有内容）等文字说明的要求。</w:t>
      </w:r>
    </w:p>
    <w:p w14:paraId="782858E4">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对招标文件的实质性要求进行响应是指与招标文件中带有★号标识内容的文字说明、条款、条件和规格等要求相符。</w:t>
      </w:r>
    </w:p>
    <w:p w14:paraId="7A683976">
      <w:pPr>
        <w:adjustRightInd w:val="0"/>
        <w:snapToGrid w:val="0"/>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如果投标文件没有对招标文件的实质性要求进行响应，将作为无效投标处理，投标人不得再对投标文件进行任何修正从而使其投标成为实质上响应的投标。</w:t>
      </w:r>
    </w:p>
    <w:p w14:paraId="3F6FB66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评标委员会决定投标的响应性只根据招标文件要求、投标文件内容及财政主管部门指定媒体发布的相关信息。</w:t>
      </w:r>
    </w:p>
    <w:p w14:paraId="2B39A74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26.2 如发现下列情况之一的，其投标将被认定为投标无效：</w:t>
      </w:r>
    </w:p>
    <w:p w14:paraId="7BDEB7D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未按招标文件的规定提交投标保证金的；</w:t>
      </w:r>
    </w:p>
    <w:p w14:paraId="68A035C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未按照招标文件规定要求签署、盖章的；</w:t>
      </w:r>
    </w:p>
    <w:p w14:paraId="1F2C716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投标人的报价超过了招标文件中规定的预算金额或者最高限价的；</w:t>
      </w:r>
    </w:p>
    <w:p w14:paraId="26BF244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不具备招标文件中规定的资格要求的；</w:t>
      </w:r>
    </w:p>
    <w:p w14:paraId="7DCDCD2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不符合法规和招标文件中规定的其他实质性要求的。</w:t>
      </w:r>
    </w:p>
    <w:p w14:paraId="3AF0E9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与其他投标人串通投标，或者与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串通投标；</w:t>
      </w:r>
    </w:p>
    <w:p w14:paraId="3E5EB64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（7） 评标委员会认为投标人的报价明显低于其他通过符合性检查投标人的报价，有可能影响履约的，且投标人未按照规定证明其报价合理性的；</w:t>
      </w:r>
    </w:p>
    <w:p w14:paraId="304006B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（8） 投标文件含有</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不能接受的附加条件的；</w:t>
      </w:r>
    </w:p>
    <w:p w14:paraId="7E2CCEE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 属于法律、法规和招标文件规定的其他投标无效情形；</w:t>
      </w:r>
    </w:p>
    <w:p w14:paraId="6481873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27.比较与评价</w:t>
      </w:r>
    </w:p>
    <w:p w14:paraId="4961BCA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27.1 经符合性审查合格的投标文件，评标委员会将根据招标文件确定的评标方法和标准，对其技术部分和商务部分作进一步的比较和评价。</w:t>
      </w:r>
    </w:p>
    <w:p w14:paraId="1DA58F8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27.2 评标严格按照招标文件的要求和条件进行。根据实际情况，在投标人须知表27.2款中规定采用下列一种评标方法，详细评标标准见第四章 评标方法。</w:t>
      </w:r>
    </w:p>
    <w:p w14:paraId="212833C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评标价法，是指投标文件满足招标文件全部实质性要求，且投标报价最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的投标人为中标候选人的评标方法。</w:t>
      </w:r>
    </w:p>
    <w:p w14:paraId="1D4AFA9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综合评分法，是指投标文件满足招标文件全部实质性要求，且按照评审因素的量化指标评审得分最高的投标人为中标候选人的评标方法。</w:t>
      </w:r>
    </w:p>
    <w:p w14:paraId="7646FFE5">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28.废标</w:t>
      </w:r>
    </w:p>
    <w:p w14:paraId="31BF883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出现下列情形之一，将导致项目</w:t>
      </w:r>
      <w:r>
        <w:rPr>
          <w:rFonts w:hint="eastAsia" w:ascii="宋体" w:hAnsi="宋体" w:eastAsia="宋体" w:cs="宋体"/>
          <w:b/>
          <w:bCs/>
          <w:color w:val="auto"/>
          <w:szCs w:val="21"/>
          <w:highlight w:val="none"/>
        </w:rPr>
        <w:t>废标</w:t>
      </w:r>
      <w:r>
        <w:rPr>
          <w:rFonts w:hint="eastAsia" w:ascii="宋体" w:hAnsi="宋体" w:eastAsia="宋体" w:cs="宋体"/>
          <w:color w:val="auto"/>
          <w:szCs w:val="21"/>
          <w:highlight w:val="none"/>
        </w:rPr>
        <w:t>：</w:t>
      </w:r>
    </w:p>
    <w:p w14:paraId="02931E86">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（1）符合专业条件的投标人或者对招标文件做实质性响应的投标人不足3家；</w:t>
      </w:r>
    </w:p>
    <w:p w14:paraId="0E0BB0B3">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（2）出现影响采购公正的违法、违规行为的；</w:t>
      </w:r>
    </w:p>
    <w:p w14:paraId="090CAEC4">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（3）投标人的报价均超过了采购预算或最高限价，</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不能支付的；</w:t>
      </w:r>
    </w:p>
    <w:p w14:paraId="686CA0EE">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（4）因重大变故，采购任务取消的。</w:t>
      </w:r>
    </w:p>
    <w:p w14:paraId="3472752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29.中标候选人的推荐原则及标准</w:t>
      </w:r>
    </w:p>
    <w:p w14:paraId="1AE86EB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29.1除第32条规定外，评标委员会将根据评标标准，对实质上响应招标文件的投标人按下列方法进行排序，推荐中标候选人：</w:t>
      </w:r>
    </w:p>
    <w:p w14:paraId="48BE69EC">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（1）采用最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评标价法的，除了算数修正外，不对投标人的投标价格进行任何调整。评标结果按修正和扣除后的投标报价由</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到</w:t>
      </w:r>
      <w:r>
        <w:rPr>
          <w:rFonts w:hint="eastAsia" w:ascii="宋体" w:hAnsi="宋体" w:eastAsia="宋体" w:cs="宋体"/>
          <w:color w:val="auto"/>
          <w:szCs w:val="21"/>
          <w:highlight w:val="none"/>
          <w:lang w:eastAsia="zh-CN"/>
        </w:rPr>
        <w:t>低</w:t>
      </w:r>
      <w:r>
        <w:rPr>
          <w:rFonts w:hint="eastAsia" w:ascii="宋体" w:hAnsi="宋体" w:eastAsia="宋体" w:cs="宋体"/>
          <w:color w:val="auto"/>
          <w:szCs w:val="21"/>
          <w:highlight w:val="none"/>
        </w:rPr>
        <w:t>顺序排列。报价相同的，按第四章评标办法规定执行。</w:t>
      </w:r>
    </w:p>
    <w:p w14:paraId="13768DEF">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（2）采用综合评分法的，评标结果按评审后得分由高到低顺序排列。得分相同的，按第四章评标办法规定执行。</w:t>
      </w:r>
    </w:p>
    <w:p w14:paraId="3D05814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29.2评标委员会将根据评标标准，按投标人须知表29.2款中规定的数量推荐中标候选人。</w:t>
      </w:r>
    </w:p>
    <w:p w14:paraId="67A9194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29.3因推荐中标候选人名单产生其他问题，由评标委员会集体研究处理。</w:t>
      </w:r>
    </w:p>
    <w:p w14:paraId="07997A4B">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30.保密原则</w:t>
      </w:r>
    </w:p>
    <w:p w14:paraId="1B248BA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30.1 评标将在严格保密的情况下进行。</w:t>
      </w:r>
    </w:p>
    <w:p w14:paraId="6484B77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30.2 有关人员应当遵守评标工作纪律，不得泄露评审文件、评标情况和评标过程中获悉的国家秘密、商业秘密。</w:t>
      </w:r>
    </w:p>
    <w:p w14:paraId="038F1022">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七 确定中标</w:t>
      </w:r>
    </w:p>
    <w:p w14:paraId="32FB415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31.确定中标人</w:t>
      </w:r>
    </w:p>
    <w:p w14:paraId="7AC5FA82">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由</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委托评标委员会按照投标人须知表31中规定的方式确定中标人。</w:t>
      </w:r>
    </w:p>
    <w:p w14:paraId="4BBF07D3">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在收到评标报告5个工作日内未按评标报告推荐的中标候选人顺序确定中标人，又不能说明合法理由的，视同按评标报告推荐的顺序确定排名第一的中标候选人为中标人。</w:t>
      </w:r>
    </w:p>
    <w:p w14:paraId="55C38C0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32.采购任务取消</w:t>
      </w:r>
    </w:p>
    <w:p w14:paraId="78E531B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因重大变故采购任务取消时，</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有权拒绝任何</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中标，且对受影响的投标人不承担任何责任。</w:t>
      </w:r>
    </w:p>
    <w:p w14:paraId="53FDABCE">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33.中标通知书</w:t>
      </w:r>
    </w:p>
    <w:p w14:paraId="49A36CB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33.1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应当自中标人确定之日起2个工作日内，在</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媒体上公告中标结果。同时向中标人发出中标通知书。</w:t>
      </w:r>
    </w:p>
    <w:p w14:paraId="2E7C0D0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中标通知书是合同的组成部分。</w:t>
      </w:r>
    </w:p>
    <w:p w14:paraId="3944EEC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34.签订合同</w:t>
      </w:r>
    </w:p>
    <w:p w14:paraId="387EB3A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34.1 中标人应当自发出中标通知书之日起 </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 xml:space="preserve"> 日内，与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签订书面合同。</w:t>
      </w:r>
    </w:p>
    <w:p w14:paraId="32195AC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招标文件、中标人的投标文件及其澄清文件等，均为签订合同的依据。所签订的合同不得对招标文件确定的事项和中标人投标文件作实质性修改。</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不得向中标人提出任何不合理的要求，作为签订合同的条件。</w:t>
      </w:r>
    </w:p>
    <w:p w14:paraId="4628C92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34.3 中标人拒绝与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可以按照评审报告推荐的中标候选人名单排序，确定下一中标候选人为中标人，也可以重新开展政府采购活动。</w:t>
      </w:r>
    </w:p>
    <w:p w14:paraId="2ADEEB93">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35.履约保证金</w:t>
      </w:r>
    </w:p>
    <w:p w14:paraId="7DDAE1F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35.1 中标人应按照投标人须知表35.1款规定向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缴纳履约保证金。</w:t>
      </w:r>
    </w:p>
    <w:p w14:paraId="69B31BD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35.2 如果中标人没有按照上述履约保证金的规定执行，将视为拒绝签订放弃中标资格，中标人的投标保证金将不予退还。在此情况下，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可确定下一中标候选人为中标人，也可以重新开展采购活动。</w:t>
      </w:r>
    </w:p>
    <w:p w14:paraId="34D02B9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36.采购代理服务费</w:t>
      </w:r>
    </w:p>
    <w:p w14:paraId="03E6F6CE">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中标人须按照投标人须知表36款规定，向</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支付招标代理服务费。</w:t>
      </w:r>
    </w:p>
    <w:p w14:paraId="7F8C686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37.廉洁自律规定</w:t>
      </w:r>
    </w:p>
    <w:p w14:paraId="57126F1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37.1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工作人员不得以不正当手段获取政府采购代理业务，不得与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、投标人恶意串通操纵政府采购活动。</w:t>
      </w:r>
    </w:p>
    <w:p w14:paraId="330238B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37.2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工作人员不得接受</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或者投标人组织的宴请、旅游、娱乐，不得收受礼品、现金、有价证券等，不得向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或者投标人报销应当由个人承担的费用。</w:t>
      </w:r>
    </w:p>
    <w:p w14:paraId="4D22D68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38.人员回避</w:t>
      </w:r>
    </w:p>
    <w:p w14:paraId="42275F1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投标人认为</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及其相关人员有法律法规所列与其他投标人有利害关系的，可以向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书面提出回避申请，并说明理由。</w:t>
      </w:r>
    </w:p>
    <w:p w14:paraId="3F42A572">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39.质疑与接收</w:t>
      </w:r>
    </w:p>
    <w:p w14:paraId="4375860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39.1 投标人认为招标文件、招标过程和中标结果使自己的权益受到损害的，可以根据有关规定，依法向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或其委托的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提出质疑。</w:t>
      </w:r>
    </w:p>
    <w:p w14:paraId="09F1951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39.2 质疑投标人应按照</w:t>
      </w:r>
      <w:r>
        <w:rPr>
          <w:rFonts w:hint="eastAsia" w:ascii="宋体" w:hAnsi="宋体" w:eastAsia="宋体" w:cs="宋体"/>
          <w:color w:val="auto"/>
          <w:szCs w:val="21"/>
          <w:highlight w:val="none"/>
          <w:lang w:val="en-US" w:eastAsia="zh-CN"/>
        </w:rPr>
        <w:t>有关</w:t>
      </w:r>
      <w:r>
        <w:rPr>
          <w:rFonts w:hint="eastAsia" w:ascii="宋体" w:hAnsi="宋体" w:eastAsia="宋体" w:cs="宋体"/>
          <w:color w:val="auto"/>
          <w:szCs w:val="21"/>
          <w:highlight w:val="none"/>
        </w:rPr>
        <w:t>部门制定的《质疑函范本》格式，在法定质疑期内以纸质形式提出质疑，针对同一采购程序环节的质疑应一次性提出。</w:t>
      </w:r>
    </w:p>
    <w:p w14:paraId="4196CD5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超出法定质疑期的、重复提出的、分次提出的或内容、形式不符合《政府采购质疑和投诉办法》的，质疑投标人将依法承担不利后果。</w:t>
      </w:r>
    </w:p>
    <w:p w14:paraId="54A7690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39.3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质疑函接收部门、联系电话和通讯地址, 见投标人须知表39.3款。</w:t>
      </w:r>
    </w:p>
    <w:p w14:paraId="3B657A5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40.履约验收</w:t>
      </w:r>
    </w:p>
    <w:p w14:paraId="29EB4B5C">
      <w:pPr>
        <w:keepNext w:val="0"/>
        <w:keepLines w:val="0"/>
        <w:pageBreakBefore w:val="0"/>
        <w:widowControl w:val="0"/>
        <w:kinsoku/>
        <w:wordWrap/>
        <w:overflowPunct/>
        <w:topLinePunct w:val="0"/>
        <w:autoSpaceDE/>
        <w:autoSpaceDN/>
        <w:bidi w:val="0"/>
        <w:adjustRightInd w:val="0"/>
        <w:snapToGrid w:val="0"/>
        <w:spacing w:before="120" w:after="120" w:line="360" w:lineRule="auto"/>
        <w:jc w:val="center"/>
        <w:textAlignment w:val="auto"/>
        <w:rPr>
          <w:rFonts w:hint="eastAsia" w:ascii="宋体" w:hAnsi="宋体" w:eastAsia="宋体" w:cs="宋体"/>
          <w:highlight w:val="none"/>
        </w:rPr>
      </w:pPr>
      <w:r>
        <w:rPr>
          <w:rFonts w:hint="eastAsia" w:ascii="宋体" w:hAnsi="宋体" w:eastAsia="宋体" w:cs="宋体"/>
          <w:color w:val="auto"/>
          <w:szCs w:val="21"/>
          <w:highlight w:val="none"/>
        </w:rPr>
        <w:t>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及其委托的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将严格按照政府采购相关法律法规以及本项目招标文件的要求进行验收。</w:t>
      </w:r>
      <w:r>
        <w:rPr>
          <w:rFonts w:hint="eastAsia" w:ascii="宋体" w:hAnsi="宋体" w:eastAsia="宋体" w:cs="宋体"/>
          <w:highlight w:val="none"/>
        </w:rPr>
        <w:br w:type="page"/>
      </w:r>
    </w:p>
    <w:p w14:paraId="5E98F6B5">
      <w:pPr>
        <w:keepNext w:val="0"/>
        <w:keepLines w:val="0"/>
        <w:pageBreakBefore w:val="0"/>
        <w:widowControl w:val="0"/>
        <w:kinsoku/>
        <w:wordWrap/>
        <w:overflowPunct/>
        <w:topLinePunct w:val="0"/>
        <w:autoSpaceDE/>
        <w:autoSpaceDN/>
        <w:bidi w:val="0"/>
        <w:adjustRightInd w:val="0"/>
        <w:snapToGrid w:val="0"/>
        <w:spacing w:before="120" w:after="120" w:line="360" w:lineRule="auto"/>
        <w:jc w:val="center"/>
        <w:textAlignment w:val="auto"/>
        <w:rPr>
          <w:rFonts w:hint="eastAsia" w:ascii="宋体" w:hAnsi="宋体" w:eastAsia="宋体" w:cs="宋体"/>
          <w:highlight w:val="none"/>
        </w:rPr>
      </w:pPr>
      <w:r>
        <w:rPr>
          <w:rFonts w:hint="eastAsia" w:ascii="宋体" w:hAnsi="宋体" w:eastAsia="宋体" w:cs="宋体"/>
          <w:b/>
          <w:kern w:val="44"/>
          <w:sz w:val="44"/>
          <w:szCs w:val="24"/>
          <w:highlight w:val="none"/>
          <w:lang w:val="en-US" w:eastAsia="zh-CN" w:bidi="ar-SA"/>
        </w:rPr>
        <w:t>第二章 投标文件内容及格式</w:t>
      </w:r>
    </w:p>
    <w:p w14:paraId="2B2321BC">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重要提示</w:t>
      </w:r>
    </w:p>
    <w:p w14:paraId="52C47C50">
      <w:pPr>
        <w:pStyle w:val="25"/>
        <w:rPr>
          <w:rFonts w:hint="eastAsia" w:ascii="宋体" w:hAnsi="宋体" w:eastAsia="宋体" w:cs="宋体"/>
          <w:sz w:val="24"/>
          <w:szCs w:val="24"/>
          <w:highlight w:val="none"/>
        </w:rPr>
      </w:pPr>
    </w:p>
    <w:p w14:paraId="61E0DE80">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1、投标人提供的证明材料，除需要投标人填报或有特殊说明外，均须按要求提供。</w:t>
      </w:r>
      <w:r>
        <w:rPr>
          <w:rFonts w:hint="eastAsia" w:ascii="宋体" w:hAnsi="宋体" w:eastAsia="宋体" w:cs="宋体"/>
          <w:b/>
          <w:bCs/>
          <w:sz w:val="21"/>
          <w:szCs w:val="21"/>
          <w:highlight w:val="none"/>
        </w:rPr>
        <w:t xml:space="preserve"> </w:t>
      </w:r>
    </w:p>
    <w:p w14:paraId="39210ECB">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投标人在编制投标文件时，对于给定格式的文件内容，必须按照给定的标准格式进行填报；对于没有给定标准格式的文件内容，可以由投标人自行设计。投标人在装订投标文件时,应严格按照本表中“投标文件装订顺序”进行装订。</w:t>
      </w:r>
    </w:p>
    <w:p w14:paraId="2D47A6F5">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3、投标文件应用中文书写。投标文件中所附或所引用的材料不是中文时，应附中文译本，并加盖公章。</w:t>
      </w:r>
    </w:p>
    <w:p w14:paraId="43194E53">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4、“资格性证明材料”所列内容即为采购项目的资格审查条件，有一项不符合要求，不能进入下一阶段评审。</w:t>
      </w:r>
    </w:p>
    <w:p w14:paraId="3DFF8630">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5、“符合性证明材料”所列内容即为采购项目的符合性审查条件，有一项不符合要求，不能进入下一阶段评审。</w:t>
      </w:r>
    </w:p>
    <w:p w14:paraId="0A609ED0">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6、“其他材料”</w:t>
      </w:r>
    </w:p>
    <w:p w14:paraId="7850B454">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（1）综合评分法：投标人可就招标文件要求以及评分细则中各项要求提供相应材料。</w:t>
      </w:r>
    </w:p>
    <w:p w14:paraId="2379A167">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（2）最</w:t>
      </w:r>
      <w:r>
        <w:rPr>
          <w:rFonts w:hint="eastAsia" w:ascii="宋体" w:hAnsi="宋体" w:eastAsia="宋体" w:cs="宋体"/>
          <w:sz w:val="21"/>
          <w:szCs w:val="21"/>
          <w:highlight w:val="none"/>
          <w:lang w:val="en-US" w:eastAsia="zh-CN"/>
        </w:rPr>
        <w:t>高</w:t>
      </w:r>
      <w:r>
        <w:rPr>
          <w:rFonts w:hint="eastAsia" w:ascii="宋体" w:hAnsi="宋体" w:eastAsia="宋体" w:cs="宋体"/>
          <w:sz w:val="21"/>
          <w:szCs w:val="21"/>
          <w:highlight w:val="none"/>
        </w:rPr>
        <w:t>评标价法：投标人可就招标文件要求提供相应材料。</w:t>
      </w:r>
    </w:p>
    <w:p w14:paraId="7A5657A9">
      <w:pPr>
        <w:rPr>
          <w:rFonts w:hint="eastAsia" w:ascii="宋体" w:hAnsi="宋体" w:eastAsia="宋体" w:cs="宋体"/>
          <w:sz w:val="24"/>
          <w:szCs w:val="24"/>
          <w:highlight w:val="none"/>
        </w:rPr>
      </w:pPr>
    </w:p>
    <w:p w14:paraId="224B2764">
      <w:pPr>
        <w:rPr>
          <w:rFonts w:hint="eastAsia" w:ascii="宋体" w:hAnsi="宋体" w:eastAsia="宋体" w:cs="宋体"/>
          <w:szCs w:val="28"/>
          <w:highlight w:val="none"/>
        </w:rPr>
      </w:pPr>
    </w:p>
    <w:p w14:paraId="0F353F4F">
      <w:pPr>
        <w:jc w:val="center"/>
        <w:rPr>
          <w:rFonts w:hint="eastAsia" w:ascii="宋体" w:hAnsi="宋体" w:eastAsia="宋体" w:cs="宋体"/>
          <w:b/>
          <w:bCs/>
          <w:sz w:val="32"/>
          <w:szCs w:val="32"/>
          <w:highlight w:val="none"/>
        </w:rPr>
      </w:pPr>
      <w:r>
        <w:rPr>
          <w:rFonts w:hint="eastAsia" w:ascii="宋体" w:hAnsi="宋体" w:eastAsia="宋体" w:cs="宋体"/>
          <w:szCs w:val="28"/>
          <w:highlight w:val="none"/>
        </w:rPr>
        <w:br w:type="page"/>
      </w:r>
      <w:bookmarkStart w:id="34" w:name="_Toc21090_WPSOffice_Level2"/>
      <w:bookmarkStart w:id="35" w:name="_Toc21111"/>
      <w:bookmarkStart w:id="36" w:name="_Toc26322_WPSOffice_Level2"/>
      <w:r>
        <w:rPr>
          <w:rFonts w:hint="eastAsia" w:ascii="宋体" w:hAnsi="宋体" w:eastAsia="宋体" w:cs="宋体"/>
          <w:b/>
          <w:bCs/>
          <w:sz w:val="32"/>
          <w:szCs w:val="32"/>
          <w:highlight w:val="none"/>
        </w:rPr>
        <w:t>投标文件外封面、封口格式</w:t>
      </w:r>
      <w:bookmarkEnd w:id="34"/>
      <w:bookmarkEnd w:id="35"/>
      <w:bookmarkEnd w:id="36"/>
    </w:p>
    <w:p w14:paraId="408ECA26">
      <w:pPr>
        <w:pStyle w:val="4"/>
        <w:rPr>
          <w:rFonts w:hint="eastAsia" w:ascii="宋体" w:hAnsi="宋体" w:eastAsia="宋体" w:cs="宋体"/>
          <w:highlight w:val="none"/>
        </w:rPr>
      </w:pPr>
    </w:p>
    <w:p w14:paraId="0BD89F0C">
      <w:pPr>
        <w:rPr>
          <w:rFonts w:hint="eastAsia" w:ascii="宋体" w:hAnsi="宋体" w:eastAsia="宋体" w:cs="宋体"/>
          <w:highlight w:val="none"/>
        </w:rPr>
      </w:pPr>
      <w:r>
        <w:rPr>
          <w:rFonts w:hint="eastAsia" w:ascii="宋体" w:hAnsi="宋体" w:eastAsia="宋体" w:cs="宋体"/>
          <w:sz w:val="28"/>
          <w:szCs w:val="28"/>
          <w:highlight w:val="none"/>
        </w:rPr>
        <w:t>封面格式：</w:t>
      </w:r>
    </w:p>
    <w:tbl>
      <w:tblPr>
        <w:tblStyle w:val="17"/>
        <w:tblW w:w="59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60"/>
      </w:tblGrid>
      <w:tr w14:paraId="3EDEB6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0" w:hRule="atLeast"/>
          <w:jc w:val="center"/>
        </w:trPr>
        <w:tc>
          <w:tcPr>
            <w:tcW w:w="5960" w:type="dxa"/>
            <w:tcBorders>
              <w:top w:val="single" w:color="auto" w:sz="12" w:space="0"/>
              <w:left w:val="single" w:color="auto" w:sz="12" w:space="0"/>
              <w:bottom w:val="single" w:color="auto" w:sz="12" w:space="0"/>
              <w:right w:val="single" w:color="auto" w:sz="12" w:space="0"/>
            </w:tcBorders>
            <w:noWrap w:val="0"/>
            <w:vAlign w:val="top"/>
          </w:tcPr>
          <w:p w14:paraId="17286036">
            <w:pPr>
              <w:jc w:val="center"/>
              <w:rPr>
                <w:rFonts w:hint="eastAsia" w:ascii="宋体" w:hAnsi="宋体" w:eastAsia="宋体" w:cs="宋体"/>
                <w:b/>
                <w:bCs/>
                <w:highlight w:val="none"/>
              </w:rPr>
            </w:pPr>
          </w:p>
          <w:p w14:paraId="6D190C7F">
            <w:pPr>
              <w:jc w:val="center"/>
              <w:rPr>
                <w:rFonts w:hint="eastAsia" w:ascii="宋体" w:hAnsi="宋体" w:eastAsia="宋体" w:cs="宋体"/>
                <w:b/>
                <w:bCs/>
                <w:highlight w:val="none"/>
              </w:rPr>
            </w:pPr>
          </w:p>
          <w:p w14:paraId="0709519E">
            <w:pPr>
              <w:jc w:val="center"/>
              <w:rPr>
                <w:rFonts w:hint="eastAsia" w:ascii="宋体" w:hAnsi="宋体" w:eastAsia="宋体" w:cs="宋体"/>
                <w:b/>
                <w:bCs/>
                <w:highlight w:val="none"/>
              </w:rPr>
            </w:pPr>
          </w:p>
          <w:p w14:paraId="19FC7E87">
            <w:pPr>
              <w:jc w:val="center"/>
              <w:rPr>
                <w:rFonts w:hint="eastAsia" w:ascii="宋体" w:hAnsi="宋体" w:eastAsia="宋体" w:cs="宋体"/>
                <w:b/>
                <w:bCs/>
                <w:highlight w:val="none"/>
              </w:rPr>
            </w:pPr>
          </w:p>
          <w:p w14:paraId="1A5DEF47">
            <w:pPr>
              <w:jc w:val="center"/>
              <w:rPr>
                <w:rFonts w:hint="eastAsia" w:ascii="宋体" w:hAnsi="宋体" w:eastAsia="宋体" w:cs="宋体"/>
                <w:b/>
                <w:bCs/>
                <w:highlight w:val="none"/>
              </w:rPr>
            </w:pPr>
          </w:p>
          <w:p w14:paraId="2D47FC72">
            <w:pPr>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投标文件</w:t>
            </w:r>
          </w:p>
          <w:p w14:paraId="575DB429">
            <w:pPr>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正本</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份/副本</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份/电子文档</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份</w:t>
            </w:r>
            <w:r>
              <w:rPr>
                <w:rFonts w:hint="eastAsia" w:ascii="宋体" w:hAnsi="宋体" w:eastAsia="宋体" w:cs="宋体"/>
                <w:b/>
                <w:bCs/>
                <w:sz w:val="24"/>
                <w:szCs w:val="24"/>
                <w:highlight w:val="none"/>
                <w:lang w:eastAsia="zh-CN"/>
              </w:rPr>
              <w:t>）</w:t>
            </w:r>
          </w:p>
          <w:p w14:paraId="725E572C">
            <w:pPr>
              <w:jc w:val="left"/>
              <w:rPr>
                <w:rFonts w:hint="eastAsia" w:ascii="宋体" w:hAnsi="宋体" w:eastAsia="宋体" w:cs="宋体"/>
                <w:highlight w:val="none"/>
              </w:rPr>
            </w:pPr>
          </w:p>
          <w:p w14:paraId="6A70359E">
            <w:pPr>
              <w:jc w:val="left"/>
              <w:rPr>
                <w:rFonts w:hint="eastAsia" w:ascii="宋体" w:hAnsi="宋体" w:eastAsia="宋体" w:cs="宋体"/>
                <w:highlight w:val="none"/>
              </w:rPr>
            </w:pPr>
          </w:p>
          <w:p w14:paraId="5E5FD6EE">
            <w:pPr>
              <w:jc w:val="left"/>
              <w:rPr>
                <w:rFonts w:hint="eastAsia" w:ascii="宋体" w:hAnsi="宋体" w:eastAsia="宋体" w:cs="宋体"/>
                <w:highlight w:val="none"/>
              </w:rPr>
            </w:pPr>
          </w:p>
          <w:p w14:paraId="1CA246EE">
            <w:pPr>
              <w:jc w:val="left"/>
              <w:rPr>
                <w:rFonts w:hint="eastAsia" w:ascii="宋体" w:hAnsi="宋体" w:eastAsia="宋体" w:cs="宋体"/>
                <w:highlight w:val="none"/>
              </w:rPr>
            </w:pPr>
          </w:p>
          <w:p w14:paraId="71AC4BDF">
            <w:pPr>
              <w:jc w:val="left"/>
              <w:rPr>
                <w:rFonts w:hint="eastAsia" w:ascii="宋体" w:hAnsi="宋体" w:eastAsia="宋体" w:cs="宋体"/>
                <w:highlight w:val="none"/>
              </w:rPr>
            </w:pPr>
          </w:p>
          <w:p w14:paraId="53BEE419">
            <w:pPr>
              <w:jc w:val="left"/>
              <w:rPr>
                <w:rFonts w:hint="eastAsia" w:ascii="宋体" w:hAnsi="宋体" w:eastAsia="宋体" w:cs="宋体"/>
                <w:highlight w:val="none"/>
              </w:rPr>
            </w:pPr>
          </w:p>
          <w:p w14:paraId="27C9B17D">
            <w:pPr>
              <w:jc w:val="left"/>
              <w:rPr>
                <w:rFonts w:hint="eastAsia" w:ascii="宋体" w:hAnsi="宋体" w:eastAsia="宋体" w:cs="宋体"/>
                <w:highlight w:val="none"/>
              </w:rPr>
            </w:pPr>
          </w:p>
          <w:p w14:paraId="7BBDE4DE">
            <w:pPr>
              <w:jc w:val="left"/>
              <w:rPr>
                <w:rFonts w:hint="eastAsia" w:ascii="宋体" w:hAnsi="宋体" w:eastAsia="宋体" w:cs="宋体"/>
                <w:highlight w:val="none"/>
              </w:rPr>
            </w:pPr>
          </w:p>
          <w:p w14:paraId="1120FF9A">
            <w:pPr>
              <w:jc w:val="left"/>
              <w:rPr>
                <w:rFonts w:hint="eastAsia" w:ascii="宋体" w:hAnsi="宋体" w:eastAsia="宋体" w:cs="宋体"/>
                <w:highlight w:val="none"/>
              </w:rPr>
            </w:pPr>
            <w:r>
              <w:rPr>
                <w:rFonts w:hint="eastAsia" w:ascii="宋体" w:hAnsi="宋体" w:eastAsia="宋体" w:cs="宋体"/>
                <w:highlight w:val="none"/>
              </w:rPr>
              <w:t>项目名称：</w:t>
            </w:r>
          </w:p>
          <w:p w14:paraId="4D107840">
            <w:pPr>
              <w:jc w:val="left"/>
              <w:rPr>
                <w:rFonts w:hint="eastAsia" w:ascii="宋体" w:hAnsi="宋体" w:eastAsia="宋体" w:cs="宋体"/>
                <w:highlight w:val="none"/>
              </w:rPr>
            </w:pPr>
          </w:p>
          <w:p w14:paraId="2ABCEEC8">
            <w:pPr>
              <w:jc w:val="left"/>
              <w:rPr>
                <w:rFonts w:hint="eastAsia" w:ascii="宋体" w:hAnsi="宋体" w:eastAsia="宋体" w:cs="宋体"/>
                <w:highlight w:val="none"/>
              </w:rPr>
            </w:pPr>
            <w:r>
              <w:rPr>
                <w:rFonts w:hint="eastAsia" w:ascii="宋体" w:hAnsi="宋体" w:eastAsia="宋体" w:cs="宋体"/>
                <w:highlight w:val="none"/>
              </w:rPr>
              <w:t>项目编号：</w:t>
            </w:r>
          </w:p>
          <w:p w14:paraId="10231A25">
            <w:pPr>
              <w:jc w:val="left"/>
              <w:rPr>
                <w:rFonts w:hint="eastAsia" w:ascii="宋体" w:hAnsi="宋体" w:eastAsia="宋体" w:cs="宋体"/>
                <w:highlight w:val="none"/>
              </w:rPr>
            </w:pPr>
          </w:p>
          <w:p w14:paraId="1D74E0DF">
            <w:pPr>
              <w:jc w:val="center"/>
              <w:rPr>
                <w:rFonts w:hint="eastAsia" w:ascii="宋体" w:hAnsi="宋体" w:eastAsia="宋体" w:cs="宋体"/>
                <w:highlight w:val="none"/>
              </w:rPr>
            </w:pPr>
          </w:p>
          <w:p w14:paraId="7F4836CC">
            <w:pPr>
              <w:jc w:val="center"/>
              <w:rPr>
                <w:rFonts w:hint="eastAsia" w:ascii="宋体" w:hAnsi="宋体" w:eastAsia="宋体" w:cs="宋体"/>
                <w:highlight w:val="none"/>
              </w:rPr>
            </w:pPr>
          </w:p>
          <w:p w14:paraId="698598C1">
            <w:pPr>
              <w:jc w:val="center"/>
              <w:rPr>
                <w:rFonts w:hint="eastAsia" w:ascii="宋体" w:hAnsi="宋体" w:eastAsia="宋体" w:cs="宋体"/>
                <w:highlight w:val="none"/>
              </w:rPr>
            </w:pPr>
          </w:p>
          <w:p w14:paraId="3AB61F1E">
            <w:pPr>
              <w:jc w:val="left"/>
              <w:rPr>
                <w:rFonts w:hint="eastAsia" w:ascii="宋体" w:hAnsi="宋体" w:eastAsia="宋体" w:cs="宋体"/>
                <w:highlight w:val="none"/>
              </w:rPr>
            </w:pPr>
            <w:r>
              <w:rPr>
                <w:rFonts w:hint="eastAsia" w:ascii="宋体" w:hAnsi="宋体" w:eastAsia="宋体" w:cs="宋体"/>
                <w:highlight w:val="none"/>
              </w:rPr>
              <w:t>投标人名称（公章）</w:t>
            </w:r>
          </w:p>
        </w:tc>
      </w:tr>
    </w:tbl>
    <w:p w14:paraId="53E3CAB3">
      <w:pPr>
        <w:rPr>
          <w:rFonts w:hint="eastAsia" w:ascii="宋体" w:hAnsi="宋体" w:eastAsia="宋体" w:cs="宋体"/>
          <w:highlight w:val="none"/>
        </w:rPr>
      </w:pPr>
    </w:p>
    <w:p w14:paraId="55B4EB4C">
      <w:pPr>
        <w:rPr>
          <w:rFonts w:hint="eastAsia" w:ascii="宋体" w:hAnsi="宋体" w:eastAsia="宋体" w:cs="宋体"/>
          <w:highlight w:val="none"/>
        </w:rPr>
      </w:pPr>
    </w:p>
    <w:p w14:paraId="7BD958E0">
      <w:pPr>
        <w:rPr>
          <w:rFonts w:hint="eastAsia" w:ascii="宋体" w:hAnsi="宋体" w:eastAsia="宋体" w:cs="宋体"/>
          <w:highlight w:val="none"/>
        </w:rPr>
      </w:pPr>
      <w:r>
        <w:rPr>
          <w:rFonts w:hint="eastAsia" w:ascii="宋体" w:hAnsi="宋体" w:eastAsia="宋体" w:cs="宋体"/>
          <w:sz w:val="24"/>
          <w:szCs w:val="32"/>
          <w:highlight w:val="none"/>
        </w:rPr>
        <w:t>封口格式：</w:t>
      </w:r>
    </w:p>
    <w:tbl>
      <w:tblPr>
        <w:tblStyle w:val="1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4A940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8789" w:type="dxa"/>
            <w:tcBorders>
              <w:top w:val="single" w:color="auto" w:sz="4" w:space="0"/>
              <w:left w:val="single" w:color="auto" w:sz="4" w:space="0"/>
              <w:bottom w:val="single" w:color="auto" w:sz="4" w:space="0"/>
              <w:right w:val="single" w:color="auto" w:sz="4" w:space="0"/>
            </w:tcBorders>
            <w:noWrap w:val="0"/>
            <w:vAlign w:val="center"/>
          </w:tcPr>
          <w:p w14:paraId="1D7BA37B">
            <w:pPr>
              <w:jc w:val="center"/>
              <w:rPr>
                <w:rFonts w:hint="eastAsia" w:ascii="宋体" w:hAnsi="宋体" w:eastAsia="宋体" w:cs="宋体"/>
                <w:highlight w:val="none"/>
              </w:rPr>
            </w:pPr>
            <w:r>
              <w:rPr>
                <w:rFonts w:hint="eastAsia" w:ascii="宋体" w:hAnsi="宋体" w:eastAsia="宋体" w:cs="宋体"/>
                <w:highlight w:val="none"/>
              </w:rPr>
              <w:t>——于   年  月  日   时之前不准启封（公章）——</w:t>
            </w:r>
          </w:p>
        </w:tc>
      </w:tr>
    </w:tbl>
    <w:p w14:paraId="237060EC">
      <w:pPr>
        <w:rPr>
          <w:rFonts w:hint="eastAsia" w:ascii="宋体" w:hAnsi="宋体" w:eastAsia="宋体" w:cs="宋体"/>
          <w:highlight w:val="none"/>
        </w:rPr>
      </w:pPr>
    </w:p>
    <w:p w14:paraId="7F82B6B9">
      <w:pPr>
        <w:rPr>
          <w:rFonts w:hint="eastAsia" w:ascii="宋体" w:hAnsi="宋体" w:eastAsia="宋体" w:cs="宋体"/>
          <w:highlight w:val="none"/>
        </w:rPr>
      </w:pPr>
    </w:p>
    <w:p w14:paraId="1A2A7246">
      <w:pPr>
        <w:jc w:val="center"/>
        <w:rPr>
          <w:rFonts w:hint="eastAsia" w:ascii="宋体" w:hAnsi="宋体" w:eastAsia="宋体" w:cs="宋体"/>
          <w:b/>
          <w:bCs/>
          <w:sz w:val="32"/>
          <w:szCs w:val="32"/>
          <w:highlight w:val="none"/>
        </w:rPr>
      </w:pPr>
      <w:r>
        <w:rPr>
          <w:rFonts w:hint="eastAsia" w:ascii="宋体" w:hAnsi="宋体" w:eastAsia="宋体" w:cs="宋体"/>
          <w:b/>
          <w:sz w:val="28"/>
          <w:szCs w:val="28"/>
          <w:highlight w:val="none"/>
        </w:rPr>
        <w:br w:type="page"/>
      </w:r>
      <w:bookmarkStart w:id="37" w:name="_Toc3428"/>
      <w:r>
        <w:rPr>
          <w:rFonts w:hint="eastAsia" w:ascii="宋体" w:hAnsi="宋体" w:eastAsia="宋体" w:cs="宋体"/>
          <w:sz w:val="32"/>
          <w:highlight w:val="none"/>
        </w:rPr>
        <mc:AlternateContent>
          <mc:Choice Requires="wps">
            <w:drawing>
              <wp:anchor distT="0" distB="0" distL="114300" distR="114300" simplePos="0" relativeHeight="251659264" behindDoc="0" locked="0" layoutInCell="1" allowOverlap="1">
                <wp:simplePos x="0" y="0"/>
                <wp:positionH relativeFrom="column">
                  <wp:posOffset>3878580</wp:posOffset>
                </wp:positionH>
                <wp:positionV relativeFrom="paragraph">
                  <wp:posOffset>361315</wp:posOffset>
                </wp:positionV>
                <wp:extent cx="1253490" cy="563245"/>
                <wp:effectExtent l="5080" t="4445" r="17780" b="22860"/>
                <wp:wrapNone/>
                <wp:docPr id="5" name="文本框 5"/>
                <wp:cNvGraphicFramePr/>
                <a:graphic xmlns:a="http://schemas.openxmlformats.org/drawingml/2006/main">
                  <a:graphicData uri="http://schemas.microsoft.com/office/word/2010/wordprocessingShape">
                    <wps:wsp>
                      <wps:cNvSpPr txBox="1"/>
                      <wps:spPr>
                        <a:xfrm>
                          <a:off x="0" y="0"/>
                          <a:ext cx="1253490" cy="5632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3B3CFC0">
                            <w:pPr>
                              <w:rPr>
                                <w:rFonts w:ascii="仿宋_GB2312" w:hAnsi="仿宋_GB2312" w:eastAsia="仿宋_GB2312" w:cs="仿宋_GB2312"/>
                                <w:sz w:val="32"/>
                                <w:szCs w:val="32"/>
                              </w:rPr>
                            </w:pPr>
                            <w:r>
                              <w:rPr>
                                <w:rFonts w:hint="eastAsia" w:ascii="仿宋_GB2312" w:hAnsi="仿宋_GB2312" w:eastAsia="仿宋_GB2312" w:cs="仿宋_GB2312"/>
                                <w:sz w:val="32"/>
                                <w:szCs w:val="32"/>
                              </w:rPr>
                              <w:t>正本/副本</w:t>
                            </w:r>
                          </w:p>
                        </w:txbxContent>
                      </wps:txbx>
                      <wps:bodyPr upright="1"/>
                    </wps:wsp>
                  </a:graphicData>
                </a:graphic>
              </wp:anchor>
            </w:drawing>
          </mc:Choice>
          <mc:Fallback>
            <w:pict>
              <v:shape id="_x0000_s1026" o:spid="_x0000_s1026" o:spt="202" type="#_x0000_t202" style="position:absolute;left:0pt;margin-left:305.4pt;margin-top:28.45pt;height:44.35pt;width:98.7pt;z-index:251659264;mso-width-relative:page;mso-height-relative:page;" fillcolor="#FFFFFF" filled="t" stroked="t" coordsize="21600,21600" o:gfxdata="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V17PtkAAAAKAQAADwAAAAAA&#10;AAABACAAAAAiAAAAZHJzL2Rvd25yZXYueG1sUEsBAhQAFAAAAAgAh07iQF+krDASAgAARAQAAA4A&#10;AAAAAAAAAQAgAAAAKAEAAGRycy9lMm9Eb2MueG1sUEsFBgAAAAAGAAYAWQEAAKwFAAAAAA==&#10;">
                <v:fill on="t" focussize="0,0"/>
                <v:stroke color="#000000" joinstyle="miter"/>
                <v:imagedata o:title=""/>
                <o:lock v:ext="edit" aspectratio="f"/>
                <v:textbox>
                  <w:txbxContent>
                    <w:p w14:paraId="33B3CFC0">
                      <w:pPr>
                        <w:rPr>
                          <w:rFonts w:ascii="仿宋_GB2312" w:hAnsi="仿宋_GB2312" w:eastAsia="仿宋_GB2312" w:cs="仿宋_GB2312"/>
                          <w:sz w:val="32"/>
                          <w:szCs w:val="32"/>
                        </w:rPr>
                      </w:pPr>
                      <w:r>
                        <w:rPr>
                          <w:rFonts w:hint="eastAsia" w:ascii="仿宋_GB2312" w:hAnsi="仿宋_GB2312" w:eastAsia="仿宋_GB2312" w:cs="仿宋_GB2312"/>
                          <w:sz w:val="32"/>
                          <w:szCs w:val="32"/>
                        </w:rPr>
                        <w:t>正本/副本</w:t>
                      </w:r>
                    </w:p>
                  </w:txbxContent>
                </v:textbox>
              </v:shape>
            </w:pict>
          </mc:Fallback>
        </mc:AlternateContent>
      </w:r>
      <w:r>
        <w:rPr>
          <w:rFonts w:hint="eastAsia" w:ascii="宋体" w:hAnsi="宋体" w:eastAsia="宋体" w:cs="宋体"/>
          <w:b/>
          <w:bCs/>
          <w:sz w:val="32"/>
          <w:szCs w:val="32"/>
          <w:highlight w:val="none"/>
        </w:rPr>
        <w:t>投标文件的封皮</w:t>
      </w:r>
      <w:bookmarkEnd w:id="37"/>
    </w:p>
    <w:p w14:paraId="749B3089">
      <w:pPr>
        <w:rPr>
          <w:rFonts w:hint="eastAsia" w:ascii="宋体" w:hAnsi="宋体" w:eastAsia="宋体" w:cs="宋体"/>
          <w:highlight w:val="none"/>
        </w:rPr>
      </w:pPr>
    </w:p>
    <w:p w14:paraId="4C298B69">
      <w:pPr>
        <w:rPr>
          <w:rFonts w:hint="eastAsia" w:ascii="宋体" w:hAnsi="宋体" w:eastAsia="宋体" w:cs="宋体"/>
          <w:highlight w:val="none"/>
        </w:rPr>
      </w:pPr>
    </w:p>
    <w:p w14:paraId="67AF2C46">
      <w:pPr>
        <w:rPr>
          <w:rFonts w:hint="eastAsia" w:ascii="宋体" w:hAnsi="宋体" w:eastAsia="宋体" w:cs="宋体"/>
          <w:highlight w:val="none"/>
        </w:rPr>
      </w:pPr>
    </w:p>
    <w:p w14:paraId="65ACCCAC">
      <w:pPr>
        <w:rPr>
          <w:rFonts w:hint="eastAsia" w:ascii="宋体" w:hAnsi="宋体" w:eastAsia="宋体" w:cs="宋体"/>
          <w:highlight w:val="none"/>
        </w:rPr>
      </w:pPr>
    </w:p>
    <w:p w14:paraId="7F7F6B73">
      <w:pPr>
        <w:rPr>
          <w:rFonts w:hint="eastAsia" w:ascii="宋体" w:hAnsi="宋体" w:eastAsia="宋体" w:cs="宋体"/>
          <w:highlight w:val="none"/>
        </w:rPr>
      </w:pPr>
    </w:p>
    <w:p w14:paraId="3AED2D7E">
      <w:pPr>
        <w:rPr>
          <w:rFonts w:hint="eastAsia" w:ascii="宋体" w:hAnsi="宋体" w:eastAsia="宋体" w:cs="宋体"/>
          <w:highlight w:val="none"/>
        </w:rPr>
      </w:pPr>
    </w:p>
    <w:p w14:paraId="2F345E21">
      <w:pPr>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投  标  文  件</w:t>
      </w:r>
    </w:p>
    <w:p w14:paraId="3E90F617">
      <w:pPr>
        <w:rPr>
          <w:rFonts w:hint="eastAsia" w:ascii="宋体" w:hAnsi="宋体" w:eastAsia="宋体" w:cs="宋体"/>
          <w:highlight w:val="none"/>
        </w:rPr>
      </w:pPr>
    </w:p>
    <w:p w14:paraId="234E577B">
      <w:pPr>
        <w:rPr>
          <w:rFonts w:hint="eastAsia" w:ascii="宋体" w:hAnsi="宋体" w:eastAsia="宋体" w:cs="宋体"/>
          <w:highlight w:val="none"/>
        </w:rPr>
      </w:pPr>
    </w:p>
    <w:p w14:paraId="21CD40BD">
      <w:pPr>
        <w:rPr>
          <w:rFonts w:hint="eastAsia" w:ascii="宋体" w:hAnsi="宋体" w:eastAsia="宋体" w:cs="宋体"/>
          <w:highlight w:val="none"/>
        </w:rPr>
      </w:pPr>
    </w:p>
    <w:p w14:paraId="190AD8A3">
      <w:pPr>
        <w:rPr>
          <w:rFonts w:hint="eastAsia" w:ascii="宋体" w:hAnsi="宋体" w:eastAsia="宋体" w:cs="宋体"/>
          <w:sz w:val="28"/>
          <w:szCs w:val="28"/>
          <w:highlight w:val="none"/>
        </w:rPr>
      </w:pPr>
    </w:p>
    <w:p w14:paraId="40CDAD8D">
      <w:pPr>
        <w:rPr>
          <w:rFonts w:hint="eastAsia" w:ascii="宋体" w:hAnsi="宋体" w:eastAsia="宋体" w:cs="宋体"/>
          <w:sz w:val="28"/>
          <w:szCs w:val="28"/>
          <w:highlight w:val="none"/>
        </w:rPr>
      </w:pPr>
    </w:p>
    <w:p w14:paraId="04C3171A">
      <w:pPr>
        <w:rPr>
          <w:rFonts w:hint="eastAsia" w:ascii="宋体" w:hAnsi="宋体" w:eastAsia="宋体" w:cs="宋体"/>
          <w:sz w:val="28"/>
          <w:szCs w:val="28"/>
          <w:highlight w:val="none"/>
        </w:rPr>
      </w:pPr>
    </w:p>
    <w:p w14:paraId="2B01FD05">
      <w:pPr>
        <w:rPr>
          <w:rFonts w:hint="eastAsia" w:ascii="宋体" w:hAnsi="宋体" w:eastAsia="宋体" w:cs="宋体"/>
          <w:sz w:val="28"/>
          <w:szCs w:val="28"/>
          <w:highlight w:val="none"/>
        </w:rPr>
      </w:pPr>
    </w:p>
    <w:p w14:paraId="6FE8ACFA">
      <w:pPr>
        <w:rPr>
          <w:rFonts w:hint="eastAsia" w:ascii="宋体" w:hAnsi="宋体" w:eastAsia="宋体" w:cs="宋体"/>
          <w:sz w:val="28"/>
          <w:szCs w:val="28"/>
          <w:highlight w:val="none"/>
        </w:rPr>
      </w:pPr>
    </w:p>
    <w:p w14:paraId="4D91D81F">
      <w:pPr>
        <w:rPr>
          <w:rFonts w:hint="eastAsia" w:ascii="宋体" w:hAnsi="宋体" w:eastAsia="宋体" w:cs="宋体"/>
          <w:sz w:val="28"/>
          <w:szCs w:val="28"/>
          <w:highlight w:val="none"/>
        </w:rPr>
      </w:pPr>
    </w:p>
    <w:p w14:paraId="4DB8B813">
      <w:pPr>
        <w:rPr>
          <w:rFonts w:hint="eastAsia" w:ascii="宋体" w:hAnsi="宋体" w:eastAsia="宋体" w:cs="宋体"/>
          <w:sz w:val="28"/>
          <w:szCs w:val="28"/>
          <w:highlight w:val="none"/>
        </w:rPr>
      </w:pPr>
      <w:r>
        <w:rPr>
          <w:rFonts w:hint="eastAsia" w:ascii="宋体" w:hAnsi="宋体" w:eastAsia="宋体" w:cs="宋体"/>
          <w:sz w:val="28"/>
          <w:szCs w:val="28"/>
          <w:highlight w:val="none"/>
        </w:rPr>
        <w:t>项目名称：</w:t>
      </w:r>
    </w:p>
    <w:p w14:paraId="6A0BDF23">
      <w:pPr>
        <w:rPr>
          <w:rFonts w:hint="eastAsia" w:ascii="宋体" w:hAnsi="宋体" w:eastAsia="宋体" w:cs="宋体"/>
          <w:sz w:val="28"/>
          <w:szCs w:val="28"/>
          <w:highlight w:val="none"/>
        </w:rPr>
      </w:pPr>
      <w:r>
        <w:rPr>
          <w:rFonts w:hint="eastAsia" w:ascii="宋体" w:hAnsi="宋体" w:eastAsia="宋体" w:cs="宋体"/>
          <w:sz w:val="28"/>
          <w:szCs w:val="28"/>
          <w:highlight w:val="none"/>
        </w:rPr>
        <w:t>项目编号：</w:t>
      </w:r>
    </w:p>
    <w:p w14:paraId="689F0326">
      <w:pPr>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投标人名称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公章）</w:t>
      </w:r>
      <w:r>
        <w:rPr>
          <w:rFonts w:hint="eastAsia" w:ascii="宋体" w:hAnsi="宋体" w:eastAsia="宋体" w:cs="宋体"/>
          <w:sz w:val="28"/>
          <w:szCs w:val="28"/>
          <w:highlight w:val="none"/>
        </w:rPr>
        <w:t>：</w:t>
      </w:r>
    </w:p>
    <w:p w14:paraId="5A9B6FFA">
      <w:pPr>
        <w:jc w:val="center"/>
        <w:outlineLvl w:val="0"/>
        <w:rPr>
          <w:rFonts w:hint="eastAsia" w:ascii="宋体" w:hAnsi="宋体" w:eastAsia="宋体" w:cs="宋体"/>
          <w:b/>
          <w:bCs/>
          <w:sz w:val="32"/>
          <w:szCs w:val="32"/>
          <w:highlight w:val="none"/>
        </w:rPr>
      </w:pPr>
      <w:r>
        <w:rPr>
          <w:rFonts w:hint="eastAsia" w:ascii="宋体" w:hAnsi="宋体" w:eastAsia="宋体" w:cs="宋体"/>
          <w:sz w:val="28"/>
          <w:szCs w:val="28"/>
          <w:highlight w:val="none"/>
        </w:rPr>
        <w:br w:type="page"/>
      </w:r>
      <w:bookmarkStart w:id="38" w:name="_Toc15255"/>
      <w:bookmarkStart w:id="39" w:name="_Toc24386"/>
      <w:bookmarkStart w:id="40" w:name="_Toc32633"/>
      <w:bookmarkStart w:id="41" w:name="_Toc22173"/>
      <w:r>
        <w:rPr>
          <w:rFonts w:hint="eastAsia" w:ascii="宋体" w:hAnsi="宋体" w:eastAsia="宋体" w:cs="宋体"/>
          <w:b/>
          <w:bCs/>
          <w:sz w:val="32"/>
          <w:szCs w:val="32"/>
          <w:highlight w:val="none"/>
        </w:rPr>
        <w:t>自查表</w:t>
      </w:r>
      <w:bookmarkEnd w:id="38"/>
      <w:bookmarkEnd w:id="39"/>
      <w:bookmarkEnd w:id="40"/>
      <w:bookmarkEnd w:id="41"/>
    </w:p>
    <w:tbl>
      <w:tblPr>
        <w:tblStyle w:val="17"/>
        <w:tblW w:w="8330" w:type="dxa"/>
        <w:tblInd w:w="0" w:type="dxa"/>
        <w:tblLayout w:type="fixed"/>
        <w:tblCellMar>
          <w:top w:w="0" w:type="dxa"/>
          <w:left w:w="0" w:type="dxa"/>
          <w:bottom w:w="0" w:type="dxa"/>
          <w:right w:w="0" w:type="dxa"/>
        </w:tblCellMar>
      </w:tblPr>
      <w:tblGrid>
        <w:gridCol w:w="1074"/>
        <w:gridCol w:w="621"/>
        <w:gridCol w:w="4543"/>
        <w:gridCol w:w="2092"/>
      </w:tblGrid>
      <w:tr w14:paraId="28BCAFC4">
        <w:tblPrEx>
          <w:tblCellMar>
            <w:top w:w="0" w:type="dxa"/>
            <w:left w:w="0" w:type="dxa"/>
            <w:bottom w:w="0" w:type="dxa"/>
            <w:right w:w="0" w:type="dxa"/>
          </w:tblCellMar>
        </w:tblPrEx>
        <w:trPr>
          <w:trHeight w:val="23" w:hRule="atLeast"/>
        </w:trPr>
        <w:tc>
          <w:tcPr>
            <w:tcW w:w="10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2C9D1B">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自查类别</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C61768">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序号</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1626FE">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自查项目</w:t>
            </w: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20CABA">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证明资料</w:t>
            </w:r>
          </w:p>
        </w:tc>
      </w:tr>
      <w:tr w14:paraId="47424356">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A9D937">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资格审查</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690381">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5D6FE1">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37D3CE">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A5BB89E">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EBAF2A">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E1F027">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0D8917">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E31E5F">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6E50F09">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2F711A">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825CBA">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C4F3AB5">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4C9DD8">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EA6C8F8">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37B645">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6A998F">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4</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64F4A0">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8A2043">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47E962F">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D64B4B">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F6859E">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5</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8570C">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50E60C">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C167D74">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2C6F96">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BD7131">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6</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449A54">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A0E518">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E328FB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664151">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D82D18">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7</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5D4048">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A79322">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3BAC3AA">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C06A92">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5BB9EE">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8</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BFFE4F">
            <w:pPr>
              <w:snapToGrid w:val="0"/>
              <w:jc w:val="left"/>
              <w:rPr>
                <w:rFonts w:hint="eastAsia" w:ascii="宋体" w:hAnsi="宋体" w:eastAsia="宋体" w:cs="宋体"/>
                <w:b/>
                <w:color w:val="000000"/>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078A7">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3F114503">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3EA4C9">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符合性审查</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D15408">
            <w:pPr>
              <w:widowControl/>
              <w:jc w:val="center"/>
              <w:textAlignment w:val="center"/>
              <w:rPr>
                <w:rFonts w:hint="eastAsia" w:ascii="宋体" w:hAnsi="宋体" w:eastAsia="宋体" w:cs="宋体"/>
                <w:sz w:val="20"/>
                <w:szCs w:val="20"/>
                <w:highlight w:val="none"/>
              </w:rPr>
            </w:pPr>
            <w:r>
              <w:rPr>
                <w:rFonts w:hint="eastAsia" w:ascii="宋体" w:hAnsi="宋体" w:eastAsia="宋体" w:cs="宋体"/>
                <w:kern w:val="0"/>
                <w:sz w:val="20"/>
                <w:szCs w:val="20"/>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E3B7FB">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145101">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0B93A8B">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F31C87">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E788F5">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AED198">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CE59B5">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331905B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E725D2">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BE540D">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73D613">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674C5C">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0440A948">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A89F8">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B9F791">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4</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8F4AA9">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63F3F5">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0895A0B">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7CEA76">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1CF1F">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5</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3D9806">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08BDDA">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4510F47">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16DBBA">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“★”实质性响应条款自查</w:t>
            </w: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7B25D4">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F367B2">
            <w:pPr>
              <w:jc w:val="left"/>
              <w:rPr>
                <w:rFonts w:hint="eastAsia" w:ascii="宋体" w:hAnsi="宋体" w:eastAsia="宋体" w:cs="宋体"/>
                <w:sz w:val="22"/>
                <w:szCs w:val="22"/>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6A2982">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20CB133">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1C3C0C">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CA6659">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669DF1">
            <w:pPr>
              <w:jc w:val="left"/>
              <w:rPr>
                <w:rFonts w:hint="eastAsia" w:ascii="宋体" w:hAnsi="宋体" w:eastAsia="宋体" w:cs="宋体"/>
                <w:sz w:val="22"/>
                <w:szCs w:val="22"/>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B373F6">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737608B3">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634B43">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2856C8">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D8E177">
            <w:pPr>
              <w:jc w:val="left"/>
              <w:rPr>
                <w:rFonts w:hint="eastAsia" w:ascii="宋体" w:hAnsi="宋体" w:eastAsia="宋体" w:cs="宋体"/>
                <w:sz w:val="22"/>
                <w:szCs w:val="22"/>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F858EC">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2057B0C5">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84AEEE">
            <w:pPr>
              <w:widowControl/>
              <w:jc w:val="center"/>
              <w:textAlignment w:val="center"/>
              <w:rPr>
                <w:rFonts w:hint="default" w:ascii="宋体" w:hAnsi="宋体" w:eastAsia="宋体" w:cs="宋体"/>
                <w:kern w:val="0"/>
                <w:sz w:val="22"/>
                <w:szCs w:val="22"/>
                <w:highlight w:val="none"/>
                <w:lang w:val="en-US" w:eastAsia="zh-CN" w:bidi="ar"/>
              </w:rPr>
            </w:pPr>
            <w:r>
              <w:rPr>
                <w:rFonts w:hint="eastAsia" w:ascii="宋体" w:hAnsi="宋体" w:eastAsia="宋体" w:cs="宋体"/>
                <w:kern w:val="0"/>
                <w:sz w:val="22"/>
                <w:szCs w:val="22"/>
                <w:highlight w:val="none"/>
                <w:lang w:val="en-US" w:eastAsia="zh-CN" w:bidi="ar"/>
              </w:rPr>
              <w:t>其他材料证明资料</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3D4625">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686EE8">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531F39">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6ACD047B">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D074285">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3CF62C">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800758">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FCAA73">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244722EE">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FA2693">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A3C6F5">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0BD4D5">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D0A950">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bl>
    <w:p w14:paraId="6BAF4F24">
      <w:pPr>
        <w:rPr>
          <w:rFonts w:hint="eastAsia" w:ascii="宋体" w:hAnsi="宋体" w:eastAsia="宋体" w:cs="宋体"/>
          <w:bCs/>
          <w:szCs w:val="21"/>
          <w:highlight w:val="none"/>
        </w:rPr>
      </w:pPr>
      <w:bookmarkStart w:id="42" w:name="_Toc16033"/>
      <w:r>
        <w:rPr>
          <w:rFonts w:hint="eastAsia" w:ascii="宋体" w:hAnsi="宋体" w:eastAsia="宋体" w:cs="宋体"/>
          <w:bCs/>
          <w:szCs w:val="21"/>
          <w:highlight w:val="none"/>
        </w:rPr>
        <w:t>注：1.以上材料将作为投标人有效性审核的重要内容之一，投标人必须严格按照其内容及序列要求在投标文件中对应如实提供，对资格性和符合性证明文件的任何缺漏和不符合项将会直接导致无效投标！</w:t>
      </w:r>
      <w:bookmarkEnd w:id="42"/>
      <w:r>
        <w:rPr>
          <w:rFonts w:hint="eastAsia" w:ascii="宋体" w:hAnsi="宋体" w:eastAsia="宋体" w:cs="宋体"/>
          <w:bCs/>
          <w:szCs w:val="21"/>
          <w:highlight w:val="none"/>
        </w:rPr>
        <w:t xml:space="preserve">  </w:t>
      </w:r>
    </w:p>
    <w:p w14:paraId="23D4FD44">
      <w:pPr>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bookmarkStart w:id="43" w:name="_Toc26236"/>
      <w:r>
        <w:rPr>
          <w:rFonts w:hint="eastAsia" w:ascii="宋体" w:hAnsi="宋体" w:eastAsia="宋体" w:cs="宋体"/>
          <w:bCs/>
          <w:szCs w:val="21"/>
          <w:highlight w:val="none"/>
        </w:rPr>
        <w:t>2.此表内容必须与投标文件中所介绍的内容一致。</w:t>
      </w:r>
      <w:bookmarkEnd w:id="43"/>
    </w:p>
    <w:p w14:paraId="41749A57">
      <w:pPr>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bookmarkStart w:id="44" w:name="_Toc3689"/>
      <w:r>
        <w:rPr>
          <w:rFonts w:hint="eastAsia" w:ascii="宋体" w:hAnsi="宋体" w:eastAsia="宋体" w:cs="宋体"/>
          <w:bCs/>
          <w:szCs w:val="21"/>
          <w:highlight w:val="none"/>
        </w:rPr>
        <w:t>3.如招标文件未设置“★”实质性响应条款，请填入“本项目未设置“★”实质性响应条款”。</w:t>
      </w:r>
      <w:bookmarkEnd w:id="44"/>
    </w:p>
    <w:p w14:paraId="2B18AE57">
      <w:pPr>
        <w:ind w:firstLine="420" w:firstLineChars="200"/>
        <w:rPr>
          <w:rFonts w:hint="eastAsia" w:ascii="宋体" w:hAnsi="宋体" w:eastAsia="宋体" w:cs="宋体"/>
          <w:bCs/>
          <w:szCs w:val="21"/>
          <w:highlight w:val="none"/>
        </w:rPr>
      </w:pPr>
      <w:bookmarkStart w:id="45" w:name="_Toc14998"/>
      <w:r>
        <w:rPr>
          <w:rFonts w:hint="eastAsia" w:ascii="宋体" w:hAnsi="宋体" w:eastAsia="宋体" w:cs="宋体"/>
          <w:bCs/>
          <w:szCs w:val="21"/>
          <w:highlight w:val="none"/>
        </w:rPr>
        <w:t>4</w:t>
      </w:r>
      <w:r>
        <w:rPr>
          <w:rFonts w:hint="eastAsia" w:ascii="宋体" w:hAnsi="宋体" w:eastAsia="宋体" w:cs="宋体"/>
          <w:bCs/>
          <w:szCs w:val="21"/>
          <w:highlight w:val="none"/>
          <w:lang w:val="en-US" w:eastAsia="zh-CN"/>
        </w:rPr>
        <w:t>.投标人</w:t>
      </w:r>
      <w:r>
        <w:rPr>
          <w:rFonts w:hint="eastAsia" w:ascii="宋体" w:hAnsi="宋体" w:eastAsia="宋体" w:cs="宋体"/>
          <w:bCs/>
          <w:szCs w:val="21"/>
          <w:highlight w:val="none"/>
        </w:rPr>
        <w:t>应根据《招标文件》的各项内容填写此表，如自查表与证明材料不一致，评标委员会将有可能做出对</w:t>
      </w:r>
      <w:r>
        <w:rPr>
          <w:rFonts w:hint="eastAsia" w:ascii="宋体" w:hAnsi="宋体" w:eastAsia="宋体" w:cs="宋体"/>
          <w:bCs/>
          <w:szCs w:val="21"/>
          <w:highlight w:val="none"/>
          <w:lang w:eastAsia="zh-CN"/>
        </w:rPr>
        <w:t>投标人</w:t>
      </w:r>
      <w:r>
        <w:rPr>
          <w:rFonts w:hint="eastAsia" w:ascii="宋体" w:hAnsi="宋体" w:eastAsia="宋体" w:cs="宋体"/>
          <w:bCs/>
          <w:szCs w:val="21"/>
          <w:highlight w:val="none"/>
        </w:rPr>
        <w:t>不利的评定。</w:t>
      </w:r>
      <w:bookmarkEnd w:id="45"/>
    </w:p>
    <w:p w14:paraId="769F44B5">
      <w:pPr>
        <w:rPr>
          <w:rFonts w:hint="eastAsia" w:ascii="宋体" w:hAnsi="宋体" w:eastAsia="宋体" w:cs="宋体"/>
          <w:highlight w:val="none"/>
        </w:rPr>
      </w:pPr>
    </w:p>
    <w:p w14:paraId="5B225564">
      <w:pPr>
        <w:rPr>
          <w:rFonts w:hint="eastAsia" w:ascii="宋体" w:hAnsi="宋体" w:eastAsia="宋体" w:cs="宋体"/>
          <w:highlight w:val="none"/>
        </w:rPr>
      </w:pPr>
      <w:r>
        <w:rPr>
          <w:rFonts w:hint="eastAsia" w:ascii="宋体" w:hAnsi="宋体" w:eastAsia="宋体" w:cs="宋体"/>
          <w:highlight w:val="none"/>
        </w:rPr>
        <w:br w:type="page"/>
      </w:r>
    </w:p>
    <w:p w14:paraId="0748DE45">
      <w:pPr>
        <w:rPr>
          <w:rFonts w:hint="eastAsia" w:ascii="宋体" w:hAnsi="宋体" w:eastAsia="宋体" w:cs="宋体"/>
          <w:b/>
          <w:bCs/>
          <w:sz w:val="84"/>
          <w:szCs w:val="84"/>
          <w:highlight w:val="none"/>
        </w:rPr>
      </w:pPr>
    </w:p>
    <w:p w14:paraId="1283E70F">
      <w:pPr>
        <w:pStyle w:val="25"/>
        <w:rPr>
          <w:rFonts w:hint="eastAsia" w:ascii="宋体" w:hAnsi="宋体" w:eastAsia="宋体" w:cs="宋体"/>
          <w:b/>
          <w:bCs/>
          <w:sz w:val="84"/>
          <w:szCs w:val="84"/>
          <w:highlight w:val="none"/>
        </w:rPr>
      </w:pPr>
    </w:p>
    <w:p w14:paraId="73E6C804">
      <w:pPr>
        <w:pStyle w:val="25"/>
        <w:rPr>
          <w:rFonts w:hint="eastAsia" w:ascii="宋体" w:hAnsi="宋体" w:eastAsia="宋体" w:cs="宋体"/>
          <w:b/>
          <w:bCs/>
          <w:sz w:val="84"/>
          <w:szCs w:val="84"/>
          <w:highlight w:val="none"/>
        </w:rPr>
      </w:pPr>
    </w:p>
    <w:p w14:paraId="2A665AA6">
      <w:pPr>
        <w:pStyle w:val="25"/>
        <w:rPr>
          <w:rFonts w:hint="eastAsia" w:ascii="宋体" w:hAnsi="宋体" w:eastAsia="宋体" w:cs="宋体"/>
          <w:b/>
          <w:bCs/>
          <w:sz w:val="84"/>
          <w:szCs w:val="84"/>
          <w:highlight w:val="none"/>
        </w:rPr>
      </w:pPr>
    </w:p>
    <w:p w14:paraId="3CF30F69">
      <w:pPr>
        <w:pStyle w:val="25"/>
        <w:ind w:left="0" w:leftChars="0" w:firstLine="0" w:firstLineChars="0"/>
        <w:rPr>
          <w:rFonts w:hint="eastAsia" w:ascii="宋体" w:hAnsi="宋体" w:eastAsia="宋体" w:cs="宋体"/>
          <w:b/>
          <w:bCs/>
          <w:sz w:val="84"/>
          <w:szCs w:val="84"/>
          <w:highlight w:val="none"/>
        </w:rPr>
      </w:pPr>
    </w:p>
    <w:p w14:paraId="17CEB604">
      <w:pPr>
        <w:pStyle w:val="25"/>
        <w:rPr>
          <w:rFonts w:hint="eastAsia" w:ascii="宋体" w:hAnsi="宋体" w:eastAsia="宋体" w:cs="宋体"/>
          <w:b/>
          <w:bCs/>
          <w:sz w:val="84"/>
          <w:szCs w:val="84"/>
          <w:highlight w:val="none"/>
        </w:rPr>
      </w:pPr>
    </w:p>
    <w:p w14:paraId="5DE64B12">
      <w:pPr>
        <w:pStyle w:val="25"/>
        <w:rPr>
          <w:rFonts w:hint="eastAsia" w:ascii="宋体" w:hAnsi="宋体" w:eastAsia="宋体" w:cs="宋体"/>
          <w:b/>
          <w:bCs/>
          <w:sz w:val="84"/>
          <w:szCs w:val="84"/>
          <w:highlight w:val="none"/>
        </w:rPr>
      </w:pPr>
    </w:p>
    <w:p w14:paraId="2891203E">
      <w:pPr>
        <w:numPr>
          <w:ilvl w:val="0"/>
          <w:numId w:val="9"/>
        </w:numPr>
        <w:jc w:val="center"/>
        <w:outlineLvl w:val="0"/>
        <w:rPr>
          <w:rFonts w:hint="eastAsia" w:ascii="宋体" w:hAnsi="宋体" w:eastAsia="宋体" w:cs="宋体"/>
          <w:b/>
          <w:bCs/>
          <w:sz w:val="84"/>
          <w:szCs w:val="84"/>
          <w:highlight w:val="none"/>
        </w:rPr>
      </w:pPr>
      <w:bookmarkStart w:id="46" w:name="_Toc6361"/>
      <w:bookmarkStart w:id="47" w:name="_Toc26929"/>
      <w:bookmarkStart w:id="48" w:name="_Toc732"/>
      <w:bookmarkStart w:id="49" w:name="_Toc13064"/>
      <w:r>
        <w:rPr>
          <w:rFonts w:hint="eastAsia" w:ascii="宋体" w:hAnsi="宋体" w:eastAsia="宋体" w:cs="宋体"/>
          <w:b/>
          <w:bCs/>
          <w:sz w:val="84"/>
          <w:szCs w:val="84"/>
          <w:highlight w:val="none"/>
        </w:rPr>
        <w:t>资格证明材料</w:t>
      </w:r>
      <w:bookmarkEnd w:id="46"/>
      <w:bookmarkEnd w:id="47"/>
      <w:bookmarkEnd w:id="48"/>
      <w:bookmarkEnd w:id="49"/>
    </w:p>
    <w:p w14:paraId="48429B59">
      <w:pPr>
        <w:pStyle w:val="25"/>
        <w:ind w:firstLine="0"/>
        <w:rPr>
          <w:rFonts w:hint="eastAsia" w:ascii="宋体" w:hAnsi="宋体" w:eastAsia="宋体" w:cs="宋体"/>
          <w:highlight w:val="none"/>
        </w:rPr>
      </w:pPr>
    </w:p>
    <w:p w14:paraId="01FBDB1A">
      <w:pPr>
        <w:pStyle w:val="3"/>
        <w:tabs>
          <w:tab w:val="left" w:pos="720"/>
        </w:tabs>
        <w:spacing w:line="240" w:lineRule="auto"/>
        <w:jc w:val="left"/>
        <w:rPr>
          <w:rFonts w:hint="eastAsia" w:ascii="宋体" w:hAnsi="宋体" w:eastAsia="宋体" w:cs="宋体"/>
          <w:bCs/>
          <w:sz w:val="32"/>
          <w:szCs w:val="32"/>
          <w:highlight w:val="none"/>
        </w:rPr>
      </w:pPr>
      <w:r>
        <w:rPr>
          <w:rFonts w:hint="eastAsia" w:ascii="宋体" w:hAnsi="宋体" w:eastAsia="宋体" w:cs="宋体"/>
          <w:bCs/>
          <w:sz w:val="32"/>
          <w:szCs w:val="32"/>
          <w:highlight w:val="none"/>
        </w:rPr>
        <w:br w:type="page"/>
      </w:r>
      <w:bookmarkStart w:id="50" w:name="_Toc5975"/>
      <w:bookmarkStart w:id="51" w:name="_Toc7805"/>
      <w:bookmarkStart w:id="52" w:name="_Toc27631"/>
      <w:r>
        <w:rPr>
          <w:rFonts w:hint="eastAsia" w:ascii="宋体" w:hAnsi="宋体" w:eastAsia="宋体" w:cs="宋体"/>
          <w:bCs/>
          <w:sz w:val="32"/>
          <w:szCs w:val="32"/>
          <w:highlight w:val="none"/>
        </w:rPr>
        <w:t>1.1.具有独立承担民事责任的能力证明文件：</w:t>
      </w:r>
      <w:bookmarkEnd w:id="50"/>
      <w:bookmarkEnd w:id="51"/>
      <w:bookmarkEnd w:id="52"/>
    </w:p>
    <w:p w14:paraId="3E0A1A3C">
      <w:pPr>
        <w:pStyle w:val="5"/>
        <w:tabs>
          <w:tab w:val="left" w:pos="720"/>
        </w:tabs>
        <w:spacing w:line="240" w:lineRule="auto"/>
        <w:rPr>
          <w:rFonts w:hint="eastAsia" w:ascii="宋体" w:hAnsi="宋体" w:eastAsia="宋体" w:cs="宋体"/>
          <w:highlight w:val="none"/>
        </w:rPr>
      </w:pPr>
      <w:bookmarkStart w:id="53" w:name="_Toc22932"/>
      <w:bookmarkStart w:id="54" w:name="_Toc16552"/>
      <w:bookmarkStart w:id="55" w:name="_Toc29450"/>
      <w:bookmarkStart w:id="56" w:name="_Toc28611"/>
      <w:r>
        <w:rPr>
          <w:rFonts w:hint="eastAsia" w:ascii="宋体" w:hAnsi="宋体" w:eastAsia="宋体" w:cs="宋体"/>
          <w:highlight w:val="none"/>
        </w:rPr>
        <w:t>1.1.1营业执照或事业单位法人证书或执业许可证等证明文件或自然人的身份证明</w:t>
      </w:r>
      <w:bookmarkEnd w:id="53"/>
      <w:bookmarkEnd w:id="54"/>
      <w:bookmarkEnd w:id="55"/>
      <w:bookmarkEnd w:id="56"/>
    </w:p>
    <w:tbl>
      <w:tblPr>
        <w:tblStyle w:val="18"/>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0D221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2F31B391">
            <w:pPr>
              <w:spacing w:line="240" w:lineRule="auto"/>
              <w:rPr>
                <w:rFonts w:hint="eastAsia" w:ascii="宋体" w:hAnsi="宋体" w:eastAsia="宋体" w:cs="宋体"/>
                <w:b/>
                <w:bCs/>
                <w:sz w:val="32"/>
                <w:szCs w:val="32"/>
                <w:highlight w:val="none"/>
                <w:vertAlign w:val="baseline"/>
              </w:rPr>
            </w:pPr>
          </w:p>
        </w:tc>
      </w:tr>
    </w:tbl>
    <w:p w14:paraId="2B058A06">
      <w:pPr>
        <w:pStyle w:val="5"/>
        <w:tabs>
          <w:tab w:val="left" w:pos="720"/>
        </w:tabs>
        <w:spacing w:line="240" w:lineRule="auto"/>
        <w:rPr>
          <w:rFonts w:hint="eastAsia" w:ascii="宋体" w:hAnsi="宋体" w:eastAsia="宋体" w:cs="宋体"/>
          <w:highlight w:val="none"/>
        </w:rPr>
      </w:pPr>
      <w:bookmarkStart w:id="57" w:name="_Toc2153"/>
      <w:bookmarkStart w:id="58" w:name="_Toc22995"/>
      <w:bookmarkStart w:id="59" w:name="_Toc10535"/>
      <w:bookmarkStart w:id="60" w:name="_Toc17663"/>
      <w:r>
        <w:rPr>
          <w:rFonts w:hint="eastAsia" w:ascii="宋体" w:hAnsi="宋体" w:eastAsia="宋体" w:cs="宋体"/>
          <w:highlight w:val="none"/>
        </w:rPr>
        <w:t>1.1.2组织机构代码证（复印件，三证合一的不需提供）</w:t>
      </w:r>
      <w:bookmarkEnd w:id="57"/>
      <w:bookmarkEnd w:id="58"/>
      <w:bookmarkEnd w:id="59"/>
      <w:bookmarkEnd w:id="60"/>
    </w:p>
    <w:tbl>
      <w:tblPr>
        <w:tblStyle w:val="18"/>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2736F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26C2026C">
            <w:pPr>
              <w:spacing w:line="240" w:lineRule="auto"/>
              <w:rPr>
                <w:rFonts w:hint="eastAsia" w:ascii="宋体" w:hAnsi="宋体" w:eastAsia="宋体" w:cs="宋体"/>
                <w:b/>
                <w:bCs/>
                <w:sz w:val="32"/>
                <w:szCs w:val="32"/>
                <w:highlight w:val="none"/>
                <w:vertAlign w:val="baseline"/>
              </w:rPr>
            </w:pPr>
          </w:p>
        </w:tc>
      </w:tr>
    </w:tbl>
    <w:p w14:paraId="57DF3235">
      <w:pPr>
        <w:spacing w:line="240" w:lineRule="auto"/>
        <w:rPr>
          <w:rFonts w:hint="eastAsia" w:ascii="宋体" w:hAnsi="宋体" w:eastAsia="宋体" w:cs="宋体"/>
          <w:b/>
          <w:bCs/>
          <w:sz w:val="32"/>
          <w:szCs w:val="32"/>
          <w:highlight w:val="none"/>
        </w:rPr>
      </w:pPr>
    </w:p>
    <w:p w14:paraId="6D6000EF">
      <w:pPr>
        <w:pStyle w:val="5"/>
        <w:tabs>
          <w:tab w:val="left" w:pos="720"/>
        </w:tabs>
        <w:spacing w:line="240" w:lineRule="auto"/>
        <w:rPr>
          <w:rFonts w:hint="eastAsia" w:ascii="宋体" w:hAnsi="宋体" w:eastAsia="宋体" w:cs="宋体"/>
          <w:highlight w:val="none"/>
        </w:rPr>
      </w:pPr>
      <w:bookmarkStart w:id="61" w:name="_Toc13125"/>
      <w:bookmarkStart w:id="62" w:name="_Toc21178"/>
      <w:bookmarkStart w:id="63" w:name="_Toc31096"/>
      <w:bookmarkStart w:id="64" w:name="_Toc31137"/>
      <w:r>
        <w:rPr>
          <w:rFonts w:hint="eastAsia" w:ascii="宋体" w:hAnsi="宋体" w:eastAsia="宋体" w:cs="宋体"/>
          <w:highlight w:val="none"/>
        </w:rPr>
        <w:t>1.1.3税务登记证（复印件，三证合一的不需提供）</w:t>
      </w:r>
      <w:bookmarkEnd w:id="61"/>
      <w:bookmarkEnd w:id="62"/>
      <w:bookmarkEnd w:id="63"/>
      <w:bookmarkEnd w:id="64"/>
    </w:p>
    <w:tbl>
      <w:tblPr>
        <w:tblStyle w:val="18"/>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7CE1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7C81096C">
            <w:pPr>
              <w:spacing w:line="240" w:lineRule="auto"/>
              <w:rPr>
                <w:rFonts w:hint="eastAsia" w:ascii="宋体" w:hAnsi="宋体" w:eastAsia="宋体" w:cs="宋体"/>
                <w:b/>
                <w:bCs/>
                <w:sz w:val="32"/>
                <w:szCs w:val="32"/>
                <w:highlight w:val="none"/>
                <w:vertAlign w:val="baseline"/>
              </w:rPr>
            </w:pPr>
          </w:p>
        </w:tc>
      </w:tr>
    </w:tbl>
    <w:p w14:paraId="3DE51144">
      <w:pPr>
        <w:pStyle w:val="5"/>
        <w:tabs>
          <w:tab w:val="left" w:pos="720"/>
        </w:tabs>
        <w:rPr>
          <w:rFonts w:hint="eastAsia" w:ascii="宋体" w:hAnsi="宋体" w:eastAsia="宋体" w:cs="宋体"/>
          <w:highlight w:val="none"/>
        </w:rPr>
      </w:pPr>
      <w:r>
        <w:rPr>
          <w:rFonts w:hint="eastAsia" w:ascii="宋体" w:hAnsi="宋体" w:eastAsia="宋体" w:cs="宋体"/>
          <w:highlight w:val="none"/>
        </w:rPr>
        <w:br w:type="page"/>
      </w:r>
      <w:bookmarkStart w:id="65" w:name="_Toc30776"/>
      <w:bookmarkStart w:id="66" w:name="_Toc26514"/>
      <w:bookmarkStart w:id="67" w:name="_Toc2294"/>
      <w:bookmarkStart w:id="68" w:name="_Toc1129"/>
      <w:r>
        <w:rPr>
          <w:rFonts w:hint="eastAsia" w:ascii="宋体" w:hAnsi="宋体" w:eastAsia="宋体" w:cs="宋体"/>
          <w:highlight w:val="none"/>
        </w:rPr>
        <w:t>1.1.4</w:t>
      </w:r>
      <w:bookmarkStart w:id="69" w:name="_Toc3401_WPSOffice_Level2"/>
      <w:bookmarkStart w:id="70" w:name="_Toc16924_WPSOffice_Level2"/>
      <w:r>
        <w:rPr>
          <w:rFonts w:hint="eastAsia" w:ascii="宋体" w:hAnsi="宋体" w:eastAsia="宋体" w:cs="宋体"/>
          <w:highlight w:val="none"/>
        </w:rPr>
        <w:t>法定代表人（或非法人组织负责人）身份证明书</w:t>
      </w:r>
      <w:bookmarkEnd w:id="65"/>
      <w:bookmarkEnd w:id="66"/>
      <w:bookmarkEnd w:id="67"/>
      <w:bookmarkEnd w:id="68"/>
      <w:bookmarkEnd w:id="69"/>
      <w:bookmarkEnd w:id="70"/>
    </w:p>
    <w:p w14:paraId="3387488D">
      <w:pPr>
        <w:spacing w:line="360" w:lineRule="auto"/>
        <w:ind w:firstLine="420" w:firstLineChars="200"/>
        <w:rPr>
          <w:rFonts w:hint="eastAsia" w:ascii="宋体" w:hAnsi="宋体" w:eastAsia="宋体" w:cs="宋体"/>
          <w:szCs w:val="21"/>
          <w:highlight w:val="none"/>
          <w:u w:val="single"/>
        </w:rPr>
      </w:pPr>
    </w:p>
    <w:p w14:paraId="77EF671E">
      <w:pPr>
        <w:spacing w:line="360" w:lineRule="auto"/>
        <w:ind w:firstLine="840" w:firstLineChars="400"/>
        <w:rPr>
          <w:rFonts w:hint="eastAsia" w:ascii="宋体" w:hAnsi="宋体" w:eastAsia="宋体" w:cs="宋体"/>
          <w:szCs w:val="21"/>
          <w:highlight w:val="none"/>
        </w:rPr>
      </w:pPr>
      <w:r>
        <w:rPr>
          <w:rFonts w:hint="eastAsia" w:ascii="宋体" w:hAnsi="宋体" w:eastAsia="宋体" w:cs="宋体"/>
          <w:szCs w:val="21"/>
          <w:highlight w:val="none"/>
        </w:rPr>
        <w:t>姓名：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，性别：</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，出生日期：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，现任职务：</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，系</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（投标人名称）的法定代表人（或非法人组织负责人）。</w:t>
      </w:r>
    </w:p>
    <w:p w14:paraId="0F04DD75">
      <w:pPr>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9507BDE">
      <w:pPr>
        <w:rPr>
          <w:rFonts w:hint="eastAsia" w:ascii="宋体" w:hAnsi="宋体" w:eastAsia="宋体" w:cs="宋体"/>
          <w:szCs w:val="21"/>
          <w:highlight w:val="none"/>
        </w:rPr>
      </w:pPr>
      <w:r>
        <w:rPr>
          <w:rFonts w:hint="eastAsia" w:ascii="宋体" w:hAnsi="宋体" w:eastAsia="宋体" w:cs="宋体"/>
          <w:szCs w:val="21"/>
          <w:highlight w:val="none"/>
        </w:rPr>
        <w:t>特此证明。</w:t>
      </w:r>
    </w:p>
    <w:p w14:paraId="236DF78B">
      <w:pPr>
        <w:rPr>
          <w:rFonts w:hint="eastAsia" w:ascii="宋体" w:hAnsi="宋体" w:eastAsia="宋体" w:cs="宋体"/>
          <w:szCs w:val="21"/>
          <w:highlight w:val="none"/>
        </w:rPr>
      </w:pPr>
    </w:p>
    <w:p w14:paraId="5FEE0389">
      <w:pPr>
        <w:rPr>
          <w:rFonts w:hint="eastAsia" w:ascii="宋体" w:hAnsi="宋体" w:eastAsia="宋体" w:cs="宋体"/>
          <w:szCs w:val="21"/>
          <w:highlight w:val="none"/>
        </w:rPr>
      </w:pPr>
    </w:p>
    <w:p w14:paraId="4EFBBC64">
      <w:pPr>
        <w:rPr>
          <w:rFonts w:hint="eastAsia" w:ascii="宋体" w:hAnsi="宋体" w:eastAsia="宋体" w:cs="宋体"/>
          <w:szCs w:val="21"/>
          <w:highlight w:val="none"/>
        </w:rPr>
      </w:pPr>
    </w:p>
    <w:tbl>
      <w:tblPr>
        <w:tblStyle w:val="17"/>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5D8C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3DF3214B">
            <w:pPr>
              <w:rPr>
                <w:rFonts w:hint="eastAsia" w:ascii="宋体" w:hAnsi="宋体" w:eastAsia="宋体" w:cs="宋体"/>
                <w:szCs w:val="21"/>
                <w:highlight w:val="none"/>
              </w:rPr>
            </w:pPr>
            <w:r>
              <w:rPr>
                <w:rFonts w:hint="eastAsia" w:ascii="宋体" w:hAnsi="宋体" w:eastAsia="宋体" w:cs="宋体"/>
                <w:szCs w:val="21"/>
                <w:highlight w:val="none"/>
              </w:rPr>
              <w:t>（※法定代表人（或非法人组织负责人）身份证正、反面复印件※）</w:t>
            </w:r>
          </w:p>
        </w:tc>
      </w:tr>
    </w:tbl>
    <w:p w14:paraId="17A85DF7">
      <w:pPr>
        <w:rPr>
          <w:rFonts w:hint="eastAsia" w:ascii="宋体" w:hAnsi="宋体" w:eastAsia="宋体" w:cs="宋体"/>
          <w:szCs w:val="21"/>
          <w:highlight w:val="none"/>
        </w:rPr>
      </w:pPr>
    </w:p>
    <w:p w14:paraId="22E39DA3">
      <w:pPr>
        <w:rPr>
          <w:rFonts w:hint="eastAsia" w:ascii="宋体" w:hAnsi="宋体" w:eastAsia="宋体" w:cs="宋体"/>
          <w:szCs w:val="21"/>
          <w:highlight w:val="none"/>
        </w:rPr>
      </w:pPr>
    </w:p>
    <w:p w14:paraId="7261090D">
      <w:pPr>
        <w:rPr>
          <w:rFonts w:hint="eastAsia" w:ascii="宋体" w:hAnsi="宋体" w:eastAsia="宋体" w:cs="宋体"/>
          <w:szCs w:val="21"/>
          <w:highlight w:val="none"/>
        </w:rPr>
      </w:pPr>
    </w:p>
    <w:p w14:paraId="1F82765B">
      <w:pPr>
        <w:rPr>
          <w:rFonts w:hint="eastAsia" w:ascii="宋体" w:hAnsi="宋体" w:eastAsia="宋体" w:cs="宋体"/>
          <w:szCs w:val="21"/>
          <w:highlight w:val="none"/>
        </w:rPr>
      </w:pPr>
    </w:p>
    <w:p w14:paraId="657E6A07">
      <w:pPr>
        <w:rPr>
          <w:rFonts w:hint="eastAsia" w:ascii="宋体" w:hAnsi="宋体" w:eastAsia="宋体" w:cs="宋体"/>
          <w:szCs w:val="21"/>
          <w:highlight w:val="none"/>
        </w:rPr>
      </w:pPr>
    </w:p>
    <w:p w14:paraId="05457E89">
      <w:pPr>
        <w:rPr>
          <w:rFonts w:hint="eastAsia" w:ascii="宋体" w:hAnsi="宋体" w:eastAsia="宋体" w:cs="宋体"/>
          <w:szCs w:val="21"/>
          <w:highlight w:val="none"/>
        </w:rPr>
      </w:pPr>
    </w:p>
    <w:p w14:paraId="142D6BEE">
      <w:pPr>
        <w:rPr>
          <w:rFonts w:hint="eastAsia" w:ascii="宋体" w:hAnsi="宋体" w:eastAsia="宋体" w:cs="宋体"/>
          <w:szCs w:val="21"/>
          <w:highlight w:val="none"/>
        </w:rPr>
      </w:pPr>
    </w:p>
    <w:p w14:paraId="6B224248">
      <w:pPr>
        <w:rPr>
          <w:rFonts w:hint="eastAsia" w:ascii="宋体" w:hAnsi="宋体" w:eastAsia="宋体" w:cs="宋体"/>
          <w:szCs w:val="21"/>
          <w:highlight w:val="none"/>
        </w:rPr>
      </w:pPr>
    </w:p>
    <w:p w14:paraId="566402F3">
      <w:pPr>
        <w:rPr>
          <w:rFonts w:hint="eastAsia" w:ascii="宋体" w:hAnsi="宋体" w:eastAsia="宋体" w:cs="宋体"/>
          <w:szCs w:val="21"/>
          <w:highlight w:val="none"/>
        </w:rPr>
      </w:pPr>
      <w:r>
        <w:rPr>
          <w:rFonts w:hint="eastAsia" w:ascii="宋体" w:hAnsi="宋体" w:eastAsia="宋体" w:cs="宋体"/>
          <w:szCs w:val="21"/>
          <w:highlight w:val="none"/>
        </w:rPr>
        <w:t xml:space="preserve">                                           投标人名称：（加盖公章）  </w:t>
      </w:r>
    </w:p>
    <w:p w14:paraId="1389E809">
      <w:pPr>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004CEF0F">
      <w:pPr>
        <w:wordWrap w:val="0"/>
        <w:jc w:val="right"/>
        <w:rPr>
          <w:rFonts w:hint="eastAsia" w:ascii="宋体" w:hAnsi="宋体" w:eastAsia="宋体" w:cs="宋体"/>
          <w:szCs w:val="21"/>
          <w:highlight w:val="none"/>
        </w:rPr>
      </w:pPr>
      <w:r>
        <w:rPr>
          <w:rFonts w:hint="eastAsia" w:ascii="宋体" w:hAnsi="宋体" w:eastAsia="宋体" w:cs="宋体"/>
          <w:szCs w:val="21"/>
          <w:highlight w:val="none"/>
        </w:rPr>
        <w:t xml:space="preserve">年   月   日                   </w:t>
      </w:r>
    </w:p>
    <w:p w14:paraId="12C85381">
      <w:pPr>
        <w:pStyle w:val="5"/>
        <w:tabs>
          <w:tab w:val="left" w:pos="720"/>
        </w:tabs>
        <w:rPr>
          <w:rFonts w:hint="eastAsia" w:ascii="宋体" w:hAnsi="宋体" w:eastAsia="宋体" w:cs="宋体"/>
          <w:highlight w:val="none"/>
        </w:rPr>
      </w:pPr>
      <w:r>
        <w:rPr>
          <w:rFonts w:hint="eastAsia" w:ascii="宋体" w:hAnsi="宋体" w:eastAsia="宋体" w:cs="宋体"/>
          <w:szCs w:val="21"/>
          <w:highlight w:val="none"/>
        </w:rPr>
        <w:br w:type="page"/>
      </w:r>
      <w:bookmarkStart w:id="71" w:name="_Toc122_WPSOffice_Level2"/>
      <w:bookmarkStart w:id="72" w:name="_Toc21833_WPSOffice_Level2"/>
      <w:bookmarkStart w:id="73" w:name="_Toc30950"/>
      <w:bookmarkStart w:id="74" w:name="_Toc27550"/>
      <w:bookmarkStart w:id="75" w:name="_Toc11497"/>
      <w:bookmarkStart w:id="76" w:name="_Toc12650"/>
      <w:r>
        <w:rPr>
          <w:rFonts w:hint="eastAsia" w:ascii="宋体" w:hAnsi="宋体" w:eastAsia="宋体" w:cs="宋体"/>
          <w:highlight w:val="none"/>
        </w:rPr>
        <w:t>1.1.5法定代表人（或非法人组织负责人）授权委托书</w:t>
      </w:r>
      <w:bookmarkEnd w:id="71"/>
      <w:bookmarkEnd w:id="72"/>
      <w:bookmarkEnd w:id="73"/>
      <w:bookmarkEnd w:id="74"/>
      <w:bookmarkEnd w:id="75"/>
      <w:bookmarkEnd w:id="76"/>
    </w:p>
    <w:p w14:paraId="27AED4DE">
      <w:pPr>
        <w:spacing w:line="360" w:lineRule="auto"/>
        <w:ind w:firstLine="420" w:firstLineChars="200"/>
        <w:rPr>
          <w:rFonts w:hint="eastAsia" w:ascii="宋体" w:hAnsi="宋体" w:eastAsia="宋体" w:cs="宋体"/>
          <w:szCs w:val="21"/>
          <w:highlight w:val="none"/>
        </w:rPr>
      </w:pPr>
    </w:p>
    <w:p w14:paraId="4328DAAB">
      <w:pPr>
        <w:spacing w:line="360" w:lineRule="auto"/>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rPr>
        <w:t>委托人名称：</w:t>
      </w:r>
      <w:r>
        <w:rPr>
          <w:rFonts w:hint="eastAsia" w:ascii="宋体" w:hAnsi="宋体" w:eastAsia="宋体" w:cs="宋体"/>
          <w:szCs w:val="21"/>
          <w:highlight w:val="none"/>
          <w:u w:val="single"/>
        </w:rPr>
        <w:t xml:space="preserve">  （投标人名称）      </w:t>
      </w:r>
    </w:p>
    <w:p w14:paraId="39D13E1E">
      <w:pPr>
        <w:spacing w:line="360" w:lineRule="auto"/>
        <w:ind w:firstLine="840" w:firstLineChars="400"/>
        <w:rPr>
          <w:rFonts w:hint="eastAsia" w:ascii="宋体" w:hAnsi="宋体" w:eastAsia="宋体" w:cs="宋体"/>
          <w:szCs w:val="21"/>
          <w:highlight w:val="none"/>
        </w:rPr>
      </w:pPr>
      <w:r>
        <w:rPr>
          <w:rFonts w:hint="eastAsia" w:ascii="宋体" w:hAnsi="宋体" w:eastAsia="宋体" w:cs="宋体"/>
          <w:szCs w:val="21"/>
          <w:highlight w:val="none"/>
        </w:rPr>
        <w:t>法定代表人（或非法人组织负责人）姓名：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身份证号码：</w:t>
      </w:r>
      <w:r>
        <w:rPr>
          <w:rFonts w:hint="eastAsia" w:ascii="宋体" w:hAnsi="宋体" w:eastAsia="宋体" w:cs="宋体"/>
          <w:szCs w:val="21"/>
          <w:highlight w:val="none"/>
          <w:u w:val="single"/>
        </w:rPr>
        <w:t xml:space="preserve">         </w:t>
      </w:r>
    </w:p>
    <w:p w14:paraId="6471FFEB">
      <w:pPr>
        <w:spacing w:line="360" w:lineRule="auto"/>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rPr>
        <w:t>住所地：</w:t>
      </w:r>
      <w:r>
        <w:rPr>
          <w:rFonts w:hint="eastAsia" w:ascii="宋体" w:hAnsi="宋体" w:eastAsia="宋体" w:cs="宋体"/>
          <w:szCs w:val="21"/>
          <w:highlight w:val="none"/>
          <w:u w:val="single"/>
        </w:rPr>
        <w:t xml:space="preserve">         </w:t>
      </w:r>
    </w:p>
    <w:p w14:paraId="7DADEE9A">
      <w:pPr>
        <w:spacing w:line="360" w:lineRule="auto"/>
        <w:ind w:firstLine="840" w:firstLineChars="400"/>
        <w:rPr>
          <w:rFonts w:hint="eastAsia" w:ascii="宋体" w:hAnsi="宋体" w:eastAsia="宋体" w:cs="宋体"/>
          <w:szCs w:val="21"/>
          <w:highlight w:val="none"/>
        </w:rPr>
      </w:pPr>
      <w:r>
        <w:rPr>
          <w:rFonts w:hint="eastAsia" w:ascii="宋体" w:hAnsi="宋体" w:eastAsia="宋体" w:cs="宋体"/>
          <w:szCs w:val="21"/>
          <w:highlight w:val="none"/>
        </w:rPr>
        <w:t>受托人名称：</w:t>
      </w:r>
      <w:r>
        <w:rPr>
          <w:rFonts w:hint="eastAsia" w:ascii="宋体" w:hAnsi="宋体" w:eastAsia="宋体" w:cs="宋体"/>
          <w:szCs w:val="21"/>
          <w:highlight w:val="none"/>
          <w:u w:val="single"/>
        </w:rPr>
        <w:t xml:space="preserve">  （委托授权代表姓名）      </w:t>
      </w:r>
      <w:r>
        <w:rPr>
          <w:rFonts w:hint="eastAsia" w:ascii="宋体" w:hAnsi="宋体" w:eastAsia="宋体" w:cs="宋体"/>
          <w:szCs w:val="21"/>
          <w:highlight w:val="none"/>
        </w:rPr>
        <w:t xml:space="preserve">       身份证号码：</w:t>
      </w:r>
      <w:r>
        <w:rPr>
          <w:rFonts w:hint="eastAsia" w:ascii="宋体" w:hAnsi="宋体" w:eastAsia="宋体" w:cs="宋体"/>
          <w:szCs w:val="21"/>
          <w:highlight w:val="none"/>
          <w:u w:val="single"/>
        </w:rPr>
        <w:t xml:space="preserve">         </w:t>
      </w:r>
    </w:p>
    <w:p w14:paraId="7CD5A20A">
      <w:pPr>
        <w:spacing w:line="360" w:lineRule="auto"/>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rPr>
        <w:t>住址：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电话：</w:t>
      </w:r>
      <w:r>
        <w:rPr>
          <w:rFonts w:hint="eastAsia" w:ascii="宋体" w:hAnsi="宋体" w:eastAsia="宋体" w:cs="宋体"/>
          <w:szCs w:val="21"/>
          <w:highlight w:val="none"/>
          <w:u w:val="single"/>
        </w:rPr>
        <w:t xml:space="preserve">       </w:t>
      </w:r>
    </w:p>
    <w:p w14:paraId="7812E957">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现委托</w:t>
      </w:r>
      <w:r>
        <w:rPr>
          <w:rFonts w:hint="eastAsia" w:ascii="宋体" w:hAnsi="宋体" w:eastAsia="宋体" w:cs="宋体"/>
          <w:szCs w:val="21"/>
          <w:highlight w:val="none"/>
          <w:u w:val="single"/>
        </w:rPr>
        <w:t xml:space="preserve">  （委托授权代表姓名）         </w:t>
      </w:r>
      <w:r>
        <w:rPr>
          <w:rFonts w:hint="eastAsia" w:ascii="宋体" w:hAnsi="宋体" w:eastAsia="宋体" w:cs="宋体"/>
          <w:szCs w:val="21"/>
          <w:highlight w:val="none"/>
        </w:rPr>
        <w:t>在委托人就</w:t>
      </w:r>
      <w:r>
        <w:rPr>
          <w:rFonts w:hint="eastAsia" w:ascii="宋体" w:hAnsi="宋体" w:eastAsia="宋体" w:cs="宋体"/>
          <w:szCs w:val="21"/>
          <w:highlight w:val="none"/>
          <w:u w:val="single"/>
        </w:rPr>
        <w:t>（采购项目编号、采购项目名称、包组号）</w:t>
      </w:r>
      <w:r>
        <w:rPr>
          <w:rFonts w:hint="eastAsia" w:ascii="宋体" w:hAnsi="宋体" w:eastAsia="宋体" w:cs="宋体"/>
          <w:szCs w:val="21"/>
          <w:highlight w:val="none"/>
        </w:rPr>
        <w:t>投标中，以我单位名义处理一切与之有关的事务。</w:t>
      </w:r>
    </w:p>
    <w:p w14:paraId="7DCB948D">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本授权书于</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日签字或盖章生效,</w:t>
      </w:r>
      <w:r>
        <w:rPr>
          <w:rFonts w:hint="eastAsia" w:ascii="宋体" w:hAnsi="宋体" w:eastAsia="宋体" w:cs="宋体"/>
          <w:b/>
          <w:szCs w:val="21"/>
          <w:highlight w:val="none"/>
        </w:rPr>
        <w:t>无转委托，</w:t>
      </w:r>
      <w:r>
        <w:rPr>
          <w:rFonts w:hint="eastAsia" w:ascii="宋体" w:hAnsi="宋体" w:eastAsia="宋体" w:cs="宋体"/>
          <w:szCs w:val="21"/>
          <w:highlight w:val="none"/>
        </w:rPr>
        <w:t>特此声明。</w:t>
      </w:r>
    </w:p>
    <w:p w14:paraId="7DFCB79C">
      <w:pPr>
        <w:spacing w:line="360" w:lineRule="auto"/>
        <w:rPr>
          <w:rFonts w:hint="eastAsia" w:ascii="宋体" w:hAnsi="宋体" w:eastAsia="宋体" w:cs="宋体"/>
          <w:szCs w:val="21"/>
          <w:highlight w:val="none"/>
        </w:rPr>
      </w:pPr>
    </w:p>
    <w:tbl>
      <w:tblPr>
        <w:tblStyle w:val="17"/>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7094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1F6E3809">
            <w:pPr>
              <w:jc w:val="center"/>
              <w:rPr>
                <w:rFonts w:hint="eastAsia" w:ascii="宋体" w:hAnsi="宋体" w:eastAsia="宋体" w:cs="宋体"/>
                <w:szCs w:val="21"/>
                <w:highlight w:val="none"/>
              </w:rPr>
            </w:pPr>
            <w:r>
              <w:rPr>
                <w:rFonts w:hint="eastAsia" w:ascii="宋体" w:hAnsi="宋体" w:eastAsia="宋体" w:cs="宋体"/>
                <w:szCs w:val="21"/>
                <w:highlight w:val="none"/>
              </w:rPr>
              <w:t>（※授权委托人身份证正、反面复印件※）</w:t>
            </w:r>
          </w:p>
        </w:tc>
      </w:tr>
    </w:tbl>
    <w:p w14:paraId="52C2FD3C">
      <w:pPr>
        <w:spacing w:line="360" w:lineRule="auto"/>
        <w:rPr>
          <w:rFonts w:hint="eastAsia" w:ascii="宋体" w:hAnsi="宋体" w:eastAsia="宋体" w:cs="宋体"/>
          <w:szCs w:val="21"/>
          <w:highlight w:val="none"/>
        </w:rPr>
      </w:pPr>
    </w:p>
    <w:p w14:paraId="71E10408">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委托人（单位公章）：</w:t>
      </w:r>
    </w:p>
    <w:p w14:paraId="18466A0A">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法定代表人（或非法人组织负责人）（签字或盖章）：       </w:t>
      </w:r>
    </w:p>
    <w:p w14:paraId="6CAB17CD">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受托人（签字或盖章）：                           </w:t>
      </w:r>
    </w:p>
    <w:p w14:paraId="1205B0B5">
      <w:pPr>
        <w:pStyle w:val="3"/>
        <w:tabs>
          <w:tab w:val="left" w:pos="720"/>
        </w:tabs>
        <w:jc w:val="left"/>
        <w:rPr>
          <w:rFonts w:hint="eastAsia" w:ascii="宋体" w:hAnsi="宋体" w:eastAsia="宋体" w:cs="宋体"/>
          <w:sz w:val="32"/>
          <w:szCs w:val="32"/>
          <w:highlight w:val="none"/>
        </w:rPr>
      </w:pPr>
      <w:r>
        <w:rPr>
          <w:rFonts w:hint="eastAsia" w:ascii="宋体" w:hAnsi="宋体" w:eastAsia="宋体" w:cs="宋体"/>
          <w:szCs w:val="21"/>
          <w:highlight w:val="none"/>
          <w:u w:val="single"/>
        </w:rPr>
        <w:br w:type="page"/>
      </w:r>
      <w:bookmarkStart w:id="77" w:name="_Toc24203"/>
      <w:bookmarkStart w:id="78" w:name="_Toc15002"/>
      <w:bookmarkStart w:id="79" w:name="_Toc15336"/>
      <w:r>
        <w:rPr>
          <w:rFonts w:hint="eastAsia" w:ascii="宋体" w:hAnsi="宋体" w:eastAsia="宋体" w:cs="宋体"/>
          <w:bCs/>
          <w:sz w:val="32"/>
          <w:szCs w:val="32"/>
          <w:highlight w:val="none"/>
        </w:rPr>
        <w:t>1.</w:t>
      </w:r>
      <w:r>
        <w:rPr>
          <w:rFonts w:hint="eastAsia" w:ascii="宋体" w:hAnsi="宋体" w:eastAsia="宋体" w:cs="宋体"/>
          <w:sz w:val="32"/>
          <w:szCs w:val="32"/>
          <w:highlight w:val="none"/>
        </w:rPr>
        <w:t>2.</w:t>
      </w:r>
      <w:bookmarkEnd w:id="77"/>
      <w:r>
        <w:rPr>
          <w:rFonts w:hint="eastAsia" w:ascii="宋体" w:hAnsi="宋体" w:eastAsia="宋体" w:cs="宋体"/>
          <w:sz w:val="32"/>
          <w:szCs w:val="32"/>
          <w:highlight w:val="none"/>
        </w:rPr>
        <w:t>资格条件承诺函</w:t>
      </w:r>
      <w:bookmarkEnd w:id="78"/>
      <w:bookmarkEnd w:id="79"/>
    </w:p>
    <w:p w14:paraId="14E58B6F">
      <w:pPr>
        <w:spacing w:line="360" w:lineRule="auto"/>
        <w:jc w:val="center"/>
        <w:rPr>
          <w:rFonts w:hint="eastAsia" w:ascii="宋体" w:hAnsi="宋体" w:eastAsia="宋体" w:cs="宋体"/>
          <w:b/>
          <w:bCs/>
          <w:highlight w:val="none"/>
          <w:lang w:val="en-US" w:eastAsia="zh-CN"/>
        </w:rPr>
      </w:pPr>
    </w:p>
    <w:p w14:paraId="72CAF1D9">
      <w:pPr>
        <w:spacing w:line="360" w:lineRule="auto"/>
        <w:jc w:val="center"/>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资格条件承诺函</w:t>
      </w:r>
    </w:p>
    <w:p w14:paraId="4E07526D">
      <w:pPr>
        <w:spacing w:line="360" w:lineRule="auto"/>
        <w:ind w:firstLine="420" w:firstLineChars="200"/>
        <w:rPr>
          <w:rFonts w:hint="eastAsia" w:ascii="宋体" w:hAnsi="宋体" w:eastAsia="宋体" w:cs="宋体"/>
          <w:highlight w:val="none"/>
          <w:lang w:val="en-US" w:eastAsia="zh-CN"/>
        </w:rPr>
      </w:pPr>
    </w:p>
    <w:p w14:paraId="0EC9CC65">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我方</w:t>
      </w:r>
      <w:r>
        <w:rPr>
          <w:rFonts w:hint="eastAsia" w:ascii="宋体" w:hAnsi="宋体" w:eastAsia="宋体" w:cs="宋体"/>
          <w:highlight w:val="none"/>
          <w:u w:val="single"/>
          <w:lang w:val="en-US" w:eastAsia="zh-CN"/>
        </w:rPr>
        <w:t xml:space="preserve"> （投标人名称） </w:t>
      </w:r>
      <w:r>
        <w:rPr>
          <w:rFonts w:hint="eastAsia" w:ascii="宋体" w:hAnsi="宋体" w:eastAsia="宋体" w:cs="宋体"/>
          <w:highlight w:val="none"/>
          <w:lang w:val="en-US" w:eastAsia="zh-CN"/>
        </w:rPr>
        <w:t>符合《中华人民共和国政府采购法》第二十二条第一款第（二）项、第（三）项、第（四）项、第（五）项规定条件，具体包括：</w:t>
      </w:r>
    </w:p>
    <w:p w14:paraId="66043838">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1.具有良好的商业信誉和健全的财务会计制度；</w:t>
      </w:r>
    </w:p>
    <w:p w14:paraId="7FB401E6">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2.具有履行合同所必需的设备和专业技术能力；</w:t>
      </w:r>
    </w:p>
    <w:p w14:paraId="4DEA1EC5">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3.具有依法缴纳税收和社会保障资金的良好记录；</w:t>
      </w:r>
    </w:p>
    <w:p w14:paraId="763D023D">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4.参加政府采购活动前三年内，在经营活动中没有重大违法记录。</w:t>
      </w:r>
    </w:p>
    <w:p w14:paraId="21E6C8F1">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我方对上述承诺的真实性负责，在评审环节结束后，自愿接受招标单位（招标代理机构）的检查核验，配合提供相关证明材料，证明符合《中华人民共和国政府采购法》规定的投标人基本资格条件。如有虚假，将依法承担相应法律责任。</w:t>
      </w:r>
    </w:p>
    <w:p w14:paraId="619E78EB">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特此承诺。</w:t>
      </w:r>
    </w:p>
    <w:p w14:paraId="2961426F">
      <w:pPr>
        <w:spacing w:line="360" w:lineRule="auto"/>
        <w:jc w:val="right"/>
        <w:rPr>
          <w:rFonts w:hint="eastAsia" w:ascii="宋体" w:hAnsi="宋体" w:eastAsia="宋体" w:cs="宋体"/>
          <w:highlight w:val="none"/>
          <w:lang w:val="en-US" w:eastAsia="zh-CN"/>
        </w:rPr>
      </w:pPr>
    </w:p>
    <w:p w14:paraId="0A10CC70">
      <w:pPr>
        <w:spacing w:line="360" w:lineRule="auto"/>
        <w:jc w:val="right"/>
        <w:rPr>
          <w:rFonts w:hint="eastAsia" w:ascii="宋体" w:hAnsi="宋体" w:eastAsia="宋体" w:cs="宋体"/>
          <w:highlight w:val="none"/>
          <w:lang w:val="en-US" w:eastAsia="zh-CN"/>
        </w:rPr>
      </w:pPr>
    </w:p>
    <w:p w14:paraId="3FBC71E2">
      <w:pPr>
        <w:spacing w:line="360" w:lineRule="auto"/>
        <w:jc w:val="right"/>
        <w:rPr>
          <w:rFonts w:hint="eastAsia" w:ascii="宋体" w:hAnsi="宋体" w:eastAsia="宋体" w:cs="宋体"/>
          <w:highlight w:val="none"/>
          <w:lang w:val="en-US" w:eastAsia="zh-CN"/>
        </w:rPr>
      </w:pPr>
      <w:r>
        <w:rPr>
          <w:rFonts w:hint="eastAsia" w:ascii="宋体" w:hAnsi="宋体" w:eastAsia="宋体" w:cs="宋体"/>
          <w:highlight w:val="none"/>
          <w:lang w:val="en-US" w:eastAsia="zh-CN"/>
        </w:rPr>
        <w:t>投标人名称（公章）</w:t>
      </w:r>
    </w:p>
    <w:p w14:paraId="021C42D1">
      <w:pPr>
        <w:keepNext/>
        <w:keepLines/>
        <w:pageBreakBefore w:val="0"/>
        <w:widowControl w:val="0"/>
        <w:tabs>
          <w:tab w:val="left" w:pos="720"/>
        </w:tabs>
        <w:kinsoku/>
        <w:wordWrap/>
        <w:overflowPunct/>
        <w:topLinePunct w:val="0"/>
        <w:autoSpaceDE/>
        <w:autoSpaceDN/>
        <w:bidi w:val="0"/>
        <w:adjustRightInd/>
        <w:snapToGrid/>
        <w:spacing w:line="413" w:lineRule="auto"/>
        <w:jc w:val="right"/>
        <w:textAlignment w:val="auto"/>
        <w:outlineLvl w:val="9"/>
        <w:rPr>
          <w:rFonts w:hint="eastAsia" w:ascii="宋体" w:hAnsi="宋体" w:eastAsia="宋体" w:cs="宋体"/>
          <w:b w:val="0"/>
          <w:kern w:val="2"/>
          <w:sz w:val="21"/>
          <w:szCs w:val="24"/>
          <w:highlight w:val="none"/>
          <w:lang w:val="en-US" w:eastAsia="zh-CN" w:bidi="ar-SA"/>
        </w:rPr>
      </w:pPr>
      <w:r>
        <w:rPr>
          <w:rFonts w:hint="eastAsia" w:ascii="宋体" w:hAnsi="宋体" w:eastAsia="宋体" w:cs="宋体"/>
          <w:b w:val="0"/>
          <w:kern w:val="2"/>
          <w:sz w:val="21"/>
          <w:szCs w:val="24"/>
          <w:highlight w:val="none"/>
          <w:lang w:val="en-US" w:eastAsia="zh-CN" w:bidi="ar-SA"/>
        </w:rPr>
        <w:t>年   月   日</w:t>
      </w:r>
    </w:p>
    <w:p w14:paraId="3D665809">
      <w:pPr>
        <w:pStyle w:val="3"/>
        <w:tabs>
          <w:tab w:val="left" w:pos="720"/>
        </w:tabs>
        <w:jc w:val="left"/>
        <w:rPr>
          <w:rFonts w:hint="eastAsia" w:ascii="宋体" w:hAnsi="宋体" w:eastAsia="宋体" w:cs="宋体"/>
          <w:b w:val="0"/>
          <w:kern w:val="2"/>
          <w:sz w:val="21"/>
          <w:szCs w:val="24"/>
          <w:highlight w:val="none"/>
          <w:lang w:val="en-US" w:eastAsia="zh-CN" w:bidi="ar-SA"/>
        </w:rPr>
      </w:pPr>
    </w:p>
    <w:p w14:paraId="60526DD3">
      <w:pPr>
        <w:pStyle w:val="3"/>
        <w:tabs>
          <w:tab w:val="left" w:pos="720"/>
        </w:tabs>
        <w:jc w:val="left"/>
        <w:rPr>
          <w:rFonts w:hint="eastAsia" w:ascii="宋体" w:hAnsi="宋体" w:eastAsia="宋体" w:cs="宋体"/>
          <w:highlight w:val="none"/>
        </w:rPr>
      </w:pPr>
      <w:r>
        <w:rPr>
          <w:rFonts w:hint="eastAsia" w:ascii="宋体" w:hAnsi="宋体" w:eastAsia="宋体" w:cs="宋体"/>
          <w:b w:val="0"/>
          <w:kern w:val="2"/>
          <w:sz w:val="21"/>
          <w:szCs w:val="24"/>
          <w:highlight w:val="none"/>
          <w:lang w:val="en-US" w:eastAsia="zh-CN" w:bidi="ar-SA"/>
        </w:rPr>
        <w:br w:type="page"/>
      </w:r>
      <w:bookmarkStart w:id="80" w:name="_Toc23878"/>
      <w:bookmarkStart w:id="81" w:name="_Toc9375"/>
      <w:bookmarkStart w:id="82" w:name="_Toc8358"/>
      <w:r>
        <w:rPr>
          <w:rFonts w:hint="eastAsia" w:ascii="宋体" w:hAnsi="宋体" w:eastAsia="宋体" w:cs="宋体"/>
          <w:bCs/>
          <w:sz w:val="32"/>
          <w:szCs w:val="32"/>
          <w:highlight w:val="none"/>
        </w:rPr>
        <w:t>1.</w:t>
      </w:r>
      <w:r>
        <w:rPr>
          <w:rFonts w:hint="eastAsia" w:ascii="宋体" w:hAnsi="宋体" w:eastAsia="宋体" w:cs="宋体"/>
          <w:sz w:val="32"/>
          <w:szCs w:val="32"/>
          <w:highlight w:val="none"/>
          <w:lang w:val="en-US" w:eastAsia="zh-CN"/>
        </w:rPr>
        <w:t>3</w:t>
      </w:r>
      <w:r>
        <w:rPr>
          <w:rFonts w:hint="eastAsia" w:ascii="宋体" w:hAnsi="宋体" w:eastAsia="宋体" w:cs="宋体"/>
          <w:sz w:val="32"/>
          <w:szCs w:val="32"/>
          <w:highlight w:val="none"/>
        </w:rPr>
        <w:t>.法律、行政法规规定的其他条件。</w:t>
      </w:r>
      <w:bookmarkEnd w:id="80"/>
      <w:bookmarkEnd w:id="81"/>
      <w:bookmarkEnd w:id="82"/>
    </w:p>
    <w:tbl>
      <w:tblPr>
        <w:tblStyle w:val="18"/>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07FE8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5" w:hRule="atLeast"/>
        </w:trPr>
        <w:tc>
          <w:tcPr>
            <w:tcW w:w="8400" w:type="dxa"/>
            <w:noWrap w:val="0"/>
            <w:vAlign w:val="top"/>
          </w:tcPr>
          <w:p w14:paraId="6A30F606">
            <w:pPr>
              <w:snapToGrid w:val="0"/>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投标人</w:t>
            </w:r>
            <w:r>
              <w:rPr>
                <w:rFonts w:hint="eastAsia" w:ascii="宋体" w:hAnsi="宋体" w:eastAsia="宋体" w:cs="宋体"/>
                <w:color w:val="000000"/>
                <w:highlight w:val="none"/>
              </w:rPr>
              <w:t>未被“信用中国”网站（www.creditchina.gov.cn）列入“记录失信被执行人”、“</w:t>
            </w:r>
            <w:r>
              <w:rPr>
                <w:rFonts w:hint="eastAsia" w:ascii="宋体" w:hAnsi="宋体" w:eastAsia="宋体" w:cs="宋体"/>
                <w:color w:val="000000"/>
                <w:highlight w:val="none"/>
                <w:lang w:eastAsia="zh-CN"/>
              </w:rPr>
              <w:t>重大税收违法失信主体</w:t>
            </w:r>
            <w:r>
              <w:rPr>
                <w:rFonts w:hint="eastAsia" w:ascii="宋体" w:hAnsi="宋体" w:eastAsia="宋体" w:cs="宋体"/>
                <w:color w:val="000000"/>
                <w:highlight w:val="none"/>
              </w:rPr>
              <w:t>”、“政府采购严重违法失信行为”中任意一项或多项记录名单；同时，</w:t>
            </w:r>
            <w:r>
              <w:rPr>
                <w:rFonts w:hint="eastAsia" w:ascii="宋体" w:hAnsi="宋体" w:eastAsia="宋体" w:cs="宋体"/>
                <w:color w:val="000000"/>
                <w:highlight w:val="none"/>
                <w:lang w:val="en-US" w:eastAsia="zh-CN"/>
              </w:rPr>
              <w:t>投标人</w:t>
            </w:r>
            <w:r>
              <w:rPr>
                <w:rFonts w:hint="eastAsia" w:ascii="宋体" w:hAnsi="宋体" w:eastAsia="宋体" w:cs="宋体"/>
                <w:color w:val="000000"/>
                <w:highlight w:val="none"/>
              </w:rPr>
              <w:t>未处于中国政府采购网(www.ccgp.gov.cn)“政府采购严重违法失信行为信息记录”中的禁止参加政府采购活动期间。</w:t>
            </w:r>
          </w:p>
          <w:p w14:paraId="24632F45">
            <w:pPr>
              <w:snapToGrid w:val="0"/>
              <w:ind w:firstLine="420" w:firstLineChars="200"/>
              <w:rPr>
                <w:rFonts w:hint="eastAsia" w:ascii="宋体" w:hAnsi="宋体" w:eastAsia="宋体" w:cs="宋体"/>
                <w:szCs w:val="28"/>
                <w:highlight w:val="none"/>
              </w:rPr>
            </w:pPr>
            <w:r>
              <w:rPr>
                <w:rFonts w:hint="eastAsia" w:ascii="宋体" w:hAnsi="宋体" w:eastAsia="宋体" w:cs="宋体"/>
                <w:color w:val="000000"/>
                <w:highlight w:val="none"/>
              </w:rPr>
              <w:t>注：以</w:t>
            </w:r>
            <w:r>
              <w:rPr>
                <w:rFonts w:hint="eastAsia" w:ascii="宋体" w:hAnsi="宋体" w:eastAsia="宋体" w:cs="宋体"/>
                <w:color w:val="000000"/>
                <w:highlight w:val="none"/>
                <w:lang w:val="en-US" w:eastAsia="zh-CN"/>
              </w:rPr>
              <w:t>招标</w:t>
            </w:r>
            <w:r>
              <w:rPr>
                <w:rFonts w:hint="eastAsia" w:ascii="宋体" w:hAnsi="宋体" w:eastAsia="宋体" w:cs="宋体"/>
                <w:color w:val="000000"/>
                <w:highlight w:val="none"/>
              </w:rPr>
              <w:t>代理机构于投标截止时间当天在“信用中国”网站（www.creditchina.gov.cn）及中国政府采购网(www.ccgp.gov.cn)查询结果为准，由</w:t>
            </w:r>
            <w:r>
              <w:rPr>
                <w:rFonts w:hint="eastAsia" w:ascii="宋体" w:hAnsi="宋体" w:eastAsia="宋体" w:cs="宋体"/>
                <w:color w:val="000000"/>
                <w:highlight w:val="none"/>
                <w:lang w:val="en-US" w:eastAsia="zh-CN"/>
              </w:rPr>
              <w:t>招标</w:t>
            </w:r>
            <w:r>
              <w:rPr>
                <w:rFonts w:hint="eastAsia" w:ascii="宋体" w:hAnsi="宋体" w:eastAsia="宋体" w:cs="宋体"/>
                <w:color w:val="000000"/>
                <w:highlight w:val="none"/>
              </w:rPr>
              <w:t>代理机构打印查询结果提供资格审查，如相关记录信息已失效，</w:t>
            </w:r>
            <w:r>
              <w:rPr>
                <w:rFonts w:hint="eastAsia" w:ascii="宋体" w:hAnsi="宋体" w:eastAsia="宋体" w:cs="宋体"/>
                <w:color w:val="000000"/>
                <w:highlight w:val="none"/>
                <w:lang w:val="en-US" w:eastAsia="zh-CN"/>
              </w:rPr>
              <w:t>投标人</w:t>
            </w:r>
            <w:r>
              <w:rPr>
                <w:rFonts w:hint="eastAsia" w:ascii="宋体" w:hAnsi="宋体" w:eastAsia="宋体" w:cs="宋体"/>
                <w:color w:val="000000"/>
                <w:highlight w:val="none"/>
              </w:rPr>
              <w:t>必须提供由该记录信息的执行或列入单位出具的相关证明材料。</w:t>
            </w:r>
          </w:p>
          <w:p w14:paraId="01D6FDC5">
            <w:pPr>
              <w:spacing w:line="240" w:lineRule="auto"/>
              <w:rPr>
                <w:rFonts w:hint="eastAsia" w:ascii="宋体" w:hAnsi="宋体" w:eastAsia="宋体" w:cs="宋体"/>
                <w:b/>
                <w:bCs/>
                <w:sz w:val="32"/>
                <w:szCs w:val="32"/>
                <w:highlight w:val="none"/>
                <w:vertAlign w:val="baseline"/>
              </w:rPr>
            </w:pPr>
          </w:p>
          <w:p w14:paraId="6FB28E8B">
            <w:pPr>
              <w:bidi w:val="0"/>
              <w:rPr>
                <w:rFonts w:hint="eastAsia" w:ascii="宋体" w:hAnsi="宋体" w:eastAsia="宋体" w:cs="宋体"/>
                <w:kern w:val="2"/>
                <w:sz w:val="21"/>
                <w:szCs w:val="24"/>
                <w:highlight w:val="none"/>
                <w:lang w:val="en-US" w:eastAsia="zh-CN" w:bidi="ar-SA"/>
              </w:rPr>
            </w:pPr>
          </w:p>
          <w:p w14:paraId="6FF7A8A6">
            <w:pPr>
              <w:bidi w:val="0"/>
              <w:rPr>
                <w:rFonts w:hint="eastAsia" w:ascii="宋体" w:hAnsi="宋体" w:eastAsia="宋体" w:cs="宋体"/>
                <w:highlight w:val="none"/>
                <w:lang w:val="en-US" w:eastAsia="zh-CN"/>
              </w:rPr>
            </w:pPr>
          </w:p>
          <w:p w14:paraId="7C797FBF">
            <w:pPr>
              <w:bidi w:val="0"/>
              <w:rPr>
                <w:rFonts w:hint="eastAsia" w:ascii="宋体" w:hAnsi="宋体" w:eastAsia="宋体" w:cs="宋体"/>
                <w:highlight w:val="none"/>
                <w:lang w:val="en-US" w:eastAsia="zh-CN"/>
              </w:rPr>
            </w:pPr>
          </w:p>
          <w:p w14:paraId="4BDCC6EF">
            <w:pPr>
              <w:bidi w:val="0"/>
              <w:rPr>
                <w:rFonts w:hint="eastAsia" w:ascii="宋体" w:hAnsi="宋体" w:eastAsia="宋体" w:cs="宋体"/>
                <w:highlight w:val="none"/>
                <w:lang w:val="en-US" w:eastAsia="zh-CN"/>
              </w:rPr>
            </w:pPr>
          </w:p>
          <w:p w14:paraId="4A121021">
            <w:pPr>
              <w:bidi w:val="0"/>
              <w:rPr>
                <w:rFonts w:hint="eastAsia" w:ascii="宋体" w:hAnsi="宋体" w:eastAsia="宋体" w:cs="宋体"/>
                <w:highlight w:val="none"/>
                <w:lang w:val="en-US" w:eastAsia="zh-CN"/>
              </w:rPr>
            </w:pPr>
          </w:p>
          <w:p w14:paraId="11B11DC1">
            <w:pPr>
              <w:bidi w:val="0"/>
              <w:rPr>
                <w:rFonts w:hint="eastAsia" w:ascii="宋体" w:hAnsi="宋体" w:eastAsia="宋体" w:cs="宋体"/>
                <w:highlight w:val="none"/>
                <w:lang w:val="en-US" w:eastAsia="zh-CN"/>
              </w:rPr>
            </w:pPr>
          </w:p>
          <w:p w14:paraId="2A6EFD9E">
            <w:pPr>
              <w:bidi w:val="0"/>
              <w:rPr>
                <w:rFonts w:hint="eastAsia" w:ascii="宋体" w:hAnsi="宋体" w:eastAsia="宋体" w:cs="宋体"/>
                <w:highlight w:val="none"/>
                <w:lang w:val="en-US" w:eastAsia="zh-CN"/>
              </w:rPr>
            </w:pPr>
          </w:p>
          <w:p w14:paraId="7B41F812">
            <w:pPr>
              <w:bidi w:val="0"/>
              <w:rPr>
                <w:rFonts w:hint="eastAsia" w:ascii="宋体" w:hAnsi="宋体" w:eastAsia="宋体" w:cs="宋体"/>
                <w:highlight w:val="none"/>
                <w:lang w:val="en-US" w:eastAsia="zh-CN"/>
              </w:rPr>
            </w:pPr>
          </w:p>
          <w:p w14:paraId="693F63BF">
            <w:pPr>
              <w:bidi w:val="0"/>
              <w:rPr>
                <w:rFonts w:hint="eastAsia" w:ascii="宋体" w:hAnsi="宋体" w:eastAsia="宋体" w:cs="宋体"/>
                <w:highlight w:val="none"/>
                <w:lang w:val="en-US" w:eastAsia="zh-CN"/>
              </w:rPr>
            </w:pPr>
          </w:p>
          <w:p w14:paraId="47A9A438">
            <w:pPr>
              <w:bidi w:val="0"/>
              <w:rPr>
                <w:rFonts w:hint="eastAsia" w:ascii="宋体" w:hAnsi="宋体" w:eastAsia="宋体" w:cs="宋体"/>
                <w:highlight w:val="none"/>
                <w:lang w:val="en-US" w:eastAsia="zh-CN"/>
              </w:rPr>
            </w:pPr>
          </w:p>
          <w:p w14:paraId="3560336C">
            <w:pPr>
              <w:bidi w:val="0"/>
              <w:rPr>
                <w:rFonts w:hint="eastAsia" w:ascii="宋体" w:hAnsi="宋体" w:eastAsia="宋体" w:cs="宋体"/>
                <w:highlight w:val="none"/>
                <w:lang w:val="en-US" w:eastAsia="zh-CN"/>
              </w:rPr>
            </w:pPr>
          </w:p>
          <w:p w14:paraId="4CC16710">
            <w:pPr>
              <w:bidi w:val="0"/>
              <w:rPr>
                <w:rFonts w:hint="eastAsia" w:ascii="宋体" w:hAnsi="宋体" w:eastAsia="宋体" w:cs="宋体"/>
                <w:highlight w:val="none"/>
                <w:lang w:val="en-US" w:eastAsia="zh-CN"/>
              </w:rPr>
            </w:pPr>
          </w:p>
          <w:p w14:paraId="0F16BE88">
            <w:pPr>
              <w:bidi w:val="0"/>
              <w:rPr>
                <w:rFonts w:hint="eastAsia" w:ascii="宋体" w:hAnsi="宋体" w:eastAsia="宋体" w:cs="宋体"/>
                <w:highlight w:val="none"/>
                <w:lang w:val="en-US" w:eastAsia="zh-CN"/>
              </w:rPr>
            </w:pPr>
          </w:p>
          <w:p w14:paraId="074A8996">
            <w:pPr>
              <w:bidi w:val="0"/>
              <w:rPr>
                <w:rFonts w:hint="eastAsia" w:ascii="宋体" w:hAnsi="宋体" w:eastAsia="宋体" w:cs="宋体"/>
                <w:highlight w:val="none"/>
                <w:lang w:val="en-US" w:eastAsia="zh-CN"/>
              </w:rPr>
            </w:pPr>
          </w:p>
          <w:p w14:paraId="575A1C36">
            <w:pPr>
              <w:bidi w:val="0"/>
              <w:rPr>
                <w:rFonts w:hint="eastAsia" w:ascii="宋体" w:hAnsi="宋体" w:eastAsia="宋体" w:cs="宋体"/>
                <w:highlight w:val="none"/>
                <w:lang w:val="en-US" w:eastAsia="zh-CN"/>
              </w:rPr>
            </w:pPr>
          </w:p>
          <w:p w14:paraId="517F02E4">
            <w:pPr>
              <w:tabs>
                <w:tab w:val="left" w:pos="1351"/>
              </w:tabs>
              <w:bidi w:val="0"/>
              <w:jc w:val="left"/>
              <w:rPr>
                <w:rFonts w:hint="eastAsia" w:ascii="宋体" w:hAnsi="宋体" w:eastAsia="宋体" w:cs="宋体"/>
                <w:highlight w:val="none"/>
                <w:lang w:val="en-US" w:eastAsia="zh-CN"/>
              </w:rPr>
            </w:pPr>
          </w:p>
        </w:tc>
      </w:tr>
    </w:tbl>
    <w:p w14:paraId="3A5C1BBB">
      <w:pPr>
        <w:pStyle w:val="10"/>
        <w:ind w:firstLine="420" w:firstLineChars="200"/>
        <w:rPr>
          <w:rFonts w:hint="eastAsia" w:ascii="宋体" w:hAnsi="宋体" w:eastAsia="宋体" w:cs="宋体"/>
          <w:szCs w:val="28"/>
          <w:highlight w:val="none"/>
        </w:rPr>
      </w:pPr>
      <w:r>
        <w:rPr>
          <w:rFonts w:hint="eastAsia" w:ascii="宋体" w:hAnsi="宋体" w:eastAsia="宋体" w:cs="宋体"/>
          <w:color w:val="000000"/>
          <w:highlight w:val="none"/>
        </w:rPr>
        <w:br w:type="page"/>
      </w:r>
    </w:p>
    <w:p w14:paraId="20C96CF3">
      <w:pPr>
        <w:keepNext w:val="0"/>
        <w:keepLines w:val="0"/>
        <w:pageBreakBefore w:val="0"/>
        <w:widowControl w:val="0"/>
        <w:kinsoku/>
        <w:wordWrap/>
        <w:overflowPunct/>
        <w:topLinePunct w:val="0"/>
        <w:autoSpaceDE/>
        <w:autoSpaceDN/>
        <w:bidi w:val="0"/>
        <w:adjustRightInd/>
        <w:snapToGrid/>
        <w:spacing w:before="260" w:after="260" w:line="480" w:lineRule="exact"/>
        <w:ind w:right="-21" w:rightChars="-10"/>
        <w:jc w:val="left"/>
        <w:textAlignment w:val="auto"/>
        <w:outlineLvl w:val="1"/>
        <w:rPr>
          <w:rFonts w:hint="eastAsia" w:ascii="宋体" w:hAnsi="宋体" w:eastAsia="宋体" w:cs="宋体"/>
          <w:b/>
          <w:bCs/>
          <w:kern w:val="2"/>
          <w:sz w:val="32"/>
          <w:szCs w:val="32"/>
          <w:highlight w:val="none"/>
          <w:lang w:val="en-US" w:eastAsia="zh-CN" w:bidi="ar-SA"/>
        </w:rPr>
      </w:pPr>
      <w:bookmarkStart w:id="83" w:name="_Toc12906"/>
      <w:bookmarkStart w:id="84" w:name="_Toc28192"/>
      <w:r>
        <w:rPr>
          <w:rFonts w:hint="eastAsia" w:ascii="宋体" w:hAnsi="宋体" w:eastAsia="宋体" w:cs="宋体"/>
          <w:b/>
          <w:bCs/>
          <w:kern w:val="2"/>
          <w:sz w:val="32"/>
          <w:szCs w:val="32"/>
          <w:highlight w:val="none"/>
          <w:lang w:val="en-US" w:eastAsia="zh-CN" w:bidi="ar-SA"/>
        </w:rPr>
        <w:t>1.4.其它资格证明文件</w:t>
      </w:r>
      <w:bookmarkEnd w:id="83"/>
      <w:bookmarkEnd w:id="84"/>
    </w:p>
    <w:p w14:paraId="15287A30">
      <w:pPr>
        <w:pStyle w:val="4"/>
        <w:ind w:firstLine="0" w:firstLineChars="0"/>
        <w:rPr>
          <w:rFonts w:hint="eastAsia" w:ascii="宋体" w:hAnsi="宋体" w:eastAsia="宋体" w:cs="宋体"/>
          <w:highlight w:val="none"/>
        </w:rPr>
      </w:pPr>
      <w:r>
        <w:rPr>
          <w:rFonts w:hint="eastAsia" w:ascii="宋体" w:hAnsi="宋体" w:eastAsia="宋体" w:cs="宋体"/>
          <w:highlight w:val="none"/>
        </w:rPr>
        <w:t>说明：按招标文件要求提供其他资格证明文件。</w:t>
      </w:r>
    </w:p>
    <w:p w14:paraId="4547593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p>
    <w:p w14:paraId="0C8B7CB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单位负责人为同一人或者存在直接控股、 管理关系的不同投标人，不得同时参加本招标项目投标。为本项目提供整体设计、规范编制或者项目管理、监理、检测等服务的投标人，不得再参与本项目投标。（投标时请投标人提供承诺函，格式自拟）</w:t>
      </w:r>
    </w:p>
    <w:p w14:paraId="437A9C49">
      <w:pPr>
        <w:rPr>
          <w:rFonts w:hint="eastAsia" w:ascii="宋体" w:hAnsi="宋体" w:eastAsia="宋体" w:cs="宋体"/>
          <w:szCs w:val="28"/>
          <w:highlight w:val="none"/>
        </w:rPr>
      </w:pPr>
    </w:p>
    <w:p w14:paraId="3581F049">
      <w:pPr>
        <w:rPr>
          <w:rFonts w:hint="eastAsia" w:ascii="宋体" w:hAnsi="宋体" w:eastAsia="宋体" w:cs="宋体"/>
          <w:sz w:val="84"/>
          <w:szCs w:val="84"/>
          <w:highlight w:val="none"/>
        </w:rPr>
      </w:pPr>
    </w:p>
    <w:p w14:paraId="062E57B6">
      <w:pPr>
        <w:rPr>
          <w:rFonts w:hint="eastAsia" w:ascii="宋体" w:hAnsi="宋体" w:eastAsia="宋体" w:cs="宋体"/>
          <w:sz w:val="84"/>
          <w:szCs w:val="84"/>
          <w:highlight w:val="none"/>
        </w:rPr>
      </w:pPr>
    </w:p>
    <w:p w14:paraId="287C8C9B">
      <w:pPr>
        <w:pStyle w:val="8"/>
        <w:rPr>
          <w:rFonts w:hint="eastAsia" w:ascii="宋体" w:hAnsi="宋体" w:eastAsia="宋体" w:cs="宋体"/>
          <w:highlight w:val="none"/>
        </w:rPr>
      </w:pPr>
    </w:p>
    <w:p w14:paraId="0630F70C">
      <w:pPr>
        <w:rPr>
          <w:rFonts w:hint="eastAsia" w:ascii="宋体" w:hAnsi="宋体" w:eastAsia="宋体" w:cs="宋体"/>
          <w:sz w:val="84"/>
          <w:szCs w:val="84"/>
          <w:highlight w:val="none"/>
        </w:rPr>
      </w:pPr>
    </w:p>
    <w:p w14:paraId="0B265F56">
      <w:pPr>
        <w:rPr>
          <w:rFonts w:hint="eastAsia" w:ascii="宋体" w:hAnsi="宋体" w:eastAsia="宋体" w:cs="宋体"/>
          <w:highlight w:val="none"/>
        </w:rPr>
      </w:pPr>
      <w:r>
        <w:rPr>
          <w:rFonts w:hint="eastAsia" w:ascii="宋体" w:hAnsi="宋体" w:eastAsia="宋体" w:cs="宋体"/>
          <w:highlight w:val="none"/>
        </w:rPr>
        <w:br w:type="page"/>
      </w:r>
    </w:p>
    <w:p w14:paraId="14DD21AD">
      <w:pPr>
        <w:rPr>
          <w:rFonts w:hint="eastAsia"/>
          <w:highlight w:val="none"/>
        </w:rPr>
      </w:pPr>
    </w:p>
    <w:p w14:paraId="758F810C">
      <w:pPr>
        <w:rPr>
          <w:rFonts w:hint="eastAsia" w:ascii="宋体" w:hAnsi="宋体" w:eastAsia="宋体" w:cs="宋体"/>
          <w:highlight w:val="none"/>
        </w:rPr>
      </w:pPr>
    </w:p>
    <w:p w14:paraId="25C690E8">
      <w:pPr>
        <w:pStyle w:val="6"/>
        <w:rPr>
          <w:rFonts w:hint="eastAsia" w:ascii="宋体" w:hAnsi="宋体" w:eastAsia="宋体" w:cs="宋体"/>
          <w:highlight w:val="none"/>
        </w:rPr>
      </w:pPr>
    </w:p>
    <w:p w14:paraId="68A084FB">
      <w:pPr>
        <w:rPr>
          <w:rFonts w:hint="eastAsia" w:ascii="宋体" w:hAnsi="宋体" w:eastAsia="宋体" w:cs="宋体"/>
          <w:highlight w:val="none"/>
        </w:rPr>
      </w:pPr>
    </w:p>
    <w:p w14:paraId="61F11449">
      <w:pPr>
        <w:numPr>
          <w:ilvl w:val="0"/>
          <w:numId w:val="9"/>
        </w:numPr>
        <w:jc w:val="center"/>
        <w:outlineLvl w:val="0"/>
        <w:rPr>
          <w:rFonts w:hint="eastAsia" w:ascii="宋体" w:hAnsi="宋体" w:eastAsia="宋体" w:cs="宋体"/>
          <w:b/>
          <w:bCs/>
          <w:sz w:val="84"/>
          <w:szCs w:val="84"/>
          <w:highlight w:val="none"/>
        </w:rPr>
      </w:pPr>
      <w:bookmarkStart w:id="85" w:name="_Toc3734"/>
      <w:bookmarkStart w:id="86" w:name="_Toc18249"/>
      <w:bookmarkStart w:id="87" w:name="_Toc31778"/>
      <w:bookmarkStart w:id="88" w:name="_Toc7574"/>
      <w:r>
        <w:rPr>
          <w:rFonts w:hint="eastAsia" w:ascii="宋体" w:hAnsi="宋体" w:eastAsia="宋体" w:cs="宋体"/>
          <w:b/>
          <w:bCs/>
          <w:sz w:val="84"/>
          <w:szCs w:val="84"/>
          <w:highlight w:val="none"/>
        </w:rPr>
        <w:t>符合性证明材料</w:t>
      </w:r>
      <w:bookmarkEnd w:id="85"/>
      <w:bookmarkEnd w:id="86"/>
      <w:bookmarkEnd w:id="87"/>
      <w:bookmarkEnd w:id="88"/>
    </w:p>
    <w:p w14:paraId="2A0D91FE">
      <w:pPr>
        <w:pStyle w:val="3"/>
        <w:tabs>
          <w:tab w:val="left" w:pos="720"/>
        </w:tabs>
        <w:adjustRightInd w:val="0"/>
        <w:snapToGrid w:val="0"/>
        <w:spacing w:before="0" w:after="0" w:line="240" w:lineRule="auto"/>
        <w:jc w:val="left"/>
        <w:rPr>
          <w:rFonts w:hint="eastAsia" w:ascii="宋体" w:hAnsi="宋体" w:eastAsia="宋体" w:cs="宋体"/>
          <w:sz w:val="32"/>
          <w:szCs w:val="32"/>
          <w:highlight w:val="none"/>
        </w:rPr>
      </w:pPr>
      <w:r>
        <w:rPr>
          <w:rFonts w:hint="eastAsia" w:ascii="宋体" w:hAnsi="宋体" w:eastAsia="宋体" w:cs="宋体"/>
          <w:szCs w:val="28"/>
          <w:highlight w:val="none"/>
        </w:rPr>
        <w:br w:type="page"/>
      </w:r>
      <w:bookmarkStart w:id="89" w:name="_Toc14147"/>
      <w:bookmarkStart w:id="90" w:name="_Toc10831"/>
      <w:bookmarkStart w:id="91" w:name="_Toc20222"/>
      <w:bookmarkStart w:id="92" w:name="_Toc14782_WPSOffice_Level2"/>
      <w:bookmarkStart w:id="93" w:name="_Toc24841_WPSOffice_Level2"/>
      <w:bookmarkStart w:id="94" w:name="_Toc6490"/>
      <w:r>
        <w:rPr>
          <w:rFonts w:hint="eastAsia" w:ascii="宋体" w:hAnsi="宋体" w:eastAsia="宋体" w:cs="宋体"/>
          <w:sz w:val="32"/>
          <w:szCs w:val="32"/>
          <w:highlight w:val="none"/>
        </w:rPr>
        <w:t>2.1.投标函</w:t>
      </w:r>
      <w:bookmarkEnd w:id="89"/>
      <w:bookmarkEnd w:id="90"/>
      <w:bookmarkEnd w:id="91"/>
      <w:bookmarkEnd w:id="92"/>
      <w:bookmarkEnd w:id="93"/>
      <w:bookmarkEnd w:id="94"/>
    </w:p>
    <w:p w14:paraId="0B391F88">
      <w:pPr>
        <w:adjustRightInd w:val="0"/>
        <w:snapToGrid w:val="0"/>
        <w:spacing w:line="360" w:lineRule="auto"/>
        <w:ind w:right="630" w:rightChars="300"/>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26BFD16C">
      <w:pPr>
        <w:adjustRightInd w:val="0"/>
        <w:snapToGrid w:val="0"/>
        <w:spacing w:line="360" w:lineRule="auto"/>
        <w:ind w:right="630" w:rightChars="300"/>
        <w:rPr>
          <w:rFonts w:hint="eastAsia" w:ascii="宋体" w:hAnsi="宋体" w:eastAsia="宋体" w:cs="宋体"/>
          <w:szCs w:val="21"/>
          <w:highlight w:val="none"/>
          <w:u w:val="single"/>
        </w:rPr>
      </w:pPr>
      <w:r>
        <w:rPr>
          <w:rFonts w:hint="eastAsia" w:ascii="宋体" w:hAnsi="宋体" w:eastAsia="宋体" w:cs="宋体"/>
          <w:szCs w:val="21"/>
          <w:highlight w:val="none"/>
          <w:u w:val="single"/>
        </w:rPr>
        <w:t>（</w:t>
      </w:r>
      <w:r>
        <w:rPr>
          <w:rFonts w:hint="eastAsia" w:ascii="宋体" w:hAnsi="宋体" w:eastAsia="宋体" w:cs="宋体"/>
          <w:szCs w:val="21"/>
          <w:highlight w:val="none"/>
          <w:u w:val="single"/>
          <w:lang w:eastAsia="zh-CN"/>
        </w:rPr>
        <w:t>招标人</w:t>
      </w:r>
      <w:r>
        <w:rPr>
          <w:rFonts w:hint="eastAsia" w:ascii="宋体" w:hAnsi="宋体" w:eastAsia="宋体" w:cs="宋体"/>
          <w:szCs w:val="21"/>
          <w:highlight w:val="none"/>
          <w:u w:val="single"/>
        </w:rPr>
        <w:t>或</w:t>
      </w:r>
      <w:r>
        <w:rPr>
          <w:rFonts w:hint="eastAsia" w:ascii="宋体" w:hAnsi="宋体" w:eastAsia="宋体" w:cs="宋体"/>
          <w:szCs w:val="21"/>
          <w:highlight w:val="none"/>
          <w:u w:val="single"/>
          <w:lang w:val="en-US" w:eastAsia="zh-CN"/>
        </w:rPr>
        <w:t>招标</w:t>
      </w:r>
      <w:r>
        <w:rPr>
          <w:rFonts w:hint="eastAsia" w:ascii="宋体" w:hAnsi="宋体" w:eastAsia="宋体" w:cs="宋体"/>
          <w:szCs w:val="21"/>
          <w:highlight w:val="none"/>
          <w:u w:val="single"/>
        </w:rPr>
        <w:t>代理机构）：</w:t>
      </w:r>
    </w:p>
    <w:p w14:paraId="022616FD">
      <w:pPr>
        <w:adjustRightInd w:val="0"/>
        <w:snapToGrid w:val="0"/>
        <w:spacing w:line="360" w:lineRule="auto"/>
        <w:ind w:right="-21" w:rightChars="-10"/>
        <w:rPr>
          <w:rFonts w:hint="eastAsia" w:ascii="宋体" w:hAnsi="宋体" w:eastAsia="宋体" w:cs="宋体"/>
          <w:szCs w:val="21"/>
          <w:highlight w:val="none"/>
        </w:rPr>
      </w:pPr>
      <w:r>
        <w:rPr>
          <w:rFonts w:hint="eastAsia" w:ascii="宋体" w:hAnsi="宋体" w:eastAsia="宋体" w:cs="宋体"/>
          <w:szCs w:val="21"/>
          <w:highlight w:val="none"/>
        </w:rPr>
        <w:t xml:space="preserve">    根据贵方</w:t>
      </w:r>
      <w:r>
        <w:rPr>
          <w:rFonts w:hint="eastAsia" w:ascii="宋体" w:hAnsi="宋体" w:eastAsia="宋体" w:cs="宋体"/>
          <w:szCs w:val="21"/>
          <w:highlight w:val="none"/>
          <w:u w:val="single"/>
        </w:rPr>
        <w:t>(项目名称)</w:t>
      </w:r>
      <w:r>
        <w:rPr>
          <w:rFonts w:hint="eastAsia" w:ascii="宋体" w:hAnsi="宋体" w:eastAsia="宋体" w:cs="宋体"/>
          <w:szCs w:val="21"/>
          <w:highlight w:val="none"/>
        </w:rPr>
        <w:t>项目的招标公告</w:t>
      </w:r>
      <w:r>
        <w:rPr>
          <w:rFonts w:hint="eastAsia" w:ascii="宋体" w:hAnsi="宋体" w:eastAsia="宋体" w:cs="宋体"/>
          <w:szCs w:val="21"/>
          <w:highlight w:val="none"/>
          <w:u w:val="single"/>
        </w:rPr>
        <w:t>(项目编号)</w:t>
      </w:r>
      <w:r>
        <w:rPr>
          <w:rFonts w:hint="eastAsia" w:ascii="宋体" w:hAnsi="宋体" w:eastAsia="宋体" w:cs="宋体"/>
          <w:szCs w:val="21"/>
          <w:highlight w:val="none"/>
        </w:rPr>
        <w:t>,签字代表</w:t>
      </w:r>
      <w:r>
        <w:rPr>
          <w:rFonts w:hint="eastAsia" w:ascii="宋体" w:hAnsi="宋体" w:eastAsia="宋体" w:cs="宋体"/>
          <w:szCs w:val="21"/>
          <w:highlight w:val="none"/>
          <w:u w:val="single"/>
        </w:rPr>
        <w:t>(姓名、职务)</w:t>
      </w:r>
      <w:r>
        <w:rPr>
          <w:rFonts w:hint="eastAsia" w:ascii="宋体" w:hAnsi="宋体" w:eastAsia="宋体" w:cs="宋体"/>
          <w:szCs w:val="21"/>
          <w:highlight w:val="none"/>
        </w:rPr>
        <w:t>经正式授权并代表投标人</w:t>
      </w:r>
      <w:r>
        <w:rPr>
          <w:rFonts w:hint="eastAsia" w:ascii="宋体" w:hAnsi="宋体" w:eastAsia="宋体" w:cs="宋体"/>
          <w:szCs w:val="21"/>
          <w:highlight w:val="none"/>
          <w:u w:val="single"/>
        </w:rPr>
        <w:t>（名称、地址）</w:t>
      </w:r>
      <w:r>
        <w:rPr>
          <w:rFonts w:hint="eastAsia" w:ascii="宋体" w:hAnsi="宋体" w:eastAsia="宋体" w:cs="宋体"/>
          <w:szCs w:val="21"/>
          <w:highlight w:val="none"/>
        </w:rPr>
        <w:t>提交下述文件正本</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份、副本</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w:t>
      </w:r>
    </w:p>
    <w:p w14:paraId="04F90CE0">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据此，签字代表宣布同意如下：</w:t>
      </w:r>
    </w:p>
    <w:p w14:paraId="2569BDE7">
      <w:pPr>
        <w:numPr>
          <w:ilvl w:val="0"/>
          <w:numId w:val="10"/>
        </w:num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本项目投标总价详见开标一览表。</w:t>
      </w:r>
    </w:p>
    <w:p w14:paraId="1B1D3A46">
      <w:pPr>
        <w:numPr>
          <w:ilvl w:val="0"/>
          <w:numId w:val="10"/>
        </w:num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本投标有效期为自投标截止之日起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90</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个日历日。</w:t>
      </w:r>
    </w:p>
    <w:p w14:paraId="43D31EB1">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（3）已详细审查全部招标文件，包括所有补充通知（如果有的话）。</w:t>
      </w:r>
    </w:p>
    <w:p w14:paraId="57822928">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（4）在规定的开标时间后，遵守招标文件中有关保证金的规定。</w:t>
      </w:r>
    </w:p>
    <w:p w14:paraId="269E2252">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（5）我方不是为本项目提供整体设计、规范编制或者项目管理、监理、检测等服务的</w:t>
      </w:r>
      <w:r>
        <w:rPr>
          <w:rFonts w:hint="eastAsia" w:ascii="宋体" w:hAnsi="宋体" w:eastAsia="宋体" w:cs="宋体"/>
          <w:szCs w:val="21"/>
          <w:highlight w:val="none"/>
          <w:lang w:val="en-US" w:eastAsia="zh-CN"/>
        </w:rPr>
        <w:t>投标人</w:t>
      </w:r>
      <w:r>
        <w:rPr>
          <w:rFonts w:hint="eastAsia" w:ascii="宋体" w:hAnsi="宋体" w:eastAsia="宋体" w:cs="宋体"/>
          <w:szCs w:val="21"/>
          <w:highlight w:val="none"/>
        </w:rPr>
        <w:t>，我方不是</w:t>
      </w:r>
      <w:r>
        <w:rPr>
          <w:rFonts w:hint="eastAsia" w:ascii="宋体" w:hAnsi="宋体" w:eastAsia="宋体" w:cs="宋体"/>
          <w:szCs w:val="21"/>
          <w:highlight w:val="none"/>
          <w:lang w:val="en-US" w:eastAsia="zh-CN"/>
        </w:rPr>
        <w:t>招标</w:t>
      </w:r>
      <w:r>
        <w:rPr>
          <w:rFonts w:hint="eastAsia" w:ascii="宋体" w:hAnsi="宋体" w:eastAsia="宋体" w:cs="宋体"/>
          <w:szCs w:val="21"/>
          <w:highlight w:val="none"/>
        </w:rPr>
        <w:t>代理机构的附属机构。</w:t>
      </w:r>
    </w:p>
    <w:p w14:paraId="06605DDB">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（6）在领取中标通知书的同时按招标文件规定的形式，向贵方一次性支付招标代理服务费。</w:t>
      </w:r>
    </w:p>
    <w:p w14:paraId="0FB7922A">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（7）按照贵方可能要求，提供与其投标有关的一切数据或资料，完全理解贵方不一定接受最</w:t>
      </w:r>
      <w:r>
        <w:rPr>
          <w:rFonts w:hint="eastAsia" w:ascii="宋体" w:hAnsi="宋体" w:eastAsia="宋体" w:cs="宋体"/>
          <w:szCs w:val="21"/>
          <w:highlight w:val="none"/>
          <w:lang w:val="en-US" w:eastAsia="zh-CN"/>
        </w:rPr>
        <w:t>高</w:t>
      </w:r>
      <w:r>
        <w:rPr>
          <w:rFonts w:hint="eastAsia" w:ascii="宋体" w:hAnsi="宋体" w:eastAsia="宋体" w:cs="宋体"/>
          <w:szCs w:val="21"/>
          <w:highlight w:val="none"/>
        </w:rPr>
        <w:t>价的投标。</w:t>
      </w:r>
    </w:p>
    <w:p w14:paraId="3332A336">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（8）按照招标文件的规定履行合同责任和义务。</w:t>
      </w:r>
    </w:p>
    <w:p w14:paraId="07EBE0B1">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（9）我方承诺投标文件中的证明材料真实、合法、有效。</w:t>
      </w:r>
    </w:p>
    <w:p w14:paraId="0AA83854">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其他事项：</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3BF512FB">
      <w:pPr>
        <w:tabs>
          <w:tab w:val="left" w:pos="10467"/>
        </w:tabs>
        <w:adjustRightInd w:val="0"/>
        <w:snapToGrid w:val="0"/>
        <w:spacing w:line="360" w:lineRule="auto"/>
        <w:ind w:right="1050" w:rightChars="500" w:firstLine="476" w:firstLineChars="227"/>
        <w:rPr>
          <w:rFonts w:hint="eastAsia" w:ascii="宋体" w:hAnsi="宋体" w:eastAsia="宋体" w:cs="宋体"/>
          <w:szCs w:val="21"/>
          <w:highlight w:val="none"/>
        </w:rPr>
      </w:pPr>
    </w:p>
    <w:p w14:paraId="6C8117E8">
      <w:pPr>
        <w:tabs>
          <w:tab w:val="left" w:pos="10467"/>
        </w:tabs>
        <w:adjustRightInd w:val="0"/>
        <w:snapToGrid w:val="0"/>
        <w:spacing w:line="360" w:lineRule="auto"/>
        <w:ind w:right="1050" w:rightChars="500" w:firstLine="476" w:firstLineChars="227"/>
        <w:rPr>
          <w:rFonts w:hint="eastAsia" w:ascii="宋体" w:hAnsi="宋体" w:eastAsia="宋体" w:cs="宋体"/>
          <w:szCs w:val="21"/>
          <w:highlight w:val="none"/>
        </w:rPr>
      </w:pPr>
      <w:r>
        <w:rPr>
          <w:rFonts w:hint="eastAsia" w:ascii="宋体" w:hAnsi="宋体" w:eastAsia="宋体" w:cs="宋体"/>
          <w:szCs w:val="21"/>
          <w:highlight w:val="none"/>
        </w:rPr>
        <w:t>与本投标有关的一切往来通讯请寄：</w:t>
      </w:r>
    </w:p>
    <w:p w14:paraId="7BA3C65C">
      <w:pPr>
        <w:tabs>
          <w:tab w:val="left" w:pos="10467"/>
        </w:tabs>
        <w:adjustRightInd w:val="0"/>
        <w:snapToGrid w:val="0"/>
        <w:spacing w:line="360" w:lineRule="auto"/>
        <w:ind w:right="-21" w:rightChars="-10" w:firstLine="476" w:firstLineChars="227"/>
        <w:rPr>
          <w:rFonts w:hint="eastAsia" w:ascii="宋体" w:hAnsi="宋体" w:eastAsia="宋体" w:cs="宋体"/>
          <w:szCs w:val="21"/>
          <w:highlight w:val="none"/>
          <w:u w:val="singl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w:t>
      </w:r>
    </w:p>
    <w:p w14:paraId="7A2D92D3">
      <w:pPr>
        <w:tabs>
          <w:tab w:val="left" w:pos="10467"/>
        </w:tabs>
        <w:adjustRightInd w:val="0"/>
        <w:snapToGrid w:val="0"/>
        <w:spacing w:line="360" w:lineRule="auto"/>
        <w:ind w:right="-21" w:rightChars="-10" w:firstLine="476" w:firstLineChars="227"/>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电子邮件：</w:t>
      </w:r>
      <w:r>
        <w:rPr>
          <w:rFonts w:hint="eastAsia" w:ascii="宋体" w:hAnsi="宋体" w:eastAsia="宋体" w:cs="宋体"/>
          <w:szCs w:val="21"/>
          <w:highlight w:val="none"/>
          <w:u w:val="single"/>
        </w:rPr>
        <w:t xml:space="preserve">                     </w:t>
      </w:r>
    </w:p>
    <w:p w14:paraId="367BDD77">
      <w:pPr>
        <w:tabs>
          <w:tab w:val="left" w:pos="10467"/>
        </w:tabs>
        <w:adjustRightInd w:val="0"/>
        <w:snapToGrid w:val="0"/>
        <w:spacing w:line="360" w:lineRule="auto"/>
        <w:ind w:right="260" w:rightChars="124" w:firstLine="476" w:firstLineChars="227"/>
        <w:rPr>
          <w:rFonts w:hint="eastAsia" w:ascii="宋体" w:hAnsi="宋体" w:eastAsia="宋体" w:cs="宋体"/>
          <w:szCs w:val="21"/>
          <w:highlight w:val="none"/>
        </w:rPr>
      </w:pPr>
      <w:r>
        <w:rPr>
          <w:rFonts w:hint="eastAsia" w:ascii="宋体" w:hAnsi="宋体" w:eastAsia="宋体" w:cs="宋体"/>
          <w:szCs w:val="21"/>
          <w:highlight w:val="none"/>
        </w:rPr>
        <w:t>法定代表人（非法人组织负责人）或其授权委托人（签字或盖章）：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5E2811D7">
      <w:pPr>
        <w:tabs>
          <w:tab w:val="left" w:pos="10467"/>
        </w:tabs>
        <w:adjustRightInd w:val="0"/>
        <w:snapToGrid w:val="0"/>
        <w:spacing w:line="360" w:lineRule="auto"/>
        <w:ind w:right="260" w:rightChars="124" w:firstLine="476" w:firstLineChars="227"/>
        <w:rPr>
          <w:rFonts w:hint="eastAsia" w:ascii="宋体" w:hAnsi="宋体" w:eastAsia="宋体" w:cs="宋体"/>
          <w:szCs w:val="21"/>
          <w:highlight w:val="none"/>
        </w:rPr>
      </w:pPr>
      <w:r>
        <w:rPr>
          <w:rFonts w:hint="eastAsia" w:ascii="宋体" w:hAnsi="宋体" w:eastAsia="宋体" w:cs="宋体"/>
          <w:szCs w:val="21"/>
          <w:highlight w:val="none"/>
        </w:rPr>
        <w:t>投标人名称（单位公章）: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48D8B899">
      <w:pPr>
        <w:pStyle w:val="3"/>
        <w:tabs>
          <w:tab w:val="left" w:pos="720"/>
        </w:tabs>
        <w:adjustRightInd w:val="0"/>
        <w:snapToGrid w:val="0"/>
        <w:spacing w:before="0" w:after="0" w:line="240" w:lineRule="auto"/>
        <w:jc w:val="left"/>
        <w:rPr>
          <w:rFonts w:hint="eastAsia" w:ascii="宋体" w:hAnsi="宋体" w:eastAsia="宋体" w:cs="宋体"/>
          <w:szCs w:val="28"/>
          <w:highlight w:val="none"/>
        </w:rPr>
      </w:pPr>
    </w:p>
    <w:p w14:paraId="6F1D7A70">
      <w:pPr>
        <w:pStyle w:val="3"/>
        <w:adjustRightInd w:val="0"/>
        <w:snapToGrid w:val="0"/>
        <w:spacing w:before="0" w:after="0" w:line="240" w:lineRule="auto"/>
        <w:jc w:val="left"/>
        <w:rPr>
          <w:rFonts w:hint="eastAsia" w:ascii="宋体" w:hAnsi="宋体" w:eastAsia="宋体" w:cs="宋体"/>
          <w:szCs w:val="28"/>
          <w:highlight w:val="none"/>
        </w:rPr>
      </w:pPr>
      <w:r>
        <w:rPr>
          <w:rFonts w:hint="eastAsia" w:ascii="宋体" w:hAnsi="宋体" w:eastAsia="宋体" w:cs="宋体"/>
          <w:szCs w:val="28"/>
          <w:highlight w:val="none"/>
        </w:rPr>
        <w:br w:type="page"/>
      </w:r>
      <w:bookmarkStart w:id="95" w:name="_Toc17016"/>
      <w:bookmarkStart w:id="96" w:name="_Toc10932"/>
      <w:bookmarkStart w:id="97" w:name="_Toc11267_WPSOffice_Level2"/>
      <w:bookmarkStart w:id="98" w:name="_Toc2673_WPSOffice_Level2"/>
      <w:bookmarkStart w:id="99" w:name="_Toc23225"/>
      <w:bookmarkStart w:id="100" w:name="_Toc32283"/>
      <w:bookmarkStart w:id="101" w:name="_Toc31751"/>
      <w:bookmarkStart w:id="102" w:name="_Toc31555_WPSOffice_Level2"/>
      <w:bookmarkStart w:id="103" w:name="_Toc16772"/>
      <w:bookmarkStart w:id="104" w:name="_Toc9235_WPSOffice_Level2"/>
      <w:bookmarkStart w:id="105" w:name="_Hlk28590705"/>
      <w:r>
        <w:rPr>
          <w:rFonts w:hint="eastAsia" w:ascii="宋体" w:hAnsi="宋体" w:eastAsia="宋体" w:cs="宋体"/>
          <w:sz w:val="32"/>
          <w:szCs w:val="32"/>
          <w:highlight w:val="none"/>
        </w:rPr>
        <w:t>2.</w:t>
      </w:r>
      <w:r>
        <w:rPr>
          <w:rFonts w:hint="eastAsia" w:ascii="宋体" w:hAnsi="宋体" w:eastAsia="宋体" w:cs="宋体"/>
          <w:sz w:val="32"/>
          <w:szCs w:val="32"/>
          <w:highlight w:val="none"/>
          <w:lang w:val="en-US" w:eastAsia="zh-CN"/>
        </w:rPr>
        <w:t>2</w:t>
      </w:r>
      <w:r>
        <w:rPr>
          <w:rFonts w:hint="eastAsia" w:ascii="宋体" w:hAnsi="宋体" w:eastAsia="宋体" w:cs="宋体"/>
          <w:sz w:val="32"/>
          <w:szCs w:val="32"/>
          <w:highlight w:val="none"/>
        </w:rPr>
        <w:t>.</w:t>
      </w:r>
      <w:r>
        <w:rPr>
          <w:rFonts w:hint="eastAsia" w:ascii="宋体" w:hAnsi="宋体" w:eastAsia="宋体" w:cs="宋体"/>
          <w:szCs w:val="28"/>
          <w:highlight w:val="none"/>
        </w:rPr>
        <w:t>投标报价</w:t>
      </w:r>
      <w:bookmarkEnd w:id="95"/>
      <w:bookmarkEnd w:id="96"/>
    </w:p>
    <w:p w14:paraId="5A2F1EE8">
      <w:pPr>
        <w:pStyle w:val="5"/>
        <w:spacing w:line="240" w:lineRule="auto"/>
        <w:rPr>
          <w:rFonts w:hint="eastAsia" w:ascii="宋体" w:hAnsi="宋体" w:eastAsia="宋体" w:cs="宋体"/>
          <w:sz w:val="28"/>
          <w:szCs w:val="28"/>
          <w:highlight w:val="none"/>
        </w:rPr>
      </w:pPr>
      <w:bookmarkStart w:id="106" w:name="_Toc28293"/>
      <w:bookmarkStart w:id="107" w:name="_Toc10601"/>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.1开标一览表</w:t>
      </w:r>
      <w:bookmarkEnd w:id="97"/>
      <w:bookmarkEnd w:id="98"/>
      <w:bookmarkEnd w:id="106"/>
      <w:bookmarkEnd w:id="107"/>
    </w:p>
    <w:p w14:paraId="100E5C94">
      <w:pPr>
        <w:adjustRightInd w:val="0"/>
        <w:snapToGrid w:val="0"/>
        <w:spacing w:line="360" w:lineRule="auto"/>
        <w:ind w:right="105" w:rightChars="50" w:firstLine="479" w:firstLineChars="227"/>
        <w:jc w:val="left"/>
        <w:rPr>
          <w:rFonts w:hint="eastAsia" w:ascii="宋体" w:hAnsi="宋体" w:eastAsia="宋体" w:cs="宋体"/>
          <w:b/>
          <w:bCs/>
          <w:szCs w:val="21"/>
          <w:highlight w:val="none"/>
        </w:rPr>
      </w:pPr>
      <w:r>
        <w:rPr>
          <w:rFonts w:hint="eastAsia" w:ascii="宋体" w:hAnsi="宋体" w:eastAsia="宋体" w:cs="宋体"/>
          <w:b/>
          <w:bCs/>
          <w:szCs w:val="21"/>
          <w:highlight w:val="none"/>
        </w:rPr>
        <w:t xml:space="preserve">项目名称：          </w:t>
      </w:r>
    </w:p>
    <w:p w14:paraId="47473264">
      <w:pPr>
        <w:adjustRightInd w:val="0"/>
        <w:snapToGrid w:val="0"/>
        <w:spacing w:line="360" w:lineRule="auto"/>
        <w:ind w:right="105" w:rightChars="50" w:firstLine="479" w:firstLineChars="227"/>
        <w:jc w:val="left"/>
        <w:rPr>
          <w:rFonts w:hint="eastAsia" w:ascii="宋体" w:hAnsi="宋体" w:eastAsia="宋体" w:cs="宋体"/>
          <w:b/>
          <w:bCs/>
          <w:szCs w:val="21"/>
          <w:highlight w:val="none"/>
        </w:rPr>
      </w:pPr>
      <w:r>
        <w:rPr>
          <w:rFonts w:hint="eastAsia" w:ascii="宋体" w:hAnsi="宋体" w:eastAsia="宋体" w:cs="宋体"/>
          <w:b/>
          <w:bCs/>
          <w:szCs w:val="21"/>
          <w:highlight w:val="none"/>
        </w:rPr>
        <w:t xml:space="preserve">项目编号：        </w:t>
      </w:r>
    </w:p>
    <w:p w14:paraId="7D605FAA">
      <w:pPr>
        <w:adjustRightInd w:val="0"/>
        <w:snapToGrid w:val="0"/>
        <w:spacing w:line="360" w:lineRule="auto"/>
        <w:ind w:right="105" w:rightChars="50" w:firstLine="479" w:firstLineChars="227"/>
        <w:jc w:val="left"/>
        <w:rPr>
          <w:rFonts w:hint="eastAsia" w:ascii="宋体" w:hAnsi="宋体" w:eastAsia="宋体" w:cs="宋体"/>
          <w:b/>
          <w:bCs/>
          <w:szCs w:val="21"/>
          <w:highlight w:val="none"/>
        </w:rPr>
      </w:pPr>
      <w:r>
        <w:rPr>
          <w:rFonts w:hint="eastAsia" w:ascii="宋体" w:hAnsi="宋体" w:eastAsia="宋体" w:cs="宋体"/>
          <w:b/>
          <w:bCs/>
          <w:szCs w:val="21"/>
          <w:highlight w:val="none"/>
        </w:rPr>
        <w:t xml:space="preserve">      </w:t>
      </w:r>
    </w:p>
    <w:p w14:paraId="0200F1F8">
      <w:pPr>
        <w:adjustRightInd w:val="0"/>
        <w:snapToGrid w:val="0"/>
        <w:spacing w:line="360" w:lineRule="auto"/>
        <w:ind w:right="105" w:rightChars="50" w:firstLine="479" w:firstLineChars="227"/>
        <w:jc w:val="right"/>
        <w:rPr>
          <w:rFonts w:ascii="宋体" w:hAnsi="宋体" w:eastAsia="宋体" w:cs="宋体"/>
          <w:b/>
          <w:bCs/>
          <w:szCs w:val="21"/>
          <w:highlight w:val="none"/>
        </w:rPr>
      </w:pPr>
      <w:r>
        <w:rPr>
          <w:rFonts w:hint="eastAsia" w:ascii="宋体" w:hAnsi="宋体" w:eastAsia="宋体" w:cs="宋体"/>
          <w:b/>
          <w:bCs/>
          <w:szCs w:val="21"/>
          <w:highlight w:val="none"/>
        </w:rPr>
        <w:t>报价单位：人民币</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元</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3220"/>
        <w:gridCol w:w="1278"/>
        <w:gridCol w:w="1443"/>
        <w:gridCol w:w="1096"/>
      </w:tblGrid>
      <w:tr w14:paraId="30E6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479" w:type="dxa"/>
            <w:noWrap w:val="0"/>
            <w:vAlign w:val="center"/>
          </w:tcPr>
          <w:p w14:paraId="10CE1B9B">
            <w:pPr>
              <w:adjustRightInd w:val="0"/>
              <w:snapToGrid w:val="0"/>
              <w:ind w:right="-48" w:rightChars="-23"/>
              <w:jc w:val="center"/>
              <w:rPr>
                <w:rFonts w:hint="eastAsia" w:ascii="宋体" w:hAnsi="宋体" w:eastAsia="宋体" w:cs="宋体"/>
                <w:szCs w:val="21"/>
                <w:highlight w:val="none"/>
              </w:rPr>
            </w:pPr>
            <w:r>
              <w:rPr>
                <w:rFonts w:hint="eastAsia" w:ascii="宋体" w:hAnsi="宋体" w:eastAsia="宋体" w:cs="宋体"/>
                <w:szCs w:val="21"/>
                <w:highlight w:val="none"/>
              </w:rPr>
              <w:t>项目名称</w:t>
            </w:r>
          </w:p>
        </w:tc>
        <w:tc>
          <w:tcPr>
            <w:tcW w:w="3220" w:type="dxa"/>
            <w:noWrap w:val="0"/>
            <w:vAlign w:val="center"/>
          </w:tcPr>
          <w:p w14:paraId="2898478D">
            <w:pPr>
              <w:adjustRightInd w:val="0"/>
              <w:snapToGrid w:val="0"/>
              <w:ind w:right="-158" w:rightChars="-75"/>
              <w:jc w:val="center"/>
              <w:rPr>
                <w:rFonts w:hint="eastAsia" w:ascii="宋体" w:hAnsi="宋体" w:eastAsia="宋体" w:cs="宋体"/>
                <w:szCs w:val="21"/>
                <w:highlight w:val="none"/>
              </w:rPr>
            </w:pPr>
            <w:r>
              <w:rPr>
                <w:rFonts w:hint="eastAsia" w:ascii="宋体" w:hAnsi="宋体" w:eastAsia="宋体" w:cs="宋体"/>
                <w:szCs w:val="21"/>
                <w:highlight w:val="none"/>
              </w:rPr>
              <w:t>投标总价</w:t>
            </w:r>
          </w:p>
        </w:tc>
        <w:tc>
          <w:tcPr>
            <w:tcW w:w="1278" w:type="dxa"/>
            <w:noWrap w:val="0"/>
            <w:vAlign w:val="center"/>
          </w:tcPr>
          <w:p w14:paraId="3BCB6BEC">
            <w:pPr>
              <w:adjustRightInd w:val="0"/>
              <w:snapToGrid w:val="0"/>
              <w:ind w:right="105" w:rightChars="50"/>
              <w:jc w:val="center"/>
              <w:rPr>
                <w:rFonts w:hint="eastAsia" w:ascii="宋体" w:hAnsi="宋体" w:eastAsia="宋体" w:cs="宋体"/>
                <w:szCs w:val="21"/>
                <w:highlight w:val="none"/>
              </w:rPr>
            </w:pPr>
            <w:r>
              <w:rPr>
                <w:rFonts w:hint="eastAsia" w:ascii="宋体" w:hAnsi="宋体" w:eastAsia="宋体" w:cs="宋体"/>
                <w:szCs w:val="21"/>
                <w:highlight w:val="none"/>
                <w:lang w:val="en-US" w:eastAsia="zh-CN"/>
              </w:rPr>
              <w:t>服务</w:t>
            </w:r>
            <w:r>
              <w:rPr>
                <w:rFonts w:hint="eastAsia" w:ascii="宋体" w:hAnsi="宋体" w:eastAsia="宋体" w:cs="宋体"/>
                <w:szCs w:val="21"/>
                <w:highlight w:val="none"/>
              </w:rPr>
              <w:t xml:space="preserve">期 </w:t>
            </w:r>
          </w:p>
        </w:tc>
        <w:tc>
          <w:tcPr>
            <w:tcW w:w="1443" w:type="dxa"/>
            <w:noWrap w:val="0"/>
            <w:vAlign w:val="center"/>
          </w:tcPr>
          <w:p w14:paraId="430A211C">
            <w:pPr>
              <w:adjustRightInd w:val="0"/>
              <w:snapToGrid w:val="0"/>
              <w:ind w:right="-107" w:rightChars="-51"/>
              <w:jc w:val="center"/>
              <w:rPr>
                <w:rFonts w:hint="eastAsia" w:ascii="宋体" w:hAnsi="宋体" w:eastAsia="宋体" w:cs="宋体"/>
                <w:szCs w:val="21"/>
                <w:highlight w:val="none"/>
              </w:rPr>
            </w:pPr>
            <w:r>
              <w:rPr>
                <w:rFonts w:hint="eastAsia" w:ascii="宋体" w:hAnsi="宋体" w:eastAsia="宋体" w:cs="宋体"/>
                <w:szCs w:val="21"/>
                <w:highlight w:val="none"/>
                <w:lang w:val="en-US" w:eastAsia="zh-CN"/>
              </w:rPr>
              <w:t>服务</w:t>
            </w:r>
            <w:r>
              <w:rPr>
                <w:rFonts w:hint="eastAsia" w:ascii="宋体" w:hAnsi="宋体" w:eastAsia="宋体" w:cs="宋体"/>
                <w:szCs w:val="21"/>
                <w:highlight w:val="none"/>
              </w:rPr>
              <w:t>地点</w:t>
            </w:r>
          </w:p>
        </w:tc>
        <w:tc>
          <w:tcPr>
            <w:tcW w:w="1096" w:type="dxa"/>
            <w:noWrap w:val="0"/>
            <w:vAlign w:val="center"/>
          </w:tcPr>
          <w:p w14:paraId="08088201">
            <w:pPr>
              <w:adjustRightInd w:val="0"/>
              <w:snapToGrid w:val="0"/>
              <w:ind w:right="-107" w:rightChars="-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r>
      <w:tr w14:paraId="7796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479" w:type="dxa"/>
            <w:noWrap w:val="0"/>
            <w:vAlign w:val="center"/>
          </w:tcPr>
          <w:p w14:paraId="52B1DF38">
            <w:pPr>
              <w:adjustRightInd w:val="0"/>
              <w:snapToGrid w:val="0"/>
              <w:ind w:right="105" w:rightChars="50"/>
              <w:jc w:val="center"/>
              <w:rPr>
                <w:rFonts w:hint="eastAsia" w:ascii="宋体" w:hAnsi="宋体" w:eastAsia="宋体" w:cs="宋体"/>
                <w:szCs w:val="21"/>
                <w:highlight w:val="none"/>
              </w:rPr>
            </w:pPr>
          </w:p>
        </w:tc>
        <w:tc>
          <w:tcPr>
            <w:tcW w:w="3220" w:type="dxa"/>
            <w:noWrap w:val="0"/>
            <w:vAlign w:val="center"/>
          </w:tcPr>
          <w:p w14:paraId="2A07B3E3">
            <w:pPr>
              <w:adjustRightInd w:val="0"/>
              <w:snapToGrid w:val="0"/>
              <w:ind w:right="105" w:rightChars="50"/>
              <w:jc w:val="left"/>
              <w:rPr>
                <w:rFonts w:hint="eastAsia" w:ascii="宋体" w:hAnsi="宋体" w:eastAsia="宋体" w:cs="宋体"/>
                <w:szCs w:val="21"/>
                <w:highlight w:val="none"/>
              </w:rPr>
            </w:pPr>
            <w:r>
              <w:rPr>
                <w:rFonts w:hint="eastAsia" w:ascii="宋体" w:hAnsi="宋体" w:eastAsia="宋体" w:cs="宋体"/>
                <w:szCs w:val="21"/>
                <w:highlight w:val="none"/>
              </w:rPr>
              <w:t>小写：</w:t>
            </w:r>
          </w:p>
          <w:p w14:paraId="54FBEDDC">
            <w:pPr>
              <w:adjustRightInd w:val="0"/>
              <w:snapToGrid w:val="0"/>
              <w:ind w:right="105" w:rightChars="50"/>
              <w:jc w:val="left"/>
              <w:rPr>
                <w:rFonts w:hint="eastAsia" w:ascii="宋体" w:hAnsi="宋体" w:eastAsia="宋体" w:cs="宋体"/>
                <w:szCs w:val="21"/>
                <w:highlight w:val="none"/>
              </w:rPr>
            </w:pPr>
            <w:r>
              <w:rPr>
                <w:rFonts w:hint="eastAsia" w:ascii="宋体" w:hAnsi="宋体" w:eastAsia="宋体" w:cs="宋体"/>
                <w:szCs w:val="21"/>
                <w:highlight w:val="none"/>
              </w:rPr>
              <w:t>大写：</w:t>
            </w:r>
          </w:p>
        </w:tc>
        <w:tc>
          <w:tcPr>
            <w:tcW w:w="1278" w:type="dxa"/>
            <w:noWrap w:val="0"/>
            <w:vAlign w:val="center"/>
          </w:tcPr>
          <w:p w14:paraId="6F5C3223">
            <w:pPr>
              <w:adjustRightInd w:val="0"/>
              <w:snapToGrid w:val="0"/>
              <w:ind w:right="105" w:rightChars="50"/>
              <w:jc w:val="center"/>
              <w:rPr>
                <w:rFonts w:hint="eastAsia" w:ascii="宋体" w:hAnsi="宋体" w:eastAsia="宋体" w:cs="宋体"/>
                <w:szCs w:val="21"/>
                <w:highlight w:val="none"/>
              </w:rPr>
            </w:pPr>
          </w:p>
        </w:tc>
        <w:tc>
          <w:tcPr>
            <w:tcW w:w="1443" w:type="dxa"/>
            <w:noWrap w:val="0"/>
            <w:vAlign w:val="center"/>
          </w:tcPr>
          <w:p w14:paraId="3E83CA2E">
            <w:pPr>
              <w:adjustRightInd w:val="0"/>
              <w:snapToGrid w:val="0"/>
              <w:ind w:right="105" w:rightChars="50"/>
              <w:jc w:val="center"/>
              <w:rPr>
                <w:rFonts w:hint="eastAsia" w:ascii="宋体" w:hAnsi="宋体" w:eastAsia="宋体" w:cs="宋体"/>
                <w:szCs w:val="21"/>
                <w:highlight w:val="none"/>
              </w:rPr>
            </w:pPr>
          </w:p>
        </w:tc>
        <w:tc>
          <w:tcPr>
            <w:tcW w:w="1096" w:type="dxa"/>
            <w:noWrap w:val="0"/>
            <w:vAlign w:val="center"/>
          </w:tcPr>
          <w:p w14:paraId="01DAC645">
            <w:pPr>
              <w:adjustRightInd w:val="0"/>
              <w:snapToGrid w:val="0"/>
              <w:ind w:right="105" w:rightChars="50"/>
              <w:jc w:val="center"/>
              <w:rPr>
                <w:rFonts w:hint="eastAsia" w:ascii="宋体" w:hAnsi="宋体" w:eastAsia="宋体" w:cs="宋体"/>
                <w:szCs w:val="21"/>
                <w:highlight w:val="none"/>
              </w:rPr>
            </w:pPr>
          </w:p>
        </w:tc>
      </w:tr>
    </w:tbl>
    <w:p w14:paraId="738C0E7D">
      <w:pPr>
        <w:spacing w:line="360" w:lineRule="auto"/>
        <w:ind w:right="-197" w:rightChars="-94"/>
        <w:jc w:val="left"/>
        <w:rPr>
          <w:rFonts w:hint="eastAsia" w:ascii="宋体" w:hAnsi="宋体" w:eastAsia="宋体" w:cs="宋体"/>
          <w:szCs w:val="21"/>
          <w:highlight w:val="none"/>
        </w:rPr>
      </w:pPr>
      <w:r>
        <w:rPr>
          <w:rFonts w:hint="eastAsia" w:ascii="宋体" w:hAnsi="宋体" w:eastAsia="宋体" w:cs="宋体"/>
          <w:sz w:val="21"/>
          <w:szCs w:val="16"/>
          <w:highlight w:val="none"/>
          <w:lang w:val="en-US" w:eastAsia="zh-CN"/>
        </w:rPr>
        <w:t>注：本项目最低限价金额：¥116,505.00元/年（每年经营权承包费最低限价），投标</w:t>
      </w:r>
      <w:r>
        <w:rPr>
          <w:rFonts w:hint="eastAsia" w:ascii="宋体" w:hAnsi="宋体" w:eastAsia="宋体" w:cs="宋体"/>
          <w:szCs w:val="21"/>
          <w:highlight w:val="none"/>
        </w:rPr>
        <w:t>报价</w:t>
      </w:r>
      <w:r>
        <w:rPr>
          <w:rFonts w:hint="eastAsia" w:ascii="宋体" w:hAnsi="宋体" w:eastAsia="宋体" w:cs="宋体"/>
          <w:szCs w:val="21"/>
          <w:highlight w:val="none"/>
          <w:lang w:val="en-US" w:eastAsia="zh-CN"/>
        </w:rPr>
        <w:t>不得低于</w:t>
      </w:r>
      <w:r>
        <w:rPr>
          <w:rFonts w:hint="eastAsia" w:ascii="宋体" w:hAnsi="宋体" w:eastAsia="宋体" w:cs="宋体"/>
          <w:szCs w:val="21"/>
          <w:highlight w:val="none"/>
        </w:rPr>
        <w:t>最</w:t>
      </w:r>
      <w:r>
        <w:rPr>
          <w:rFonts w:hint="eastAsia" w:ascii="宋体" w:hAnsi="宋体" w:eastAsia="宋体" w:cs="宋体"/>
          <w:szCs w:val="21"/>
          <w:highlight w:val="none"/>
          <w:lang w:val="en-US" w:eastAsia="zh-CN"/>
        </w:rPr>
        <w:t>低</w:t>
      </w:r>
      <w:r>
        <w:rPr>
          <w:rFonts w:hint="eastAsia" w:ascii="宋体" w:hAnsi="宋体" w:eastAsia="宋体" w:cs="宋体"/>
          <w:szCs w:val="21"/>
          <w:highlight w:val="none"/>
        </w:rPr>
        <w:t>限价，</w:t>
      </w:r>
      <w:r>
        <w:rPr>
          <w:rFonts w:hint="eastAsia" w:ascii="宋体" w:hAnsi="宋体" w:eastAsia="宋体" w:cs="宋体"/>
          <w:szCs w:val="21"/>
          <w:highlight w:val="none"/>
          <w:lang w:val="en-US" w:eastAsia="zh-CN"/>
        </w:rPr>
        <w:t>否则</w:t>
      </w:r>
      <w:r>
        <w:rPr>
          <w:rFonts w:hint="eastAsia" w:ascii="宋体" w:hAnsi="宋体" w:eastAsia="宋体" w:cs="宋体"/>
          <w:szCs w:val="21"/>
          <w:highlight w:val="none"/>
        </w:rPr>
        <w:t>评标委员会将对其投标文件作无效投标处理。</w:t>
      </w:r>
    </w:p>
    <w:p w14:paraId="638E60C5">
      <w:pPr>
        <w:pStyle w:val="25"/>
        <w:rPr>
          <w:rFonts w:hint="eastAsia" w:ascii="宋体" w:hAnsi="宋体" w:eastAsia="宋体" w:cs="宋体"/>
          <w:sz w:val="21"/>
          <w:szCs w:val="16"/>
          <w:highlight w:val="none"/>
          <w:lang w:val="en-US" w:eastAsia="zh-CN"/>
        </w:rPr>
      </w:pPr>
    </w:p>
    <w:p w14:paraId="08CD60B5">
      <w:pPr>
        <w:adjustRightInd w:val="0"/>
        <w:snapToGrid w:val="0"/>
        <w:spacing w:line="360" w:lineRule="auto"/>
        <w:ind w:right="105" w:rightChars="50" w:firstLine="420" w:firstLineChars="200"/>
        <w:jc w:val="left"/>
        <w:rPr>
          <w:rFonts w:ascii="宋体" w:hAnsi="宋体" w:eastAsia="宋体" w:cs="宋体"/>
          <w:szCs w:val="21"/>
          <w:highlight w:val="none"/>
        </w:rPr>
      </w:pPr>
    </w:p>
    <w:p w14:paraId="0E3A4EF8">
      <w:pPr>
        <w:adjustRightInd w:val="0"/>
        <w:snapToGrid w:val="0"/>
        <w:spacing w:line="360" w:lineRule="auto"/>
        <w:ind w:right="105" w:rightChars="50" w:firstLine="420" w:firstLineChars="200"/>
        <w:jc w:val="left"/>
        <w:rPr>
          <w:rFonts w:hint="eastAsia" w:ascii="宋体" w:hAnsi="宋体" w:eastAsia="宋体" w:cs="宋体"/>
          <w:szCs w:val="21"/>
          <w:highlight w:val="none"/>
        </w:rPr>
      </w:pPr>
    </w:p>
    <w:p w14:paraId="1E4ED054">
      <w:pPr>
        <w:adjustRightInd w:val="0"/>
        <w:snapToGrid w:val="0"/>
        <w:spacing w:line="360" w:lineRule="auto"/>
        <w:ind w:right="105" w:rightChars="50" w:firstLine="476" w:firstLineChars="227"/>
        <w:jc w:val="left"/>
        <w:rPr>
          <w:rFonts w:hint="eastAsia" w:ascii="宋体" w:hAnsi="宋体" w:eastAsia="宋体" w:cs="宋体"/>
          <w:szCs w:val="21"/>
          <w:highlight w:val="none"/>
        </w:rPr>
      </w:pPr>
    </w:p>
    <w:p w14:paraId="367DAF37">
      <w:pPr>
        <w:adjustRightInd w:val="0"/>
        <w:snapToGrid w:val="0"/>
        <w:spacing w:line="360" w:lineRule="auto"/>
        <w:ind w:right="105" w:rightChars="50"/>
        <w:jc w:val="left"/>
        <w:rPr>
          <w:rFonts w:hint="eastAsia" w:ascii="宋体" w:hAnsi="宋体" w:eastAsia="宋体" w:cs="宋体"/>
          <w:szCs w:val="21"/>
          <w:highlight w:val="none"/>
          <w:u w:val="single"/>
        </w:rPr>
      </w:pPr>
      <w:r>
        <w:rPr>
          <w:rFonts w:hint="eastAsia" w:ascii="宋体" w:hAnsi="宋体" w:eastAsia="宋体" w:cs="宋体"/>
          <w:szCs w:val="21"/>
          <w:highlight w:val="none"/>
        </w:rPr>
        <w:t>投标人(单位公章):</w:t>
      </w:r>
      <w:r>
        <w:rPr>
          <w:rFonts w:hint="eastAsia" w:ascii="宋体" w:hAnsi="宋体" w:eastAsia="宋体" w:cs="宋体"/>
          <w:szCs w:val="21"/>
          <w:highlight w:val="none"/>
          <w:u w:val="single"/>
        </w:rPr>
        <w:t xml:space="preserve">               </w:t>
      </w:r>
    </w:p>
    <w:p w14:paraId="6AB08C91">
      <w:pPr>
        <w:spacing w:line="360" w:lineRule="auto"/>
        <w:rPr>
          <w:rFonts w:ascii="宋体" w:hAnsi="宋体" w:eastAsia="宋体" w:cs="宋体"/>
          <w:szCs w:val="21"/>
          <w:highlight w:val="none"/>
        </w:rPr>
      </w:pPr>
      <w:r>
        <w:rPr>
          <w:rFonts w:hint="eastAsia" w:ascii="宋体" w:hAnsi="宋体" w:eastAsia="宋体" w:cs="宋体"/>
          <w:szCs w:val="21"/>
          <w:highlight w:val="none"/>
        </w:rPr>
        <w:t>日期：     年   月   日</w:t>
      </w:r>
    </w:p>
    <w:p w14:paraId="6B83C427">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00BC79FC">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6FE316E2">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0E7BA8D8">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22B2B73C">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6E1CB9D5">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40D9397A">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69881E44">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304C0162">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1CDC91D6">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szCs w:val="28"/>
          <w:highlight w:val="none"/>
        </w:rPr>
      </w:pPr>
      <w:r>
        <w:rPr>
          <w:rFonts w:hint="eastAsia" w:ascii="宋体" w:hAnsi="宋体" w:eastAsia="宋体" w:cs="宋体"/>
          <w:b/>
          <w:bCs/>
          <w:sz w:val="32"/>
          <w:szCs w:val="32"/>
          <w:highlight w:val="none"/>
        </w:rPr>
        <w:t>2.</w:t>
      </w:r>
      <w:r>
        <w:rPr>
          <w:rFonts w:hint="eastAsia" w:ascii="宋体" w:hAnsi="宋体" w:eastAsia="宋体" w:cs="宋体"/>
          <w:b/>
          <w:bCs/>
          <w:sz w:val="32"/>
          <w:szCs w:val="32"/>
          <w:highlight w:val="none"/>
          <w:lang w:val="en-US" w:eastAsia="zh-CN"/>
        </w:rPr>
        <w:t>3</w:t>
      </w:r>
      <w:r>
        <w:rPr>
          <w:rFonts w:hint="eastAsia" w:ascii="宋体" w:hAnsi="宋体" w:eastAsia="宋体" w:cs="宋体"/>
          <w:b/>
          <w:bCs/>
          <w:sz w:val="32"/>
          <w:szCs w:val="32"/>
          <w:highlight w:val="none"/>
        </w:rPr>
        <w:t>. “★”实质性要求</w:t>
      </w:r>
      <w:r>
        <w:rPr>
          <w:rFonts w:hint="eastAsia" w:ascii="宋体" w:hAnsi="宋体" w:eastAsia="宋体" w:cs="宋体"/>
          <w:b/>
          <w:bCs/>
          <w:sz w:val="32"/>
          <w:szCs w:val="32"/>
          <w:highlight w:val="none"/>
          <w:lang w:eastAsia="zh-CN"/>
        </w:rPr>
        <w:t>响应</w:t>
      </w:r>
      <w:r>
        <w:rPr>
          <w:rFonts w:hint="eastAsia" w:ascii="宋体" w:hAnsi="宋体" w:eastAsia="宋体" w:cs="宋体"/>
          <w:b/>
          <w:bCs/>
          <w:sz w:val="32"/>
          <w:szCs w:val="32"/>
          <w:highlight w:val="none"/>
        </w:rPr>
        <w:t>表</w:t>
      </w:r>
      <w:bookmarkEnd w:id="99"/>
      <w:bookmarkEnd w:id="100"/>
      <w:bookmarkEnd w:id="101"/>
    </w:p>
    <w:p w14:paraId="02C665B2">
      <w:pPr>
        <w:pStyle w:val="5"/>
        <w:tabs>
          <w:tab w:val="left" w:pos="720"/>
        </w:tabs>
        <w:rPr>
          <w:rFonts w:hint="eastAsia" w:ascii="宋体" w:hAnsi="宋体" w:eastAsia="宋体" w:cs="宋体"/>
          <w:highlight w:val="none"/>
        </w:rPr>
      </w:pPr>
      <w:bookmarkStart w:id="108" w:name="_Toc15793"/>
      <w:bookmarkStart w:id="109" w:name="_Toc11326"/>
      <w:bookmarkStart w:id="110" w:name="_Toc32094"/>
      <w:r>
        <w:rPr>
          <w:rFonts w:hint="eastAsia" w:ascii="宋体" w:hAnsi="宋体" w:eastAsia="宋体" w:cs="宋体"/>
          <w:highlight w:val="none"/>
        </w:rPr>
        <w:t>2.</w:t>
      </w:r>
      <w:r>
        <w:rPr>
          <w:rFonts w:hint="eastAsia" w:ascii="宋体" w:hAnsi="宋体" w:eastAsia="宋体" w:cs="宋体"/>
          <w:highlight w:val="none"/>
          <w:lang w:val="en-US" w:eastAsia="zh-CN"/>
        </w:rPr>
        <w:t>3</w:t>
      </w:r>
      <w:r>
        <w:rPr>
          <w:rFonts w:hint="eastAsia" w:ascii="宋体" w:hAnsi="宋体" w:eastAsia="宋体" w:cs="宋体"/>
          <w:highlight w:val="none"/>
        </w:rPr>
        <w:t>.1“★”实质性要求响应表</w:t>
      </w:r>
      <w:bookmarkEnd w:id="108"/>
      <w:bookmarkEnd w:id="109"/>
      <w:bookmarkEnd w:id="110"/>
    </w:p>
    <w:tbl>
      <w:tblPr>
        <w:tblStyle w:val="17"/>
        <w:tblW w:w="9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160"/>
        <w:gridCol w:w="2915"/>
        <w:gridCol w:w="1309"/>
        <w:gridCol w:w="1011"/>
      </w:tblGrid>
      <w:tr w14:paraId="1EEF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10335567">
            <w:pPr>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6BA60E5C">
            <w:pPr>
              <w:jc w:val="center"/>
              <w:rPr>
                <w:rFonts w:hint="eastAsia" w:ascii="宋体" w:hAnsi="宋体" w:eastAsia="宋体" w:cs="宋体"/>
                <w:szCs w:val="21"/>
                <w:highlight w:val="none"/>
              </w:rPr>
            </w:pPr>
            <w:r>
              <w:rPr>
                <w:rFonts w:hint="eastAsia" w:ascii="宋体" w:hAnsi="宋体" w:eastAsia="宋体" w:cs="宋体"/>
                <w:szCs w:val="21"/>
                <w:highlight w:val="none"/>
              </w:rPr>
              <w:t>招标文件的 “★”</w:t>
            </w:r>
          </w:p>
          <w:p w14:paraId="488BC182">
            <w:pPr>
              <w:jc w:val="center"/>
              <w:rPr>
                <w:rFonts w:hint="eastAsia" w:ascii="宋体" w:hAnsi="宋体" w:eastAsia="宋体" w:cs="宋体"/>
                <w:szCs w:val="21"/>
                <w:highlight w:val="none"/>
              </w:rPr>
            </w:pPr>
            <w:r>
              <w:rPr>
                <w:rFonts w:hint="eastAsia" w:ascii="宋体" w:hAnsi="宋体" w:eastAsia="宋体" w:cs="宋体"/>
                <w:szCs w:val="21"/>
                <w:highlight w:val="none"/>
              </w:rPr>
              <w:t>实质性要求，不得负偏离，如果负偏离，则投标文件无效。</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40563F33">
            <w:pPr>
              <w:jc w:val="center"/>
              <w:rPr>
                <w:rFonts w:hint="eastAsia" w:ascii="宋体" w:hAnsi="宋体" w:eastAsia="宋体" w:cs="宋体"/>
                <w:kern w:val="0"/>
                <w:szCs w:val="21"/>
                <w:highlight w:val="none"/>
              </w:rPr>
            </w:pPr>
            <w:r>
              <w:rPr>
                <w:rFonts w:hint="eastAsia" w:ascii="宋体" w:hAnsi="宋体" w:eastAsia="宋体" w:cs="宋体"/>
                <w:szCs w:val="21"/>
                <w:highlight w:val="none"/>
              </w:rPr>
              <w:t>投标文件响应内容</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660B5255">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响应</w:t>
            </w:r>
          </w:p>
          <w:p w14:paraId="2C19EE3C">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程度（填入：完全响应或不响应）</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48D883CE">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证明材料（如有）</w:t>
            </w:r>
          </w:p>
        </w:tc>
      </w:tr>
      <w:tr w14:paraId="416D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78802030">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70584E06">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按招标需求填写</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6317D102">
            <w:pPr>
              <w:tabs>
                <w:tab w:val="left" w:pos="0"/>
              </w:tabs>
              <w:adjustRightInd w:val="0"/>
              <w:snapToGrid w:val="0"/>
              <w:jc w:val="center"/>
              <w:rPr>
                <w:rFonts w:hint="eastAsia" w:ascii="宋体" w:hAnsi="宋体" w:eastAsia="宋体" w:cs="宋体"/>
                <w:kern w:val="0"/>
                <w:szCs w:val="21"/>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22EBC45B">
            <w:pPr>
              <w:tabs>
                <w:tab w:val="left" w:pos="0"/>
              </w:tabs>
              <w:spacing w:line="240" w:lineRule="exact"/>
              <w:jc w:val="center"/>
              <w:rPr>
                <w:rFonts w:hint="eastAsia" w:ascii="宋体" w:hAnsi="宋体" w:eastAsia="宋体" w:cs="宋体"/>
                <w:kern w:val="0"/>
                <w:szCs w:val="21"/>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EC1A9A4">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r w14:paraId="1036A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02486D94">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64926A6B">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其它</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56FD2B34">
            <w:pPr>
              <w:tabs>
                <w:tab w:val="left" w:pos="0"/>
              </w:tabs>
              <w:adjustRightInd w:val="0"/>
              <w:snapToGrid w:val="0"/>
              <w:jc w:val="center"/>
              <w:rPr>
                <w:rFonts w:hint="eastAsia" w:ascii="宋体" w:hAnsi="宋体" w:eastAsia="宋体" w:cs="宋体"/>
                <w:kern w:val="0"/>
                <w:szCs w:val="21"/>
                <w:highlight w:val="none"/>
              </w:rPr>
            </w:pPr>
            <w:r>
              <w:rPr>
                <w:rFonts w:hint="eastAsia" w:ascii="宋体" w:hAnsi="宋体" w:eastAsia="宋体" w:cs="宋体"/>
                <w:szCs w:val="21"/>
                <w:highlight w:val="none"/>
              </w:rPr>
              <w:t>采购单位未提供需求而投标人认为需说明及补充的内容在此填列</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1DF4A11D">
            <w:pPr>
              <w:tabs>
                <w:tab w:val="left" w:pos="0"/>
              </w:tabs>
              <w:spacing w:line="240" w:lineRule="exact"/>
              <w:jc w:val="center"/>
              <w:rPr>
                <w:rFonts w:hint="eastAsia" w:ascii="宋体" w:hAnsi="宋体" w:eastAsia="宋体" w:cs="宋体"/>
                <w:kern w:val="0"/>
                <w:szCs w:val="21"/>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FC247E1">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bl>
    <w:p w14:paraId="1B9505B9">
      <w:pPr>
        <w:rPr>
          <w:rFonts w:hint="eastAsia" w:ascii="宋体" w:hAnsi="宋体" w:eastAsia="宋体" w:cs="宋体"/>
          <w:highlight w:val="none"/>
        </w:rPr>
      </w:pPr>
    </w:p>
    <w:bookmarkEnd w:id="102"/>
    <w:bookmarkEnd w:id="103"/>
    <w:bookmarkEnd w:id="104"/>
    <w:p w14:paraId="523AA8A5">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1．“投标文件响应内容”一栏由投标人按照招标文件要求填写并进行逐项响应。</w:t>
      </w:r>
    </w:p>
    <w:p w14:paraId="54E1660A">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2．“响应程度”一栏根据“投标文件响应内容”与招标文件逐项对照的结果填写。响应必须用 “完全响应或不响应”进行标注。</w:t>
      </w:r>
    </w:p>
    <w:p w14:paraId="304CE262">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3．</w:t>
      </w:r>
      <w:r>
        <w:rPr>
          <w:rFonts w:hint="eastAsia" w:ascii="宋体" w:hAnsi="宋体" w:eastAsia="宋体" w:cs="宋体"/>
          <w:bCs/>
          <w:szCs w:val="21"/>
          <w:highlight w:val="none"/>
        </w:rPr>
        <w:t>如招标文件未设置“★”实质性响应条款，请填入“本项目未设置“★”实质性响应条款”</w:t>
      </w:r>
      <w:r>
        <w:rPr>
          <w:rFonts w:hint="eastAsia" w:ascii="宋体" w:hAnsi="宋体" w:eastAsia="宋体" w:cs="宋体"/>
          <w:szCs w:val="21"/>
          <w:highlight w:val="none"/>
        </w:rPr>
        <w:t>。</w:t>
      </w:r>
    </w:p>
    <w:p w14:paraId="7A1AB749">
      <w:pPr>
        <w:adjustRightInd w:val="0"/>
        <w:snapToGrid w:val="0"/>
        <w:spacing w:line="360" w:lineRule="auto"/>
        <w:rPr>
          <w:rFonts w:hint="eastAsia" w:ascii="宋体" w:hAnsi="宋体" w:eastAsia="宋体" w:cs="宋体"/>
          <w:szCs w:val="21"/>
          <w:highlight w:val="none"/>
        </w:rPr>
      </w:pPr>
    </w:p>
    <w:p w14:paraId="0D4272D5">
      <w:pPr>
        <w:adjustRightInd w:val="0"/>
        <w:snapToGrid w:val="0"/>
        <w:spacing w:line="360" w:lineRule="auto"/>
        <w:ind w:right="105" w:rightChars="50"/>
        <w:jc w:val="left"/>
        <w:rPr>
          <w:rFonts w:hint="eastAsia" w:ascii="宋体" w:hAnsi="宋体" w:eastAsia="宋体" w:cs="宋体"/>
          <w:szCs w:val="21"/>
          <w:highlight w:val="none"/>
        </w:rPr>
      </w:pPr>
    </w:p>
    <w:p w14:paraId="63F76B62">
      <w:pPr>
        <w:adjustRightInd w:val="0"/>
        <w:snapToGrid w:val="0"/>
        <w:spacing w:line="360" w:lineRule="auto"/>
        <w:ind w:right="105" w:rightChars="50"/>
        <w:jc w:val="left"/>
        <w:rPr>
          <w:rFonts w:hint="eastAsia" w:ascii="宋体" w:hAnsi="宋体" w:eastAsia="宋体" w:cs="宋体"/>
          <w:szCs w:val="21"/>
          <w:highlight w:val="none"/>
        </w:rPr>
      </w:pPr>
    </w:p>
    <w:p w14:paraId="56FA8FC1">
      <w:pPr>
        <w:adjustRightInd w:val="0"/>
        <w:snapToGrid w:val="0"/>
        <w:spacing w:line="360" w:lineRule="auto"/>
        <w:ind w:right="105" w:rightChars="50"/>
        <w:jc w:val="left"/>
        <w:rPr>
          <w:rFonts w:hint="eastAsia" w:ascii="宋体" w:hAnsi="宋体" w:eastAsia="宋体" w:cs="宋体"/>
          <w:szCs w:val="21"/>
          <w:highlight w:val="none"/>
          <w:u w:val="single"/>
        </w:rPr>
      </w:pPr>
      <w:r>
        <w:rPr>
          <w:rFonts w:hint="eastAsia" w:ascii="宋体" w:hAnsi="宋体" w:eastAsia="宋体" w:cs="宋体"/>
          <w:szCs w:val="21"/>
          <w:highlight w:val="none"/>
        </w:rPr>
        <w:t>投标人(单位公章):</w:t>
      </w:r>
      <w:r>
        <w:rPr>
          <w:rFonts w:hint="eastAsia" w:ascii="宋体" w:hAnsi="宋体" w:eastAsia="宋体" w:cs="宋体"/>
          <w:szCs w:val="21"/>
          <w:highlight w:val="none"/>
          <w:u w:val="single"/>
        </w:rPr>
        <w:t xml:space="preserve">               </w:t>
      </w:r>
    </w:p>
    <w:p w14:paraId="430E5C42">
      <w:pPr>
        <w:rPr>
          <w:rFonts w:hint="eastAsia" w:ascii="宋体" w:hAnsi="宋体" w:eastAsia="宋体" w:cs="宋体"/>
          <w:szCs w:val="21"/>
          <w:highlight w:val="none"/>
        </w:rPr>
      </w:pPr>
      <w:r>
        <w:rPr>
          <w:rFonts w:hint="eastAsia" w:ascii="宋体" w:hAnsi="宋体" w:eastAsia="宋体" w:cs="宋体"/>
          <w:szCs w:val="21"/>
          <w:highlight w:val="none"/>
        </w:rPr>
        <w:t>日期：     年   月   日</w:t>
      </w:r>
    </w:p>
    <w:p w14:paraId="1C28923C">
      <w:pPr>
        <w:adjustRightInd w:val="0"/>
        <w:snapToGrid w:val="0"/>
        <w:spacing w:line="360" w:lineRule="auto"/>
        <w:rPr>
          <w:rFonts w:hint="eastAsia" w:ascii="宋体" w:hAnsi="宋体" w:eastAsia="宋体" w:cs="宋体"/>
          <w:szCs w:val="21"/>
          <w:highlight w:val="none"/>
        </w:rPr>
      </w:pPr>
    </w:p>
    <w:p w14:paraId="4DFE1B7B">
      <w:pPr>
        <w:ind w:firstLine="420" w:firstLineChars="200"/>
        <w:rPr>
          <w:rFonts w:hint="eastAsia" w:ascii="宋体" w:hAnsi="宋体" w:eastAsia="宋体" w:cs="宋体"/>
          <w:szCs w:val="21"/>
          <w:highlight w:val="none"/>
        </w:rPr>
      </w:pPr>
    </w:p>
    <w:p w14:paraId="2BC4A489">
      <w:pPr>
        <w:rPr>
          <w:rFonts w:hint="eastAsia" w:ascii="宋体" w:hAnsi="宋体" w:eastAsia="宋体" w:cs="宋体"/>
          <w:b/>
          <w:bCs/>
          <w:sz w:val="32"/>
          <w:szCs w:val="32"/>
          <w:highlight w:val="none"/>
        </w:rPr>
      </w:pPr>
      <w:r>
        <w:rPr>
          <w:rFonts w:hint="eastAsia" w:ascii="宋体" w:hAnsi="宋体" w:eastAsia="宋体" w:cs="宋体"/>
          <w:sz w:val="28"/>
          <w:szCs w:val="28"/>
          <w:highlight w:val="none"/>
        </w:rPr>
        <w:br w:type="page"/>
      </w:r>
      <w:bookmarkEnd w:id="105"/>
      <w:bookmarkStart w:id="111" w:name="_Toc13329_WPSOffice_Level2"/>
      <w:bookmarkStart w:id="112" w:name="_Toc6847_WPSOffice_Level2"/>
    </w:p>
    <w:p w14:paraId="57448562">
      <w:pPr>
        <w:pStyle w:val="3"/>
        <w:keepNext/>
        <w:keepLines/>
        <w:pageBreakBefore w:val="0"/>
        <w:widowControl w:val="0"/>
        <w:tabs>
          <w:tab w:val="left" w:pos="720"/>
        </w:tabs>
        <w:kinsoku/>
        <w:wordWrap/>
        <w:overflowPunct/>
        <w:topLinePunct w:val="0"/>
        <w:autoSpaceDE/>
        <w:autoSpaceDN/>
        <w:bidi w:val="0"/>
        <w:adjustRightInd/>
        <w:snapToGrid/>
        <w:spacing w:line="413" w:lineRule="auto"/>
        <w:jc w:val="left"/>
        <w:textAlignment w:val="auto"/>
        <w:rPr>
          <w:rFonts w:hint="eastAsia" w:ascii="宋体" w:hAnsi="宋体" w:eastAsia="宋体" w:cs="宋体"/>
          <w:bCs/>
          <w:sz w:val="32"/>
          <w:szCs w:val="32"/>
          <w:highlight w:val="none"/>
          <w:lang w:eastAsia="zh-CN"/>
        </w:rPr>
      </w:pPr>
      <w:bookmarkStart w:id="113" w:name="_Toc15353"/>
      <w:bookmarkStart w:id="114" w:name="_Toc19692"/>
      <w:bookmarkStart w:id="115" w:name="_Toc20265"/>
      <w:r>
        <w:rPr>
          <w:rFonts w:hint="eastAsia" w:ascii="宋体" w:hAnsi="宋体" w:eastAsia="宋体" w:cs="宋体"/>
          <w:sz w:val="32"/>
          <w:szCs w:val="32"/>
          <w:highlight w:val="none"/>
        </w:rPr>
        <w:t>2.</w:t>
      </w:r>
      <w:r>
        <w:rPr>
          <w:rFonts w:hint="eastAsia" w:ascii="宋体" w:hAnsi="宋体" w:eastAsia="宋体" w:cs="宋体"/>
          <w:sz w:val="32"/>
          <w:szCs w:val="32"/>
          <w:highlight w:val="none"/>
          <w:lang w:val="en-US" w:eastAsia="zh-CN"/>
        </w:rPr>
        <w:t>4</w:t>
      </w:r>
      <w:r>
        <w:rPr>
          <w:rFonts w:hint="eastAsia" w:ascii="宋体" w:hAnsi="宋体" w:eastAsia="宋体" w:cs="宋体"/>
          <w:bCs/>
          <w:sz w:val="32"/>
          <w:szCs w:val="32"/>
          <w:highlight w:val="none"/>
        </w:rPr>
        <w:t>.其他符合性证明材料：</w:t>
      </w:r>
      <w:bookmarkEnd w:id="113"/>
      <w:bookmarkEnd w:id="114"/>
      <w:bookmarkEnd w:id="115"/>
      <w:r>
        <w:rPr>
          <w:rFonts w:hint="eastAsia" w:ascii="宋体" w:hAnsi="宋体" w:eastAsia="宋体" w:cs="宋体"/>
          <w:bCs/>
          <w:sz w:val="32"/>
          <w:szCs w:val="32"/>
          <w:highlight w:val="none"/>
          <w:lang w:eastAsia="zh-CN"/>
        </w:rPr>
        <w:t>（如</w:t>
      </w:r>
      <w:r>
        <w:rPr>
          <w:rFonts w:hint="eastAsia" w:ascii="宋体" w:hAnsi="宋体" w:eastAsia="宋体" w:cs="宋体"/>
          <w:bCs/>
          <w:sz w:val="32"/>
          <w:szCs w:val="32"/>
          <w:highlight w:val="none"/>
          <w:lang w:val="en-US" w:eastAsia="zh-CN"/>
        </w:rPr>
        <w:t>不适用请</w:t>
      </w:r>
      <w:r>
        <w:rPr>
          <w:rFonts w:hint="eastAsia" w:ascii="宋体" w:hAnsi="宋体" w:eastAsia="宋体" w:cs="宋体"/>
          <w:bCs/>
          <w:sz w:val="32"/>
          <w:szCs w:val="32"/>
          <w:highlight w:val="none"/>
          <w:lang w:eastAsia="zh-CN"/>
        </w:rPr>
        <w:t>删除）</w:t>
      </w:r>
    </w:p>
    <w:p w14:paraId="7D3C248E">
      <w:pPr>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说明：按招标文件提供其他符合性证明材料。</w:t>
      </w:r>
    </w:p>
    <w:p w14:paraId="75C7A807">
      <w:pPr>
        <w:rPr>
          <w:rFonts w:hint="eastAsia" w:ascii="宋体" w:hAnsi="宋体" w:eastAsia="宋体" w:cs="宋体"/>
          <w:szCs w:val="28"/>
          <w:highlight w:val="none"/>
        </w:rPr>
      </w:pPr>
      <w:r>
        <w:rPr>
          <w:rFonts w:hint="eastAsia" w:ascii="宋体" w:hAnsi="宋体" w:eastAsia="宋体" w:cs="宋体"/>
          <w:szCs w:val="28"/>
          <w:highlight w:val="none"/>
        </w:rPr>
        <w:br w:type="page"/>
      </w:r>
    </w:p>
    <w:p w14:paraId="381DE2F1">
      <w:pPr>
        <w:rPr>
          <w:rFonts w:hint="eastAsia" w:ascii="宋体" w:hAnsi="宋体" w:eastAsia="宋体" w:cs="宋体"/>
          <w:b/>
          <w:sz w:val="84"/>
          <w:szCs w:val="84"/>
          <w:highlight w:val="none"/>
        </w:rPr>
      </w:pPr>
    </w:p>
    <w:p w14:paraId="6F62069E">
      <w:pPr>
        <w:rPr>
          <w:rFonts w:hint="eastAsia" w:ascii="宋体" w:hAnsi="宋体" w:eastAsia="宋体" w:cs="宋体"/>
          <w:b/>
          <w:sz w:val="84"/>
          <w:szCs w:val="84"/>
          <w:highlight w:val="none"/>
        </w:rPr>
      </w:pPr>
    </w:p>
    <w:p w14:paraId="4ED42C39">
      <w:pPr>
        <w:pStyle w:val="6"/>
        <w:rPr>
          <w:rFonts w:hint="eastAsia" w:ascii="宋体" w:hAnsi="宋体" w:eastAsia="宋体" w:cs="宋体"/>
          <w:b/>
          <w:sz w:val="84"/>
          <w:szCs w:val="84"/>
          <w:highlight w:val="none"/>
        </w:rPr>
      </w:pPr>
    </w:p>
    <w:p w14:paraId="37BAD536">
      <w:pPr>
        <w:rPr>
          <w:rFonts w:hint="eastAsia" w:ascii="宋体" w:hAnsi="宋体" w:eastAsia="宋体" w:cs="宋体"/>
          <w:highlight w:val="none"/>
        </w:rPr>
      </w:pPr>
    </w:p>
    <w:p w14:paraId="5AF81D26">
      <w:pPr>
        <w:pStyle w:val="8"/>
        <w:rPr>
          <w:rFonts w:hint="eastAsia" w:ascii="宋体" w:hAnsi="宋体" w:eastAsia="宋体" w:cs="宋体"/>
          <w:b/>
          <w:sz w:val="84"/>
          <w:szCs w:val="84"/>
          <w:highlight w:val="none"/>
        </w:rPr>
      </w:pPr>
    </w:p>
    <w:p w14:paraId="6EE92120">
      <w:pPr>
        <w:jc w:val="center"/>
        <w:outlineLvl w:val="0"/>
        <w:rPr>
          <w:rFonts w:hint="eastAsia" w:ascii="宋体" w:hAnsi="宋体" w:eastAsia="宋体" w:cs="宋体"/>
          <w:b/>
          <w:sz w:val="84"/>
          <w:szCs w:val="84"/>
          <w:highlight w:val="none"/>
        </w:rPr>
      </w:pPr>
      <w:bookmarkStart w:id="116" w:name="_Toc32265"/>
      <w:bookmarkStart w:id="117" w:name="_Toc12175"/>
      <w:bookmarkStart w:id="118" w:name="_Toc10429"/>
      <w:bookmarkStart w:id="119" w:name="_Toc18575"/>
      <w:r>
        <w:rPr>
          <w:rFonts w:hint="eastAsia" w:ascii="宋体" w:hAnsi="宋体" w:eastAsia="宋体" w:cs="宋体"/>
          <w:b/>
          <w:sz w:val="84"/>
          <w:szCs w:val="84"/>
          <w:highlight w:val="none"/>
        </w:rPr>
        <w:t>三、其他材料</w:t>
      </w:r>
      <w:bookmarkEnd w:id="116"/>
      <w:bookmarkEnd w:id="117"/>
      <w:bookmarkEnd w:id="118"/>
      <w:bookmarkEnd w:id="119"/>
    </w:p>
    <w:p w14:paraId="7923C646">
      <w:pPr>
        <w:pStyle w:val="3"/>
        <w:tabs>
          <w:tab w:val="left" w:pos="720"/>
        </w:tabs>
        <w:adjustRightInd w:val="0"/>
        <w:snapToGrid w:val="0"/>
        <w:spacing w:before="0" w:after="0" w:line="240" w:lineRule="auto"/>
        <w:jc w:val="left"/>
        <w:rPr>
          <w:rFonts w:hint="eastAsia" w:ascii="宋体" w:hAnsi="宋体" w:eastAsia="宋体" w:cs="宋体"/>
          <w:szCs w:val="28"/>
          <w:highlight w:val="none"/>
        </w:rPr>
      </w:pPr>
    </w:p>
    <w:p w14:paraId="793D246B">
      <w:pPr>
        <w:pStyle w:val="3"/>
        <w:tabs>
          <w:tab w:val="left" w:pos="720"/>
        </w:tabs>
        <w:adjustRightInd w:val="0"/>
        <w:snapToGrid w:val="0"/>
        <w:spacing w:before="0" w:after="0" w:line="240" w:lineRule="auto"/>
        <w:jc w:val="left"/>
        <w:rPr>
          <w:rFonts w:hint="eastAsia" w:ascii="宋体" w:hAnsi="宋体" w:eastAsia="宋体" w:cs="宋体"/>
          <w:szCs w:val="28"/>
          <w:highlight w:val="none"/>
        </w:rPr>
      </w:pPr>
    </w:p>
    <w:bookmarkEnd w:id="111"/>
    <w:bookmarkEnd w:id="112"/>
    <w:p w14:paraId="6992FDFD">
      <w:pPr>
        <w:rPr>
          <w:rFonts w:hint="eastAsia" w:ascii="宋体" w:hAnsi="宋体" w:eastAsia="宋体" w:cs="宋体"/>
          <w:bCs/>
          <w:sz w:val="32"/>
          <w:szCs w:val="32"/>
          <w:highlight w:val="none"/>
        </w:rPr>
      </w:pPr>
      <w:bookmarkStart w:id="120" w:name="_Toc9119"/>
      <w:bookmarkStart w:id="121" w:name="_Toc20224"/>
      <w:bookmarkStart w:id="122" w:name="_Toc1392"/>
      <w:bookmarkStart w:id="123" w:name="_Toc15707"/>
      <w:bookmarkStart w:id="124" w:name="_Hlk28590910"/>
      <w:r>
        <w:rPr>
          <w:rFonts w:hint="eastAsia" w:ascii="宋体" w:hAnsi="宋体" w:eastAsia="宋体" w:cs="宋体"/>
          <w:bCs/>
          <w:sz w:val="32"/>
          <w:szCs w:val="32"/>
          <w:highlight w:val="none"/>
        </w:rPr>
        <w:br w:type="page"/>
      </w:r>
    </w:p>
    <w:p w14:paraId="31C98B69">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3.1.</w:t>
      </w:r>
      <w:bookmarkEnd w:id="120"/>
      <w:bookmarkEnd w:id="121"/>
      <w:bookmarkEnd w:id="122"/>
      <w:bookmarkEnd w:id="123"/>
      <w:r>
        <w:rPr>
          <w:rFonts w:hint="eastAsia" w:ascii="宋体" w:hAnsi="宋体" w:eastAsia="宋体" w:cs="宋体"/>
          <w:b/>
          <w:bCs/>
          <w:sz w:val="32"/>
          <w:szCs w:val="32"/>
          <w:highlight w:val="none"/>
          <w:lang w:eastAsia="zh-CN"/>
        </w:rPr>
        <w:t>采购需求响应表</w:t>
      </w:r>
    </w:p>
    <w:p w14:paraId="1B164771">
      <w:pPr>
        <w:pStyle w:val="5"/>
        <w:tabs>
          <w:tab w:val="left" w:pos="720"/>
        </w:tabs>
        <w:spacing w:line="240" w:lineRule="auto"/>
        <w:rPr>
          <w:rFonts w:hint="eastAsia" w:ascii="宋体" w:hAnsi="宋体" w:eastAsia="宋体" w:cs="宋体"/>
          <w:highlight w:val="none"/>
        </w:rPr>
      </w:pPr>
      <w:bookmarkStart w:id="125" w:name="_Toc9560"/>
      <w:bookmarkStart w:id="126" w:name="_Toc16661"/>
      <w:bookmarkStart w:id="127" w:name="_Toc21601"/>
      <w:r>
        <w:rPr>
          <w:rFonts w:hint="eastAsia" w:ascii="宋体" w:hAnsi="宋体" w:eastAsia="宋体" w:cs="宋体"/>
          <w:highlight w:val="none"/>
        </w:rPr>
        <w:t>3.1.1.</w:t>
      </w:r>
      <w:r>
        <w:rPr>
          <w:rFonts w:hint="eastAsia" w:ascii="宋体" w:hAnsi="宋体" w:eastAsia="宋体" w:cs="宋体"/>
          <w:highlight w:val="none"/>
          <w:lang w:eastAsia="zh-CN"/>
        </w:rPr>
        <w:t>招标文件第三章采购需求</w:t>
      </w:r>
      <w:r>
        <w:rPr>
          <w:rFonts w:hint="eastAsia" w:ascii="宋体" w:hAnsi="宋体" w:eastAsia="宋体" w:cs="宋体"/>
          <w:highlight w:val="none"/>
        </w:rPr>
        <w:t>响应表</w:t>
      </w:r>
      <w:bookmarkEnd w:id="125"/>
      <w:bookmarkEnd w:id="126"/>
      <w:bookmarkEnd w:id="127"/>
    </w:p>
    <w:p w14:paraId="5EC2519E">
      <w:pPr>
        <w:pStyle w:val="25"/>
        <w:spacing w:line="24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 xml:space="preserve">项目名称：                  </w:t>
      </w:r>
    </w:p>
    <w:p w14:paraId="7E1BE3A5">
      <w:pPr>
        <w:pStyle w:val="25"/>
        <w:spacing w:line="24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 xml:space="preserve">项目编号：                </w:t>
      </w:r>
    </w:p>
    <w:tbl>
      <w:tblPr>
        <w:tblStyle w:val="1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632"/>
        <w:gridCol w:w="2427"/>
        <w:gridCol w:w="1089"/>
        <w:gridCol w:w="820"/>
        <w:gridCol w:w="843"/>
      </w:tblGrid>
      <w:tr w14:paraId="73708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730BB473">
            <w:pPr>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269A90D5">
            <w:pPr>
              <w:jc w:val="center"/>
              <w:rPr>
                <w:rFonts w:hint="eastAsia" w:ascii="宋体" w:hAnsi="宋体" w:eastAsia="宋体" w:cs="宋体"/>
                <w:szCs w:val="21"/>
                <w:highlight w:val="none"/>
              </w:rPr>
            </w:pPr>
            <w:r>
              <w:rPr>
                <w:rFonts w:hint="eastAsia" w:ascii="宋体" w:hAnsi="宋体" w:eastAsia="宋体" w:cs="宋体"/>
                <w:szCs w:val="21"/>
                <w:highlight w:val="none"/>
              </w:rPr>
              <w:t>招标文件的</w:t>
            </w:r>
            <w:r>
              <w:rPr>
                <w:rFonts w:hint="eastAsia" w:ascii="宋体" w:hAnsi="宋体" w:eastAsia="宋体" w:cs="宋体"/>
                <w:szCs w:val="21"/>
                <w:highlight w:val="none"/>
                <w:lang w:eastAsia="zh-CN"/>
              </w:rPr>
              <w:t>采购需求</w:t>
            </w:r>
            <w:r>
              <w:rPr>
                <w:rFonts w:hint="eastAsia" w:ascii="宋体" w:hAnsi="宋体" w:eastAsia="宋体" w:cs="宋体"/>
                <w:szCs w:val="21"/>
                <w:highlight w:val="none"/>
              </w:rPr>
              <w:t>要求</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6B382E12">
            <w:pPr>
              <w:jc w:val="center"/>
              <w:rPr>
                <w:rFonts w:hint="eastAsia" w:ascii="宋体" w:hAnsi="宋体" w:eastAsia="宋体" w:cs="宋体"/>
                <w:kern w:val="0"/>
                <w:szCs w:val="21"/>
                <w:highlight w:val="none"/>
              </w:rPr>
            </w:pPr>
            <w:r>
              <w:rPr>
                <w:rFonts w:hint="eastAsia" w:ascii="宋体" w:hAnsi="宋体" w:eastAsia="宋体" w:cs="宋体"/>
                <w:szCs w:val="21"/>
                <w:highlight w:val="none"/>
              </w:rPr>
              <w:t>投标人响应内容</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27471C9">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偏离</w:t>
            </w:r>
          </w:p>
          <w:p w14:paraId="12943F0B">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程度（填入：无偏离、正偏离、负偏离）</w:t>
            </w:r>
          </w:p>
        </w:tc>
        <w:tc>
          <w:tcPr>
            <w:tcW w:w="820" w:type="dxa"/>
            <w:tcBorders>
              <w:top w:val="single" w:color="auto" w:sz="4" w:space="0"/>
              <w:left w:val="single" w:color="auto" w:sz="4" w:space="0"/>
              <w:bottom w:val="single" w:color="auto" w:sz="4" w:space="0"/>
              <w:right w:val="single" w:color="auto" w:sz="4" w:space="0"/>
            </w:tcBorders>
            <w:noWrap w:val="0"/>
            <w:vAlign w:val="center"/>
          </w:tcPr>
          <w:p w14:paraId="7D175E74">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偏离说明</w:t>
            </w:r>
          </w:p>
        </w:tc>
        <w:tc>
          <w:tcPr>
            <w:tcW w:w="843" w:type="dxa"/>
            <w:tcBorders>
              <w:top w:val="single" w:color="auto" w:sz="4" w:space="0"/>
              <w:left w:val="single" w:color="auto" w:sz="4" w:space="0"/>
              <w:bottom w:val="single" w:color="auto" w:sz="4" w:space="0"/>
              <w:right w:val="single" w:color="auto" w:sz="4" w:space="0"/>
            </w:tcBorders>
            <w:noWrap w:val="0"/>
            <w:vAlign w:val="center"/>
          </w:tcPr>
          <w:p w14:paraId="1F8089A5">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证明材料</w:t>
            </w:r>
          </w:p>
        </w:tc>
      </w:tr>
      <w:tr w14:paraId="66DC1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09EC9827">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6063DB05">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按</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招标文件</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中采购需求部分逐条响应</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4A2AD293">
            <w:pPr>
              <w:tabs>
                <w:tab w:val="left" w:pos="0"/>
              </w:tabs>
              <w:adjustRightInd w:val="0"/>
              <w:snapToGrid w:val="0"/>
              <w:jc w:val="center"/>
              <w:rPr>
                <w:rFonts w:hint="eastAsia" w:ascii="宋体" w:hAnsi="宋体" w:eastAsia="宋体" w:cs="宋体"/>
                <w:kern w:val="0"/>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C012DD1">
            <w:pPr>
              <w:tabs>
                <w:tab w:val="left" w:pos="0"/>
              </w:tabs>
              <w:spacing w:line="240" w:lineRule="exact"/>
              <w:jc w:val="center"/>
              <w:rPr>
                <w:rFonts w:hint="eastAsia" w:ascii="宋体" w:hAnsi="宋体" w:eastAsia="宋体" w:cs="宋体"/>
                <w:kern w:val="0"/>
                <w:szCs w:val="21"/>
                <w:highlight w:val="none"/>
              </w:rPr>
            </w:pPr>
          </w:p>
        </w:tc>
        <w:tc>
          <w:tcPr>
            <w:tcW w:w="820" w:type="dxa"/>
            <w:tcBorders>
              <w:top w:val="single" w:color="auto" w:sz="4" w:space="0"/>
              <w:left w:val="single" w:color="auto" w:sz="4" w:space="0"/>
              <w:bottom w:val="single" w:color="auto" w:sz="4" w:space="0"/>
              <w:right w:val="single" w:color="auto" w:sz="4" w:space="0"/>
            </w:tcBorders>
            <w:noWrap w:val="0"/>
            <w:vAlign w:val="center"/>
          </w:tcPr>
          <w:p w14:paraId="2725D288">
            <w:pPr>
              <w:tabs>
                <w:tab w:val="left" w:pos="0"/>
              </w:tabs>
              <w:spacing w:line="240" w:lineRule="exact"/>
              <w:jc w:val="center"/>
              <w:rPr>
                <w:rFonts w:hint="eastAsia" w:ascii="宋体" w:hAnsi="宋体" w:eastAsia="宋体" w:cs="宋体"/>
                <w:kern w:val="0"/>
                <w:szCs w:val="21"/>
                <w:highlight w:val="none"/>
              </w:rPr>
            </w:pPr>
          </w:p>
        </w:tc>
        <w:tc>
          <w:tcPr>
            <w:tcW w:w="843" w:type="dxa"/>
            <w:tcBorders>
              <w:top w:val="single" w:color="auto" w:sz="4" w:space="0"/>
              <w:left w:val="single" w:color="auto" w:sz="4" w:space="0"/>
              <w:bottom w:val="single" w:color="auto" w:sz="4" w:space="0"/>
              <w:right w:val="single" w:color="auto" w:sz="4" w:space="0"/>
            </w:tcBorders>
            <w:noWrap w:val="0"/>
            <w:vAlign w:val="center"/>
          </w:tcPr>
          <w:p w14:paraId="4E71EA4A">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r w14:paraId="0EE19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703085E5">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27B7B080">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其它</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76F34EE7">
            <w:pPr>
              <w:tabs>
                <w:tab w:val="left" w:pos="0"/>
              </w:tabs>
              <w:adjustRightInd w:val="0"/>
              <w:snapToGrid w:val="0"/>
              <w:jc w:val="center"/>
              <w:rPr>
                <w:rFonts w:hint="eastAsia" w:ascii="宋体" w:hAnsi="宋体" w:eastAsia="宋体" w:cs="宋体"/>
                <w:kern w:val="0"/>
                <w:szCs w:val="21"/>
                <w:highlight w:val="none"/>
              </w:rPr>
            </w:pPr>
            <w:r>
              <w:rPr>
                <w:rFonts w:hint="eastAsia" w:ascii="宋体" w:hAnsi="宋体" w:eastAsia="宋体" w:cs="宋体"/>
                <w:szCs w:val="21"/>
                <w:highlight w:val="none"/>
              </w:rPr>
              <w:t>采购单位未提供需求而投标人认为需说明及补充的内容在此填列</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6509774">
            <w:pPr>
              <w:tabs>
                <w:tab w:val="left" w:pos="0"/>
              </w:tabs>
              <w:spacing w:line="240" w:lineRule="exact"/>
              <w:jc w:val="center"/>
              <w:rPr>
                <w:rFonts w:hint="eastAsia" w:ascii="宋体" w:hAnsi="宋体" w:eastAsia="宋体" w:cs="宋体"/>
                <w:kern w:val="0"/>
                <w:szCs w:val="21"/>
                <w:highlight w:val="none"/>
              </w:rPr>
            </w:pPr>
          </w:p>
        </w:tc>
        <w:tc>
          <w:tcPr>
            <w:tcW w:w="820" w:type="dxa"/>
            <w:tcBorders>
              <w:top w:val="single" w:color="auto" w:sz="4" w:space="0"/>
              <w:left w:val="single" w:color="auto" w:sz="4" w:space="0"/>
              <w:bottom w:val="single" w:color="auto" w:sz="4" w:space="0"/>
              <w:right w:val="single" w:color="auto" w:sz="4" w:space="0"/>
            </w:tcBorders>
            <w:noWrap w:val="0"/>
            <w:vAlign w:val="center"/>
          </w:tcPr>
          <w:p w14:paraId="4CC21FF2">
            <w:pPr>
              <w:tabs>
                <w:tab w:val="left" w:pos="0"/>
              </w:tabs>
              <w:spacing w:line="240" w:lineRule="exact"/>
              <w:jc w:val="center"/>
              <w:rPr>
                <w:rFonts w:hint="eastAsia" w:ascii="宋体" w:hAnsi="宋体" w:eastAsia="宋体" w:cs="宋体"/>
                <w:kern w:val="0"/>
                <w:szCs w:val="21"/>
                <w:highlight w:val="none"/>
              </w:rPr>
            </w:pPr>
          </w:p>
        </w:tc>
        <w:tc>
          <w:tcPr>
            <w:tcW w:w="843" w:type="dxa"/>
            <w:tcBorders>
              <w:top w:val="single" w:color="auto" w:sz="4" w:space="0"/>
              <w:left w:val="single" w:color="auto" w:sz="4" w:space="0"/>
              <w:bottom w:val="single" w:color="auto" w:sz="4" w:space="0"/>
              <w:right w:val="single" w:color="auto" w:sz="4" w:space="0"/>
            </w:tcBorders>
            <w:noWrap w:val="0"/>
            <w:vAlign w:val="center"/>
          </w:tcPr>
          <w:p w14:paraId="6408029D">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bl>
    <w:p w14:paraId="4B7F0A19">
      <w:pPr>
        <w:adjustRightInd w:val="0"/>
        <w:snapToGrid w:val="0"/>
        <w:spacing w:line="360" w:lineRule="auto"/>
        <w:ind w:right="105" w:rightChars="50" w:firstLine="476" w:firstLineChars="227"/>
        <w:jc w:val="left"/>
        <w:rPr>
          <w:rFonts w:hint="eastAsia" w:ascii="宋体" w:hAnsi="宋体" w:eastAsia="宋体" w:cs="宋体"/>
          <w:szCs w:val="21"/>
          <w:highlight w:val="none"/>
        </w:rPr>
      </w:pPr>
    </w:p>
    <w:p w14:paraId="2CBF522D">
      <w:pPr>
        <w:adjustRightInd w:val="0"/>
        <w:snapToGrid w:val="0"/>
        <w:spacing w:line="360" w:lineRule="auto"/>
        <w:ind w:right="105" w:rightChars="50"/>
        <w:jc w:val="left"/>
        <w:rPr>
          <w:rFonts w:hint="eastAsia" w:ascii="宋体" w:hAnsi="宋体" w:eastAsia="宋体" w:cs="宋体"/>
          <w:b/>
          <w:szCs w:val="21"/>
          <w:highlight w:val="none"/>
        </w:rPr>
      </w:pPr>
      <w:r>
        <w:rPr>
          <w:rFonts w:hint="eastAsia" w:ascii="宋体" w:hAnsi="宋体" w:eastAsia="宋体" w:cs="宋体"/>
          <w:b/>
          <w:szCs w:val="21"/>
          <w:highlight w:val="none"/>
        </w:rPr>
        <w:t>填表要求：</w:t>
      </w:r>
    </w:p>
    <w:p w14:paraId="2D992852">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eastAsia="zh-CN"/>
        </w:rPr>
        <w:t>采购需求</w:t>
      </w:r>
      <w:r>
        <w:rPr>
          <w:rFonts w:hint="eastAsia" w:ascii="宋体" w:hAnsi="宋体" w:eastAsia="宋体" w:cs="宋体"/>
          <w:szCs w:val="21"/>
          <w:highlight w:val="none"/>
        </w:rPr>
        <w:t>响应表”一栏由投标人按照招标文件要求填写并进行逐项响应。</w:t>
      </w:r>
    </w:p>
    <w:p w14:paraId="4272DB64">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2．“偏离程度”一栏根据“投标文件响应内容”与招标文件逐项对照的结果填写。偏离必须用 “正偏离、负偏离或无偏离”三个名称中的一种进行标注。</w:t>
      </w:r>
    </w:p>
    <w:p w14:paraId="29B60FA4">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3．“偏离说明”一栏由投标人对偏离的情况做详细说明。</w:t>
      </w:r>
    </w:p>
    <w:p w14:paraId="264D4B37">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4.请按招标文件要求在本表后附相关证明材料，响应参数与证明材料不一致，评标委员会将有可能做出对</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不利的评定。</w:t>
      </w:r>
    </w:p>
    <w:p w14:paraId="59B98451">
      <w:pPr>
        <w:adjustRightInd w:val="0"/>
        <w:snapToGrid w:val="0"/>
        <w:spacing w:line="360" w:lineRule="auto"/>
        <w:rPr>
          <w:rFonts w:hint="eastAsia" w:ascii="宋体" w:hAnsi="宋体" w:eastAsia="宋体" w:cs="宋体"/>
          <w:szCs w:val="21"/>
          <w:highlight w:val="none"/>
        </w:rPr>
      </w:pPr>
    </w:p>
    <w:p w14:paraId="7D705210">
      <w:pPr>
        <w:adjustRightInd w:val="0"/>
        <w:snapToGrid w:val="0"/>
        <w:spacing w:line="360" w:lineRule="auto"/>
        <w:ind w:right="105" w:rightChars="50" w:firstLine="476" w:firstLineChars="227"/>
        <w:jc w:val="left"/>
        <w:rPr>
          <w:rFonts w:hint="eastAsia" w:ascii="宋体" w:hAnsi="宋体" w:eastAsia="宋体" w:cs="宋体"/>
          <w:szCs w:val="21"/>
          <w:highlight w:val="none"/>
          <w:u w:val="single"/>
        </w:rPr>
      </w:pPr>
      <w:r>
        <w:rPr>
          <w:rFonts w:hint="eastAsia" w:ascii="宋体" w:hAnsi="宋体" w:eastAsia="宋体" w:cs="宋体"/>
          <w:szCs w:val="21"/>
          <w:highlight w:val="none"/>
        </w:rPr>
        <w:t>投标人(单位公章):</w:t>
      </w:r>
      <w:r>
        <w:rPr>
          <w:rFonts w:hint="eastAsia" w:ascii="宋体" w:hAnsi="宋体" w:eastAsia="宋体" w:cs="宋体"/>
          <w:szCs w:val="21"/>
          <w:highlight w:val="none"/>
          <w:u w:val="single"/>
        </w:rPr>
        <w:t xml:space="preserve">               </w:t>
      </w:r>
    </w:p>
    <w:p w14:paraId="43E61F32">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日期：     年   月   日</w:t>
      </w:r>
    </w:p>
    <w:p w14:paraId="643A6791">
      <w:pPr>
        <w:spacing w:line="360" w:lineRule="auto"/>
        <w:ind w:firstLine="420" w:firstLineChars="200"/>
        <w:rPr>
          <w:rFonts w:hint="eastAsia" w:ascii="宋体" w:hAnsi="宋体" w:eastAsia="宋体" w:cs="宋体"/>
          <w:szCs w:val="21"/>
          <w:highlight w:val="none"/>
        </w:rPr>
      </w:pPr>
    </w:p>
    <w:p w14:paraId="4B5BF155">
      <w:pPr>
        <w:spacing w:line="360" w:lineRule="auto"/>
        <w:ind w:firstLine="420" w:firstLineChars="200"/>
        <w:rPr>
          <w:rFonts w:hint="eastAsia" w:ascii="宋体" w:hAnsi="宋体" w:eastAsia="宋体" w:cs="宋体"/>
          <w:szCs w:val="21"/>
          <w:highlight w:val="none"/>
        </w:rPr>
      </w:pPr>
    </w:p>
    <w:p w14:paraId="3BDEFB2B">
      <w:pPr>
        <w:spacing w:line="360" w:lineRule="auto"/>
        <w:ind w:firstLine="420" w:firstLineChars="200"/>
        <w:rPr>
          <w:rFonts w:hint="eastAsia" w:ascii="宋体" w:hAnsi="宋体" w:eastAsia="宋体" w:cs="宋体"/>
          <w:szCs w:val="21"/>
          <w:highlight w:val="none"/>
        </w:rPr>
      </w:pPr>
    </w:p>
    <w:p w14:paraId="46604B83">
      <w:pPr>
        <w:spacing w:line="360" w:lineRule="auto"/>
        <w:ind w:firstLine="420" w:firstLineChars="200"/>
        <w:rPr>
          <w:rFonts w:hint="eastAsia" w:ascii="宋体" w:hAnsi="宋体" w:eastAsia="宋体" w:cs="宋体"/>
          <w:szCs w:val="21"/>
          <w:highlight w:val="none"/>
        </w:rPr>
      </w:pPr>
    </w:p>
    <w:p w14:paraId="5A5AF5F8">
      <w:pPr>
        <w:spacing w:line="360" w:lineRule="auto"/>
        <w:ind w:firstLine="420" w:firstLineChars="200"/>
        <w:rPr>
          <w:rFonts w:hint="eastAsia" w:ascii="宋体" w:hAnsi="宋体" w:eastAsia="宋体" w:cs="宋体"/>
          <w:szCs w:val="21"/>
          <w:highlight w:val="none"/>
        </w:rPr>
      </w:pPr>
    </w:p>
    <w:bookmarkEnd w:id="124"/>
    <w:p w14:paraId="22518FD9">
      <w:pPr>
        <w:rPr>
          <w:rFonts w:hint="eastAsia" w:ascii="宋体" w:hAnsi="宋体" w:eastAsia="宋体" w:cs="宋体"/>
          <w:szCs w:val="21"/>
          <w:highlight w:val="none"/>
        </w:rPr>
      </w:pPr>
      <w:bookmarkStart w:id="128" w:name="_Hlk29907923"/>
      <w:r>
        <w:rPr>
          <w:rFonts w:hint="eastAsia" w:ascii="宋体" w:hAnsi="宋体" w:eastAsia="宋体" w:cs="宋体"/>
          <w:szCs w:val="28"/>
          <w:highlight w:val="none"/>
        </w:rPr>
        <w:br w:type="page"/>
      </w:r>
      <w:bookmarkStart w:id="129" w:name="_Toc29251"/>
      <w:bookmarkStart w:id="130" w:name="_Toc24749"/>
      <w:bookmarkStart w:id="131" w:name="_Toc24207"/>
      <w:bookmarkStart w:id="132" w:name="_Toc31073"/>
    </w:p>
    <w:p w14:paraId="1A47DFFF">
      <w:pPr>
        <w:pStyle w:val="3"/>
        <w:keepNext/>
        <w:keepLines/>
        <w:pageBreakBefore w:val="0"/>
        <w:widowControl w:val="0"/>
        <w:tabs>
          <w:tab w:val="left" w:pos="720"/>
        </w:tabs>
        <w:kinsoku/>
        <w:wordWrap/>
        <w:overflowPunct/>
        <w:topLinePunct w:val="0"/>
        <w:autoSpaceDE/>
        <w:autoSpaceDN/>
        <w:bidi w:val="0"/>
        <w:adjustRightInd/>
        <w:snapToGrid/>
        <w:spacing w:line="413" w:lineRule="auto"/>
        <w:jc w:val="left"/>
        <w:textAlignment w:val="auto"/>
        <w:rPr>
          <w:rFonts w:hint="eastAsia" w:ascii="宋体" w:hAnsi="宋体" w:eastAsia="宋体" w:cs="宋体"/>
          <w:b w:val="0"/>
          <w:bCs/>
          <w:sz w:val="32"/>
          <w:szCs w:val="32"/>
          <w:highlight w:val="none"/>
        </w:rPr>
      </w:pPr>
      <w:r>
        <w:rPr>
          <w:rFonts w:hint="eastAsia" w:ascii="宋体" w:hAnsi="宋体" w:eastAsia="宋体" w:cs="宋体"/>
          <w:bCs/>
          <w:sz w:val="32"/>
          <w:szCs w:val="32"/>
          <w:highlight w:val="none"/>
        </w:rPr>
        <w:t>3.</w:t>
      </w:r>
      <w:r>
        <w:rPr>
          <w:rFonts w:hint="eastAsia" w:ascii="宋体" w:hAnsi="宋体" w:eastAsia="宋体" w:cs="宋体"/>
          <w:bCs/>
          <w:sz w:val="32"/>
          <w:szCs w:val="32"/>
          <w:highlight w:val="none"/>
          <w:lang w:val="en-US" w:eastAsia="zh-CN"/>
        </w:rPr>
        <w:t>2</w:t>
      </w:r>
      <w:r>
        <w:rPr>
          <w:rFonts w:hint="eastAsia" w:ascii="宋体" w:hAnsi="宋体" w:eastAsia="宋体" w:cs="宋体"/>
          <w:bCs/>
          <w:sz w:val="32"/>
          <w:szCs w:val="32"/>
          <w:highlight w:val="none"/>
        </w:rPr>
        <w:t>.中标服务费支付承诺书</w:t>
      </w:r>
      <w:bookmarkEnd w:id="129"/>
      <w:bookmarkEnd w:id="130"/>
      <w:bookmarkEnd w:id="131"/>
      <w:bookmarkEnd w:id="132"/>
    </w:p>
    <w:p w14:paraId="3846B4B6">
      <w:pPr>
        <w:spacing w:line="360" w:lineRule="auto"/>
        <w:rPr>
          <w:rFonts w:hint="eastAsia" w:ascii="宋体" w:hAnsi="宋体" w:eastAsia="宋体" w:cs="宋体"/>
          <w:szCs w:val="21"/>
          <w:highlight w:val="none"/>
        </w:rPr>
      </w:pPr>
    </w:p>
    <w:p w14:paraId="3C80AFD3">
      <w:pPr>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致：</w:t>
      </w:r>
      <w:r>
        <w:rPr>
          <w:rFonts w:hint="eastAsia" w:ascii="宋体" w:hAnsi="宋体" w:eastAsia="宋体" w:cs="宋体"/>
          <w:b/>
          <w:bCs/>
          <w:szCs w:val="21"/>
          <w:highlight w:val="none"/>
          <w:lang w:val="en-US" w:eastAsia="zh-CN"/>
        </w:rPr>
        <w:t>招标</w:t>
      </w:r>
      <w:r>
        <w:rPr>
          <w:rFonts w:hint="eastAsia" w:ascii="宋体" w:hAnsi="宋体" w:eastAsia="宋体" w:cs="宋体"/>
          <w:b/>
          <w:bCs/>
          <w:szCs w:val="21"/>
          <w:highlight w:val="none"/>
        </w:rPr>
        <w:t>代理机构</w:t>
      </w:r>
    </w:p>
    <w:p w14:paraId="02C94A7F">
      <w:pPr>
        <w:spacing w:line="360" w:lineRule="auto"/>
        <w:rPr>
          <w:rFonts w:hint="eastAsia" w:ascii="宋体" w:hAnsi="宋体" w:eastAsia="宋体" w:cs="宋体"/>
          <w:szCs w:val="21"/>
          <w:highlight w:val="none"/>
        </w:rPr>
      </w:pPr>
    </w:p>
    <w:p w14:paraId="014A90F1">
      <w:pPr>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如果我方在贵单位组织的</w:t>
      </w:r>
      <w:r>
        <w:rPr>
          <w:rFonts w:hint="eastAsia" w:ascii="宋体" w:hAnsi="宋体" w:eastAsia="宋体" w:cs="宋体"/>
          <w:szCs w:val="21"/>
          <w:highlight w:val="none"/>
          <w:u w:val="single"/>
        </w:rPr>
        <w:t xml:space="preserve"> </w:t>
      </w:r>
      <w:r>
        <w:rPr>
          <w:rFonts w:hint="eastAsia" w:ascii="宋体" w:hAnsi="宋体" w:eastAsia="宋体" w:cs="宋体"/>
          <w:kern w:val="28"/>
          <w:szCs w:val="21"/>
          <w:highlight w:val="none"/>
          <w:u w:val="single"/>
        </w:rPr>
        <w:t>（项目名称）</w:t>
      </w:r>
      <w:r>
        <w:rPr>
          <w:rFonts w:hint="eastAsia" w:ascii="宋体" w:hAnsi="宋体" w:eastAsia="宋体" w:cs="宋体"/>
          <w:szCs w:val="21"/>
          <w:highlight w:val="none"/>
        </w:rPr>
        <w:t>（项目编号：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）招标中获中标，我方保证在收取《中标通知书》前，按招标文件规定向贵单位交纳中标服务费。</w:t>
      </w:r>
    </w:p>
    <w:p w14:paraId="386B71BC">
      <w:pPr>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我方如违约，愿凭贵单位开出的违约通知，从我方提交的投标保证金中支付，不足部分由</w:t>
      </w:r>
      <w:r>
        <w:rPr>
          <w:rFonts w:hint="eastAsia" w:ascii="宋体" w:hAnsi="宋体" w:eastAsia="宋体" w:cs="宋体"/>
          <w:szCs w:val="21"/>
          <w:highlight w:val="none"/>
          <w:lang w:eastAsia="zh-CN"/>
        </w:rPr>
        <w:t>招标人</w:t>
      </w:r>
      <w:r>
        <w:rPr>
          <w:rFonts w:hint="eastAsia" w:ascii="宋体" w:hAnsi="宋体" w:eastAsia="宋体" w:cs="宋体"/>
          <w:szCs w:val="21"/>
          <w:highlight w:val="none"/>
        </w:rPr>
        <w:t>在支付我方的中标合同款中代为扣付。</w:t>
      </w:r>
    </w:p>
    <w:p w14:paraId="41F077BD">
      <w:pPr>
        <w:spacing w:line="360" w:lineRule="auto"/>
        <w:rPr>
          <w:rFonts w:hint="eastAsia" w:ascii="宋体" w:hAnsi="宋体" w:eastAsia="宋体" w:cs="宋体"/>
          <w:szCs w:val="21"/>
          <w:highlight w:val="none"/>
        </w:rPr>
      </w:pPr>
    </w:p>
    <w:p w14:paraId="39879ACA">
      <w:pPr>
        <w:spacing w:line="360" w:lineRule="auto"/>
        <w:ind w:firstLine="405"/>
        <w:rPr>
          <w:rFonts w:hint="eastAsia" w:ascii="宋体" w:hAnsi="宋体" w:eastAsia="宋体" w:cs="宋体"/>
          <w:szCs w:val="21"/>
          <w:highlight w:val="none"/>
        </w:rPr>
      </w:pPr>
      <w:r>
        <w:rPr>
          <w:rFonts w:hint="eastAsia" w:ascii="宋体" w:hAnsi="宋体" w:eastAsia="宋体" w:cs="宋体"/>
          <w:szCs w:val="21"/>
          <w:highlight w:val="none"/>
        </w:rPr>
        <w:t>特此承诺！</w:t>
      </w:r>
    </w:p>
    <w:p w14:paraId="42EC25B7">
      <w:pPr>
        <w:spacing w:line="360" w:lineRule="auto"/>
        <w:rPr>
          <w:rFonts w:hint="eastAsia" w:ascii="宋体" w:hAnsi="宋体" w:eastAsia="宋体" w:cs="宋体"/>
          <w:szCs w:val="21"/>
          <w:highlight w:val="none"/>
        </w:rPr>
      </w:pPr>
    </w:p>
    <w:p w14:paraId="315FF5B0">
      <w:pPr>
        <w:spacing w:line="360" w:lineRule="auto"/>
        <w:rPr>
          <w:rFonts w:hint="eastAsia" w:ascii="宋体" w:hAnsi="宋体" w:eastAsia="宋体" w:cs="宋体"/>
          <w:szCs w:val="21"/>
          <w:highlight w:val="none"/>
        </w:rPr>
      </w:pPr>
    </w:p>
    <w:p w14:paraId="27E57176">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投标人法定名称（公章）；</w:t>
      </w:r>
    </w:p>
    <w:p w14:paraId="6C164933">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投标人法定地址：</w:t>
      </w:r>
    </w:p>
    <w:p w14:paraId="65998A3E">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投标人授权代表（签字或盖章）：</w:t>
      </w:r>
    </w:p>
    <w:p w14:paraId="138A824D">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电    话：</w:t>
      </w:r>
    </w:p>
    <w:p w14:paraId="10C7F639">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传    真：</w:t>
      </w:r>
    </w:p>
    <w:p w14:paraId="2EA196CD">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承诺日期：</w:t>
      </w:r>
    </w:p>
    <w:p w14:paraId="30F58932">
      <w:pPr>
        <w:spacing w:line="360" w:lineRule="auto"/>
        <w:rPr>
          <w:rFonts w:hint="eastAsia" w:ascii="宋体" w:hAnsi="宋体" w:eastAsia="宋体" w:cs="宋体"/>
          <w:szCs w:val="21"/>
          <w:highlight w:val="none"/>
        </w:rPr>
      </w:pPr>
    </w:p>
    <w:p w14:paraId="05D3A4BD">
      <w:pPr>
        <w:spacing w:line="360" w:lineRule="auto"/>
        <w:rPr>
          <w:rFonts w:hint="eastAsia" w:ascii="宋体" w:hAnsi="宋体" w:eastAsia="宋体" w:cs="宋体"/>
          <w:szCs w:val="21"/>
          <w:highlight w:val="none"/>
        </w:rPr>
      </w:pPr>
    </w:p>
    <w:p w14:paraId="5427EFA2">
      <w:pPr>
        <w:spacing w:line="360" w:lineRule="auto"/>
        <w:rPr>
          <w:rFonts w:hint="eastAsia" w:ascii="宋体" w:hAnsi="宋体" w:eastAsia="宋体" w:cs="宋体"/>
          <w:szCs w:val="21"/>
          <w:highlight w:val="none"/>
        </w:rPr>
      </w:pPr>
    </w:p>
    <w:p w14:paraId="758A0635">
      <w:pPr>
        <w:spacing w:line="360" w:lineRule="auto"/>
        <w:ind w:left="424" w:hanging="424" w:hangingChars="202"/>
        <w:rPr>
          <w:rFonts w:hint="eastAsia" w:ascii="宋体" w:hAnsi="宋体" w:eastAsia="宋体" w:cs="宋体"/>
          <w:highlight w:val="none"/>
        </w:rPr>
      </w:pPr>
      <w:r>
        <w:rPr>
          <w:rFonts w:hint="eastAsia" w:ascii="宋体" w:hAnsi="宋体" w:eastAsia="宋体" w:cs="宋体"/>
          <w:szCs w:val="21"/>
          <w:highlight w:val="none"/>
        </w:rPr>
        <w:t>注：投标人请注意区分投标保证金及中标服务费收款帐号的区别，务必将保证金按招标文件的要求存入指定的保证金专用账户，中标服务费存入缴费通知书中指定的服务费账户。切勿将款项转错账户，以免影响保证金退还的速度。</w:t>
      </w:r>
    </w:p>
    <w:bookmarkEnd w:id="128"/>
    <w:p w14:paraId="031FF19E">
      <w:pPr>
        <w:jc w:val="center"/>
        <w:rPr>
          <w:rFonts w:hint="eastAsia" w:ascii="宋体" w:hAnsi="宋体" w:eastAsia="宋体" w:cs="宋体"/>
          <w:b/>
          <w:kern w:val="44"/>
          <w:sz w:val="44"/>
          <w:highlight w:val="none"/>
        </w:rPr>
      </w:pPr>
    </w:p>
    <w:p w14:paraId="571004E9">
      <w:pPr>
        <w:jc w:val="center"/>
        <w:rPr>
          <w:rFonts w:hint="eastAsia" w:ascii="宋体" w:hAnsi="宋体" w:eastAsia="宋体" w:cs="宋体"/>
          <w:b/>
          <w:kern w:val="44"/>
          <w:sz w:val="44"/>
          <w:highlight w:val="none"/>
        </w:rPr>
      </w:pPr>
    </w:p>
    <w:p w14:paraId="5B1D4D55">
      <w:pPr>
        <w:pStyle w:val="8"/>
        <w:rPr>
          <w:rFonts w:hint="eastAsia"/>
          <w:highlight w:val="none"/>
        </w:rPr>
      </w:pPr>
    </w:p>
    <w:p w14:paraId="0B29E552">
      <w:pPr>
        <w:jc w:val="center"/>
        <w:rPr>
          <w:rFonts w:hint="eastAsia" w:ascii="宋体" w:hAnsi="宋体" w:eastAsia="宋体" w:cs="宋体"/>
          <w:highlight w:val="none"/>
          <w:lang w:eastAsia="zh-CN"/>
        </w:rPr>
      </w:pPr>
      <w:r>
        <w:rPr>
          <w:rFonts w:hint="eastAsia" w:ascii="宋体" w:hAnsi="宋体" w:eastAsia="宋体" w:cs="宋体"/>
          <w:b/>
          <w:kern w:val="44"/>
          <w:sz w:val="44"/>
          <w:highlight w:val="none"/>
        </w:rPr>
        <w:t xml:space="preserve">第三章 </w:t>
      </w:r>
      <w:r>
        <w:rPr>
          <w:rFonts w:hint="eastAsia" w:ascii="宋体" w:hAnsi="宋体" w:eastAsia="宋体" w:cs="宋体"/>
          <w:b/>
          <w:kern w:val="44"/>
          <w:sz w:val="44"/>
          <w:highlight w:val="none"/>
          <w:lang w:eastAsia="zh-CN"/>
        </w:rPr>
        <w:t>采购需求</w:t>
      </w:r>
    </w:p>
    <w:p w14:paraId="6FDAAA48">
      <w:pPr>
        <w:spacing w:line="420" w:lineRule="exact"/>
        <w:rPr>
          <w:rFonts w:hint="eastAsia" w:ascii="宋体" w:hAnsi="宋体" w:eastAsia="宋体" w:cs="宋体"/>
          <w:szCs w:val="21"/>
          <w:highlight w:val="none"/>
        </w:rPr>
      </w:pPr>
      <w:r>
        <w:rPr>
          <w:rFonts w:hint="eastAsia" w:ascii="宋体" w:hAnsi="宋体" w:eastAsia="宋体" w:cs="宋体"/>
          <w:szCs w:val="21"/>
          <w:highlight w:val="none"/>
        </w:rPr>
        <w:t>编制说明：</w:t>
      </w:r>
    </w:p>
    <w:p w14:paraId="0F39F0E3">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《采购需求》中所涉及的设备品牌及型号，仅供参考，并无任何限制性。供应商可以选用其他替代标准、品牌或型号，但这些替代在质量和性能上不得低于《采购需求》的要求。</w:t>
      </w:r>
    </w:p>
    <w:p w14:paraId="11B3B674">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《采购需求》中凡标注有“★”的地方为实质性响应条款，作为投标无效条款，请投标人注意，必须实质性点对点响应；否则将导致无效投标。</w:t>
      </w:r>
    </w:p>
    <w:p w14:paraId="112D8391">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《采购需求》中凡标注有“▲”的地方为重要条款，但不作为投标无效条款，请投标人注意，必须实质性点对点响应；否则将严重影响技术评分。</w:t>
      </w:r>
    </w:p>
    <w:p w14:paraId="258FFC67">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《采购需求》中凡标注有“◆”的地方为核心货物或服务，请投标人注意。</w:t>
      </w:r>
    </w:p>
    <w:p w14:paraId="12016EAF">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一、项目需求一览表</w:t>
      </w:r>
    </w:p>
    <w:tbl>
      <w:tblPr>
        <w:tblStyle w:val="17"/>
        <w:tblW w:w="9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3540"/>
        <w:gridCol w:w="720"/>
        <w:gridCol w:w="1740"/>
        <w:gridCol w:w="1966"/>
        <w:gridCol w:w="867"/>
      </w:tblGrid>
      <w:tr w14:paraId="63CE0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688" w:type="dxa"/>
            <w:noWrap/>
            <w:vAlign w:val="center"/>
          </w:tcPr>
          <w:p w14:paraId="504FAC81">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3540" w:type="dxa"/>
            <w:noWrap/>
            <w:vAlign w:val="center"/>
          </w:tcPr>
          <w:p w14:paraId="3ED0EBC9">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color w:val="000000"/>
                <w:kern w:val="0"/>
                <w:sz w:val="21"/>
                <w:szCs w:val="21"/>
                <w:highlight w:val="none"/>
                <w:lang w:bidi="ar"/>
              </w:rPr>
              <w:t>采购内容</w:t>
            </w:r>
          </w:p>
        </w:tc>
        <w:tc>
          <w:tcPr>
            <w:tcW w:w="720" w:type="dxa"/>
            <w:noWrap/>
            <w:vAlign w:val="center"/>
          </w:tcPr>
          <w:p w14:paraId="0CAB8812">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数量</w:t>
            </w:r>
          </w:p>
        </w:tc>
        <w:tc>
          <w:tcPr>
            <w:tcW w:w="1740" w:type="dxa"/>
            <w:noWrap/>
            <w:vAlign w:val="center"/>
          </w:tcPr>
          <w:p w14:paraId="07C42848">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lang w:eastAsia="zh-CN"/>
              </w:rPr>
            </w:pPr>
            <w:r>
              <w:rPr>
                <w:rFonts w:hint="eastAsia" w:ascii="宋体" w:hAnsi="宋体" w:eastAsia="宋体" w:cs="宋体"/>
                <w:b/>
                <w:sz w:val="21"/>
                <w:szCs w:val="21"/>
                <w:highlight w:val="none"/>
                <w:lang w:eastAsia="zh-CN"/>
              </w:rPr>
              <w:t>经营权使用期限</w:t>
            </w:r>
          </w:p>
        </w:tc>
        <w:tc>
          <w:tcPr>
            <w:tcW w:w="1966" w:type="dxa"/>
            <w:noWrap/>
            <w:vAlign w:val="center"/>
          </w:tcPr>
          <w:p w14:paraId="75B09979">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每年经营权承包费最低限价</w:t>
            </w:r>
          </w:p>
        </w:tc>
        <w:tc>
          <w:tcPr>
            <w:tcW w:w="867" w:type="dxa"/>
            <w:noWrap/>
            <w:vAlign w:val="center"/>
          </w:tcPr>
          <w:p w14:paraId="186684EE">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备注</w:t>
            </w:r>
          </w:p>
        </w:tc>
      </w:tr>
      <w:tr w14:paraId="0A99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88" w:type="dxa"/>
            <w:noWrap/>
            <w:vAlign w:val="center"/>
          </w:tcPr>
          <w:p w14:paraId="56D07A9D">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3540" w:type="dxa"/>
            <w:noWrap/>
            <w:vAlign w:val="center"/>
          </w:tcPr>
          <w:p w14:paraId="424F5FD8">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乐昌市两江镇洋莲桥水电站（装机总容量1200KW）承包经营权项目（二次）</w:t>
            </w:r>
          </w:p>
        </w:tc>
        <w:tc>
          <w:tcPr>
            <w:tcW w:w="720" w:type="dxa"/>
            <w:noWrap/>
            <w:vAlign w:val="center"/>
          </w:tcPr>
          <w:p w14:paraId="1806E6F1">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1家</w:t>
            </w:r>
          </w:p>
        </w:tc>
        <w:tc>
          <w:tcPr>
            <w:tcW w:w="1740" w:type="dxa"/>
            <w:noWrap/>
            <w:vAlign w:val="center"/>
          </w:tcPr>
          <w:p w14:paraId="1264A145">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自合同签订之日起</w:t>
            </w:r>
            <w:r>
              <w:rPr>
                <w:rFonts w:hint="eastAsia" w:ascii="宋体" w:hAnsi="宋体" w:eastAsia="宋体" w:cs="宋体"/>
                <w:kern w:val="16"/>
                <w:sz w:val="21"/>
                <w:szCs w:val="21"/>
                <w:highlight w:val="none"/>
                <w:lang w:val="en-US" w:eastAsia="zh-CN"/>
              </w:rPr>
              <w:t>20</w:t>
            </w:r>
            <w:r>
              <w:rPr>
                <w:rFonts w:hint="eastAsia" w:ascii="宋体" w:hAnsi="宋体" w:eastAsia="宋体" w:cs="宋体"/>
                <w:kern w:val="16"/>
                <w:sz w:val="21"/>
                <w:szCs w:val="21"/>
                <w:highlight w:val="none"/>
              </w:rPr>
              <w:t>年</w:t>
            </w:r>
          </w:p>
        </w:tc>
        <w:tc>
          <w:tcPr>
            <w:tcW w:w="1966" w:type="dxa"/>
            <w:noWrap/>
            <w:vAlign w:val="center"/>
          </w:tcPr>
          <w:p w14:paraId="16F73F3F">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¥116,505.00元/年</w:t>
            </w:r>
          </w:p>
        </w:tc>
        <w:tc>
          <w:tcPr>
            <w:tcW w:w="867" w:type="dxa"/>
            <w:noWrap/>
            <w:vAlign w:val="center"/>
          </w:tcPr>
          <w:p w14:paraId="56B77326">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kern w:val="16"/>
                <w:sz w:val="21"/>
                <w:szCs w:val="21"/>
                <w:highlight w:val="none"/>
                <w:lang w:val="en-US" w:eastAsia="zh-CN"/>
              </w:rPr>
            </w:pPr>
            <w:r>
              <w:rPr>
                <w:rFonts w:hint="eastAsia" w:ascii="宋体" w:hAnsi="宋体" w:eastAsia="宋体" w:cs="宋体"/>
                <w:kern w:val="16"/>
                <w:sz w:val="21"/>
                <w:szCs w:val="21"/>
                <w:highlight w:val="none"/>
                <w:lang w:val="en-US" w:eastAsia="zh-CN"/>
              </w:rPr>
              <w:t>/</w:t>
            </w:r>
          </w:p>
        </w:tc>
      </w:tr>
    </w:tbl>
    <w:p w14:paraId="0AC025A7">
      <w:pPr>
        <w:keepNext w:val="0"/>
        <w:keepLines w:val="0"/>
        <w:pageBreakBefore w:val="0"/>
        <w:widowControl w:val="0"/>
        <w:kinsoku/>
        <w:wordWrap/>
        <w:overflowPunct/>
        <w:topLinePunct w:val="0"/>
        <w:autoSpaceDE/>
        <w:autoSpaceDN/>
        <w:bidi w:val="0"/>
        <w:adjustRightInd/>
        <w:spacing w:line="360" w:lineRule="auto"/>
        <w:ind w:right="-197" w:rightChars="-94"/>
        <w:jc w:val="left"/>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bCs/>
          <w:sz w:val="21"/>
          <w:szCs w:val="21"/>
          <w:highlight w:val="none"/>
          <w:lang w:val="en-US" w:eastAsia="zh-CN"/>
        </w:rPr>
        <w:t>注：投标</w:t>
      </w:r>
      <w:r>
        <w:rPr>
          <w:rFonts w:hint="eastAsia" w:ascii="宋体" w:hAnsi="宋体" w:eastAsia="宋体" w:cs="宋体"/>
          <w:b/>
          <w:bCs/>
          <w:sz w:val="21"/>
          <w:szCs w:val="21"/>
          <w:highlight w:val="none"/>
        </w:rPr>
        <w:t>报价</w:t>
      </w:r>
      <w:r>
        <w:rPr>
          <w:rFonts w:hint="eastAsia" w:ascii="宋体" w:hAnsi="宋体" w:eastAsia="宋体" w:cs="宋体"/>
          <w:b/>
          <w:bCs/>
          <w:sz w:val="21"/>
          <w:szCs w:val="21"/>
          <w:highlight w:val="none"/>
          <w:lang w:val="en-US" w:eastAsia="zh-CN"/>
        </w:rPr>
        <w:t>不得低于</w:t>
      </w:r>
      <w:r>
        <w:rPr>
          <w:rFonts w:hint="eastAsia" w:ascii="宋体" w:hAnsi="宋体" w:eastAsia="宋体" w:cs="宋体"/>
          <w:b/>
          <w:bCs/>
          <w:sz w:val="21"/>
          <w:szCs w:val="21"/>
          <w:highlight w:val="none"/>
        </w:rPr>
        <w:t>最</w:t>
      </w:r>
      <w:r>
        <w:rPr>
          <w:rFonts w:hint="eastAsia" w:ascii="宋体" w:hAnsi="宋体" w:eastAsia="宋体" w:cs="宋体"/>
          <w:b/>
          <w:bCs/>
          <w:sz w:val="21"/>
          <w:szCs w:val="21"/>
          <w:highlight w:val="none"/>
          <w:lang w:val="en-US" w:eastAsia="zh-CN"/>
        </w:rPr>
        <w:t>低</w:t>
      </w:r>
      <w:r>
        <w:rPr>
          <w:rFonts w:hint="eastAsia" w:ascii="宋体" w:hAnsi="宋体" w:eastAsia="宋体" w:cs="宋体"/>
          <w:b/>
          <w:bCs/>
          <w:sz w:val="21"/>
          <w:szCs w:val="21"/>
          <w:highlight w:val="none"/>
        </w:rPr>
        <w:t>限价，</w:t>
      </w:r>
      <w:r>
        <w:rPr>
          <w:rFonts w:hint="eastAsia" w:ascii="宋体" w:hAnsi="宋体" w:eastAsia="宋体" w:cs="宋体"/>
          <w:b/>
          <w:bCs/>
          <w:sz w:val="21"/>
          <w:szCs w:val="21"/>
          <w:highlight w:val="none"/>
          <w:lang w:val="en-US" w:eastAsia="zh-CN"/>
        </w:rPr>
        <w:t>否则</w:t>
      </w:r>
      <w:r>
        <w:rPr>
          <w:rFonts w:hint="eastAsia" w:ascii="宋体" w:hAnsi="宋体" w:eastAsia="宋体" w:cs="宋体"/>
          <w:b/>
          <w:bCs/>
          <w:sz w:val="21"/>
          <w:szCs w:val="21"/>
          <w:highlight w:val="none"/>
        </w:rPr>
        <w:t>评标委员会将对其投标文件作无效投标处理。</w:t>
      </w:r>
    </w:p>
    <w:p w14:paraId="5CF6634D">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二、项目概述</w:t>
      </w:r>
    </w:p>
    <w:p w14:paraId="33D04820">
      <w:pPr>
        <w:keepNext w:val="0"/>
        <w:keepLines w:val="0"/>
        <w:pageBreakBefore w:val="0"/>
        <w:widowControl w:val="0"/>
        <w:numPr>
          <w:ilvl w:val="0"/>
          <w:numId w:val="0"/>
        </w:numPr>
        <w:tabs>
          <w:tab w:val="left" w:pos="180"/>
          <w:tab w:val="left" w:pos="1620"/>
        </w:tabs>
        <w:kinsoku/>
        <w:wordWrap/>
        <w:overflowPunct/>
        <w:topLinePunct w:val="0"/>
        <w:autoSpaceDE/>
        <w:autoSpaceDN/>
        <w:bidi w:val="0"/>
        <w:adjustRightInd/>
        <w:spacing w:line="360" w:lineRule="auto"/>
        <w:ind w:leftChars="0"/>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（一）项目概况</w:t>
      </w:r>
    </w:p>
    <w:p w14:paraId="36EBC5FD">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乐昌市两江镇洋莲桥水电站位于乐昌市两江镇境内，所在河流是武水支流九峰水的中下游，电站集雨面积约246.4平方公里，电站原建于1983年，1997年进行了整体改造，2006年因洪灾对机组进行了大修，新建宿舍楼(红砖墙，尚未投入使用),并由坝后电站对大坝进行了改造，在原来的重力坝基础上加高改为可调洪的闸坝。2016年更换了水轮机、发电机、配电屏及变压器等主要发生电用设备。电站现有发电机组3台，装机容量为1200kW(400kW×3),电站水头高16米，是一宗中低水头引水式的水电站。</w:t>
      </w:r>
    </w:p>
    <w:p w14:paraId="103807E4">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电站主要建筑物有拦河坝(旧基础部分，不包括坝后电站新建部分)、引水渠、压力前池、压力管工程、发电厂房、职工宿舍、食堂、值班室等；电站主要设备有水轮机、</w:t>
      </w:r>
      <w:r>
        <w:rPr>
          <w:rFonts w:hint="eastAsia" w:ascii="宋体" w:hAnsi="宋体" w:eastAsia="宋体" w:cs="宋体"/>
          <w:sz w:val="21"/>
          <w:szCs w:val="21"/>
          <w:highlight w:val="none"/>
          <w:lang w:val="en-US" w:eastAsia="zh-CN"/>
        </w:rPr>
        <w:t>竖</w:t>
      </w:r>
      <w:r>
        <w:rPr>
          <w:rFonts w:hint="eastAsia" w:ascii="宋体" w:hAnsi="宋体" w:eastAsia="宋体" w:cs="宋体"/>
          <w:sz w:val="21"/>
          <w:szCs w:val="21"/>
          <w:highlight w:val="none"/>
        </w:rPr>
        <w:t>式发电机各三套、发电机控制屏、变压器、高压线路以及其他配套设备设施等。</w:t>
      </w:r>
    </w:p>
    <w:p w14:paraId="508FCCB1">
      <w:pPr>
        <w:keepNext w:val="0"/>
        <w:keepLines w:val="0"/>
        <w:pageBreakBefore w:val="0"/>
        <w:widowControl w:val="0"/>
        <w:numPr>
          <w:ilvl w:val="0"/>
          <w:numId w:val="0"/>
        </w:numPr>
        <w:tabs>
          <w:tab w:val="left" w:pos="180"/>
          <w:tab w:val="left" w:pos="1620"/>
        </w:tabs>
        <w:kinsoku/>
        <w:wordWrap/>
        <w:overflowPunct/>
        <w:topLinePunct w:val="0"/>
        <w:autoSpaceDE/>
        <w:autoSpaceDN/>
        <w:bidi w:val="0"/>
        <w:adjustRightInd/>
        <w:spacing w:line="360" w:lineRule="auto"/>
        <w:ind w:leftChars="0"/>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（二）项目债务情况</w:t>
      </w:r>
    </w:p>
    <w:p w14:paraId="30F16426">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中标人承担乐昌市两江镇洋莲桥水电站以往债务合计¥5,261,279.04元，除银行贷款外，其他债务需在承包合同签订之日起3日内付清，银行贷款由中标人与银行协商偿还。</w:t>
      </w:r>
      <w:r>
        <w:rPr>
          <w:rFonts w:hint="eastAsia" w:ascii="宋体" w:hAnsi="宋体" w:eastAsia="宋体" w:cs="宋体"/>
          <w:b w:val="0"/>
          <w:bCs w:val="0"/>
          <w:color w:val="auto"/>
          <w:spacing w:val="0"/>
          <w:sz w:val="21"/>
          <w:szCs w:val="21"/>
          <w:highlight w:val="none"/>
          <w:lang w:val="en-US" w:eastAsia="zh-CN"/>
        </w:rPr>
        <w:t>银行贷款之外的债务（员工社保等费用不在此列）原则上由电站承担，但中标人先行代为垫付，待合同期满后，双方协商如何偿还。</w:t>
      </w:r>
    </w:p>
    <w:p w14:paraId="150C3DD3">
      <w:pPr>
        <w:keepNext w:val="0"/>
        <w:keepLines w:val="0"/>
        <w:pageBreakBefore w:val="0"/>
        <w:widowControl w:val="0"/>
        <w:numPr>
          <w:ilvl w:val="0"/>
          <w:numId w:val="11"/>
        </w:numPr>
        <w:tabs>
          <w:tab w:val="left" w:pos="180"/>
          <w:tab w:val="left" w:pos="1620"/>
        </w:tabs>
        <w:kinsoku/>
        <w:wordWrap/>
        <w:overflowPunct/>
        <w:topLinePunct w:val="0"/>
        <w:autoSpaceDE/>
        <w:autoSpaceDN/>
        <w:bidi w:val="0"/>
        <w:adjustRightInd/>
        <w:spacing w:line="360" w:lineRule="auto"/>
        <w:ind w:leftChars="0"/>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承包期限</w:t>
      </w:r>
    </w:p>
    <w:p w14:paraId="7D3ADF14">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本项目承包期限共20年（自合同签订之日起</w:t>
      </w:r>
      <w:r>
        <w:rPr>
          <w:rFonts w:hint="eastAsia" w:ascii="宋体" w:hAnsi="宋体" w:eastAsia="宋体" w:cs="宋体"/>
          <w:b w:val="0"/>
          <w:bCs w:val="0"/>
          <w:color w:val="auto"/>
          <w:sz w:val="21"/>
          <w:szCs w:val="21"/>
          <w:highlight w:val="none"/>
          <w:u w:val="none"/>
          <w:shd w:val="clear" w:color="auto" w:fill="auto"/>
          <w:lang w:val="en-US" w:eastAsia="zh-CN"/>
        </w:rPr>
        <w:t>开始计算</w:t>
      </w:r>
      <w:r>
        <w:rPr>
          <w:rFonts w:hint="eastAsia" w:ascii="宋体" w:hAnsi="宋体" w:eastAsia="宋体" w:cs="宋体"/>
          <w:sz w:val="21"/>
          <w:szCs w:val="21"/>
          <w:highlight w:val="none"/>
          <w:lang w:val="en-US" w:eastAsia="zh-CN"/>
        </w:rPr>
        <w:t>），在项目合同期间内，一切改造、升级、增容和维修费用由中标人自行承担，招标人不承担技术改造和维修等一切费用。</w:t>
      </w:r>
    </w:p>
    <w:p w14:paraId="4CCB9EFE">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本项目合同期满后，如招标人继续采取承包方式经营的，依据法律法规等规定履行相应的程序后，在同等条件下中标人享有优先承包权。</w:t>
      </w:r>
    </w:p>
    <w:p w14:paraId="6F2A5FB7">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三、经营承包内容及要求</w:t>
      </w:r>
    </w:p>
    <w:p w14:paraId="4B6BF0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投标人承包期间水电站保持现有10个职工，退休一人核减一人，不再招聘新人（若投标人聘用水电站现有10人之外的职工，水电站不承担该部分职工任何聘续责任）。现有10个职工平均每人每月工资约¥2,000元，若韶关市最低工资标准上浮，则每人每月工资不得低于韶关市最低工资标准；退休人员费用保持目前的金额¥5,935元/月继续发放(未购买社保的退休人员继续按照原有方法支付退休金)。</w:t>
      </w:r>
    </w:p>
    <w:p w14:paraId="5CF766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承包期间如需进行改造、升级、增容等情况，首先应征得招标人同意，并在报批同意的基础上方能进行；改造资金由投标人自行解决，但不作为投标人对电站增资及增加电站的负债。按国家政策补贴的资金只能用在电站改造维修上，不能算作投标人对电站的额外增资及套现。</w:t>
      </w:r>
    </w:p>
    <w:p w14:paraId="15FBC6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3.投标人承包期间，雷沙岭、新屋子村村民按¥0.15元/度缴交电费，大、小江村村民按¥0.2元/度缴交电费，由投标人负责收取，电费差价由投标人承担。</w:t>
      </w:r>
    </w:p>
    <w:p w14:paraId="34773F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投标人在承包期间必须做好洋莲桥水电站水工建筑物（大坝、引水渠道、前池、压力管道等）、机电设备、金属结构、输电线路及道路等维护、保养工作，维护保养和更新设备等费用一律由投标人负责。承包期间因安全隐患导致停网结算，与招标人无关。承包期间若发生安全事故的，由投标人自行承担责任，与招标人无关。</w:t>
      </w:r>
    </w:p>
    <w:p w14:paraId="18977A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投标人全权承包电站的生产运行、安全生产和维护管理，投标人是水电站的一切设备、设施和人身安全的责任人，应保证水电站稳定、安全运行；自主组织和管理水电站生产，自主经营，自负盈亏。水电站经营所产生的一切费用（包括工人工资、社保、保险等）由投标人负责，证件办理、年审及国家政策规定应缴纳的税费由投标人全额负责，招标人协助投标人办理水电站依法经营所应办理的相关手续。</w:t>
      </w:r>
    </w:p>
    <w:p w14:paraId="30D10C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投标人应对所聘用员工进行安全意识教育和业务知识培训，同时必须设置安全生产管理机构，配置专门安全生产管理人员。并承担其安全责任，发生的一切安全事故所产生的一切法律责任、经济责任均由投标人承担，与招标人无关。</w:t>
      </w:r>
    </w:p>
    <w:p w14:paraId="320F25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7.投标人在承包期间，须严格履行生态流量保障及防洪泄洪义务，服从生态、防汛等相关部门的工作指导，因不服从相关部门指导，招标人有权解除合同并追究相关责任。</w:t>
      </w:r>
    </w:p>
    <w:p w14:paraId="62DEA2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8.投标人承担该水电站所属引水渠、前池、管道、厂房、生活建筑物，发电、配电、输电设备设施的运行、维护（修）和管理的责任，费用由投标人承担。</w:t>
      </w:r>
    </w:p>
    <w:p w14:paraId="3D2BA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9.投标人在承包期间，应加强经营管理，保持水电站环境整洁，注重安全生产、杜绝各种事故发生，如发生一切事故应承担全部责任。</w:t>
      </w:r>
    </w:p>
    <w:p w14:paraId="5B034C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10.在承包经营期间所发生的一切债权债务由投标人承担，与招标人及该水电站无关。</w:t>
      </w:r>
    </w:p>
    <w:p w14:paraId="6B225B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在承包期限内，投标人只有乐昌市两江镇洋莲桥水电站所有的有形资产、土地使用权及经营权，但不改变各项资产的用途。不得变卖水电站的财产设备设施，不得将承包水电站的资产（包括但不限于土地、库区、厂区、房屋、机械设备）以整体或分拆方式对外转让。未经招标人同意，不得擅自转包，将承包水电站的资产以整体或分拆方式对外转让、出租、出借、提供担保。否则，一切后果由投标人负责，招标人有权收回该水电站承包经营权。</w:t>
      </w:r>
    </w:p>
    <w:p w14:paraId="1FE41E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12.承包期内，投标人不能作为法人，应由两江镇人民政府指定专人代理。</w:t>
      </w:r>
    </w:p>
    <w:p w14:paraId="130FBA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13.在合同期内，如因人力不可抗拒的自然灾害，如地震、战争、洪涝灾害等导致电站无法运行，本合同自动终止，招标人和投标人无须承担违约责任。</w:t>
      </w:r>
    </w:p>
    <w:p w14:paraId="12E187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14.如投标人提供虚假文件、隐瞒事实或以不正当手段获得承包权的，招标人有权取消其中标资格，收回发包标的，投标人缴交的投标保证金不予退还，且该投标人自有关情况发生之日起5年内不得参加招标人统一管理物业的招标活动，同时保留通过法律途径进行追诉的权利。</w:t>
      </w:r>
    </w:p>
    <w:p w14:paraId="382BCC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15.投标人应按规定时间向招标人缴纳相关承包费用，逾期未付清者视为违约，其所缴纳的履约保证金作为违约金，不予返还。同时招标人可根据相关的法律法规，追究其相应的违约责任。</w:t>
      </w:r>
    </w:p>
    <w:p w14:paraId="2E6681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16.合同正常履行完毕或提前解除的，电站所属的设备设施和投标人经营期间在电站投资建设的全部建、构筑物、机电设备设施（包括但不限于水轮机组，发电机组，建筑设备，机械设备，工器具等）等资产均由招标人无偿取得，投标人必须保证附属设施设备的完整和正常运行。投标人不得随意破坏及擅自拆除、搬离或造成损失破坏，如对电站现有设备造成损失和破坏的，应承担相应的赔偿责任。</w:t>
      </w:r>
    </w:p>
    <w:p w14:paraId="481F18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承包经营期限届满或合同提前终止的，投标人应在期限届满当年或合同提前终止情形发生之日起30日内向招标人移交洋莲桥水电站的全部资产和承包经营权，办理所有交接手续，并保证洋莲桥水电站机电设备能正常运行和发电。</w:t>
      </w:r>
    </w:p>
    <w:p w14:paraId="125B8F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0"/>
          <w:sz w:val="21"/>
          <w:szCs w:val="21"/>
          <w:highlight w:val="none"/>
          <w:lang w:val="en-US" w:eastAsia="zh-CN"/>
        </w:rPr>
        <w:t>18.</w:t>
      </w:r>
      <w:r>
        <w:rPr>
          <w:rFonts w:hint="eastAsia" w:ascii="宋体" w:hAnsi="宋体" w:eastAsia="宋体" w:cs="宋体"/>
          <w:color w:val="auto"/>
          <w:spacing w:val="0"/>
          <w:sz w:val="21"/>
          <w:szCs w:val="21"/>
          <w:highlight w:val="none"/>
        </w:rPr>
        <w:t>承包期内，</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pacing w:val="0"/>
          <w:sz w:val="21"/>
          <w:szCs w:val="21"/>
          <w:highlight w:val="none"/>
          <w:lang w:val="en-US" w:eastAsia="zh-CN"/>
        </w:rPr>
        <w:t>如有意向担任</w:t>
      </w:r>
      <w:r>
        <w:rPr>
          <w:rFonts w:hint="eastAsia" w:ascii="宋体" w:hAnsi="宋体" w:eastAsia="宋体" w:cs="宋体"/>
          <w:color w:val="auto"/>
          <w:spacing w:val="0"/>
          <w:sz w:val="21"/>
          <w:szCs w:val="21"/>
          <w:highlight w:val="none"/>
        </w:rPr>
        <w:t>水电站法</w:t>
      </w:r>
      <w:r>
        <w:rPr>
          <w:rFonts w:hint="eastAsia" w:ascii="宋体" w:hAnsi="宋体" w:eastAsia="宋体" w:cs="宋体"/>
          <w:color w:val="auto"/>
          <w:spacing w:val="0"/>
          <w:sz w:val="21"/>
          <w:szCs w:val="21"/>
          <w:highlight w:val="none"/>
          <w:lang w:val="en-US" w:eastAsia="zh-CN"/>
        </w:rPr>
        <w:t>人</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必须与</w:t>
      </w:r>
      <w:r>
        <w:rPr>
          <w:rFonts w:hint="eastAsia" w:ascii="宋体" w:hAnsi="宋体" w:eastAsia="宋体" w:cs="宋体"/>
          <w:color w:val="auto"/>
          <w:spacing w:val="0"/>
          <w:sz w:val="21"/>
          <w:szCs w:val="21"/>
          <w:highlight w:val="none"/>
        </w:rPr>
        <w:t>两江镇人民政府</w:t>
      </w:r>
      <w:r>
        <w:rPr>
          <w:rFonts w:hint="eastAsia" w:ascii="宋体" w:hAnsi="宋体" w:eastAsia="宋体" w:cs="宋体"/>
          <w:color w:val="auto"/>
          <w:spacing w:val="0"/>
          <w:sz w:val="21"/>
          <w:szCs w:val="21"/>
          <w:highlight w:val="none"/>
          <w:lang w:val="en-US" w:eastAsia="zh-CN"/>
        </w:rPr>
        <w:t>签订企业法人变更协议，如乙方违反企业法人变更协议约定，招标人有权没收本项目</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pacing w:val="0"/>
          <w:sz w:val="21"/>
          <w:szCs w:val="21"/>
          <w:highlight w:val="none"/>
          <w:lang w:val="en-US" w:eastAsia="zh-CN"/>
        </w:rPr>
        <w:t>先行垫付的债务及保证金</w:t>
      </w:r>
      <w:r>
        <w:rPr>
          <w:rFonts w:hint="eastAsia" w:ascii="宋体" w:hAnsi="宋体" w:eastAsia="宋体" w:cs="宋体"/>
          <w:color w:val="auto"/>
          <w:spacing w:val="0"/>
          <w:sz w:val="21"/>
          <w:szCs w:val="21"/>
          <w:highlight w:val="none"/>
        </w:rPr>
        <w:t>。</w:t>
      </w:r>
    </w:p>
    <w:p w14:paraId="69255649">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四、承包费递增执行方法</w:t>
      </w:r>
    </w:p>
    <w:p w14:paraId="5F3A04B8">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color w:val="auto"/>
          <w:sz w:val="21"/>
          <w:szCs w:val="21"/>
          <w:highlight w:val="none"/>
          <w:u w:val="none"/>
          <w:shd w:val="clear" w:color="auto" w:fill="auto"/>
          <w:lang w:val="en-US" w:eastAsia="zh-CN"/>
        </w:rPr>
      </w:pPr>
      <w:r>
        <w:rPr>
          <w:rFonts w:hint="eastAsia" w:ascii="宋体" w:hAnsi="宋体" w:eastAsia="宋体" w:cs="宋体"/>
          <w:color w:val="auto"/>
          <w:sz w:val="21"/>
          <w:szCs w:val="21"/>
          <w:highlight w:val="none"/>
          <w:u w:val="none"/>
          <w:shd w:val="clear" w:color="auto" w:fill="auto"/>
          <w:lang w:val="en-US" w:eastAsia="zh-CN"/>
        </w:rPr>
        <w:t>本项目中标人向招标人缴纳的承包经营费：第1年不低于¥116,505.00元，后续每三年按递增3%缴纳。</w:t>
      </w:r>
      <w:bookmarkStart w:id="138" w:name="_GoBack"/>
      <w:bookmarkEnd w:id="138"/>
    </w:p>
    <w:p w14:paraId="7C8B2190">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五、履约保证金</w:t>
      </w:r>
    </w:p>
    <w:p w14:paraId="71AFB80D">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1.中标人须在发布中标结果公告后两个工作日内向招标人提交人民币叁拾万元整（¥300,000.00元）的履约保证金。</w:t>
      </w:r>
    </w:p>
    <w:p w14:paraId="4CD5D2A1">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履约保证的形式包括履约保证金（现金或转账）、履约保证担保（只限四大银行）两种，由中标人自主选择。否则将视为中标人放弃中标的权利，招标人有权选择按规定选出的中标候选人为本项目的中标人或对本项目重新进行招标。</w:t>
      </w:r>
    </w:p>
    <w:p w14:paraId="31B4CA3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如中标</w:t>
      </w:r>
      <w:r>
        <w:rPr>
          <w:rFonts w:hint="eastAsia" w:ascii="宋体" w:hAnsi="宋体" w:eastAsia="宋体" w:cs="宋体"/>
          <w:sz w:val="21"/>
          <w:szCs w:val="21"/>
          <w:highlight w:val="none"/>
          <w:lang w:val="en-US" w:eastAsia="zh-CN"/>
        </w:rPr>
        <w:t>人</w:t>
      </w:r>
      <w:r>
        <w:rPr>
          <w:rFonts w:hint="eastAsia" w:ascii="宋体" w:hAnsi="宋体" w:eastAsia="宋体" w:cs="宋体"/>
          <w:sz w:val="21"/>
          <w:szCs w:val="21"/>
          <w:highlight w:val="none"/>
        </w:rPr>
        <w:t>未能按要求履行合同，违反相关规定的，</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人将有权没收履约保证金或扣除相应违约金额；如中标</w:t>
      </w:r>
      <w:r>
        <w:rPr>
          <w:rFonts w:hint="eastAsia" w:ascii="宋体" w:hAnsi="宋体" w:eastAsia="宋体" w:cs="宋体"/>
          <w:sz w:val="21"/>
          <w:szCs w:val="21"/>
          <w:highlight w:val="none"/>
          <w:lang w:val="en-US" w:eastAsia="zh-CN"/>
        </w:rPr>
        <w:t>人</w:t>
      </w:r>
      <w:r>
        <w:rPr>
          <w:rFonts w:hint="eastAsia" w:ascii="宋体" w:hAnsi="宋体" w:eastAsia="宋体" w:cs="宋体"/>
          <w:sz w:val="21"/>
          <w:szCs w:val="21"/>
          <w:highlight w:val="none"/>
        </w:rPr>
        <w:t>在合同执行过程需终止执行合同的，需提前一个月以书面形式通知</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人，并须得到</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人书面回复同意后方可终止，否则按单方面终止执行合同处理，履约保证金不退还。</w:t>
      </w:r>
    </w:p>
    <w:p w14:paraId="435CCB6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4.履约保证金有效期比合同有效期延长1个月。履约保证金将在中标人履行完合同义务，合同期满且投标人无违约事实的，凭招标人原开具的押金凭证在五个工作日内无息退还。</w:t>
      </w:r>
    </w:p>
    <w:p w14:paraId="6D5AD7F9">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六、退出机制</w:t>
      </w:r>
    </w:p>
    <w:p w14:paraId="727C4BD9">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中标</w:t>
      </w:r>
      <w:r>
        <w:rPr>
          <w:rFonts w:hint="eastAsia" w:ascii="宋体" w:hAnsi="宋体" w:eastAsia="宋体" w:cs="宋体"/>
          <w:sz w:val="21"/>
          <w:szCs w:val="21"/>
          <w:highlight w:val="none"/>
          <w:lang w:val="en-US" w:eastAsia="zh-CN"/>
        </w:rPr>
        <w:t>后，中标供应商</w:t>
      </w:r>
      <w:r>
        <w:rPr>
          <w:rFonts w:hint="eastAsia" w:ascii="宋体" w:hAnsi="宋体" w:eastAsia="宋体" w:cs="宋体"/>
          <w:sz w:val="21"/>
          <w:szCs w:val="21"/>
          <w:highlight w:val="none"/>
        </w:rPr>
        <w:t>须与</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lang w:val="en-US" w:eastAsia="zh-CN"/>
        </w:rPr>
        <w:t>暂</w:t>
      </w:r>
      <w:r>
        <w:rPr>
          <w:rFonts w:hint="eastAsia" w:ascii="宋体" w:hAnsi="宋体" w:eastAsia="宋体" w:cs="宋体"/>
          <w:sz w:val="21"/>
          <w:szCs w:val="21"/>
          <w:highlight w:val="none"/>
        </w:rPr>
        <w:t>签订</w:t>
      </w:r>
      <w:r>
        <w:rPr>
          <w:rFonts w:hint="eastAsia" w:ascii="宋体" w:hAnsi="宋体" w:eastAsia="宋体" w:cs="宋体"/>
          <w:sz w:val="21"/>
          <w:szCs w:val="21"/>
          <w:highlight w:val="none"/>
          <w:lang w:val="en-US" w:eastAsia="zh-CN"/>
        </w:rPr>
        <w:t>一年承包运营</w:t>
      </w:r>
      <w:r>
        <w:rPr>
          <w:rFonts w:hint="eastAsia" w:ascii="宋体" w:hAnsi="宋体" w:eastAsia="宋体" w:cs="宋体"/>
          <w:sz w:val="21"/>
          <w:szCs w:val="21"/>
          <w:highlight w:val="none"/>
        </w:rPr>
        <w:t>合同及安全承诺书，</w:t>
      </w:r>
      <w:r>
        <w:rPr>
          <w:rFonts w:hint="eastAsia" w:ascii="宋体" w:hAnsi="宋体" w:eastAsia="宋体" w:cs="宋体"/>
          <w:sz w:val="21"/>
          <w:szCs w:val="21"/>
          <w:highlight w:val="none"/>
          <w:lang w:val="en-US" w:eastAsia="zh-CN"/>
        </w:rPr>
        <w:t>如在一年</w:t>
      </w:r>
      <w:r>
        <w:rPr>
          <w:rFonts w:hint="eastAsia" w:ascii="宋体" w:hAnsi="宋体" w:eastAsia="宋体" w:cs="宋体"/>
          <w:sz w:val="21"/>
          <w:szCs w:val="21"/>
          <w:highlight w:val="none"/>
        </w:rPr>
        <w:t>服务期</w:t>
      </w:r>
      <w:r>
        <w:rPr>
          <w:rFonts w:hint="eastAsia" w:ascii="宋体" w:hAnsi="宋体" w:eastAsia="宋体" w:cs="宋体"/>
          <w:sz w:val="21"/>
          <w:szCs w:val="21"/>
          <w:highlight w:val="none"/>
          <w:lang w:val="en-US" w:eastAsia="zh-CN"/>
        </w:rPr>
        <w:t>考核不合格，期</w:t>
      </w:r>
      <w:r>
        <w:rPr>
          <w:rFonts w:hint="eastAsia" w:ascii="宋体" w:hAnsi="宋体" w:eastAsia="宋体" w:cs="宋体"/>
          <w:sz w:val="21"/>
          <w:szCs w:val="21"/>
          <w:highlight w:val="none"/>
        </w:rPr>
        <w:t>满后自然退出。</w:t>
      </w:r>
      <w:r>
        <w:rPr>
          <w:rFonts w:hint="eastAsia" w:ascii="宋体" w:hAnsi="宋体" w:eastAsia="宋体" w:cs="宋体"/>
          <w:sz w:val="21"/>
          <w:szCs w:val="21"/>
          <w:highlight w:val="none"/>
          <w:lang w:val="en-US" w:eastAsia="zh-CN"/>
        </w:rPr>
        <w:t>由招标人按中标候选人名次确认第二中标候选人承接项目或重新招标。</w:t>
      </w:r>
    </w:p>
    <w:p w14:paraId="4DDEA294">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在招投标过程中以弄虚作假等欺诈手段中标，或</w:t>
      </w:r>
      <w:r>
        <w:rPr>
          <w:rFonts w:hint="eastAsia" w:ascii="宋体" w:hAnsi="宋体" w:eastAsia="宋体" w:cs="宋体"/>
          <w:sz w:val="21"/>
          <w:szCs w:val="21"/>
          <w:highlight w:val="none"/>
          <w:lang w:val="en-US" w:eastAsia="zh-CN"/>
        </w:rPr>
        <w:t>运营</w:t>
      </w:r>
      <w:r>
        <w:rPr>
          <w:rFonts w:hint="eastAsia" w:ascii="宋体" w:hAnsi="宋体" w:eastAsia="宋体" w:cs="宋体"/>
          <w:sz w:val="21"/>
          <w:szCs w:val="21"/>
          <w:highlight w:val="none"/>
        </w:rPr>
        <w:t>过程中，</w:t>
      </w:r>
      <w:r>
        <w:rPr>
          <w:rFonts w:hint="eastAsia" w:ascii="宋体" w:hAnsi="宋体" w:eastAsia="宋体" w:cs="宋体"/>
          <w:sz w:val="21"/>
          <w:szCs w:val="21"/>
          <w:highlight w:val="none"/>
          <w:lang w:eastAsia="zh-CN"/>
        </w:rPr>
        <w:t>中标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未能按招标文件、投标文件及合同相关规定完成项目工作事项的，</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有权单方面立即终止合同。</w:t>
      </w:r>
    </w:p>
    <w:p w14:paraId="0BE3AE0F">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3.因食品质量引发重大食品安全事故，招标人有权单方面立即终止合同，责令限期退出，所造成的损失招标人有权追究中标人的法律责任和经济赔偿。</w:t>
      </w:r>
    </w:p>
    <w:p w14:paraId="5A12BC44">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5.中标人须在合同期满前一个月向招标人提出申请退场，招标人根据合同签订前所提供的固定资产进行验收，如发生相关设备不足或发生损坏，由中标人负责维修或赔偿。</w:t>
      </w:r>
    </w:p>
    <w:p w14:paraId="5E5664AB">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6.中标人不得将本项目转包、分包，否则招标人有权单方面终止合同，由此产生的一切经济损失由中标人承担。</w:t>
      </w:r>
    </w:p>
    <w:p w14:paraId="65558E36">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七、</w:t>
      </w:r>
      <w:r>
        <w:rPr>
          <w:rFonts w:hint="eastAsia" w:ascii="宋体" w:hAnsi="宋体" w:eastAsia="宋体" w:cs="宋体"/>
          <w:b/>
          <w:bCs/>
          <w:sz w:val="21"/>
          <w:szCs w:val="21"/>
          <w:highlight w:val="none"/>
        </w:rPr>
        <w:t>付款方式</w:t>
      </w:r>
    </w:p>
    <w:p w14:paraId="2D627C82">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付款方式：承包年限从签订之日起算，承包费按年缴交，中标人应在承包经营合同签订之日起10个工作日内一次性付清第一年的承包费。承包费汇入招标人指定账户。</w:t>
      </w:r>
    </w:p>
    <w:p w14:paraId="74657B5B">
      <w:pPr>
        <w:pStyle w:val="8"/>
        <w:rPr>
          <w:rFonts w:hint="eastAsia" w:ascii="宋体" w:hAnsi="宋体" w:eastAsia="宋体" w:cs="宋体"/>
          <w:kern w:val="0"/>
          <w:szCs w:val="21"/>
          <w:highlight w:val="none"/>
        </w:rPr>
      </w:pPr>
    </w:p>
    <w:p w14:paraId="44FB09E8">
      <w:pPr>
        <w:pStyle w:val="8"/>
        <w:rPr>
          <w:rFonts w:hint="eastAsia" w:ascii="宋体" w:hAnsi="宋体" w:eastAsia="宋体" w:cs="宋体"/>
          <w:kern w:val="0"/>
          <w:szCs w:val="21"/>
          <w:highlight w:val="none"/>
        </w:rPr>
      </w:pPr>
    </w:p>
    <w:p w14:paraId="4539023F">
      <w:pPr>
        <w:pStyle w:val="8"/>
        <w:rPr>
          <w:rFonts w:hint="eastAsia" w:ascii="宋体" w:hAnsi="宋体" w:eastAsia="宋体" w:cs="宋体"/>
          <w:kern w:val="0"/>
          <w:szCs w:val="21"/>
          <w:highlight w:val="none"/>
        </w:rPr>
      </w:pPr>
    </w:p>
    <w:p w14:paraId="79F36B8A">
      <w:pPr>
        <w:pStyle w:val="8"/>
        <w:rPr>
          <w:rFonts w:hint="eastAsia" w:ascii="宋体" w:hAnsi="宋体" w:eastAsia="宋体" w:cs="宋体"/>
          <w:kern w:val="0"/>
          <w:szCs w:val="21"/>
          <w:highlight w:val="none"/>
        </w:rPr>
      </w:pPr>
    </w:p>
    <w:p w14:paraId="304FFBEC">
      <w:pPr>
        <w:pStyle w:val="8"/>
        <w:rPr>
          <w:rFonts w:hint="eastAsia" w:ascii="宋体" w:hAnsi="宋体" w:eastAsia="宋体" w:cs="宋体"/>
          <w:kern w:val="0"/>
          <w:szCs w:val="21"/>
          <w:highlight w:val="none"/>
        </w:rPr>
      </w:pPr>
    </w:p>
    <w:p w14:paraId="0BE20B8B">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br w:type="page"/>
      </w:r>
    </w:p>
    <w:p w14:paraId="098208A1">
      <w:pPr>
        <w:keepNext w:val="0"/>
        <w:keepLines w:val="0"/>
        <w:pageBreakBefore w:val="0"/>
        <w:widowControl w:val="0"/>
        <w:kinsoku/>
        <w:wordWrap/>
        <w:overflowPunct/>
        <w:topLinePunct w:val="0"/>
        <w:autoSpaceDE/>
        <w:autoSpaceDN/>
        <w:bidi w:val="0"/>
        <w:adjustRightInd/>
        <w:snapToGrid/>
        <w:spacing w:before="120" w:after="120" w:line="360" w:lineRule="auto"/>
        <w:jc w:val="center"/>
        <w:textAlignment w:val="auto"/>
        <w:rPr>
          <w:rFonts w:hint="eastAsia" w:ascii="宋体" w:hAnsi="宋体" w:eastAsia="宋体" w:cs="宋体"/>
          <w:highlight w:val="none"/>
        </w:rPr>
      </w:pPr>
      <w:r>
        <w:rPr>
          <w:rFonts w:hint="eastAsia" w:ascii="宋体" w:hAnsi="宋体" w:eastAsia="宋体" w:cs="宋体"/>
          <w:b/>
          <w:kern w:val="44"/>
          <w:sz w:val="44"/>
          <w:highlight w:val="none"/>
        </w:rPr>
        <w:t>第四章 评标方法</w:t>
      </w:r>
    </w:p>
    <w:p w14:paraId="0EAB305B">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b/>
          <w:kern w:val="0"/>
          <w:szCs w:val="21"/>
          <w:highlight w:val="none"/>
        </w:rPr>
      </w:pPr>
      <w:r>
        <w:rPr>
          <w:rFonts w:hint="eastAsia" w:ascii="宋体" w:hAnsi="宋体" w:eastAsia="宋体" w:cs="宋体"/>
          <w:bCs/>
          <w:kern w:val="0"/>
          <w:szCs w:val="21"/>
          <w:highlight w:val="none"/>
        </w:rPr>
        <w:t>本项目将按照招标文件第一章投标人须知中“五 开标及评标”、“六 确定中标”及本章的规定评标。</w:t>
      </w:r>
    </w:p>
    <w:p w14:paraId="33354041">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kern w:val="0"/>
          <w:szCs w:val="21"/>
          <w:highlight w:val="none"/>
        </w:rPr>
      </w:pPr>
      <w:r>
        <w:rPr>
          <w:rFonts w:hint="eastAsia" w:ascii="宋体" w:hAnsi="宋体" w:eastAsia="宋体" w:cs="宋体"/>
          <w:b/>
          <w:kern w:val="0"/>
          <w:szCs w:val="21"/>
          <w:highlight w:val="none"/>
        </w:rPr>
        <w:t>一、评标方法</w:t>
      </w:r>
    </w:p>
    <w:p w14:paraId="2E16D913">
      <w:pPr>
        <w:numPr>
          <w:ilvl w:val="0"/>
          <w:numId w:val="12"/>
        </w:numPr>
        <w:tabs>
          <w:tab w:val="left" w:pos="630"/>
        </w:tabs>
        <w:spacing w:line="400" w:lineRule="exact"/>
        <w:rPr>
          <w:rFonts w:hint="eastAsia" w:ascii="宋体" w:hAnsi="宋体" w:eastAsia="宋体" w:cs="宋体"/>
          <w:b/>
          <w:color w:val="auto"/>
          <w:highlight w:val="none"/>
        </w:rPr>
      </w:pPr>
      <w:r>
        <w:rPr>
          <w:rFonts w:hint="eastAsia" w:ascii="宋体" w:hAnsi="宋体" w:eastAsia="宋体" w:cs="宋体"/>
          <w:kern w:val="0"/>
          <w:szCs w:val="21"/>
          <w:highlight w:val="none"/>
        </w:rPr>
        <w:t>本项目采用</w:t>
      </w:r>
      <w:r>
        <w:rPr>
          <w:rFonts w:hint="eastAsia" w:ascii="宋体" w:hAnsi="宋体" w:eastAsia="宋体" w:cs="宋体"/>
          <w:kern w:val="0"/>
          <w:szCs w:val="21"/>
          <w:highlight w:val="none"/>
          <w:u w:val="single"/>
          <w:lang w:val="en-US" w:eastAsia="zh-CN"/>
        </w:rPr>
        <w:t xml:space="preserve">  经评审二次报价后的</w:t>
      </w:r>
      <w:r>
        <w:rPr>
          <w:rFonts w:hint="eastAsia" w:ascii="宋体" w:hAnsi="宋体" w:eastAsia="宋体" w:cs="宋体"/>
          <w:kern w:val="0"/>
          <w:szCs w:val="21"/>
          <w:highlight w:val="none"/>
          <w:u w:val="single"/>
        </w:rPr>
        <w:t>最高评标价法</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rPr>
        <w:t>进行评标。</w:t>
      </w:r>
      <w:r>
        <w:rPr>
          <w:rFonts w:hint="eastAsia" w:ascii="宋体" w:hAnsi="宋体" w:eastAsia="宋体" w:cs="宋体"/>
          <w:b/>
          <w:color w:val="auto"/>
          <w:highlight w:val="none"/>
        </w:rPr>
        <w:t>其工作顺序为：</w:t>
      </w:r>
    </w:p>
    <w:p w14:paraId="10A616CF">
      <w:pPr>
        <w:numPr>
          <w:ilvl w:val="0"/>
          <w:numId w:val="0"/>
        </w:numPr>
        <w:spacing w:line="400" w:lineRule="exact"/>
        <w:ind w:left="560" w:leftChars="0"/>
        <w:rPr>
          <w:rFonts w:hint="eastAsia" w:ascii="宋体" w:hAnsi="宋体" w:eastAsia="宋体" w:cs="宋体"/>
          <w:b/>
          <w:kern w:val="0"/>
          <w:szCs w:val="21"/>
          <w:highlight w:val="none"/>
        </w:rPr>
      </w:pPr>
      <w:bookmarkStart w:id="133" w:name="_Toc47343640"/>
      <w:r>
        <w:rPr>
          <w:rFonts w:hint="eastAsia" w:ascii="宋体" w:hAnsi="宋体" w:eastAsia="宋体" w:cs="宋体"/>
          <w:color w:val="auto"/>
          <w:highlight w:val="none"/>
          <w:lang w:eastAsia="zh-CN"/>
        </w:rPr>
        <w:t>评标委员会</w:t>
      </w:r>
      <w:r>
        <w:rPr>
          <w:rFonts w:hint="eastAsia" w:ascii="宋体" w:hAnsi="宋体" w:eastAsia="宋体" w:cs="宋体"/>
          <w:color w:val="auto"/>
          <w:highlight w:val="none"/>
        </w:rPr>
        <w:t>对有效投标</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进行</w:t>
      </w:r>
      <w:r>
        <w:rPr>
          <w:rFonts w:hint="eastAsia" w:ascii="宋体" w:hAnsi="宋体" w:eastAsia="宋体" w:cs="宋体"/>
          <w:color w:val="auto"/>
          <w:highlight w:val="none"/>
          <w:lang w:eastAsia="zh-CN"/>
        </w:rPr>
        <w:t>初步评审（</w:t>
      </w:r>
      <w:r>
        <w:rPr>
          <w:rFonts w:hint="eastAsia" w:ascii="宋体" w:hAnsi="宋体" w:eastAsia="宋体" w:cs="宋体"/>
          <w:color w:val="auto"/>
          <w:highlight w:val="none"/>
        </w:rPr>
        <w:t>资格审查</w:t>
      </w:r>
      <w:r>
        <w:rPr>
          <w:rFonts w:hint="eastAsia" w:ascii="宋体" w:hAnsi="宋体" w:eastAsia="宋体" w:cs="宋体"/>
          <w:color w:val="auto"/>
          <w:highlight w:val="none"/>
          <w:lang w:eastAsia="zh-CN"/>
        </w:rPr>
        <w:t>及符合性审查）</w:t>
      </w:r>
      <w:r>
        <w:rPr>
          <w:rFonts w:hint="eastAsia" w:ascii="宋体" w:hAnsi="宋体" w:eastAsia="宋体" w:cs="宋体"/>
          <w:color w:val="auto"/>
          <w:highlight w:val="none"/>
        </w:rPr>
        <w:t>，对</w:t>
      </w:r>
      <w:r>
        <w:rPr>
          <w:rFonts w:hint="eastAsia" w:ascii="宋体" w:hAnsi="宋体" w:eastAsia="宋体" w:cs="宋体"/>
          <w:color w:val="auto"/>
          <w:highlight w:val="none"/>
          <w:lang w:eastAsia="zh-CN"/>
        </w:rPr>
        <w:t>初步评审</w:t>
      </w:r>
      <w:r>
        <w:rPr>
          <w:rFonts w:hint="eastAsia" w:ascii="宋体" w:hAnsi="宋体" w:eastAsia="宋体" w:cs="宋体"/>
          <w:color w:val="auto"/>
          <w:highlight w:val="none"/>
        </w:rPr>
        <w:t>合格的投标人</w:t>
      </w:r>
      <w:r>
        <w:rPr>
          <w:rFonts w:hint="eastAsia" w:ascii="宋体" w:hAnsi="宋体" w:eastAsia="宋体" w:cs="宋体"/>
          <w:color w:val="auto"/>
          <w:highlight w:val="none"/>
          <w:lang w:eastAsia="zh-CN"/>
        </w:rPr>
        <w:t>进行谈判并进行</w:t>
      </w:r>
      <w:r>
        <w:rPr>
          <w:rFonts w:hint="eastAsia" w:ascii="宋体" w:hAnsi="宋体" w:eastAsia="宋体" w:cs="宋体"/>
          <w:color w:val="auto"/>
          <w:highlight w:val="none"/>
        </w:rPr>
        <w:t>第二轮报价</w:t>
      </w:r>
      <w:r>
        <w:rPr>
          <w:rFonts w:hint="eastAsia" w:ascii="宋体" w:hAnsi="宋体" w:eastAsia="宋体" w:cs="宋体"/>
          <w:color w:val="auto"/>
          <w:highlight w:val="none"/>
          <w:lang w:eastAsia="zh-CN"/>
        </w:rPr>
        <w:t>，以第二轮报价作为本项目的定标价。投标</w:t>
      </w:r>
      <w:r>
        <w:rPr>
          <w:rFonts w:hint="eastAsia" w:ascii="宋体" w:hAnsi="宋体" w:eastAsia="宋体" w:cs="宋体"/>
          <w:color w:val="auto"/>
          <w:highlight w:val="none"/>
          <w:lang w:val="en-US" w:eastAsia="zh-CN"/>
        </w:rPr>
        <w:t>总价</w:t>
      </w:r>
      <w:r>
        <w:rPr>
          <w:rFonts w:hint="eastAsia" w:ascii="宋体" w:hAnsi="宋体" w:eastAsia="宋体" w:cs="宋体"/>
          <w:color w:val="auto"/>
          <w:highlight w:val="none"/>
          <w:lang w:eastAsia="zh-CN"/>
        </w:rPr>
        <w:t>低</w:t>
      </w:r>
      <w:r>
        <w:rPr>
          <w:rFonts w:hint="eastAsia" w:ascii="宋体" w:hAnsi="宋体" w:eastAsia="宋体" w:cs="宋体"/>
          <w:color w:val="auto"/>
          <w:highlight w:val="none"/>
        </w:rPr>
        <w:t>于第一轮报价</w:t>
      </w:r>
      <w:r>
        <w:rPr>
          <w:rFonts w:hint="eastAsia" w:ascii="宋体" w:hAnsi="宋体" w:eastAsia="宋体" w:cs="宋体"/>
          <w:color w:val="auto"/>
          <w:highlight w:val="none"/>
          <w:lang w:val="en-US" w:eastAsia="zh-CN"/>
        </w:rPr>
        <w:t>总价</w:t>
      </w:r>
      <w:r>
        <w:rPr>
          <w:rFonts w:hint="eastAsia" w:ascii="宋体" w:hAnsi="宋体" w:eastAsia="宋体" w:cs="宋体"/>
          <w:color w:val="auto"/>
          <w:highlight w:val="none"/>
        </w:rPr>
        <w:t>的投标人</w:t>
      </w:r>
      <w:r>
        <w:rPr>
          <w:rFonts w:hint="eastAsia" w:ascii="宋体" w:hAnsi="宋体" w:eastAsia="宋体" w:cs="宋体"/>
          <w:color w:val="auto"/>
          <w:highlight w:val="none"/>
          <w:lang w:eastAsia="zh-CN"/>
        </w:rPr>
        <w:t>作无效投标</w:t>
      </w:r>
      <w:r>
        <w:rPr>
          <w:rFonts w:hint="eastAsia" w:ascii="宋体" w:hAnsi="宋体" w:eastAsia="宋体" w:cs="宋体"/>
          <w:color w:val="auto"/>
          <w:highlight w:val="none"/>
        </w:rPr>
        <w:t>，不进入最终定标环节。</w:t>
      </w:r>
      <w:bookmarkEnd w:id="133"/>
    </w:p>
    <w:p w14:paraId="64D843EE">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二、评标原则及程序</w:t>
      </w:r>
    </w:p>
    <w:p w14:paraId="69C940CB">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（一）评标原则</w:t>
      </w:r>
    </w:p>
    <w:p w14:paraId="7A6A09BF">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baseline"/>
        <w:rPr>
          <w:rFonts w:hint="eastAsia" w:ascii="宋体" w:hAnsi="宋体" w:eastAsia="宋体" w:cs="宋体"/>
          <w:b/>
          <w:kern w:val="0"/>
          <w:szCs w:val="21"/>
          <w:highlight w:val="none"/>
        </w:rPr>
      </w:pPr>
      <w:r>
        <w:rPr>
          <w:rFonts w:hint="eastAsia" w:ascii="宋体" w:hAnsi="宋体" w:eastAsia="宋体" w:cs="宋体"/>
          <w:kern w:val="0"/>
          <w:highlight w:val="none"/>
        </w:rPr>
        <w:t>评标委员会应当按照客观、公正、审慎的原则，根据</w:t>
      </w:r>
      <w:r>
        <w:rPr>
          <w:rFonts w:hint="eastAsia" w:ascii="宋体" w:hAnsi="宋体" w:eastAsia="宋体" w:cs="宋体"/>
          <w:kern w:val="0"/>
          <w:highlight w:val="none"/>
          <w:lang w:eastAsia="zh-CN"/>
        </w:rPr>
        <w:t>招标文件</w:t>
      </w:r>
      <w:r>
        <w:rPr>
          <w:rFonts w:hint="eastAsia" w:ascii="宋体" w:hAnsi="宋体" w:eastAsia="宋体" w:cs="宋体"/>
          <w:kern w:val="0"/>
          <w:highlight w:val="none"/>
        </w:rPr>
        <w:t>规定的评审程序、评审方法和评审标准进行独立评审。</w:t>
      </w:r>
      <w:r>
        <w:rPr>
          <w:rFonts w:hint="eastAsia" w:ascii="宋体" w:hAnsi="宋体" w:eastAsia="宋体" w:cs="宋体"/>
          <w:kern w:val="0"/>
          <w:highlight w:val="none"/>
          <w:lang w:eastAsia="zh-CN"/>
        </w:rPr>
        <w:t>招标文件</w:t>
      </w:r>
      <w:r>
        <w:rPr>
          <w:rFonts w:hint="eastAsia" w:ascii="宋体" w:hAnsi="宋体" w:eastAsia="宋体" w:cs="宋体"/>
          <w:kern w:val="0"/>
          <w:highlight w:val="none"/>
        </w:rPr>
        <w:t>内容违反国家有关强制性规定的，评标委员会应当停止评审并向</w:t>
      </w:r>
      <w:r>
        <w:rPr>
          <w:rFonts w:hint="eastAsia" w:ascii="宋体" w:hAnsi="宋体" w:eastAsia="宋体" w:cs="宋体"/>
          <w:kern w:val="0"/>
          <w:highlight w:val="none"/>
          <w:lang w:eastAsia="zh-CN"/>
        </w:rPr>
        <w:t>招标人</w:t>
      </w:r>
      <w:r>
        <w:rPr>
          <w:rFonts w:hint="eastAsia" w:ascii="宋体" w:hAnsi="宋体" w:eastAsia="宋体" w:cs="宋体"/>
          <w:kern w:val="0"/>
          <w:highlight w:val="none"/>
        </w:rPr>
        <w:t>或者采购代理机构说明情况。</w:t>
      </w:r>
    </w:p>
    <w:p w14:paraId="4CD161A5">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（二）评标程序</w:t>
      </w:r>
    </w:p>
    <w:p w14:paraId="52276F36">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1、资格审查</w:t>
      </w:r>
    </w:p>
    <w:p w14:paraId="4D08018E">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baseline"/>
        <w:rPr>
          <w:rFonts w:hint="eastAsia" w:ascii="宋体" w:hAnsi="宋体" w:eastAsia="宋体" w:cs="宋体"/>
          <w:kern w:val="0"/>
          <w:szCs w:val="21"/>
          <w:highlight w:val="none"/>
        </w:rPr>
      </w:pPr>
      <w:r>
        <w:rPr>
          <w:rFonts w:hint="eastAsia" w:ascii="宋体" w:hAnsi="宋体" w:eastAsia="宋体" w:cs="宋体"/>
          <w:kern w:val="0"/>
          <w:szCs w:val="21"/>
          <w:highlight w:val="none"/>
        </w:rPr>
        <w:t>1.1详见投标人须知22条。资格审查表详见本章附件1。</w:t>
      </w:r>
    </w:p>
    <w:p w14:paraId="2F40E601">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2、符合性审查</w:t>
      </w:r>
    </w:p>
    <w:p w14:paraId="20F2742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2.1详见投标人须知23条。符合性审查表详见本章附件2。</w:t>
      </w:r>
    </w:p>
    <w:p w14:paraId="6FC83650">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kern w:val="0"/>
          <w:szCs w:val="21"/>
          <w:highlight w:val="none"/>
        </w:rPr>
      </w:pPr>
      <w:r>
        <w:rPr>
          <w:rFonts w:hint="eastAsia" w:ascii="宋体" w:hAnsi="宋体" w:eastAsia="宋体" w:cs="宋体"/>
          <w:b/>
          <w:kern w:val="0"/>
          <w:szCs w:val="21"/>
          <w:highlight w:val="none"/>
        </w:rPr>
        <w:t>3、样品及演示</w:t>
      </w:r>
    </w:p>
    <w:p w14:paraId="6E9B7483">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w:t>
      </w:r>
      <w:r>
        <w:rPr>
          <w:rFonts w:hint="eastAsia" w:ascii="宋体" w:hAnsi="宋体" w:eastAsia="宋体" w:cs="宋体"/>
          <w:kern w:val="0"/>
          <w:szCs w:val="21"/>
          <w:highlight w:val="none"/>
        </w:rPr>
        <w:t>投标人须知表11.3条</w:t>
      </w:r>
      <w:r>
        <w:rPr>
          <w:rFonts w:hint="eastAsia" w:ascii="宋体" w:hAnsi="宋体" w:eastAsia="宋体" w:cs="宋体"/>
          <w:szCs w:val="21"/>
          <w:highlight w:val="none"/>
        </w:rPr>
        <w:t>中要求投标人提供样品或演示的，按照</w:t>
      </w:r>
      <w:r>
        <w:rPr>
          <w:rFonts w:hint="eastAsia" w:ascii="宋体" w:hAnsi="宋体" w:eastAsia="宋体" w:cs="宋体"/>
          <w:kern w:val="0"/>
          <w:szCs w:val="21"/>
          <w:highlight w:val="none"/>
        </w:rPr>
        <w:t>投标人须知表25.1条</w:t>
      </w:r>
      <w:r>
        <w:rPr>
          <w:rFonts w:hint="eastAsia" w:ascii="宋体" w:hAnsi="宋体" w:eastAsia="宋体" w:cs="宋体"/>
          <w:szCs w:val="21"/>
          <w:highlight w:val="none"/>
        </w:rPr>
        <w:t>中确定的评审方法以及评审标准进行评审。(样品或演示属于符合性审查的，按照</w:t>
      </w:r>
      <w:r>
        <w:rPr>
          <w:rFonts w:hint="eastAsia" w:ascii="宋体" w:hAnsi="宋体" w:eastAsia="宋体" w:cs="宋体"/>
          <w:kern w:val="0"/>
          <w:szCs w:val="21"/>
          <w:highlight w:val="none"/>
        </w:rPr>
        <w:t>投标人须知22条</w:t>
      </w:r>
      <w:r>
        <w:rPr>
          <w:rFonts w:hint="eastAsia" w:ascii="宋体" w:hAnsi="宋体" w:eastAsia="宋体" w:cs="宋体"/>
          <w:szCs w:val="21"/>
          <w:highlight w:val="none"/>
        </w:rPr>
        <w:t>规定执行）</w:t>
      </w:r>
    </w:p>
    <w:p w14:paraId="1DB1D32E">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4</w:t>
      </w:r>
      <w:r>
        <w:rPr>
          <w:rFonts w:hint="eastAsia" w:ascii="宋体" w:hAnsi="宋体" w:eastAsia="宋体" w:cs="宋体"/>
          <w:b/>
          <w:bCs/>
          <w:color w:val="auto"/>
          <w:kern w:val="0"/>
          <w:szCs w:val="21"/>
          <w:highlight w:val="none"/>
        </w:rPr>
        <w:t>、同一品牌产品</w:t>
      </w:r>
    </w:p>
    <w:p w14:paraId="6B781D1A">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4.1通过资格审查、符合性审查的不同品牌投标人不足3家的，按照</w:t>
      </w:r>
      <w:r>
        <w:rPr>
          <w:rFonts w:hint="eastAsia" w:ascii="宋体" w:hAnsi="宋体" w:eastAsia="宋体" w:cs="宋体"/>
          <w:color w:val="auto"/>
          <w:kern w:val="0"/>
          <w:szCs w:val="21"/>
          <w:highlight w:val="none"/>
        </w:rPr>
        <w:t>投标人须知28条第（1）款</w:t>
      </w:r>
      <w:r>
        <w:rPr>
          <w:rFonts w:hint="eastAsia" w:ascii="宋体" w:hAnsi="宋体" w:eastAsia="宋体" w:cs="宋体"/>
          <w:color w:val="auto"/>
          <w:szCs w:val="21"/>
          <w:highlight w:val="none"/>
        </w:rPr>
        <w:t>执行</w:t>
      </w:r>
      <w:r>
        <w:rPr>
          <w:rFonts w:hint="eastAsia" w:ascii="宋体" w:hAnsi="宋体" w:eastAsia="宋体" w:cs="宋体"/>
          <w:color w:val="auto"/>
          <w:kern w:val="0"/>
          <w:szCs w:val="21"/>
          <w:highlight w:val="none"/>
        </w:rPr>
        <w:t>。</w:t>
      </w:r>
    </w:p>
    <w:p w14:paraId="1980785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4.2提供相同品牌产品且通过资格审查、符合性审查的不同投标人，按一家投标人计算。</w:t>
      </w:r>
    </w:p>
    <w:p w14:paraId="583DA88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4.3如一个分包内只有一种产品，不同投标人所投产品为同一品牌的，按如下方式处理：</w:t>
      </w:r>
    </w:p>
    <w:p w14:paraId="0C9B3853">
      <w:pPr>
        <w:keepNext w:val="0"/>
        <w:keepLines w:val="0"/>
        <w:pageBreakBefore w:val="0"/>
        <w:widowControl w:val="0"/>
        <w:numPr>
          <w:ilvl w:val="0"/>
          <w:numId w:val="13"/>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如本项目使用最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评标价法，提供相同品牌产品的不同投标人以其中通过资格审查、符合性审查且报价最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的参加比较及评价；报价相同的，按</w:t>
      </w:r>
      <w:r>
        <w:rPr>
          <w:rFonts w:hint="eastAsia" w:ascii="宋体" w:hAnsi="宋体" w:eastAsia="宋体" w:cs="宋体"/>
          <w:color w:val="auto"/>
          <w:kern w:val="0"/>
          <w:szCs w:val="21"/>
          <w:highlight w:val="none"/>
        </w:rPr>
        <w:t>本章第8条</w:t>
      </w:r>
      <w:r>
        <w:rPr>
          <w:rFonts w:hint="eastAsia" w:ascii="宋体" w:hAnsi="宋体" w:eastAsia="宋体" w:cs="宋体"/>
          <w:color w:val="auto"/>
          <w:szCs w:val="21"/>
          <w:highlight w:val="none"/>
        </w:rPr>
        <w:t>“推荐中标候选人的原则”规定执行；未规定的采取随机抽取方式确定，其他</w:t>
      </w:r>
      <w:r>
        <w:rPr>
          <w:rFonts w:hint="eastAsia" w:ascii="宋体" w:hAnsi="宋体" w:eastAsia="宋体" w:cs="宋体"/>
          <w:b/>
          <w:bCs/>
          <w:color w:val="auto"/>
          <w:szCs w:val="21"/>
          <w:highlight w:val="none"/>
        </w:rPr>
        <w:t>投标无效</w:t>
      </w:r>
      <w:r>
        <w:rPr>
          <w:rFonts w:hint="eastAsia" w:ascii="宋体" w:hAnsi="宋体" w:eastAsia="宋体" w:cs="宋体"/>
          <w:color w:val="auto"/>
          <w:szCs w:val="21"/>
          <w:highlight w:val="none"/>
        </w:rPr>
        <w:t>。</w:t>
      </w:r>
    </w:p>
    <w:p w14:paraId="6818720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如本项目使用综合评分法，评审后得分最高的同品牌投标人获得中标人推荐资格；评审得分相同的，按本章第8条“推荐中标候选人的原则”规定执行；未规定的采取随机抽取方式确定，其他同品牌投标人不作为中标候选人。</w:t>
      </w:r>
    </w:p>
    <w:p w14:paraId="08A11B2C">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4.4如一个分包内包含多种产品的，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将在招标文件中载明核心产品，多家投标人提供的核心产品品牌相同的，</w:t>
      </w:r>
      <w:r>
        <w:rPr>
          <w:rFonts w:hint="eastAsia" w:ascii="宋体" w:hAnsi="宋体" w:eastAsia="宋体" w:cs="宋体"/>
          <w:color w:val="auto"/>
          <w:kern w:val="0"/>
          <w:szCs w:val="21"/>
          <w:highlight w:val="none"/>
        </w:rPr>
        <w:t>按本章第4.3条规定处理。</w:t>
      </w:r>
    </w:p>
    <w:p w14:paraId="6CB3858C">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5</w:t>
      </w:r>
      <w:r>
        <w:rPr>
          <w:rFonts w:hint="eastAsia" w:ascii="宋体" w:hAnsi="宋体" w:eastAsia="宋体" w:cs="宋体"/>
          <w:b/>
          <w:bCs/>
          <w:color w:val="auto"/>
          <w:kern w:val="0"/>
          <w:szCs w:val="21"/>
          <w:highlight w:val="none"/>
        </w:rPr>
        <w:t>、比较及评价</w:t>
      </w:r>
    </w:p>
    <w:p w14:paraId="26F03492">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5.1评标委员会对通过符合性审查的投标文件进行比较和评价。</w:t>
      </w:r>
    </w:p>
    <w:p w14:paraId="2D59B570">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5.2在评标期间，对投标文件的澄清按投标人须知24条内容执行。</w:t>
      </w:r>
    </w:p>
    <w:p w14:paraId="6505C644">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5.3评标委员会认为投标人的报价明显低于其他通过符合性审查的投标人报价，有可能影响产品质量或者不能诚信履约的，评标委员会应当要求其在评标现场合理的时间（</w:t>
      </w:r>
      <w:r>
        <w:rPr>
          <w:rFonts w:hint="eastAsia" w:ascii="宋体" w:hAnsi="宋体" w:eastAsia="宋体" w:cs="宋体"/>
          <w:color w:val="auto"/>
          <w:kern w:val="0"/>
          <w:szCs w:val="21"/>
          <w:highlight w:val="none"/>
        </w:rPr>
        <w:t>接到通知后</w:t>
      </w:r>
      <w:r>
        <w:rPr>
          <w:rFonts w:hint="eastAsia" w:ascii="宋体" w:hAnsi="宋体" w:eastAsia="宋体" w:cs="宋体"/>
          <w:color w:val="auto"/>
          <w:kern w:val="0"/>
          <w:szCs w:val="21"/>
          <w:highlight w:val="none"/>
          <w:u w:val="single"/>
        </w:rPr>
        <w:t xml:space="preserve"> 0.5 </w:t>
      </w:r>
      <w:r>
        <w:rPr>
          <w:rFonts w:hint="eastAsia" w:ascii="宋体" w:hAnsi="宋体" w:eastAsia="宋体" w:cs="宋体"/>
          <w:color w:val="auto"/>
          <w:kern w:val="0"/>
          <w:szCs w:val="21"/>
          <w:highlight w:val="none"/>
        </w:rPr>
        <w:t>小时</w:t>
      </w:r>
      <w:r>
        <w:rPr>
          <w:rFonts w:hint="eastAsia" w:ascii="宋体" w:hAnsi="宋体" w:eastAsia="宋体" w:cs="宋体"/>
          <w:color w:val="auto"/>
          <w:szCs w:val="21"/>
          <w:highlight w:val="none"/>
        </w:rPr>
        <w:t>）内提供书面说明，并提交相关证明材料，</w:t>
      </w:r>
      <w:r>
        <w:rPr>
          <w:rFonts w:hint="eastAsia" w:ascii="宋体" w:hAnsi="宋体" w:eastAsia="宋体" w:cs="宋体"/>
          <w:color w:val="auto"/>
          <w:kern w:val="0"/>
          <w:szCs w:val="21"/>
          <w:highlight w:val="none"/>
        </w:rPr>
        <w:t>投标人不能证明其报价合理性的，评标委员会应当将</w:t>
      </w:r>
      <w:r>
        <w:rPr>
          <w:rFonts w:hint="eastAsia" w:ascii="宋体" w:hAnsi="宋体" w:eastAsia="宋体" w:cs="宋体"/>
          <w:color w:val="auto"/>
          <w:szCs w:val="21"/>
          <w:highlight w:val="none"/>
        </w:rPr>
        <w:t>其投标作为</w:t>
      </w:r>
      <w:r>
        <w:rPr>
          <w:rFonts w:hint="eastAsia" w:ascii="宋体" w:hAnsi="宋体" w:eastAsia="宋体" w:cs="宋体"/>
          <w:b/>
          <w:bCs/>
          <w:color w:val="auto"/>
          <w:szCs w:val="21"/>
          <w:highlight w:val="none"/>
        </w:rPr>
        <w:t>无效投标处理</w:t>
      </w:r>
      <w:r>
        <w:rPr>
          <w:rFonts w:hint="eastAsia" w:ascii="宋体" w:hAnsi="宋体" w:eastAsia="宋体" w:cs="宋体"/>
          <w:color w:val="auto"/>
          <w:szCs w:val="21"/>
          <w:highlight w:val="none"/>
        </w:rPr>
        <w:t>。</w:t>
      </w:r>
    </w:p>
    <w:p w14:paraId="6323AD4F">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投标人的书面说明材料包含货物本身成本、人工费用、运输、税收等，以及报价不会影响产品质量或诚信履约能力的说明等。</w:t>
      </w:r>
    </w:p>
    <w:p w14:paraId="5A4ABAF9">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投标人的书面说明应当签字确认或者加盖公章，否则无效。书面说明的签字确认，由其法定代表人（非法人单位负责人或自然人本人）或者其授权代表签字确认。</w:t>
      </w:r>
    </w:p>
    <w:p w14:paraId="49B7824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投标人提供书面说明后，评标委员会应当结合采购项目采购需求、专业实际情况、</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财务状况报告、与其他投标人比较情况等就投标人的书面说明进行审查评价。投标人如有下列情况的，评标委员会应当将其投标文件作为无效处理：</w:t>
      </w:r>
    </w:p>
    <w:p w14:paraId="141F2E27">
      <w:pPr>
        <w:keepNext w:val="0"/>
        <w:keepLines w:val="0"/>
        <w:pageBreakBefore w:val="0"/>
        <w:widowControl w:val="0"/>
        <w:numPr>
          <w:ilvl w:val="0"/>
          <w:numId w:val="14"/>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拒绝或者变相拒绝提供有效书面说明；</w:t>
      </w:r>
    </w:p>
    <w:p w14:paraId="3AB0D6A5">
      <w:pPr>
        <w:keepNext w:val="0"/>
        <w:keepLines w:val="0"/>
        <w:pageBreakBefore w:val="0"/>
        <w:widowControl w:val="0"/>
        <w:numPr>
          <w:ilvl w:val="0"/>
          <w:numId w:val="14"/>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书面说明不能证明其报价合理性的；</w:t>
      </w:r>
    </w:p>
    <w:p w14:paraId="15EC512B">
      <w:pPr>
        <w:keepNext w:val="0"/>
        <w:keepLines w:val="0"/>
        <w:pageBreakBefore w:val="0"/>
        <w:widowControl w:val="0"/>
        <w:numPr>
          <w:ilvl w:val="0"/>
          <w:numId w:val="14"/>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未在规定时间内递交有效书面说明书的。</w:t>
      </w:r>
    </w:p>
    <w:p w14:paraId="50A8EC39">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lang w:val="en-US" w:eastAsia="zh-CN"/>
        </w:rPr>
        <w:t>6</w:t>
      </w:r>
      <w:r>
        <w:rPr>
          <w:rFonts w:hint="eastAsia" w:ascii="宋体" w:hAnsi="宋体" w:eastAsia="宋体" w:cs="宋体"/>
          <w:b/>
          <w:bCs/>
          <w:color w:val="auto"/>
          <w:kern w:val="0"/>
          <w:szCs w:val="21"/>
          <w:highlight w:val="none"/>
        </w:rPr>
        <w:t>、投标无效情况详见投标人须知。</w:t>
      </w:r>
    </w:p>
    <w:p w14:paraId="002747EC">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auto"/>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lang w:val="en-US" w:eastAsia="zh-CN"/>
        </w:rPr>
        <w:t>7</w:t>
      </w:r>
      <w:r>
        <w:rPr>
          <w:rFonts w:hint="eastAsia" w:ascii="宋体" w:hAnsi="宋体" w:eastAsia="宋体" w:cs="宋体"/>
          <w:b/>
          <w:bCs/>
          <w:color w:val="auto"/>
          <w:kern w:val="0"/>
          <w:szCs w:val="21"/>
          <w:highlight w:val="none"/>
        </w:rPr>
        <w:t>、推荐中标候选人的原则</w:t>
      </w:r>
    </w:p>
    <w:p w14:paraId="2E50E363">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详见第一章投标人须知第29条，报价相同的处理办法如下：</w:t>
      </w:r>
    </w:p>
    <w:p w14:paraId="2FAF0DD3">
      <w:pPr>
        <w:keepNext w:val="0"/>
        <w:keepLines w:val="0"/>
        <w:pageBreakBefore w:val="0"/>
        <w:widowControl w:val="0"/>
        <w:numPr>
          <w:ilvl w:val="0"/>
          <w:numId w:val="15"/>
        </w:numPr>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采用最</w:t>
      </w:r>
      <w:r>
        <w:rPr>
          <w:rFonts w:hint="eastAsia" w:ascii="宋体" w:hAnsi="宋体" w:eastAsia="宋体" w:cs="宋体"/>
          <w:szCs w:val="21"/>
          <w:highlight w:val="none"/>
          <w:lang w:val="en-US" w:eastAsia="zh-CN"/>
        </w:rPr>
        <w:t>高</w:t>
      </w:r>
      <w:r>
        <w:rPr>
          <w:rFonts w:hint="eastAsia" w:ascii="宋体" w:hAnsi="宋体" w:eastAsia="宋体" w:cs="宋体"/>
          <w:szCs w:val="21"/>
          <w:highlight w:val="none"/>
        </w:rPr>
        <w:t>评标价法的：</w:t>
      </w:r>
    </w:p>
    <w:p w14:paraId="64EB847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扣除后的投标报价相同时，按投标报价由</w:t>
      </w:r>
      <w:r>
        <w:rPr>
          <w:rFonts w:hint="eastAsia" w:ascii="宋体" w:hAnsi="宋体" w:eastAsia="宋体" w:cs="宋体"/>
          <w:szCs w:val="21"/>
          <w:highlight w:val="none"/>
          <w:lang w:val="en-US" w:eastAsia="zh-CN"/>
        </w:rPr>
        <w:t>高</w:t>
      </w:r>
      <w:r>
        <w:rPr>
          <w:rFonts w:hint="eastAsia" w:ascii="宋体" w:hAnsi="宋体" w:eastAsia="宋体" w:cs="宋体"/>
          <w:szCs w:val="21"/>
          <w:highlight w:val="none"/>
        </w:rPr>
        <w:t>至</w:t>
      </w:r>
      <w:r>
        <w:rPr>
          <w:rFonts w:hint="eastAsia" w:ascii="宋体" w:hAnsi="宋体" w:eastAsia="宋体" w:cs="宋体"/>
          <w:szCs w:val="21"/>
          <w:highlight w:val="none"/>
          <w:lang w:val="en-US" w:eastAsia="zh-CN"/>
        </w:rPr>
        <w:t>低</w:t>
      </w:r>
      <w:r>
        <w:rPr>
          <w:rFonts w:hint="eastAsia" w:ascii="宋体" w:hAnsi="宋体" w:eastAsia="宋体" w:cs="宋体"/>
          <w:szCs w:val="21"/>
          <w:highlight w:val="none"/>
        </w:rPr>
        <w:t>排序；</w:t>
      </w:r>
    </w:p>
    <w:p w14:paraId="58C1354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按前款不能区分的，优先采购节能产品、环境标志产品；</w:t>
      </w:r>
    </w:p>
    <w:p w14:paraId="6D000466">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按前款不能区分的，按技术指标优劣排序；</w:t>
      </w:r>
    </w:p>
    <w:p w14:paraId="7DD3B03F">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zCs w:val="21"/>
          <w:highlight w:val="none"/>
        </w:rPr>
        <w:t>其他情况，由评标委员会集体研究处理。</w:t>
      </w:r>
    </w:p>
    <w:p w14:paraId="721801A9">
      <w:pPr>
        <w:keepNext w:val="0"/>
        <w:keepLines w:val="0"/>
        <w:pageBreakBefore w:val="0"/>
        <w:widowControl w:val="0"/>
        <w:numPr>
          <w:ilvl w:val="0"/>
          <w:numId w:val="0"/>
        </w:numPr>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Cs w:val="21"/>
          <w:highlight w:val="none"/>
        </w:rPr>
        <w:t>采用综合评分法的：</w:t>
      </w:r>
    </w:p>
    <w:p w14:paraId="51F013AB">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得分相同的，按扣除后的投标报价由低到高顺序排列；</w:t>
      </w:r>
    </w:p>
    <w:p w14:paraId="09B40810">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按前款不能区分的，按投标报价由低至高顺序排序；</w:t>
      </w:r>
    </w:p>
    <w:p w14:paraId="090535A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按前款不能区分的，优先采购节能产品、环保产品；</w:t>
      </w:r>
    </w:p>
    <w:p w14:paraId="59EC7FBE">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按前款不能区分的，按技术指标优劣排序；</w:t>
      </w:r>
    </w:p>
    <w:p w14:paraId="6F8C2F34">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其他情况，由评标委员会集体研究处理。</w:t>
      </w:r>
    </w:p>
    <w:p w14:paraId="1EC7390B">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auto"/>
        <w:rPr>
          <w:rFonts w:hint="eastAsia" w:ascii="宋体" w:hAnsi="宋体" w:eastAsia="宋体" w:cs="宋体"/>
          <w:b/>
          <w:color w:val="auto"/>
          <w:kern w:val="0"/>
          <w:szCs w:val="21"/>
          <w:highlight w:val="none"/>
        </w:rPr>
      </w:pPr>
      <w:r>
        <w:rPr>
          <w:rFonts w:hint="eastAsia" w:ascii="宋体" w:hAnsi="宋体" w:eastAsia="宋体" w:cs="宋体"/>
          <w:b/>
          <w:color w:val="auto"/>
          <w:szCs w:val="21"/>
          <w:highlight w:val="none"/>
        </w:rPr>
        <w:t>三、</w:t>
      </w:r>
      <w:r>
        <w:rPr>
          <w:rFonts w:hint="eastAsia" w:ascii="宋体" w:hAnsi="宋体" w:eastAsia="宋体" w:cs="宋体"/>
          <w:b/>
          <w:color w:val="auto"/>
          <w:kern w:val="0"/>
          <w:szCs w:val="21"/>
          <w:highlight w:val="none"/>
        </w:rPr>
        <w:t>确定中标人</w:t>
      </w:r>
    </w:p>
    <w:p w14:paraId="7AB66E6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评标委员会根据全体评标委员会成员签字的原始评标记录和评标结果编写评标报告，并向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提交书面评标报告。</w:t>
      </w:r>
    </w:p>
    <w:p w14:paraId="13FBE06A">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按照评标报告确定的中标候选人名单按顺序确定中标人，或由</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委托评标委员会按照第一章投标人须知第31条规定的方式确定中标人。</w:t>
      </w:r>
    </w:p>
    <w:p w14:paraId="753F8917">
      <w:pPr>
        <w:adjustRightInd w:val="0"/>
        <w:snapToGrid w:val="0"/>
        <w:ind w:firstLine="422" w:firstLineChars="200"/>
        <w:rPr>
          <w:rFonts w:hint="eastAsia" w:ascii="宋体" w:hAnsi="宋体" w:eastAsia="宋体" w:cs="宋体"/>
          <w:b/>
          <w:kern w:val="0"/>
          <w:szCs w:val="21"/>
          <w:highlight w:val="none"/>
        </w:rPr>
      </w:pPr>
    </w:p>
    <w:p w14:paraId="789FED9F">
      <w:pPr>
        <w:pStyle w:val="8"/>
        <w:rPr>
          <w:rFonts w:hint="eastAsia"/>
          <w:highlight w:val="none"/>
        </w:rPr>
      </w:pPr>
    </w:p>
    <w:p w14:paraId="54FE15BF">
      <w:pPr>
        <w:adjustRightInd w:val="0"/>
        <w:snapToGrid w:val="0"/>
        <w:ind w:firstLine="422" w:firstLineChars="200"/>
        <w:rPr>
          <w:rFonts w:hint="eastAsia" w:ascii="宋体" w:hAnsi="宋体" w:eastAsia="宋体" w:cs="宋体"/>
          <w:b/>
          <w:kern w:val="0"/>
          <w:szCs w:val="21"/>
          <w:highlight w:val="none"/>
        </w:rPr>
      </w:pPr>
    </w:p>
    <w:p w14:paraId="2CA85EF3">
      <w:pPr>
        <w:widowControl/>
        <w:spacing w:line="240" w:lineRule="auto"/>
        <w:jc w:val="left"/>
        <w:rPr>
          <w:rFonts w:hint="eastAsia" w:ascii="宋体" w:hAnsi="宋体" w:eastAsia="宋体" w:cs="宋体"/>
          <w:highlight w:val="none"/>
        </w:rPr>
      </w:pPr>
      <w:r>
        <w:rPr>
          <w:rFonts w:hint="eastAsia" w:ascii="宋体" w:hAnsi="宋体" w:eastAsia="宋体" w:cs="宋体"/>
          <w:b/>
          <w:kern w:val="2"/>
          <w:sz w:val="28"/>
          <w:szCs w:val="24"/>
          <w:highlight w:val="none"/>
          <w:lang w:val="en-US" w:eastAsia="zh-CN" w:bidi="ar-SA"/>
        </w:rPr>
        <w:t>附件1                   资格审查表</w:t>
      </w:r>
    </w:p>
    <w:tbl>
      <w:tblPr>
        <w:tblStyle w:val="17"/>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346"/>
        <w:gridCol w:w="5349"/>
      </w:tblGrid>
      <w:tr w14:paraId="66D04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677"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7241016">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序号</w:t>
            </w:r>
          </w:p>
        </w:tc>
        <w:tc>
          <w:tcPr>
            <w:tcW w:w="234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2621917">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审查内容</w:t>
            </w:r>
          </w:p>
        </w:tc>
        <w:tc>
          <w:tcPr>
            <w:tcW w:w="5349"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3537A4">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审查标准</w:t>
            </w:r>
          </w:p>
        </w:tc>
      </w:tr>
      <w:tr w14:paraId="655A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7"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ABE5E5B">
            <w:pPr>
              <w:pStyle w:val="3"/>
              <w:adjustRightInd w:val="0"/>
              <w:snapToGrid w:val="0"/>
              <w:spacing w:before="0" w:after="0" w:line="240" w:lineRule="auto"/>
              <w:rPr>
                <w:rFonts w:hint="eastAsia" w:ascii="宋体" w:hAnsi="宋体" w:eastAsia="宋体" w:cs="宋体"/>
                <w:color w:val="000000"/>
                <w:highlight w:val="none"/>
              </w:rPr>
            </w:pPr>
          </w:p>
        </w:tc>
        <w:tc>
          <w:tcPr>
            <w:tcW w:w="234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8822939">
            <w:pPr>
              <w:pStyle w:val="3"/>
              <w:adjustRightInd w:val="0"/>
              <w:snapToGrid w:val="0"/>
              <w:spacing w:before="0" w:after="0" w:line="240" w:lineRule="auto"/>
              <w:rPr>
                <w:rFonts w:hint="eastAsia" w:ascii="宋体" w:hAnsi="宋体" w:eastAsia="宋体" w:cs="宋体"/>
                <w:color w:val="000000"/>
                <w:sz w:val="21"/>
                <w:szCs w:val="21"/>
                <w:highlight w:val="none"/>
              </w:rPr>
            </w:pPr>
          </w:p>
        </w:tc>
        <w:tc>
          <w:tcPr>
            <w:tcW w:w="5349"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64FF003">
            <w:pPr>
              <w:pStyle w:val="3"/>
              <w:adjustRightInd w:val="0"/>
              <w:snapToGrid w:val="0"/>
              <w:spacing w:before="0" w:after="0" w:line="240" w:lineRule="auto"/>
              <w:rPr>
                <w:rFonts w:hint="eastAsia" w:ascii="宋体" w:hAnsi="宋体" w:eastAsia="宋体" w:cs="宋体"/>
                <w:color w:val="000000"/>
                <w:sz w:val="21"/>
                <w:szCs w:val="21"/>
                <w:highlight w:val="none"/>
              </w:rPr>
            </w:pPr>
          </w:p>
        </w:tc>
      </w:tr>
      <w:tr w14:paraId="6758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677" w:type="dxa"/>
            <w:tcBorders>
              <w:left w:val="single" w:color="000000" w:sz="8" w:space="0"/>
              <w:bottom w:val="single" w:color="000000" w:sz="8" w:space="0"/>
              <w:right w:val="single" w:color="000000" w:sz="8" w:space="0"/>
            </w:tcBorders>
            <w:shd w:val="clear" w:color="auto" w:fill="FFFFFF"/>
            <w:noWrap w:val="0"/>
            <w:vAlign w:val="center"/>
          </w:tcPr>
          <w:p w14:paraId="70211A3E">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1</w:t>
            </w:r>
          </w:p>
        </w:tc>
        <w:tc>
          <w:tcPr>
            <w:tcW w:w="2346" w:type="dxa"/>
            <w:tcBorders>
              <w:left w:val="single" w:color="000000" w:sz="8" w:space="0"/>
              <w:bottom w:val="single" w:color="000000" w:sz="8" w:space="0"/>
              <w:right w:val="single" w:color="000000" w:sz="8" w:space="0"/>
            </w:tcBorders>
            <w:shd w:val="clear" w:color="auto" w:fill="FFFFFF"/>
            <w:noWrap w:val="0"/>
            <w:vAlign w:val="center"/>
          </w:tcPr>
          <w:p w14:paraId="56338FAE">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具有独立承担民事责任的能力；</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B2FC799">
            <w:pPr>
              <w:snapToGrid w:val="0"/>
              <w:rPr>
                <w:rFonts w:ascii="宋体" w:hAnsi="宋体" w:eastAsia="宋体" w:cs="宋体"/>
                <w:color w:val="000000"/>
                <w:highlight w:val="none"/>
              </w:rPr>
            </w:pPr>
            <w:r>
              <w:rPr>
                <w:rFonts w:hint="eastAsia" w:ascii="宋体" w:hAnsi="宋体" w:eastAsia="宋体" w:cs="宋体"/>
                <w:color w:val="000000"/>
                <w:highlight w:val="none"/>
              </w:rPr>
              <w:t>①营业执照或事业单位法人证书或执业许可证等证明文件或自然人的身份证明</w:t>
            </w:r>
          </w:p>
          <w:p w14:paraId="3843CBC5">
            <w:pPr>
              <w:snapToGrid w:val="0"/>
              <w:rPr>
                <w:rFonts w:ascii="宋体" w:hAnsi="宋体" w:eastAsia="宋体" w:cs="宋体"/>
                <w:color w:val="000000"/>
                <w:highlight w:val="none"/>
              </w:rPr>
            </w:pPr>
            <w:r>
              <w:rPr>
                <w:rFonts w:hint="eastAsia" w:ascii="宋体" w:hAnsi="宋体" w:eastAsia="宋体" w:cs="宋体"/>
                <w:color w:val="000000"/>
                <w:highlight w:val="none"/>
              </w:rPr>
              <w:t>②组织机构代码证（复印件，三证合一的不需提供）</w:t>
            </w:r>
          </w:p>
          <w:p w14:paraId="31A17C54">
            <w:pPr>
              <w:snapToGrid w:val="0"/>
              <w:rPr>
                <w:rFonts w:ascii="宋体" w:hAnsi="宋体" w:eastAsia="宋体" w:cs="宋体"/>
                <w:color w:val="000000"/>
                <w:highlight w:val="none"/>
              </w:rPr>
            </w:pPr>
            <w:r>
              <w:rPr>
                <w:rFonts w:hint="eastAsia" w:ascii="宋体" w:hAnsi="宋体" w:eastAsia="宋体" w:cs="宋体"/>
                <w:color w:val="000000"/>
                <w:highlight w:val="none"/>
              </w:rPr>
              <w:t>③税务登记证（复印件，三证合一的不需提供）</w:t>
            </w:r>
          </w:p>
          <w:p w14:paraId="66322DB7">
            <w:pPr>
              <w:snapToGrid w:val="0"/>
              <w:rPr>
                <w:rFonts w:ascii="宋体" w:hAnsi="宋体" w:eastAsia="宋体" w:cs="宋体"/>
                <w:color w:val="000000"/>
                <w:highlight w:val="none"/>
              </w:rPr>
            </w:pPr>
            <w:r>
              <w:rPr>
                <w:rFonts w:hint="eastAsia" w:ascii="宋体" w:hAnsi="宋体" w:eastAsia="宋体" w:cs="宋体"/>
                <w:color w:val="000000"/>
                <w:highlight w:val="none"/>
              </w:rPr>
              <w:t>④法定代表人（或非法人组织负责人）身份证明书</w:t>
            </w:r>
          </w:p>
          <w:p w14:paraId="0A3AF71A">
            <w:pPr>
              <w:snapToGrid w:val="0"/>
              <w:rPr>
                <w:rFonts w:hint="eastAsia" w:ascii="宋体" w:hAnsi="宋体" w:eastAsia="宋体" w:cs="宋体"/>
                <w:color w:val="000000"/>
                <w:highlight w:val="none"/>
                <w:lang w:eastAsia="zh-CN"/>
              </w:rPr>
            </w:pPr>
            <w:r>
              <w:rPr>
                <w:rFonts w:hint="eastAsia" w:ascii="宋体" w:hAnsi="宋体" w:eastAsia="宋体" w:cs="宋体"/>
                <w:color w:val="000000"/>
                <w:highlight w:val="none"/>
              </w:rPr>
              <w:t>⑤法定代表人（或非法人组织负责人）授权委托书（授权委托人参加投标的须提供）</w:t>
            </w:r>
          </w:p>
        </w:tc>
      </w:tr>
      <w:tr w14:paraId="5DD75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7492050">
            <w:pPr>
              <w:widowControl/>
              <w:snapToGrid w:val="0"/>
              <w:jc w:val="center"/>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2</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30318B">
            <w:pPr>
              <w:snapToGrid w:val="0"/>
              <w:jc w:val="center"/>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highlight w:val="none"/>
              </w:rPr>
              <w:t>具有良好的商业信誉和健全的财务会计制度；</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921B7C6">
            <w:pPr>
              <w:snapToGrid w:val="0"/>
              <w:jc w:val="both"/>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kern w:val="2"/>
                <w:sz w:val="21"/>
                <w:szCs w:val="24"/>
                <w:highlight w:val="none"/>
                <w:lang w:val="en-US" w:eastAsia="zh-CN" w:bidi="ar-SA"/>
              </w:rPr>
              <w:t>投标文件中提供《资格条件承诺函》。</w:t>
            </w:r>
          </w:p>
        </w:tc>
      </w:tr>
      <w:tr w14:paraId="1276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398738">
            <w:pPr>
              <w:widowControl/>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rPr>
              <w:t>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9FE3BD">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具有履行合同所必需的设备和专业技术能力；</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D3E990">
            <w:pPr>
              <w:snapToGrid w:val="0"/>
              <w:jc w:val="both"/>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kern w:val="2"/>
                <w:sz w:val="21"/>
                <w:szCs w:val="24"/>
                <w:highlight w:val="none"/>
                <w:lang w:val="en-US" w:eastAsia="zh-CN" w:bidi="ar-SA"/>
              </w:rPr>
              <w:t>投标文件中提供《资格条件承诺函》。</w:t>
            </w:r>
          </w:p>
        </w:tc>
      </w:tr>
      <w:tr w14:paraId="52E38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AC9D0E2">
            <w:pPr>
              <w:widowControl/>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szCs w:val="21"/>
                <w:highlight w:val="none"/>
              </w:rPr>
              <w:t>4</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E8BA98">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有依法缴纳税收和社会保障资金的良好记录；</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AC6CC5">
            <w:pPr>
              <w:snapToGrid w:val="0"/>
              <w:jc w:val="both"/>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kern w:val="2"/>
                <w:sz w:val="21"/>
                <w:szCs w:val="24"/>
                <w:highlight w:val="none"/>
                <w:lang w:val="en-US" w:eastAsia="zh-CN" w:bidi="ar-SA"/>
              </w:rPr>
              <w:t>投标文件中提供《资格条件承诺函》。</w:t>
            </w:r>
          </w:p>
        </w:tc>
      </w:tr>
      <w:tr w14:paraId="6C6EC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C38666">
            <w:pPr>
              <w:widowControl/>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rPr>
              <w:t>5</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F9498B">
            <w:pPr>
              <w:snapToGrid w:val="0"/>
              <w:jc w:val="center"/>
              <w:rPr>
                <w:rFonts w:hint="eastAsia" w:ascii="宋体" w:hAnsi="宋体" w:eastAsia="宋体" w:cs="宋体"/>
                <w:color w:val="000000"/>
                <w:highlight w:val="none"/>
              </w:rPr>
            </w:pPr>
            <w:r>
              <w:rPr>
                <w:rFonts w:hint="eastAsia" w:ascii="宋体" w:hAnsi="宋体" w:eastAsia="宋体" w:cs="宋体"/>
                <w:color w:val="auto"/>
                <w:highlight w:val="none"/>
              </w:rPr>
              <w:t>参加</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采购活动前三年内，在经营活动中没有重大违法记录；</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6673A4A">
            <w:pPr>
              <w:snapToGrid w:val="0"/>
              <w:jc w:val="both"/>
              <w:rPr>
                <w:rFonts w:hint="eastAsia" w:ascii="宋体" w:hAnsi="宋体" w:eastAsia="宋体" w:cs="宋体"/>
                <w:color w:val="000000"/>
                <w:highlight w:val="none"/>
              </w:rPr>
            </w:pPr>
            <w:r>
              <w:rPr>
                <w:rFonts w:hint="eastAsia" w:ascii="宋体" w:hAnsi="宋体" w:eastAsia="宋体" w:cs="宋体"/>
                <w:color w:val="auto"/>
                <w:highlight w:val="none"/>
                <w:lang w:val="en-US" w:eastAsia="zh-CN"/>
              </w:rPr>
              <w:t>投标文件中提供《资格条件承诺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13DD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D137CA">
            <w:pPr>
              <w:widowControl/>
              <w:snapToGrid w:val="0"/>
              <w:jc w:val="center"/>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6</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BA603D3">
            <w:pPr>
              <w:snapToGrid w:val="0"/>
              <w:jc w:val="center"/>
              <w:rPr>
                <w:rFonts w:hint="default" w:ascii="宋体" w:hAnsi="宋体" w:eastAsia="宋体" w:cs="宋体"/>
                <w:color w:val="000000"/>
                <w:highlight w:val="none"/>
                <w:lang w:val="en-US" w:eastAsia="zh-CN"/>
              </w:rPr>
            </w:pPr>
            <w:r>
              <w:rPr>
                <w:rFonts w:hint="eastAsia" w:ascii="宋体" w:hAnsi="宋体" w:eastAsia="宋体" w:cs="宋体"/>
                <w:color w:val="000000"/>
                <w:highlight w:val="none"/>
              </w:rPr>
              <w:t>法律、行政法规规定的其他条件。</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28040FE">
            <w:pPr>
              <w:snapToGrid w:val="0"/>
              <w:rPr>
                <w:rFonts w:hint="eastAsia" w:ascii="宋体" w:hAnsi="宋体" w:eastAsia="宋体" w:cs="宋体"/>
                <w:color w:val="000000"/>
                <w:highlight w:val="none"/>
              </w:rPr>
            </w:pP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未被“信用中国”网站（www.creditchina.gov.cn）列入“记录失信被执行人”、“</w:t>
            </w:r>
            <w:r>
              <w:rPr>
                <w:rFonts w:hint="eastAsia" w:ascii="宋体" w:hAnsi="宋体" w:eastAsia="宋体" w:cs="宋体"/>
                <w:color w:val="000000"/>
                <w:highlight w:val="none"/>
                <w:lang w:val="en-US" w:eastAsia="zh-CN"/>
              </w:rPr>
              <w:t>重大税收违法失信主体</w:t>
            </w:r>
            <w:r>
              <w:rPr>
                <w:rFonts w:hint="eastAsia" w:ascii="宋体" w:hAnsi="宋体" w:eastAsia="宋体" w:cs="宋体"/>
                <w:color w:val="000000"/>
                <w:highlight w:val="none"/>
              </w:rPr>
              <w:t>”、“政府采购严重违法失信行为”中任意一项或多项记录名单；同时，</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未处于中国政府采购网(www.ccgp.gov.cn)“政府采购严重违法失信行为信息记录”中的禁止参加政府采购活动期间。</w:t>
            </w:r>
          </w:p>
          <w:p w14:paraId="1191554F">
            <w:pPr>
              <w:snapToGrid w:val="0"/>
              <w:rPr>
                <w:rFonts w:hint="eastAsia" w:ascii="宋体" w:hAnsi="宋体" w:eastAsia="宋体" w:cs="宋体"/>
                <w:color w:val="000000"/>
                <w:highlight w:val="none"/>
              </w:rPr>
            </w:pPr>
            <w:r>
              <w:rPr>
                <w:rFonts w:hint="eastAsia" w:ascii="宋体" w:hAnsi="宋体" w:eastAsia="宋体" w:cs="宋体"/>
                <w:color w:val="000000"/>
                <w:highlight w:val="none"/>
              </w:rPr>
              <w:t>注：以</w:t>
            </w:r>
            <w:r>
              <w:rPr>
                <w:rFonts w:hint="eastAsia" w:ascii="宋体" w:hAnsi="宋体" w:eastAsia="宋体" w:cs="宋体"/>
                <w:color w:val="000000"/>
                <w:highlight w:val="none"/>
                <w:lang w:eastAsia="zh-CN"/>
              </w:rPr>
              <w:t>招标代理机构</w:t>
            </w:r>
            <w:r>
              <w:rPr>
                <w:rFonts w:hint="eastAsia" w:ascii="宋体" w:hAnsi="宋体" w:eastAsia="宋体" w:cs="宋体"/>
                <w:color w:val="000000"/>
                <w:highlight w:val="none"/>
              </w:rPr>
              <w:t>于投标截止时间当天在“信用中国”网站（www.creditchina.gov.cn）及中国政府采购网(www.ccgp.gov.cn)查询结果为准，由</w:t>
            </w:r>
            <w:r>
              <w:rPr>
                <w:rFonts w:hint="eastAsia" w:ascii="宋体" w:hAnsi="宋体" w:eastAsia="宋体" w:cs="宋体"/>
                <w:color w:val="000000"/>
                <w:highlight w:val="none"/>
                <w:lang w:eastAsia="zh-CN"/>
              </w:rPr>
              <w:t>招标代理机构</w:t>
            </w:r>
            <w:r>
              <w:rPr>
                <w:rFonts w:hint="eastAsia" w:ascii="宋体" w:hAnsi="宋体" w:eastAsia="宋体" w:cs="宋体"/>
                <w:color w:val="000000"/>
                <w:highlight w:val="none"/>
              </w:rPr>
              <w:t>打印查询结果提供资格审查，如相关记录信息已失效，</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必须提供由该记录信息的执行或列入单位出具的相关证明材料。</w:t>
            </w:r>
          </w:p>
        </w:tc>
      </w:tr>
      <w:tr w14:paraId="056BB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2B60703">
            <w:pPr>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rPr>
              <w:t>7</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007E5A3">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关于联合体投标的规定</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073BFEA">
            <w:pPr>
              <w:snapToGrid w:val="0"/>
              <w:rPr>
                <w:rFonts w:hint="eastAsia" w:ascii="宋体" w:hAnsi="宋体" w:eastAsia="宋体" w:cs="宋体"/>
                <w:color w:val="000000"/>
                <w:highlight w:val="none"/>
                <w:lang w:eastAsia="zh-CN"/>
              </w:rPr>
            </w:pPr>
            <w:r>
              <w:rPr>
                <w:rFonts w:hint="eastAsia" w:ascii="宋体" w:hAnsi="宋体" w:eastAsia="宋体" w:cs="宋体"/>
                <w:color w:val="000000"/>
                <w:highlight w:val="none"/>
              </w:rPr>
              <w:t>不接受联合体投标时审查</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是否组成联合体投标</w:t>
            </w:r>
            <w:r>
              <w:rPr>
                <w:rFonts w:hint="eastAsia" w:ascii="宋体" w:hAnsi="宋体" w:eastAsia="宋体" w:cs="宋体"/>
                <w:color w:val="000000"/>
                <w:highlight w:val="none"/>
                <w:lang w:eastAsia="zh-CN"/>
              </w:rPr>
              <w:t>。</w:t>
            </w:r>
          </w:p>
        </w:tc>
      </w:tr>
      <w:tr w14:paraId="2245D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792F6B">
            <w:pPr>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lang w:val="en-US" w:eastAsia="zh-CN"/>
              </w:rPr>
              <w:t>8</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499915E">
            <w:pPr>
              <w:snapToGrid w:val="0"/>
              <w:jc w:val="center"/>
              <w:rPr>
                <w:rFonts w:hint="eastAsia" w:ascii="宋体" w:hAnsi="宋体" w:eastAsia="宋体" w:cs="宋体"/>
                <w:color w:val="000000"/>
                <w:highlight w:val="none"/>
              </w:rPr>
            </w:pPr>
            <w:r>
              <w:rPr>
                <w:rFonts w:hint="eastAsia" w:ascii="宋体" w:hAnsi="宋体" w:eastAsia="宋体" w:cs="宋体"/>
                <w:color w:val="000000"/>
                <w:szCs w:val="21"/>
                <w:highlight w:val="none"/>
              </w:rPr>
              <w:t>其它资格证明文件</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2A305A8">
            <w:pPr>
              <w:snapToGrid w:val="0"/>
              <w:rPr>
                <w:rFonts w:hint="eastAsia" w:ascii="宋体" w:hAnsi="宋体" w:eastAsia="宋体" w:cs="宋体"/>
                <w:color w:val="000000"/>
                <w:highlight w:val="none"/>
              </w:rPr>
            </w:pPr>
            <w:r>
              <w:rPr>
                <w:rFonts w:hint="eastAsia" w:ascii="宋体" w:hAnsi="宋体" w:eastAsia="宋体" w:cs="宋体"/>
                <w:color w:val="000000"/>
                <w:highlight w:val="none"/>
              </w:rPr>
              <w:t>按《招标文件》招标公告中</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资格中其他资格证明文件的要求提供证明文件。</w:t>
            </w:r>
          </w:p>
        </w:tc>
      </w:tr>
      <w:tr w14:paraId="6E8BE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FD36BF8">
            <w:pPr>
              <w:snapToGrid w:val="0"/>
              <w:jc w:val="center"/>
              <w:rPr>
                <w:rFonts w:hint="eastAsia" w:ascii="宋体" w:hAnsi="宋体" w:eastAsia="宋体" w:cs="宋体"/>
                <w:color w:val="000000"/>
                <w:highlight w:val="none"/>
              </w:rPr>
            </w:pP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98434F">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结论</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5BFAD470">
            <w:pPr>
              <w:pStyle w:val="3"/>
              <w:adjustRightInd w:val="0"/>
              <w:snapToGrid w:val="0"/>
              <w:spacing w:before="0" w:after="0" w:line="240" w:lineRule="auto"/>
              <w:rPr>
                <w:rFonts w:hint="eastAsia" w:ascii="宋体" w:hAnsi="宋体" w:eastAsia="宋体" w:cs="宋体"/>
                <w:color w:val="000000"/>
                <w:sz w:val="21"/>
                <w:szCs w:val="21"/>
                <w:highlight w:val="none"/>
              </w:rPr>
            </w:pPr>
          </w:p>
        </w:tc>
      </w:tr>
    </w:tbl>
    <w:p w14:paraId="555F2BA7">
      <w:pPr>
        <w:snapToGrid w:val="0"/>
        <w:spacing w:line="240" w:lineRule="auto"/>
        <w:rPr>
          <w:rFonts w:hint="eastAsia" w:ascii="宋体" w:hAnsi="宋体" w:eastAsia="宋体" w:cs="宋体"/>
          <w:b/>
          <w:szCs w:val="21"/>
          <w:highlight w:val="none"/>
        </w:rPr>
      </w:pPr>
      <w:r>
        <w:rPr>
          <w:rFonts w:hint="eastAsia" w:ascii="宋体" w:hAnsi="宋体" w:eastAsia="宋体" w:cs="宋体"/>
          <w:color w:val="000000"/>
          <w:highlight w:val="none"/>
        </w:rPr>
        <w:t>注：1、此表内容应当与《招标文件》招标公告中</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资格的内容一致，如有不一致，应当以《招标文件》招标公告中</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资格的内容为准。</w:t>
      </w:r>
    </w:p>
    <w:p w14:paraId="730EC10D">
      <w:pPr>
        <w:pStyle w:val="16"/>
        <w:widowControl w:val="0"/>
        <w:snapToGrid w:val="0"/>
        <w:spacing w:before="0" w:beforeAutospacing="0" w:after="0" w:afterAutospacing="0" w:line="240" w:lineRule="auto"/>
        <w:ind w:firstLine="420" w:firstLineChars="200"/>
        <w:jc w:val="both"/>
        <w:rPr>
          <w:rFonts w:hint="eastAsia" w:ascii="宋体" w:hAnsi="宋体" w:eastAsia="宋体" w:cs="宋体"/>
          <w:b/>
          <w:kern w:val="2"/>
          <w:sz w:val="28"/>
          <w:szCs w:val="24"/>
          <w:highlight w:val="none"/>
          <w:lang w:val="en-US" w:eastAsia="zh-CN" w:bidi="ar-SA"/>
        </w:rPr>
      </w:pPr>
      <w:r>
        <w:rPr>
          <w:rFonts w:hint="eastAsia"/>
          <w:color w:val="000000"/>
          <w:kern w:val="2"/>
          <w:sz w:val="21"/>
          <w:highlight w:val="none"/>
        </w:rPr>
        <w:t>2、接受联合体投标时，组成联合体的各方均需提供上述资格证明文件。</w:t>
      </w:r>
      <w:r>
        <w:rPr>
          <w:rFonts w:hint="eastAsia"/>
          <w:b/>
          <w:sz w:val="21"/>
          <w:szCs w:val="21"/>
          <w:highlight w:val="none"/>
        </w:rPr>
        <w:br w:type="page"/>
      </w:r>
      <w:r>
        <w:rPr>
          <w:rFonts w:hint="eastAsia" w:ascii="宋体" w:hAnsi="宋体" w:eastAsia="宋体" w:cs="宋体"/>
          <w:b/>
          <w:kern w:val="2"/>
          <w:sz w:val="28"/>
          <w:szCs w:val="24"/>
          <w:highlight w:val="none"/>
          <w:lang w:val="en-US" w:eastAsia="zh-CN" w:bidi="ar-SA"/>
        </w:rPr>
        <w:t>附件2                  符合性审查表</w:t>
      </w:r>
    </w:p>
    <w:tbl>
      <w:tblPr>
        <w:tblStyle w:val="1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342"/>
        <w:gridCol w:w="5341"/>
      </w:tblGrid>
      <w:tr w14:paraId="36DA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7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A644DE5">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序号</w:t>
            </w:r>
          </w:p>
        </w:tc>
        <w:tc>
          <w:tcPr>
            <w:tcW w:w="234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5ABA710">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审查内容</w:t>
            </w:r>
          </w:p>
        </w:tc>
        <w:tc>
          <w:tcPr>
            <w:tcW w:w="5341"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AABE950">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审查标准</w:t>
            </w:r>
          </w:p>
        </w:tc>
      </w:tr>
      <w:tr w14:paraId="76603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67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8EFF8D2">
            <w:pPr>
              <w:pStyle w:val="3"/>
              <w:adjustRightInd w:val="0"/>
              <w:snapToGrid w:val="0"/>
              <w:spacing w:before="0" w:after="0" w:line="240" w:lineRule="auto"/>
              <w:rPr>
                <w:rFonts w:hint="eastAsia" w:ascii="宋体" w:hAnsi="宋体" w:eastAsia="宋体" w:cs="宋体"/>
                <w:color w:val="000000"/>
                <w:highlight w:val="none"/>
              </w:rPr>
            </w:pPr>
          </w:p>
        </w:tc>
        <w:tc>
          <w:tcPr>
            <w:tcW w:w="234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B889B8">
            <w:pPr>
              <w:pStyle w:val="3"/>
              <w:adjustRightInd w:val="0"/>
              <w:snapToGrid w:val="0"/>
              <w:spacing w:before="0" w:after="0" w:line="240" w:lineRule="auto"/>
              <w:rPr>
                <w:rFonts w:hint="eastAsia" w:ascii="宋体" w:hAnsi="宋体" w:eastAsia="宋体" w:cs="宋体"/>
                <w:color w:val="000000"/>
                <w:sz w:val="21"/>
                <w:szCs w:val="21"/>
                <w:highlight w:val="none"/>
              </w:rPr>
            </w:pPr>
          </w:p>
        </w:tc>
        <w:tc>
          <w:tcPr>
            <w:tcW w:w="5341"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BD6B46">
            <w:pPr>
              <w:pStyle w:val="3"/>
              <w:adjustRightInd w:val="0"/>
              <w:snapToGrid w:val="0"/>
              <w:spacing w:before="0" w:after="0" w:line="240" w:lineRule="auto"/>
              <w:rPr>
                <w:rFonts w:hint="eastAsia" w:ascii="宋体" w:hAnsi="宋体" w:eastAsia="宋体" w:cs="宋体"/>
                <w:color w:val="000000"/>
                <w:sz w:val="21"/>
                <w:szCs w:val="21"/>
                <w:highlight w:val="none"/>
              </w:rPr>
            </w:pPr>
          </w:p>
        </w:tc>
      </w:tr>
      <w:tr w14:paraId="2600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3D9291A">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1</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523AB2">
            <w:pPr>
              <w:snapToGrid w:val="0"/>
              <w:jc w:val="center"/>
              <w:rPr>
                <w:rFonts w:ascii="宋体" w:hAnsi="宋体" w:eastAsia="宋体" w:cs="宋体"/>
                <w:color w:val="000000"/>
                <w:highlight w:val="none"/>
              </w:rPr>
            </w:pPr>
            <w:r>
              <w:rPr>
                <w:rFonts w:hint="eastAsia" w:ascii="宋体" w:hAnsi="宋体" w:eastAsia="宋体" w:cs="宋体"/>
                <w:color w:val="000000"/>
                <w:highlight w:val="none"/>
              </w:rPr>
              <w:t>投标文件的签署、盖章</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0750B57">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按照《招标文件》中的《投标文件格式范本》编制投标文件，并按规定要求签署、盖章</w:t>
            </w:r>
            <w:r>
              <w:rPr>
                <w:rFonts w:hint="eastAsia" w:ascii="宋体" w:hAnsi="宋体" w:eastAsia="宋体" w:cs="宋体"/>
                <w:color w:val="000000"/>
                <w:highlight w:val="none"/>
                <w:lang w:eastAsia="zh-CN"/>
              </w:rPr>
              <w:t>。</w:t>
            </w:r>
          </w:p>
        </w:tc>
      </w:tr>
      <w:tr w14:paraId="5682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DCFB4AD">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2</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D8E69C6">
            <w:pPr>
              <w:snapToGrid w:val="0"/>
              <w:jc w:val="center"/>
              <w:rPr>
                <w:rFonts w:ascii="宋体" w:hAnsi="宋体" w:eastAsia="宋体" w:cs="宋体"/>
                <w:color w:val="000000"/>
                <w:highlight w:val="none"/>
              </w:rPr>
            </w:pPr>
            <w:r>
              <w:rPr>
                <w:rFonts w:hint="eastAsia" w:ascii="宋体" w:hAnsi="宋体" w:eastAsia="宋体" w:cs="宋体"/>
                <w:color w:val="000000"/>
                <w:highlight w:val="none"/>
              </w:rPr>
              <w:t>投标保证金</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A5D5E5E">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按《招标文件》的规定提交投标保证金</w:t>
            </w:r>
            <w:r>
              <w:rPr>
                <w:rFonts w:hint="eastAsia" w:ascii="宋体" w:hAnsi="宋体" w:eastAsia="宋体" w:cs="宋体"/>
                <w:color w:val="000000"/>
                <w:highlight w:val="none"/>
                <w:lang w:eastAsia="zh-CN"/>
              </w:rPr>
              <w:t>。</w:t>
            </w:r>
          </w:p>
        </w:tc>
      </w:tr>
      <w:tr w14:paraId="190EF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82FCCA">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3</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046EDE0">
            <w:pPr>
              <w:snapToGrid w:val="0"/>
              <w:jc w:val="center"/>
              <w:rPr>
                <w:rFonts w:ascii="宋体" w:hAnsi="宋体" w:eastAsia="宋体" w:cs="宋体"/>
                <w:color w:val="000000"/>
                <w:highlight w:val="none"/>
              </w:rPr>
            </w:pPr>
            <w:r>
              <w:rPr>
                <w:rFonts w:hint="eastAsia" w:ascii="宋体" w:hAnsi="宋体" w:eastAsia="宋体" w:cs="宋体"/>
                <w:color w:val="000000"/>
                <w:highlight w:val="none"/>
              </w:rPr>
              <w:t>★实质性响应条款</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E04F2A6">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《投标文件》满足《招标文件》中实质性响应条款（即标注★号条款）</w:t>
            </w:r>
            <w:r>
              <w:rPr>
                <w:rFonts w:hint="eastAsia" w:ascii="宋体" w:hAnsi="宋体" w:eastAsia="宋体" w:cs="宋体"/>
                <w:color w:val="000000"/>
                <w:highlight w:val="none"/>
                <w:lang w:eastAsia="zh-CN"/>
              </w:rPr>
              <w:t>。</w:t>
            </w:r>
          </w:p>
        </w:tc>
      </w:tr>
      <w:tr w14:paraId="307E8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6FF7C85">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szCs w:val="21"/>
                <w:highlight w:val="none"/>
              </w:rPr>
              <w:t>4</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8BE435D">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投标文件有效期</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93BAFD4">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符合招标文件中关于投标文件有效期的要求</w:t>
            </w:r>
            <w:r>
              <w:rPr>
                <w:rFonts w:hint="eastAsia" w:ascii="宋体" w:hAnsi="宋体" w:eastAsia="宋体" w:cs="宋体"/>
                <w:color w:val="000000"/>
                <w:highlight w:val="none"/>
                <w:lang w:eastAsia="zh-CN"/>
              </w:rPr>
              <w:t>。</w:t>
            </w:r>
          </w:p>
        </w:tc>
      </w:tr>
      <w:tr w14:paraId="5080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58FF431">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5</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24AE97">
            <w:pPr>
              <w:snapToGrid w:val="0"/>
              <w:jc w:val="center"/>
              <w:rPr>
                <w:rFonts w:ascii="宋体" w:hAnsi="宋体" w:eastAsia="宋体" w:cs="宋体"/>
                <w:color w:val="000000"/>
                <w:highlight w:val="none"/>
              </w:rPr>
            </w:pPr>
            <w:r>
              <w:rPr>
                <w:rFonts w:hint="eastAsia" w:ascii="宋体" w:hAnsi="宋体" w:eastAsia="宋体" w:cs="宋体"/>
                <w:color w:val="000000"/>
                <w:highlight w:val="none"/>
              </w:rPr>
              <w:t>未出现串通投标情形</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C0559C">
            <w:pPr>
              <w:snapToGrid w:val="0"/>
              <w:jc w:val="left"/>
              <w:rPr>
                <w:rFonts w:ascii="宋体" w:hAnsi="宋体" w:eastAsia="宋体" w:cs="宋体"/>
                <w:color w:val="000000"/>
                <w:highlight w:val="none"/>
              </w:rPr>
            </w:pPr>
            <w:r>
              <w:rPr>
                <w:rFonts w:hint="eastAsia" w:ascii="宋体" w:hAnsi="宋体" w:eastAsia="宋体" w:cs="宋体"/>
                <w:color w:val="000000"/>
                <w:highlight w:val="none"/>
              </w:rPr>
              <w:t>未出现法律、法规所列的视为串通投标情形。</w:t>
            </w:r>
          </w:p>
        </w:tc>
      </w:tr>
      <w:tr w14:paraId="20C6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8E2309C">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6</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CF07378">
            <w:pPr>
              <w:snapToGrid w:val="0"/>
              <w:jc w:val="center"/>
              <w:rPr>
                <w:rFonts w:ascii="宋体" w:hAnsi="宋体" w:eastAsia="宋体" w:cs="宋体"/>
                <w:color w:val="000000"/>
                <w:highlight w:val="none"/>
              </w:rPr>
            </w:pPr>
            <w:r>
              <w:rPr>
                <w:rFonts w:hint="eastAsia" w:ascii="宋体" w:hAnsi="宋体" w:eastAsia="宋体" w:cs="宋体"/>
                <w:color w:val="000000"/>
                <w:highlight w:val="none"/>
              </w:rPr>
              <w:t>其他投标无效情形</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C940165">
            <w:pPr>
              <w:snapToGrid w:val="0"/>
              <w:jc w:val="left"/>
              <w:rPr>
                <w:rFonts w:hint="eastAsia" w:ascii="宋体" w:hAnsi="宋体" w:eastAsia="宋体" w:cs="宋体"/>
                <w:color w:val="000000"/>
                <w:highlight w:val="none"/>
              </w:rPr>
            </w:pPr>
            <w:r>
              <w:rPr>
                <w:rFonts w:hint="eastAsia" w:ascii="宋体" w:hAnsi="宋体" w:eastAsia="宋体" w:cs="宋体"/>
                <w:color w:val="000000"/>
                <w:highlight w:val="none"/>
              </w:rPr>
              <w:t>①投标文件含有</w:t>
            </w:r>
            <w:r>
              <w:rPr>
                <w:rFonts w:hint="eastAsia" w:ascii="宋体" w:hAnsi="宋体" w:eastAsia="宋体" w:cs="宋体"/>
                <w:color w:val="000000"/>
                <w:highlight w:val="none"/>
                <w:lang w:eastAsia="zh-CN"/>
              </w:rPr>
              <w:t>招标人</w:t>
            </w:r>
            <w:r>
              <w:rPr>
                <w:rFonts w:hint="eastAsia" w:ascii="宋体" w:hAnsi="宋体" w:eastAsia="宋体" w:cs="宋体"/>
                <w:color w:val="000000"/>
                <w:highlight w:val="none"/>
              </w:rPr>
              <w:t>不能接受的附加条件的；</w:t>
            </w:r>
          </w:p>
          <w:p w14:paraId="20C4D5A3">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②属于法律、法规和招标文件规定的其他投标无效情形</w:t>
            </w:r>
            <w:r>
              <w:rPr>
                <w:rFonts w:hint="eastAsia" w:ascii="宋体" w:hAnsi="宋体" w:eastAsia="宋体" w:cs="宋体"/>
                <w:color w:val="000000"/>
                <w:highlight w:val="none"/>
                <w:lang w:eastAsia="zh-CN"/>
              </w:rPr>
              <w:t>。</w:t>
            </w:r>
          </w:p>
        </w:tc>
      </w:tr>
      <w:tr w14:paraId="136A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7033224">
            <w:pPr>
              <w:snapToGrid w:val="0"/>
              <w:jc w:val="center"/>
              <w:rPr>
                <w:rFonts w:hint="eastAsia" w:ascii="宋体" w:hAnsi="宋体" w:eastAsia="宋体" w:cs="宋体"/>
                <w:color w:val="000000"/>
                <w:highlight w:val="none"/>
              </w:rPr>
            </w:pP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9B34C3">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结论</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6DADED04">
            <w:pPr>
              <w:pStyle w:val="3"/>
              <w:adjustRightInd w:val="0"/>
              <w:snapToGrid w:val="0"/>
              <w:spacing w:before="0" w:after="0" w:line="240" w:lineRule="auto"/>
              <w:rPr>
                <w:rFonts w:hint="eastAsia" w:ascii="宋体" w:hAnsi="宋体" w:eastAsia="宋体" w:cs="宋体"/>
                <w:color w:val="000000"/>
                <w:sz w:val="21"/>
                <w:szCs w:val="21"/>
                <w:highlight w:val="none"/>
              </w:rPr>
            </w:pPr>
          </w:p>
        </w:tc>
      </w:tr>
    </w:tbl>
    <w:p w14:paraId="5117D162">
      <w:pPr>
        <w:pStyle w:val="16"/>
        <w:widowControl w:val="0"/>
        <w:snapToGrid w:val="0"/>
        <w:spacing w:before="0" w:beforeAutospacing="0" w:after="0" w:afterAutospacing="0"/>
        <w:ind w:left="5903" w:hanging="5903" w:hangingChars="2800"/>
        <w:rPr>
          <w:rFonts w:hint="eastAsia"/>
          <w:b/>
          <w:sz w:val="21"/>
          <w:szCs w:val="21"/>
          <w:highlight w:val="none"/>
        </w:rPr>
      </w:pPr>
    </w:p>
    <w:p w14:paraId="04C0521C">
      <w:pPr>
        <w:pStyle w:val="16"/>
        <w:widowControl w:val="0"/>
        <w:snapToGrid w:val="0"/>
        <w:spacing w:before="0" w:beforeAutospacing="0" w:after="0" w:afterAutospacing="0"/>
        <w:ind w:left="5903" w:hanging="7871" w:hangingChars="2800"/>
        <w:rPr>
          <w:rFonts w:hint="eastAsia" w:ascii="宋体" w:hAnsi="宋体" w:eastAsia="宋体" w:cs="宋体"/>
          <w:szCs w:val="21"/>
          <w:highlight w:val="none"/>
        </w:rPr>
      </w:pPr>
      <w:r>
        <w:rPr>
          <w:rFonts w:hint="eastAsia"/>
          <w:b/>
          <w:sz w:val="28"/>
          <w:szCs w:val="28"/>
          <w:highlight w:val="none"/>
        </w:rPr>
        <w:br w:type="page"/>
      </w:r>
    </w:p>
    <w:p w14:paraId="0724F67C">
      <w:pPr>
        <w:pStyle w:val="2"/>
        <w:rPr>
          <w:rFonts w:hint="eastAsia" w:ascii="宋体" w:hAnsi="宋体" w:eastAsia="宋体" w:cs="宋体"/>
          <w:highlight w:val="none"/>
        </w:rPr>
      </w:pPr>
      <w:r>
        <w:rPr>
          <w:rFonts w:hint="eastAsia" w:ascii="宋体" w:hAnsi="宋体" w:eastAsia="宋体" w:cs="宋体"/>
          <w:highlight w:val="none"/>
        </w:rPr>
        <w:t>第五章 采购合同条款及格式</w:t>
      </w:r>
    </w:p>
    <w:p w14:paraId="606A859E">
      <w:pPr>
        <w:rPr>
          <w:rFonts w:hint="eastAsia" w:ascii="宋体" w:hAnsi="宋体" w:eastAsia="宋体" w:cs="宋体"/>
          <w:highlight w:val="none"/>
        </w:rPr>
      </w:pPr>
    </w:p>
    <w:p w14:paraId="638DCA22">
      <w:pPr>
        <w:pStyle w:val="25"/>
        <w:ind w:left="0" w:leftChars="0" w:firstLine="0" w:firstLineChars="0"/>
        <w:rPr>
          <w:rFonts w:hint="eastAsia" w:ascii="宋体" w:hAnsi="宋体" w:eastAsia="宋体" w:cs="宋体"/>
          <w:szCs w:val="21"/>
          <w:highlight w:val="none"/>
        </w:rPr>
      </w:pPr>
    </w:p>
    <w:p w14:paraId="3864EE9F">
      <w:pPr>
        <w:pStyle w:val="25"/>
        <w:ind w:left="0" w:leftChars="0" w:firstLine="0" w:firstLineChars="0"/>
        <w:rPr>
          <w:rFonts w:hint="eastAsia" w:ascii="宋体" w:hAnsi="宋体" w:eastAsia="宋体" w:cs="宋体"/>
          <w:szCs w:val="21"/>
          <w:highlight w:val="none"/>
        </w:rPr>
      </w:pPr>
    </w:p>
    <w:p w14:paraId="360F6A15">
      <w:pPr>
        <w:tabs>
          <w:tab w:val="left" w:pos="720"/>
        </w:tabs>
        <w:jc w:val="center"/>
        <w:rPr>
          <w:rFonts w:hint="eastAsia" w:ascii="宋体" w:hAnsi="宋体" w:eastAsia="宋体" w:cs="宋体"/>
          <w:b/>
          <w:color w:val="auto"/>
          <w:sz w:val="84"/>
          <w:szCs w:val="84"/>
          <w:highlight w:val="none"/>
        </w:rPr>
      </w:pPr>
    </w:p>
    <w:p w14:paraId="1926D4ED">
      <w:pPr>
        <w:tabs>
          <w:tab w:val="left" w:pos="720"/>
        </w:tabs>
        <w:rPr>
          <w:rFonts w:hint="eastAsia" w:ascii="宋体" w:hAnsi="宋体" w:eastAsia="宋体" w:cs="宋体"/>
          <w:b/>
          <w:color w:val="auto"/>
          <w:szCs w:val="21"/>
          <w:highlight w:val="none"/>
        </w:rPr>
      </w:pPr>
    </w:p>
    <w:p w14:paraId="7A4BFB8F">
      <w:pPr>
        <w:tabs>
          <w:tab w:val="left" w:pos="720"/>
        </w:tabs>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rPr>
        <w:t>合　同　书</w:t>
      </w:r>
    </w:p>
    <w:p w14:paraId="637C3E67">
      <w:pPr>
        <w:tabs>
          <w:tab w:val="left" w:pos="720"/>
        </w:tabs>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w:t>
      </w:r>
      <w:r>
        <w:rPr>
          <w:rFonts w:hint="eastAsia" w:ascii="宋体" w:hAnsi="宋体" w:eastAsia="宋体" w:cs="宋体"/>
          <w:b/>
          <w:color w:val="auto"/>
          <w:sz w:val="36"/>
          <w:szCs w:val="36"/>
          <w:highlight w:val="none"/>
          <w:lang w:val="en-US" w:eastAsia="zh-CN"/>
        </w:rPr>
        <w:t>服务类</w:t>
      </w:r>
      <w:r>
        <w:rPr>
          <w:rFonts w:hint="eastAsia" w:ascii="宋体" w:hAnsi="宋体" w:eastAsia="宋体" w:cs="宋体"/>
          <w:b/>
          <w:color w:val="auto"/>
          <w:sz w:val="36"/>
          <w:szCs w:val="36"/>
          <w:highlight w:val="none"/>
          <w:lang w:eastAsia="zh-CN"/>
        </w:rPr>
        <w:t>）</w:t>
      </w:r>
    </w:p>
    <w:p w14:paraId="75E6AC3A">
      <w:pPr>
        <w:tabs>
          <w:tab w:val="left" w:pos="720"/>
        </w:tabs>
        <w:rPr>
          <w:rFonts w:hint="eastAsia" w:ascii="宋体" w:hAnsi="宋体" w:eastAsia="宋体" w:cs="宋体"/>
          <w:b/>
          <w:color w:val="auto"/>
          <w:szCs w:val="21"/>
          <w:highlight w:val="none"/>
        </w:rPr>
      </w:pPr>
    </w:p>
    <w:p w14:paraId="6EEA98FD">
      <w:pPr>
        <w:tabs>
          <w:tab w:val="left" w:pos="720"/>
        </w:tabs>
        <w:rPr>
          <w:rFonts w:hint="eastAsia" w:ascii="宋体" w:hAnsi="宋体" w:eastAsia="宋体" w:cs="宋体"/>
          <w:b/>
          <w:color w:val="auto"/>
          <w:szCs w:val="21"/>
          <w:highlight w:val="none"/>
        </w:rPr>
      </w:pPr>
    </w:p>
    <w:p w14:paraId="34BB79B7">
      <w:pPr>
        <w:tabs>
          <w:tab w:val="left" w:pos="720"/>
        </w:tabs>
        <w:rPr>
          <w:rFonts w:hint="eastAsia" w:ascii="宋体" w:hAnsi="宋体" w:eastAsia="宋体" w:cs="宋体"/>
          <w:b/>
          <w:color w:val="auto"/>
          <w:szCs w:val="21"/>
          <w:highlight w:val="none"/>
        </w:rPr>
      </w:pPr>
    </w:p>
    <w:p w14:paraId="62A2A6CC">
      <w:pPr>
        <w:tabs>
          <w:tab w:val="left" w:pos="720"/>
        </w:tabs>
        <w:rPr>
          <w:rFonts w:hint="eastAsia" w:ascii="宋体" w:hAnsi="宋体" w:eastAsia="宋体" w:cs="宋体"/>
          <w:b/>
          <w:color w:val="auto"/>
          <w:szCs w:val="21"/>
          <w:highlight w:val="none"/>
        </w:rPr>
      </w:pPr>
    </w:p>
    <w:tbl>
      <w:tblPr>
        <w:tblStyle w:val="17"/>
        <w:tblW w:w="0" w:type="auto"/>
        <w:jc w:val="center"/>
        <w:tblLayout w:type="autofit"/>
        <w:tblCellMar>
          <w:top w:w="0" w:type="dxa"/>
          <w:left w:w="108" w:type="dxa"/>
          <w:bottom w:w="0" w:type="dxa"/>
          <w:right w:w="108" w:type="dxa"/>
        </w:tblCellMar>
      </w:tblPr>
      <w:tblGrid>
        <w:gridCol w:w="5400"/>
      </w:tblGrid>
      <w:tr w14:paraId="61BFB1AD">
        <w:tblPrEx>
          <w:tblCellMar>
            <w:top w:w="0" w:type="dxa"/>
            <w:left w:w="108" w:type="dxa"/>
            <w:bottom w:w="0" w:type="dxa"/>
            <w:right w:w="108" w:type="dxa"/>
          </w:tblCellMar>
        </w:tblPrEx>
        <w:trPr>
          <w:trHeight w:val="446" w:hRule="atLeast"/>
          <w:jc w:val="center"/>
        </w:trPr>
        <w:tc>
          <w:tcPr>
            <w:tcW w:w="5400" w:type="dxa"/>
            <w:noWrap w:val="0"/>
            <w:vAlign w:val="top"/>
          </w:tcPr>
          <w:p w14:paraId="46B72CB0">
            <w:pPr>
              <w:tabs>
                <w:tab w:val="left" w:pos="720"/>
              </w:tabs>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采购编号：</w:t>
            </w:r>
            <w:r>
              <w:rPr>
                <w:rFonts w:hint="eastAsia" w:ascii="宋体" w:hAnsi="宋体" w:eastAsia="宋体" w:cs="宋体"/>
                <w:b/>
                <w:color w:val="auto"/>
                <w:sz w:val="21"/>
                <w:szCs w:val="21"/>
                <w:highlight w:val="none"/>
                <w:u w:val="single"/>
              </w:rPr>
              <w:t xml:space="preserve">                          </w:t>
            </w:r>
          </w:p>
        </w:tc>
      </w:tr>
      <w:tr w14:paraId="7296E688">
        <w:tblPrEx>
          <w:tblCellMar>
            <w:top w:w="0" w:type="dxa"/>
            <w:left w:w="108" w:type="dxa"/>
            <w:bottom w:w="0" w:type="dxa"/>
            <w:right w:w="108" w:type="dxa"/>
          </w:tblCellMar>
        </w:tblPrEx>
        <w:trPr>
          <w:trHeight w:val="446" w:hRule="atLeast"/>
          <w:jc w:val="center"/>
        </w:trPr>
        <w:tc>
          <w:tcPr>
            <w:tcW w:w="5400" w:type="dxa"/>
            <w:noWrap w:val="0"/>
            <w:vAlign w:val="top"/>
          </w:tcPr>
          <w:p w14:paraId="2901B331">
            <w:pPr>
              <w:tabs>
                <w:tab w:val="left" w:pos="720"/>
              </w:tabs>
              <w:rPr>
                <w:rFonts w:hint="eastAsia" w:ascii="宋体" w:hAnsi="宋体" w:eastAsia="宋体" w:cs="宋体"/>
                <w:b/>
                <w:color w:val="auto"/>
                <w:sz w:val="21"/>
                <w:szCs w:val="21"/>
                <w:highlight w:val="none"/>
                <w:u w:val="single"/>
              </w:rPr>
            </w:pPr>
          </w:p>
        </w:tc>
      </w:tr>
      <w:tr w14:paraId="25BBF423">
        <w:tblPrEx>
          <w:tblCellMar>
            <w:top w:w="0" w:type="dxa"/>
            <w:left w:w="108" w:type="dxa"/>
            <w:bottom w:w="0" w:type="dxa"/>
            <w:right w:w="108" w:type="dxa"/>
          </w:tblCellMar>
        </w:tblPrEx>
        <w:trPr>
          <w:trHeight w:val="446" w:hRule="atLeast"/>
          <w:jc w:val="center"/>
        </w:trPr>
        <w:tc>
          <w:tcPr>
            <w:tcW w:w="5400" w:type="dxa"/>
            <w:noWrap w:val="0"/>
            <w:vAlign w:val="top"/>
          </w:tcPr>
          <w:p w14:paraId="38C03672">
            <w:pPr>
              <w:tabs>
                <w:tab w:val="left" w:pos="720"/>
              </w:tabs>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u w:val="single"/>
                <w:lang w:eastAsia="zh-CN"/>
              </w:rPr>
              <w:t>乐昌市两江镇洋莲桥水电站（装机总容量1200KW）承包经营权项目（二次）</w:t>
            </w:r>
            <w:r>
              <w:rPr>
                <w:rFonts w:hint="eastAsia" w:ascii="宋体" w:hAnsi="宋体" w:eastAsia="宋体" w:cs="宋体"/>
                <w:b/>
                <w:color w:val="auto"/>
                <w:sz w:val="21"/>
                <w:szCs w:val="21"/>
                <w:highlight w:val="none"/>
                <w:u w:val="single"/>
              </w:rPr>
              <w:t xml:space="preserve">                        </w:t>
            </w:r>
          </w:p>
        </w:tc>
      </w:tr>
      <w:tr w14:paraId="524090E9">
        <w:tblPrEx>
          <w:tblCellMar>
            <w:top w:w="0" w:type="dxa"/>
            <w:left w:w="108" w:type="dxa"/>
            <w:bottom w:w="0" w:type="dxa"/>
            <w:right w:w="108" w:type="dxa"/>
          </w:tblCellMar>
        </w:tblPrEx>
        <w:trPr>
          <w:trHeight w:val="460" w:hRule="atLeast"/>
          <w:jc w:val="center"/>
        </w:trPr>
        <w:tc>
          <w:tcPr>
            <w:tcW w:w="5400" w:type="dxa"/>
            <w:noWrap w:val="0"/>
            <w:vAlign w:val="top"/>
          </w:tcPr>
          <w:p w14:paraId="2EE9E30B">
            <w:pPr>
              <w:tabs>
                <w:tab w:val="left" w:pos="720"/>
              </w:tabs>
              <w:rPr>
                <w:rFonts w:hint="eastAsia" w:ascii="宋体" w:hAnsi="宋体" w:eastAsia="宋体" w:cs="宋体"/>
                <w:b/>
                <w:color w:val="auto"/>
                <w:sz w:val="21"/>
                <w:szCs w:val="21"/>
                <w:highlight w:val="none"/>
              </w:rPr>
            </w:pPr>
          </w:p>
        </w:tc>
      </w:tr>
    </w:tbl>
    <w:p w14:paraId="1FE10E3E">
      <w:pPr>
        <w:rPr>
          <w:rFonts w:hint="eastAsia" w:ascii="宋体" w:hAnsi="宋体" w:eastAsia="宋体" w:cs="宋体"/>
          <w:color w:val="auto"/>
          <w:szCs w:val="21"/>
          <w:highlight w:val="none"/>
        </w:rPr>
      </w:pPr>
    </w:p>
    <w:p w14:paraId="23A63EB7">
      <w:pPr>
        <w:rPr>
          <w:rFonts w:hint="eastAsia" w:ascii="宋体" w:hAnsi="宋体" w:eastAsia="宋体" w:cs="宋体"/>
          <w:color w:val="auto"/>
          <w:szCs w:val="21"/>
          <w:highlight w:val="none"/>
        </w:rPr>
      </w:pPr>
    </w:p>
    <w:p w14:paraId="2922DA27">
      <w:pPr>
        <w:rPr>
          <w:rFonts w:hint="eastAsia" w:ascii="宋体" w:hAnsi="宋体" w:eastAsia="宋体" w:cs="宋体"/>
          <w:color w:val="auto"/>
          <w:szCs w:val="21"/>
          <w:highlight w:val="none"/>
        </w:rPr>
      </w:pPr>
    </w:p>
    <w:p w14:paraId="4AF393C3">
      <w:pPr>
        <w:rPr>
          <w:rFonts w:hint="eastAsia" w:ascii="宋体" w:hAnsi="宋体" w:eastAsia="宋体" w:cs="宋体"/>
          <w:color w:val="auto"/>
          <w:szCs w:val="21"/>
          <w:highlight w:val="none"/>
        </w:rPr>
      </w:pPr>
    </w:p>
    <w:p w14:paraId="75259B5F">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注：本合同仅为合同的参考文本，合同签订双方可根据项目的具体要求进行修订。</w:t>
      </w:r>
    </w:p>
    <w:p w14:paraId="5977B4DC">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rPr>
      </w:pPr>
      <w:r>
        <w:rPr>
          <w:rFonts w:hint="eastAsia" w:ascii="宋体" w:hAnsi="宋体" w:eastAsia="宋体" w:cs="宋体"/>
          <w:b/>
          <w:color w:val="auto"/>
          <w:szCs w:val="21"/>
          <w:highlight w:val="none"/>
        </w:rPr>
        <w:br w:type="page"/>
      </w:r>
      <w:r>
        <w:rPr>
          <w:rFonts w:hint="eastAsia" w:ascii="宋体" w:hAnsi="宋体" w:eastAsia="宋体" w:cs="宋体"/>
          <w:b w:val="0"/>
          <w:bCs w:val="0"/>
          <w:sz w:val="21"/>
          <w:szCs w:val="21"/>
          <w:highlight w:val="none"/>
          <w:lang w:eastAsia="zh-CN"/>
        </w:rPr>
        <w:t>发</w:t>
      </w:r>
      <w:r>
        <w:rPr>
          <w:rFonts w:hint="eastAsia" w:ascii="宋体" w:hAnsi="宋体" w:eastAsia="宋体" w:cs="宋体"/>
          <w:b w:val="0"/>
          <w:bCs w:val="0"/>
          <w:sz w:val="21"/>
          <w:szCs w:val="21"/>
          <w:highlight w:val="none"/>
          <w:lang w:val="en-US" w:eastAsia="zh-CN"/>
        </w:rPr>
        <w:t>包</w:t>
      </w:r>
      <w:r>
        <w:rPr>
          <w:rFonts w:hint="eastAsia" w:ascii="宋体" w:hAnsi="宋体" w:eastAsia="宋体" w:cs="宋体"/>
          <w:b w:val="0"/>
          <w:bCs w:val="0"/>
          <w:sz w:val="21"/>
          <w:szCs w:val="21"/>
          <w:highlight w:val="none"/>
        </w:rPr>
        <w:t>方:（以下简称甲方）　</w:t>
      </w:r>
    </w:p>
    <w:p w14:paraId="08904ED1">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lang w:eastAsia="zh-CN"/>
        </w:rPr>
        <w:t>法定代表人：</w:t>
      </w:r>
    </w:p>
    <w:p w14:paraId="5EBC1109">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lang w:eastAsia="zh-CN"/>
        </w:rPr>
        <w:t>地址：</w:t>
      </w:r>
    </w:p>
    <w:p w14:paraId="26E14554">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lang w:eastAsia="zh-CN"/>
        </w:rPr>
        <w:t>联系电话：</w:t>
      </w:r>
    </w:p>
    <w:p w14:paraId="60C2CDA2">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rPr>
      </w:pPr>
    </w:p>
    <w:p w14:paraId="2F7515F8">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承</w:t>
      </w:r>
      <w:r>
        <w:rPr>
          <w:rFonts w:hint="eastAsia" w:ascii="宋体" w:hAnsi="宋体" w:eastAsia="宋体" w:cs="宋体"/>
          <w:b w:val="0"/>
          <w:bCs w:val="0"/>
          <w:sz w:val="21"/>
          <w:szCs w:val="21"/>
          <w:highlight w:val="none"/>
          <w:lang w:val="en-US" w:eastAsia="zh-CN"/>
        </w:rPr>
        <w:t>包</w:t>
      </w:r>
      <w:r>
        <w:rPr>
          <w:rFonts w:hint="eastAsia" w:ascii="宋体" w:hAnsi="宋体" w:eastAsia="宋体" w:cs="宋体"/>
          <w:b w:val="0"/>
          <w:bCs w:val="0"/>
          <w:sz w:val="21"/>
          <w:szCs w:val="21"/>
          <w:highlight w:val="none"/>
        </w:rPr>
        <w:t>方</w:t>
      </w:r>
      <w:r>
        <w:rPr>
          <w:rFonts w:hint="eastAsia" w:ascii="宋体" w:hAnsi="宋体" w:eastAsia="宋体" w:cs="宋体"/>
          <w:b w:val="0"/>
          <w:bCs w:val="0"/>
          <w:sz w:val="21"/>
          <w:szCs w:val="21"/>
          <w:highlight w:val="none"/>
          <w:lang w:eastAsia="zh-CN"/>
        </w:rPr>
        <w:t>名称或自然人姓名</w:t>
      </w:r>
      <w:r>
        <w:rPr>
          <w:rFonts w:hint="eastAsia" w:ascii="宋体" w:hAnsi="宋体" w:eastAsia="宋体" w:cs="宋体"/>
          <w:b w:val="0"/>
          <w:bCs w:val="0"/>
          <w:sz w:val="21"/>
          <w:szCs w:val="21"/>
          <w:highlight w:val="none"/>
        </w:rPr>
        <w:t>:（以下简称乙方）</w:t>
      </w:r>
    </w:p>
    <w:p w14:paraId="4B12C672">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lang w:eastAsia="zh-CN"/>
        </w:rPr>
        <w:t>法定代表人姓名或自然人身份证号码：</w:t>
      </w:r>
    </w:p>
    <w:p w14:paraId="50B1ECDD">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lang w:eastAsia="zh-CN"/>
        </w:rPr>
        <w:t>地址：</w:t>
      </w:r>
    </w:p>
    <w:p w14:paraId="17F8F7F2">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lang w:eastAsia="zh-CN"/>
        </w:rPr>
        <w:t>联系电话：</w:t>
      </w:r>
    </w:p>
    <w:p w14:paraId="17A46ECD">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kern w:val="0"/>
          <w:sz w:val="21"/>
          <w:szCs w:val="21"/>
          <w:highlight w:val="none"/>
          <w:lang w:bidi="ar"/>
        </w:rPr>
      </w:pPr>
    </w:p>
    <w:p w14:paraId="10E4AD77">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kern w:val="0"/>
          <w:sz w:val="21"/>
          <w:szCs w:val="21"/>
          <w:highlight w:val="none"/>
          <w:lang w:bidi="ar"/>
        </w:rPr>
        <w:t>为加强对水电站的管理,进一步搞活水利经济,提高水电站的经济效益,</w:t>
      </w:r>
      <w:r>
        <w:rPr>
          <w:rFonts w:hint="eastAsia" w:ascii="宋体" w:hAnsi="宋体" w:eastAsia="宋体" w:cs="宋体"/>
          <w:b w:val="0"/>
          <w:bCs w:val="0"/>
          <w:sz w:val="21"/>
          <w:szCs w:val="21"/>
          <w:highlight w:val="none"/>
        </w:rPr>
        <w:t>甲方同意将</w:t>
      </w:r>
      <w:r>
        <w:rPr>
          <w:rFonts w:hint="eastAsia" w:ascii="宋体" w:hAnsi="宋体" w:eastAsia="宋体" w:cs="宋体"/>
          <w:b w:val="0"/>
          <w:bCs w:val="0"/>
          <w:spacing w:val="0"/>
          <w:kern w:val="0"/>
          <w:sz w:val="21"/>
          <w:szCs w:val="21"/>
          <w:highlight w:val="none"/>
          <w:lang w:val="en-US" w:eastAsia="zh-CN" w:bidi="ar"/>
        </w:rPr>
        <w:t>乐昌市两江镇洋莲桥水电站</w:t>
      </w:r>
      <w:r>
        <w:rPr>
          <w:rFonts w:hint="eastAsia" w:ascii="宋体" w:hAnsi="宋体" w:eastAsia="宋体" w:cs="宋体"/>
          <w:b w:val="0"/>
          <w:bCs w:val="0"/>
          <w:kern w:val="0"/>
          <w:sz w:val="21"/>
          <w:szCs w:val="21"/>
          <w:highlight w:val="none"/>
          <w:lang w:val="en-US" w:eastAsia="zh-CN" w:bidi="ar"/>
        </w:rPr>
        <w:t>（装机总容量1200KW）20年经营权</w:t>
      </w:r>
      <w:r>
        <w:rPr>
          <w:rFonts w:hint="eastAsia" w:ascii="宋体" w:hAnsi="宋体" w:eastAsia="宋体" w:cs="宋体"/>
          <w:b w:val="0"/>
          <w:bCs w:val="0"/>
          <w:sz w:val="21"/>
          <w:szCs w:val="21"/>
          <w:highlight w:val="none"/>
        </w:rPr>
        <w:t>发包给</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承包经营。为确保甲乙双方能从中得到合法收益，依据《中华人民共和国民法典》等法律、法规的规定，经甲乙双方共同协商，订立如下合同：</w:t>
      </w:r>
    </w:p>
    <w:p w14:paraId="53B77130">
      <w:pPr>
        <w:keepNext w:val="0"/>
        <w:keepLines w:val="0"/>
        <w:pageBreakBefore w:val="0"/>
        <w:widowControl w:val="0"/>
        <w:numPr>
          <w:ilvl w:val="0"/>
          <w:numId w:val="16"/>
        </w:numPr>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pacing w:val="0"/>
          <w:kern w:val="0"/>
          <w:sz w:val="21"/>
          <w:szCs w:val="21"/>
          <w:highlight w:val="none"/>
          <w:lang w:val="en-US" w:eastAsia="zh-CN" w:bidi="ar"/>
        </w:rPr>
        <w:t>洋莲桥水电站</w:t>
      </w:r>
      <w:r>
        <w:rPr>
          <w:rFonts w:hint="eastAsia" w:ascii="宋体" w:hAnsi="宋体" w:eastAsia="宋体" w:cs="宋体"/>
          <w:b/>
          <w:bCs/>
          <w:sz w:val="21"/>
          <w:szCs w:val="21"/>
          <w:highlight w:val="none"/>
        </w:rPr>
        <w:t>现状</w:t>
      </w:r>
    </w:p>
    <w:p w14:paraId="6DB1C59D">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pacing w:val="0"/>
          <w:sz w:val="21"/>
          <w:szCs w:val="21"/>
          <w:highlight w:val="none"/>
        </w:rPr>
      </w:pPr>
      <w:r>
        <w:rPr>
          <w:rFonts w:hint="eastAsia" w:ascii="宋体" w:hAnsi="宋体" w:eastAsia="宋体" w:cs="宋体"/>
          <w:b w:val="0"/>
          <w:bCs w:val="0"/>
          <w:spacing w:val="0"/>
          <w:sz w:val="21"/>
          <w:szCs w:val="21"/>
          <w:highlight w:val="none"/>
        </w:rPr>
        <w:t>乐昌市两江镇洋莲桥水电站位于乐昌市两江镇境内，所在河流是武水支流九峰水的中下游，电站集雨面积约246.4平方公里，电站原建于1983年，1997年进行了整体改造，2006年因洪灾对机组进行了大修，新建宿舍楼(红砖墙，尚未投入使用),并由坝后电站对大坝进行了改造，在原来的重力坝基础上加高改为可调洪的闸坝。2016年更换了水轮机、发电机、配电屏及变压器等主要发生电用设备。电站现有发电机组3台，装机容量为1200kW(400kW×3),电站水头高16米，是一宗中低水头引水式的水电站。</w:t>
      </w:r>
    </w:p>
    <w:p w14:paraId="2F37C4BC">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pacing w:val="0"/>
          <w:sz w:val="21"/>
          <w:szCs w:val="21"/>
          <w:highlight w:val="none"/>
        </w:rPr>
        <w:t>电站主要建筑物有拦河坝(旧基础部分，不包括坝后电站新建部分)、引水渠、压力前池、压力管工程、发电厂房、职工宿舍、食堂、值班室等；电站主要设备有水轮机、</w:t>
      </w:r>
      <w:r>
        <w:rPr>
          <w:rFonts w:hint="eastAsia" w:ascii="宋体" w:hAnsi="宋体" w:eastAsia="宋体" w:cs="宋体"/>
          <w:b w:val="0"/>
          <w:bCs w:val="0"/>
          <w:spacing w:val="0"/>
          <w:sz w:val="21"/>
          <w:szCs w:val="21"/>
          <w:highlight w:val="none"/>
          <w:lang w:val="en-US" w:eastAsia="zh-CN"/>
        </w:rPr>
        <w:t>竖</w:t>
      </w:r>
      <w:r>
        <w:rPr>
          <w:rFonts w:hint="eastAsia" w:ascii="宋体" w:hAnsi="宋体" w:eastAsia="宋体" w:cs="宋体"/>
          <w:b w:val="0"/>
          <w:bCs w:val="0"/>
          <w:spacing w:val="0"/>
          <w:sz w:val="21"/>
          <w:szCs w:val="21"/>
          <w:highlight w:val="none"/>
        </w:rPr>
        <w:t>式发电机各三套、发电机控制屏、变压器、高压线路以及其他配套设备设施等。</w:t>
      </w:r>
    </w:p>
    <w:p w14:paraId="118D9925">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第二条 甲方责任</w:t>
      </w:r>
    </w:p>
    <w:p w14:paraId="2D0C7555">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bookmarkStart w:id="134" w:name="OLE_LINK5"/>
      <w:r>
        <w:rPr>
          <w:rFonts w:hint="eastAsia" w:ascii="宋体" w:hAnsi="宋体" w:eastAsia="宋体" w:cs="宋体"/>
          <w:b w:val="0"/>
          <w:bCs w:val="0"/>
          <w:sz w:val="21"/>
          <w:szCs w:val="21"/>
          <w:highlight w:val="none"/>
        </w:rPr>
        <w:t>一、</w:t>
      </w:r>
      <w:bookmarkStart w:id="135" w:name="OLE_LINK4"/>
      <w:r>
        <w:rPr>
          <w:rFonts w:hint="eastAsia" w:ascii="宋体" w:hAnsi="宋体" w:eastAsia="宋体" w:cs="宋体"/>
          <w:b w:val="0"/>
          <w:bCs w:val="0"/>
          <w:sz w:val="21"/>
          <w:szCs w:val="21"/>
          <w:highlight w:val="none"/>
        </w:rPr>
        <w:t>甲方同意将所属的</w:t>
      </w:r>
      <w:r>
        <w:rPr>
          <w:rFonts w:hint="eastAsia" w:ascii="宋体" w:hAnsi="宋体" w:eastAsia="宋体" w:cs="宋体"/>
          <w:b w:val="0"/>
          <w:bCs w:val="0"/>
          <w:spacing w:val="0"/>
          <w:sz w:val="21"/>
          <w:szCs w:val="21"/>
          <w:highlight w:val="none"/>
        </w:rPr>
        <w:t>乐昌市两江镇洋莲桥水电站</w:t>
      </w:r>
      <w:r>
        <w:rPr>
          <w:rFonts w:hint="eastAsia" w:ascii="宋体" w:hAnsi="宋体" w:eastAsia="宋体" w:cs="宋体"/>
          <w:b w:val="0"/>
          <w:bCs w:val="0"/>
          <w:sz w:val="21"/>
          <w:szCs w:val="21"/>
          <w:highlight w:val="none"/>
        </w:rPr>
        <w:t>的资产转交给乙方承包生产经营，办理运营资产的移交手续。</w:t>
      </w:r>
    </w:p>
    <w:bookmarkEnd w:id="135"/>
    <w:p w14:paraId="50555B1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二</w:t>
      </w:r>
      <w:r>
        <w:rPr>
          <w:rFonts w:hint="eastAsia" w:ascii="宋体" w:hAnsi="宋体" w:eastAsia="宋体" w:cs="宋体"/>
          <w:b w:val="0"/>
          <w:bCs w:val="0"/>
          <w:sz w:val="21"/>
          <w:szCs w:val="21"/>
          <w:highlight w:val="none"/>
        </w:rPr>
        <w:t>、甲方对</w:t>
      </w:r>
      <w:r>
        <w:rPr>
          <w:rFonts w:hint="eastAsia" w:ascii="宋体" w:hAnsi="宋体" w:eastAsia="宋体" w:cs="宋体"/>
          <w:b w:val="0"/>
          <w:bCs w:val="0"/>
          <w:spacing w:val="0"/>
          <w:sz w:val="21"/>
          <w:szCs w:val="21"/>
          <w:highlight w:val="none"/>
        </w:rPr>
        <w:t>洋莲桥水电站</w:t>
      </w:r>
      <w:r>
        <w:rPr>
          <w:rFonts w:hint="eastAsia" w:ascii="宋体" w:hAnsi="宋体" w:eastAsia="宋体" w:cs="宋体"/>
          <w:b w:val="0"/>
          <w:bCs w:val="0"/>
          <w:sz w:val="21"/>
          <w:szCs w:val="21"/>
          <w:highlight w:val="none"/>
        </w:rPr>
        <w:t>涉及周边电站和群众利益的纠纷，负有调解处理责任，应尽力维护乙方的利益并帮助乙方处理相关纠纷。但因乙方过错责任，所造成的经济损失和法律责任一律由乙方自负。</w:t>
      </w:r>
    </w:p>
    <w:p w14:paraId="139BDF84">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三</w:t>
      </w:r>
      <w:r>
        <w:rPr>
          <w:rFonts w:hint="eastAsia" w:ascii="宋体" w:hAnsi="宋体" w:eastAsia="宋体" w:cs="宋体"/>
          <w:b w:val="0"/>
          <w:bCs w:val="0"/>
          <w:sz w:val="21"/>
          <w:szCs w:val="21"/>
          <w:highlight w:val="none"/>
        </w:rPr>
        <w:t>、乙方在承包期间，甲方应在政策范围内大力支持积极配合乙方搞好经营管理，使企业发挥更大效益。</w:t>
      </w:r>
    </w:p>
    <w:p w14:paraId="0F8E0374">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四</w:t>
      </w:r>
      <w:r>
        <w:rPr>
          <w:rFonts w:hint="eastAsia" w:ascii="宋体" w:hAnsi="宋体" w:eastAsia="宋体" w:cs="宋体"/>
          <w:b w:val="0"/>
          <w:bCs w:val="0"/>
          <w:sz w:val="21"/>
          <w:szCs w:val="21"/>
          <w:highlight w:val="none"/>
        </w:rPr>
        <w:t>、乙方在承包期间如因政策性规定的新增的合理补偿，由双方协商后解决。</w:t>
      </w:r>
    </w:p>
    <w:p w14:paraId="5FF5BDF2">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五</w:t>
      </w:r>
      <w:r>
        <w:rPr>
          <w:rFonts w:hint="eastAsia" w:ascii="宋体" w:hAnsi="宋体" w:eastAsia="宋体" w:cs="宋体"/>
          <w:b w:val="0"/>
          <w:bCs w:val="0"/>
          <w:sz w:val="21"/>
          <w:szCs w:val="21"/>
          <w:highlight w:val="none"/>
        </w:rPr>
        <w:t>、在承包期内，甲方应负责或协助乙方办理电站的相关证照文件和相关立项、审批等手续。</w:t>
      </w:r>
    </w:p>
    <w:bookmarkEnd w:id="134"/>
    <w:p w14:paraId="213F9BAC">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第三条 乙方的责任</w:t>
      </w:r>
    </w:p>
    <w:p w14:paraId="3AC9C404">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sz w:val="21"/>
          <w:szCs w:val="21"/>
          <w:highlight w:val="none"/>
        </w:rPr>
        <w:t>一、乙方应在甲方的领导下加强管理，提高经济效益。根据</w:t>
      </w:r>
      <w:r>
        <w:rPr>
          <w:rFonts w:hint="eastAsia" w:ascii="宋体" w:hAnsi="宋体" w:eastAsia="宋体" w:cs="宋体"/>
          <w:b w:val="0"/>
          <w:bCs w:val="0"/>
          <w:sz w:val="21"/>
          <w:szCs w:val="21"/>
          <w:highlight w:val="none"/>
          <w:lang w:val="en-US" w:eastAsia="zh-CN"/>
        </w:rPr>
        <w:t>公开竞价</w:t>
      </w:r>
      <w:r>
        <w:rPr>
          <w:rFonts w:hint="eastAsia" w:ascii="宋体" w:hAnsi="宋体" w:eastAsia="宋体" w:cs="宋体"/>
          <w:b w:val="0"/>
          <w:bCs w:val="0"/>
          <w:sz w:val="21"/>
          <w:szCs w:val="21"/>
          <w:highlight w:val="none"/>
        </w:rPr>
        <w:t>结果，由乙方中标，乙方每年应向甲方支付</w:t>
      </w:r>
      <w:r>
        <w:rPr>
          <w:rFonts w:hint="eastAsia" w:ascii="宋体" w:hAnsi="宋体" w:eastAsia="宋体" w:cs="宋体"/>
          <w:b w:val="0"/>
          <w:bCs w:val="0"/>
          <w:spacing w:val="0"/>
          <w:sz w:val="21"/>
          <w:szCs w:val="21"/>
          <w:highlight w:val="none"/>
        </w:rPr>
        <w:t>洋莲桥水电站</w:t>
      </w:r>
      <w:r>
        <w:rPr>
          <w:rFonts w:hint="eastAsia" w:ascii="宋体" w:hAnsi="宋体" w:eastAsia="宋体" w:cs="宋体"/>
          <w:b w:val="0"/>
          <w:bCs w:val="0"/>
          <w:sz w:val="21"/>
          <w:szCs w:val="21"/>
          <w:highlight w:val="none"/>
        </w:rPr>
        <w:t>承包款</w:t>
      </w:r>
      <w:r>
        <w:rPr>
          <w:rFonts w:hint="eastAsia" w:ascii="宋体" w:hAnsi="宋体" w:eastAsia="宋体" w:cs="宋体"/>
          <w:b w:val="0"/>
          <w:bCs w:val="0"/>
          <w:sz w:val="21"/>
          <w:szCs w:val="21"/>
          <w:highlight w:val="none"/>
          <w:lang w:val="en-US" w:eastAsia="zh-CN"/>
        </w:rPr>
        <w:t>是</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拾</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万</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仟</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佰</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拾</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元整（小写：¥</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元</w:t>
      </w:r>
      <w:r>
        <w:rPr>
          <w:rFonts w:hint="eastAsia" w:ascii="宋体" w:hAnsi="宋体" w:eastAsia="宋体" w:cs="宋体"/>
          <w:b w:val="0"/>
          <w:bCs w:val="0"/>
          <w:sz w:val="21"/>
          <w:szCs w:val="21"/>
          <w:highlight w:val="none"/>
          <w:lang w:val="en-US" w:eastAsia="zh-CN"/>
        </w:rPr>
        <w:t>/年</w:t>
      </w:r>
      <w:r>
        <w:rPr>
          <w:rFonts w:hint="eastAsia" w:ascii="宋体" w:hAnsi="宋体" w:eastAsia="宋体" w:cs="宋体"/>
          <w:b w:val="0"/>
          <w:bCs w:val="0"/>
          <w:sz w:val="21"/>
          <w:szCs w:val="21"/>
          <w:highlight w:val="none"/>
        </w:rPr>
        <w:t>）（此承包款含税）。</w:t>
      </w:r>
      <w:r>
        <w:rPr>
          <w:rFonts w:hint="eastAsia" w:ascii="宋体" w:hAnsi="宋体" w:eastAsia="宋体" w:cs="宋体"/>
          <w:b w:val="0"/>
          <w:bCs w:val="0"/>
          <w:color w:val="auto"/>
          <w:sz w:val="21"/>
          <w:szCs w:val="21"/>
          <w:highlight w:val="none"/>
          <w:lang w:val="en-US" w:eastAsia="zh-CN"/>
        </w:rPr>
        <w:t>承包年限从签订之日起算，</w:t>
      </w:r>
      <w:r>
        <w:rPr>
          <w:rFonts w:hint="eastAsia" w:ascii="宋体" w:hAnsi="宋体" w:eastAsia="宋体" w:cs="宋体"/>
          <w:b w:val="0"/>
          <w:bCs w:val="0"/>
          <w:color w:val="auto"/>
          <w:sz w:val="21"/>
          <w:szCs w:val="21"/>
          <w:highlight w:val="none"/>
        </w:rPr>
        <w:t>乙方应在合同签订之日起10个工作日内一次性付清第一年的承包费。</w:t>
      </w:r>
      <w:r>
        <w:rPr>
          <w:rFonts w:hint="eastAsia" w:ascii="宋体" w:hAnsi="宋体" w:eastAsia="宋体" w:cs="宋体"/>
          <w:b w:val="0"/>
          <w:bCs w:val="0"/>
          <w:color w:val="auto"/>
          <w:sz w:val="21"/>
          <w:szCs w:val="21"/>
          <w:highlight w:val="none"/>
          <w:lang w:val="en-US" w:eastAsia="zh-CN"/>
        </w:rPr>
        <w:t>后续每年的承包款由乙方在当年的</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日前一次性汇入甲方指定账户</w:t>
      </w:r>
      <w:r>
        <w:rPr>
          <w:rFonts w:hint="eastAsia" w:ascii="宋体" w:hAnsi="宋体" w:eastAsia="宋体" w:cs="宋体"/>
          <w:b w:val="0"/>
          <w:bCs w:val="0"/>
          <w:color w:val="auto"/>
          <w:sz w:val="21"/>
          <w:szCs w:val="21"/>
          <w:highlight w:val="none"/>
          <w:lang w:eastAsia="zh-CN"/>
        </w:rPr>
        <w:t>。</w:t>
      </w:r>
    </w:p>
    <w:p w14:paraId="2F3FC79D">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color w:val="auto"/>
          <w:sz w:val="21"/>
          <w:szCs w:val="21"/>
          <w:highlight w:val="none"/>
        </w:rPr>
        <w:t>乙方未按合同约定期限支付</w:t>
      </w:r>
      <w:r>
        <w:rPr>
          <w:rFonts w:hint="eastAsia" w:ascii="宋体" w:hAnsi="宋体" w:eastAsia="宋体" w:cs="宋体"/>
          <w:b w:val="0"/>
          <w:bCs w:val="0"/>
          <w:sz w:val="21"/>
          <w:szCs w:val="21"/>
          <w:highlight w:val="none"/>
          <w:lang w:val="en-US" w:eastAsia="zh-CN"/>
        </w:rPr>
        <w:t>承包款</w:t>
      </w:r>
      <w:r>
        <w:rPr>
          <w:rFonts w:hint="eastAsia" w:ascii="宋体" w:hAnsi="宋体" w:eastAsia="宋体" w:cs="宋体"/>
          <w:b w:val="0"/>
          <w:bCs w:val="0"/>
          <w:color w:val="auto"/>
          <w:sz w:val="21"/>
          <w:szCs w:val="21"/>
          <w:highlight w:val="none"/>
        </w:rPr>
        <w:t>的，应向甲方支付逾期付款</w:t>
      </w:r>
      <w:r>
        <w:rPr>
          <w:rFonts w:hint="eastAsia" w:ascii="宋体" w:hAnsi="宋体" w:eastAsia="宋体" w:cs="宋体"/>
          <w:b w:val="0"/>
          <w:bCs w:val="0"/>
          <w:color w:val="auto"/>
          <w:sz w:val="21"/>
          <w:szCs w:val="21"/>
          <w:highlight w:val="none"/>
          <w:lang w:val="en-US" w:eastAsia="zh-CN"/>
        </w:rPr>
        <w:t>滞纳</w:t>
      </w:r>
      <w:r>
        <w:rPr>
          <w:rFonts w:hint="eastAsia" w:ascii="宋体" w:hAnsi="宋体" w:eastAsia="宋体" w:cs="宋体"/>
          <w:b w:val="0"/>
          <w:bCs w:val="0"/>
          <w:color w:val="auto"/>
          <w:sz w:val="21"/>
          <w:szCs w:val="21"/>
          <w:highlight w:val="none"/>
        </w:rPr>
        <w:t>金。</w:t>
      </w:r>
      <w:r>
        <w:rPr>
          <w:rFonts w:hint="eastAsia" w:ascii="宋体" w:hAnsi="宋体" w:eastAsia="宋体" w:cs="宋体"/>
          <w:b w:val="0"/>
          <w:bCs w:val="0"/>
          <w:color w:val="000000"/>
          <w:sz w:val="21"/>
          <w:szCs w:val="21"/>
          <w:highlight w:val="none"/>
          <w:u w:val="none"/>
          <w:lang w:val="en-US" w:eastAsia="zh-CN" w:bidi="zh-CN"/>
        </w:rPr>
        <w:t>自逾期之日起，按应付</w:t>
      </w:r>
      <w:r>
        <w:rPr>
          <w:rFonts w:hint="eastAsia" w:ascii="宋体" w:hAnsi="宋体" w:eastAsia="宋体" w:cs="宋体"/>
          <w:b w:val="0"/>
          <w:bCs w:val="0"/>
          <w:sz w:val="21"/>
          <w:szCs w:val="21"/>
          <w:highlight w:val="none"/>
          <w:lang w:val="en-US" w:eastAsia="zh-CN"/>
        </w:rPr>
        <w:t>承包款</w:t>
      </w:r>
      <w:r>
        <w:rPr>
          <w:rFonts w:hint="eastAsia" w:ascii="宋体" w:hAnsi="宋体" w:eastAsia="宋体" w:cs="宋体"/>
          <w:b w:val="0"/>
          <w:bCs w:val="0"/>
          <w:color w:val="000000"/>
          <w:sz w:val="21"/>
          <w:szCs w:val="21"/>
          <w:highlight w:val="none"/>
          <w:u w:val="none"/>
          <w:lang w:val="en-US" w:eastAsia="zh-CN" w:bidi="zh-CN"/>
        </w:rPr>
        <w:t>的每日万分之五计算滞纳金。</w:t>
      </w:r>
    </w:p>
    <w:p w14:paraId="4030313B">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二、乙方须向甲方缴交履约保证金</w:t>
      </w:r>
      <w:r>
        <w:rPr>
          <w:rFonts w:hint="eastAsia" w:ascii="宋体" w:hAnsi="宋体" w:eastAsia="宋体" w:cs="宋体"/>
          <w:b w:val="0"/>
          <w:bCs w:val="0"/>
          <w:color w:val="auto"/>
          <w:sz w:val="21"/>
          <w:szCs w:val="21"/>
          <w:highlight w:val="none"/>
        </w:rPr>
        <w:t>人民币</w:t>
      </w:r>
      <w:r>
        <w:rPr>
          <w:rFonts w:hint="eastAsia" w:ascii="宋体" w:hAnsi="宋体" w:eastAsia="宋体" w:cs="宋体"/>
          <w:b w:val="0"/>
          <w:bCs w:val="0"/>
          <w:color w:val="auto"/>
          <w:sz w:val="21"/>
          <w:szCs w:val="21"/>
          <w:highlight w:val="none"/>
          <w:u w:val="single"/>
          <w:lang w:val="en-US" w:eastAsia="zh-CN"/>
        </w:rPr>
        <w:t>叁</w:t>
      </w:r>
      <w:r>
        <w:rPr>
          <w:rFonts w:hint="eastAsia" w:ascii="宋体" w:hAnsi="宋体" w:eastAsia="宋体" w:cs="宋体"/>
          <w:b w:val="0"/>
          <w:bCs w:val="0"/>
          <w:color w:val="auto"/>
          <w:sz w:val="21"/>
          <w:szCs w:val="21"/>
          <w:highlight w:val="none"/>
          <w:u w:val="single"/>
        </w:rPr>
        <w:t>拾</w:t>
      </w:r>
      <w:r>
        <w:rPr>
          <w:rFonts w:hint="eastAsia" w:ascii="宋体" w:hAnsi="宋体" w:eastAsia="宋体" w:cs="宋体"/>
          <w:b w:val="0"/>
          <w:bCs w:val="0"/>
          <w:color w:val="auto"/>
          <w:sz w:val="21"/>
          <w:szCs w:val="21"/>
          <w:highlight w:val="none"/>
        </w:rPr>
        <w:t>万元整（</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3</w:t>
      </w:r>
      <w:r>
        <w:rPr>
          <w:rFonts w:hint="eastAsia" w:ascii="宋体" w:hAnsi="宋体" w:eastAsia="宋体" w:cs="宋体"/>
          <w:b w:val="0"/>
          <w:bCs w:val="0"/>
          <w:color w:val="auto"/>
          <w:sz w:val="21"/>
          <w:szCs w:val="21"/>
          <w:highlight w:val="none"/>
          <w:u w:val="single"/>
        </w:rPr>
        <w:t>00,000</w:t>
      </w:r>
      <w:r>
        <w:rPr>
          <w:rFonts w:hint="eastAsia" w:ascii="宋体" w:hAnsi="宋体" w:eastAsia="宋体" w:cs="宋体"/>
          <w:b w:val="0"/>
          <w:bCs w:val="0"/>
          <w:color w:val="auto"/>
          <w:sz w:val="21"/>
          <w:szCs w:val="21"/>
          <w:highlight w:val="none"/>
        </w:rPr>
        <w:t>元）</w:t>
      </w:r>
      <w:r>
        <w:rPr>
          <w:rFonts w:hint="eastAsia" w:ascii="宋体" w:hAnsi="宋体" w:eastAsia="宋体" w:cs="宋体"/>
          <w:b w:val="0"/>
          <w:bCs w:val="0"/>
          <w:sz w:val="21"/>
          <w:szCs w:val="21"/>
          <w:highlight w:val="none"/>
        </w:rPr>
        <w:t>,</w:t>
      </w:r>
      <w:r>
        <w:rPr>
          <w:rFonts w:hint="eastAsia" w:ascii="宋体" w:hAnsi="宋体" w:eastAsia="宋体" w:cs="宋体"/>
          <w:b w:val="0"/>
          <w:bCs w:val="0"/>
          <w:color w:val="auto"/>
          <w:spacing w:val="0"/>
          <w:sz w:val="21"/>
          <w:szCs w:val="21"/>
          <w:highlight w:val="none"/>
          <w:lang w:val="en-US" w:eastAsia="zh-CN"/>
        </w:rPr>
        <w:t>于  月  日前缴纳。</w:t>
      </w:r>
      <w:r>
        <w:rPr>
          <w:rFonts w:hint="eastAsia" w:ascii="宋体" w:hAnsi="宋体" w:eastAsia="宋体" w:cs="宋体"/>
          <w:b w:val="0"/>
          <w:bCs w:val="0"/>
          <w:sz w:val="21"/>
          <w:szCs w:val="21"/>
          <w:highlight w:val="none"/>
        </w:rPr>
        <w:t>合同期满后，乙方已缴履约保证金在扣减其应承担的各项费用后，余额部分由甲方无息返还给乙方。</w:t>
      </w:r>
    </w:p>
    <w:p w14:paraId="69A476B9">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履约保证的形式包括履约保证金（现金或转账）、履约保证担保（只限四大银行）两种，由乙方自主选择。否则将视为乙方放弃中标的权利，甲方有权选择按规定选出的中标候选人为本项目的乙方或对本项目重新进行招标。</w:t>
      </w:r>
    </w:p>
    <w:p w14:paraId="7ED7DC19">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如</w:t>
      </w:r>
      <w:r>
        <w:rPr>
          <w:rFonts w:hint="eastAsia" w:ascii="宋体" w:hAnsi="宋体" w:eastAsia="宋体" w:cs="宋体"/>
          <w:b w:val="0"/>
          <w:bCs w:val="0"/>
          <w:sz w:val="21"/>
          <w:szCs w:val="21"/>
          <w:highlight w:val="none"/>
          <w:lang w:eastAsia="zh-CN"/>
        </w:rPr>
        <w:t>乙方</w:t>
      </w:r>
      <w:r>
        <w:rPr>
          <w:rFonts w:hint="eastAsia" w:ascii="宋体" w:hAnsi="宋体" w:eastAsia="宋体" w:cs="宋体"/>
          <w:b w:val="0"/>
          <w:bCs w:val="0"/>
          <w:sz w:val="21"/>
          <w:szCs w:val="21"/>
          <w:highlight w:val="none"/>
        </w:rPr>
        <w:t>未能按要求履行合同，违反相关规定的，</w:t>
      </w:r>
      <w:r>
        <w:rPr>
          <w:rFonts w:hint="eastAsia" w:ascii="宋体" w:hAnsi="宋体" w:eastAsia="宋体" w:cs="宋体"/>
          <w:b w:val="0"/>
          <w:bCs w:val="0"/>
          <w:sz w:val="21"/>
          <w:szCs w:val="21"/>
          <w:highlight w:val="none"/>
          <w:lang w:val="en-US" w:eastAsia="zh-CN"/>
        </w:rPr>
        <w:t>甲方</w:t>
      </w:r>
      <w:r>
        <w:rPr>
          <w:rFonts w:hint="eastAsia" w:ascii="宋体" w:hAnsi="宋体" w:eastAsia="宋体" w:cs="宋体"/>
          <w:b w:val="0"/>
          <w:bCs w:val="0"/>
          <w:sz w:val="21"/>
          <w:szCs w:val="21"/>
          <w:highlight w:val="none"/>
        </w:rPr>
        <w:t>将有权没收履约保证金或扣除相应违约金额；如</w:t>
      </w:r>
      <w:r>
        <w:rPr>
          <w:rFonts w:hint="eastAsia" w:ascii="宋体" w:hAnsi="宋体" w:eastAsia="宋体" w:cs="宋体"/>
          <w:b w:val="0"/>
          <w:bCs w:val="0"/>
          <w:sz w:val="21"/>
          <w:szCs w:val="21"/>
          <w:highlight w:val="none"/>
          <w:lang w:eastAsia="zh-CN"/>
        </w:rPr>
        <w:t>乙方</w:t>
      </w:r>
      <w:r>
        <w:rPr>
          <w:rFonts w:hint="eastAsia" w:ascii="宋体" w:hAnsi="宋体" w:eastAsia="宋体" w:cs="宋体"/>
          <w:b w:val="0"/>
          <w:bCs w:val="0"/>
          <w:sz w:val="21"/>
          <w:szCs w:val="21"/>
          <w:highlight w:val="none"/>
        </w:rPr>
        <w:t>在合同执行过程需终止执行合同的，需提前一个月以书面形式通知</w:t>
      </w:r>
      <w:r>
        <w:rPr>
          <w:rFonts w:hint="eastAsia" w:ascii="宋体" w:hAnsi="宋体" w:eastAsia="宋体" w:cs="宋体"/>
          <w:b w:val="0"/>
          <w:bCs w:val="0"/>
          <w:sz w:val="21"/>
          <w:szCs w:val="21"/>
          <w:highlight w:val="none"/>
          <w:lang w:val="en-US" w:eastAsia="zh-CN"/>
        </w:rPr>
        <w:t>甲方</w:t>
      </w:r>
      <w:r>
        <w:rPr>
          <w:rFonts w:hint="eastAsia" w:ascii="宋体" w:hAnsi="宋体" w:eastAsia="宋体" w:cs="宋体"/>
          <w:b w:val="0"/>
          <w:bCs w:val="0"/>
          <w:sz w:val="21"/>
          <w:szCs w:val="21"/>
          <w:highlight w:val="none"/>
        </w:rPr>
        <w:t>，并须得到</w:t>
      </w:r>
      <w:r>
        <w:rPr>
          <w:rFonts w:hint="eastAsia" w:ascii="宋体" w:hAnsi="宋体" w:eastAsia="宋体" w:cs="宋体"/>
          <w:b w:val="0"/>
          <w:bCs w:val="0"/>
          <w:sz w:val="21"/>
          <w:szCs w:val="21"/>
          <w:highlight w:val="none"/>
          <w:lang w:val="en-US" w:eastAsia="zh-CN"/>
        </w:rPr>
        <w:t>甲方</w:t>
      </w:r>
      <w:r>
        <w:rPr>
          <w:rFonts w:hint="eastAsia" w:ascii="宋体" w:hAnsi="宋体" w:eastAsia="宋体" w:cs="宋体"/>
          <w:b w:val="0"/>
          <w:bCs w:val="0"/>
          <w:sz w:val="21"/>
          <w:szCs w:val="21"/>
          <w:highlight w:val="none"/>
        </w:rPr>
        <w:t>书面回复同意后方可终止，否则按单方面终止执行合同处理，履约保证金不退还。</w:t>
      </w:r>
    </w:p>
    <w:p w14:paraId="63C6CA8A">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履约保证金有效期比合同有效期延长1个月。履约保证金将在乙方履行完合同义务，合同期满且投标人无违约事实的，凭甲方原开具的押金凭证在五个工作日内无息退还。</w:t>
      </w:r>
    </w:p>
    <w:p w14:paraId="12642EBC">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both"/>
        <w:textAlignment w:val="auto"/>
        <w:rPr>
          <w:rFonts w:hint="eastAsia" w:ascii="宋体" w:hAnsi="宋体" w:eastAsia="宋体" w:cs="宋体"/>
          <w:b w:val="0"/>
          <w:bCs w:val="0"/>
          <w:color w:val="auto"/>
          <w:spacing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三、</w:t>
      </w:r>
      <w:r>
        <w:rPr>
          <w:rFonts w:hint="eastAsia" w:ascii="宋体" w:hAnsi="宋体" w:eastAsia="宋体" w:cs="宋体"/>
          <w:b w:val="0"/>
          <w:bCs w:val="0"/>
          <w:color w:val="auto"/>
          <w:sz w:val="21"/>
          <w:szCs w:val="21"/>
          <w:highlight w:val="none"/>
        </w:rPr>
        <w:t>乙方</w:t>
      </w:r>
      <w:r>
        <w:rPr>
          <w:rFonts w:hint="eastAsia" w:ascii="宋体" w:hAnsi="宋体" w:eastAsia="宋体" w:cs="宋体"/>
          <w:b w:val="0"/>
          <w:bCs w:val="0"/>
          <w:color w:val="auto"/>
          <w:spacing w:val="0"/>
          <w:sz w:val="21"/>
          <w:szCs w:val="21"/>
          <w:highlight w:val="none"/>
          <w:lang w:val="en-US" w:eastAsia="zh-CN"/>
        </w:rPr>
        <w:t>承担乐昌市两江镇洋莲桥水电站以往债务合计</w:t>
      </w:r>
      <w:r>
        <w:rPr>
          <w:rFonts w:hint="eastAsia" w:ascii="宋体" w:hAnsi="宋体" w:eastAsia="宋体" w:cs="宋体"/>
          <w:b/>
          <w:bCs/>
          <w:color w:val="auto"/>
          <w:spacing w:val="0"/>
          <w:sz w:val="21"/>
          <w:szCs w:val="21"/>
          <w:highlight w:val="none"/>
          <w:u w:val="single"/>
          <w:lang w:val="en-US" w:eastAsia="zh-CN"/>
        </w:rPr>
        <w:t>¥5,261,279.04元</w:t>
      </w:r>
      <w:r>
        <w:rPr>
          <w:rFonts w:hint="eastAsia" w:ascii="宋体" w:hAnsi="宋体" w:eastAsia="宋体" w:cs="宋体"/>
          <w:b w:val="0"/>
          <w:bCs w:val="0"/>
          <w:color w:val="auto"/>
          <w:spacing w:val="0"/>
          <w:sz w:val="21"/>
          <w:szCs w:val="21"/>
          <w:highlight w:val="none"/>
          <w:lang w:val="en-US" w:eastAsia="zh-CN"/>
        </w:rPr>
        <w:t>，除银行贷款外，其他债务需在承包合同签订之日起3日内付清，银行贷款由</w:t>
      </w:r>
      <w:r>
        <w:rPr>
          <w:rFonts w:hint="eastAsia" w:ascii="宋体" w:hAnsi="宋体" w:eastAsia="宋体" w:cs="宋体"/>
          <w:b w:val="0"/>
          <w:bCs w:val="0"/>
          <w:color w:val="auto"/>
          <w:sz w:val="21"/>
          <w:szCs w:val="21"/>
          <w:highlight w:val="none"/>
        </w:rPr>
        <w:t>乙方</w:t>
      </w:r>
      <w:r>
        <w:rPr>
          <w:rFonts w:hint="eastAsia" w:ascii="宋体" w:hAnsi="宋体" w:eastAsia="宋体" w:cs="宋体"/>
          <w:b w:val="0"/>
          <w:bCs w:val="0"/>
          <w:color w:val="auto"/>
          <w:spacing w:val="0"/>
          <w:sz w:val="21"/>
          <w:szCs w:val="21"/>
          <w:highlight w:val="none"/>
          <w:lang w:val="en-US" w:eastAsia="zh-CN"/>
        </w:rPr>
        <w:t>与银行协商偿还。银行贷款之外的债务（员工社保等费用不在此列）原则上由电站承担，但乙方先行代为垫付，待合同期满后，甲乙双方协商如何偿还。</w:t>
      </w:r>
    </w:p>
    <w:p w14:paraId="79B6909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四、</w:t>
      </w:r>
      <w:r>
        <w:rPr>
          <w:rFonts w:hint="eastAsia" w:ascii="宋体" w:hAnsi="宋体" w:eastAsia="宋体" w:cs="宋体"/>
          <w:b w:val="0"/>
          <w:bCs w:val="0"/>
          <w:sz w:val="21"/>
          <w:szCs w:val="21"/>
          <w:highlight w:val="none"/>
        </w:rPr>
        <w:t>乙方</w:t>
      </w:r>
      <w:r>
        <w:rPr>
          <w:rFonts w:hint="eastAsia" w:ascii="宋体" w:hAnsi="宋体" w:eastAsia="宋体" w:cs="宋体"/>
          <w:spacing w:val="0"/>
          <w:sz w:val="21"/>
          <w:szCs w:val="21"/>
          <w:highlight w:val="none"/>
        </w:rPr>
        <w:t>承包期间</w:t>
      </w:r>
      <w:r>
        <w:rPr>
          <w:rFonts w:hint="eastAsia" w:ascii="宋体" w:hAnsi="宋体" w:eastAsia="宋体" w:cs="宋体"/>
          <w:spacing w:val="0"/>
          <w:sz w:val="21"/>
          <w:szCs w:val="21"/>
          <w:highlight w:val="none"/>
          <w:lang w:val="en-US" w:eastAsia="zh-CN"/>
        </w:rPr>
        <w:t>水电站</w:t>
      </w:r>
      <w:r>
        <w:rPr>
          <w:rFonts w:hint="eastAsia" w:ascii="宋体" w:hAnsi="宋体" w:eastAsia="宋体" w:cs="宋体"/>
          <w:spacing w:val="0"/>
          <w:sz w:val="21"/>
          <w:szCs w:val="21"/>
          <w:highlight w:val="none"/>
        </w:rPr>
        <w:t>保持现有10个职工，退休一人核减一人，不再招聘新人。</w:t>
      </w:r>
      <w:r>
        <w:rPr>
          <w:rFonts w:hint="eastAsia" w:ascii="宋体" w:hAnsi="宋体" w:eastAsia="宋体" w:cs="宋体"/>
          <w:spacing w:val="0"/>
          <w:sz w:val="21"/>
          <w:szCs w:val="21"/>
          <w:highlight w:val="none"/>
          <w:lang w:eastAsia="zh-CN"/>
        </w:rPr>
        <w:t>（</w:t>
      </w:r>
      <w:r>
        <w:rPr>
          <w:rFonts w:hint="eastAsia" w:ascii="宋体" w:hAnsi="宋体" w:eastAsia="宋体" w:cs="宋体"/>
          <w:spacing w:val="0"/>
          <w:sz w:val="21"/>
          <w:szCs w:val="21"/>
          <w:highlight w:val="none"/>
          <w:lang w:val="en-US" w:eastAsia="zh-CN"/>
        </w:rPr>
        <w:t>若乙方聘用水电站现有10人之外的职工，水电站不承担该部分职工任何聘续责任）。现有10个职工平均</w:t>
      </w:r>
      <w:r>
        <w:rPr>
          <w:rFonts w:hint="eastAsia" w:ascii="宋体" w:hAnsi="宋体" w:eastAsia="宋体" w:cs="宋体"/>
          <w:spacing w:val="0"/>
          <w:sz w:val="21"/>
          <w:szCs w:val="21"/>
          <w:highlight w:val="none"/>
        </w:rPr>
        <w:t>每人每月工资约</w:t>
      </w:r>
      <w:r>
        <w:rPr>
          <w:rFonts w:hint="eastAsia" w:ascii="宋体" w:hAnsi="宋体" w:eastAsia="宋体" w:cs="宋体"/>
          <w:spacing w:val="0"/>
          <w:sz w:val="21"/>
          <w:szCs w:val="21"/>
          <w:highlight w:val="none"/>
          <w:u w:val="single"/>
        </w:rPr>
        <w:t>¥2</w:t>
      </w:r>
      <w:r>
        <w:rPr>
          <w:rFonts w:hint="eastAsia" w:ascii="宋体" w:hAnsi="宋体" w:eastAsia="宋体" w:cs="宋体"/>
          <w:spacing w:val="0"/>
          <w:sz w:val="21"/>
          <w:szCs w:val="21"/>
          <w:highlight w:val="none"/>
          <w:u w:val="single"/>
          <w:lang w:val="en-US" w:eastAsia="zh-CN"/>
        </w:rPr>
        <w:t>,</w:t>
      </w:r>
      <w:r>
        <w:rPr>
          <w:rFonts w:hint="eastAsia" w:ascii="宋体" w:hAnsi="宋体" w:eastAsia="宋体" w:cs="宋体"/>
          <w:spacing w:val="0"/>
          <w:sz w:val="21"/>
          <w:szCs w:val="21"/>
          <w:highlight w:val="none"/>
          <w:u w:val="single"/>
        </w:rPr>
        <w:t>000元</w:t>
      </w:r>
      <w:r>
        <w:rPr>
          <w:rFonts w:hint="eastAsia" w:ascii="宋体" w:hAnsi="宋体" w:eastAsia="宋体" w:cs="宋体"/>
          <w:spacing w:val="0"/>
          <w:sz w:val="21"/>
          <w:szCs w:val="21"/>
          <w:highlight w:val="none"/>
        </w:rPr>
        <w:t>，若韶关市最低工资标准上浮，则每人每月工资不得低于韶关市最低工资标准；退休人员费用保持目前的金额</w:t>
      </w:r>
      <w:r>
        <w:rPr>
          <w:rFonts w:hint="eastAsia" w:ascii="宋体" w:hAnsi="宋体" w:eastAsia="宋体" w:cs="宋体"/>
          <w:spacing w:val="0"/>
          <w:sz w:val="21"/>
          <w:szCs w:val="21"/>
          <w:highlight w:val="none"/>
          <w:u w:val="single"/>
        </w:rPr>
        <w:t>¥5</w:t>
      </w:r>
      <w:r>
        <w:rPr>
          <w:rFonts w:hint="eastAsia" w:ascii="宋体" w:hAnsi="宋体" w:eastAsia="宋体" w:cs="宋体"/>
          <w:spacing w:val="0"/>
          <w:sz w:val="21"/>
          <w:szCs w:val="21"/>
          <w:highlight w:val="none"/>
          <w:u w:val="single"/>
          <w:lang w:val="en-US" w:eastAsia="zh-CN"/>
        </w:rPr>
        <w:t>,</w:t>
      </w:r>
      <w:r>
        <w:rPr>
          <w:rFonts w:hint="eastAsia" w:ascii="宋体" w:hAnsi="宋体" w:eastAsia="宋体" w:cs="宋体"/>
          <w:spacing w:val="0"/>
          <w:sz w:val="21"/>
          <w:szCs w:val="21"/>
          <w:highlight w:val="none"/>
          <w:u w:val="single"/>
        </w:rPr>
        <w:t>935元/月</w:t>
      </w:r>
      <w:r>
        <w:rPr>
          <w:rFonts w:hint="eastAsia" w:ascii="宋体" w:hAnsi="宋体" w:eastAsia="宋体" w:cs="宋体"/>
          <w:spacing w:val="0"/>
          <w:sz w:val="21"/>
          <w:szCs w:val="21"/>
          <w:highlight w:val="none"/>
        </w:rPr>
        <w:t>继续发放(未购买社保的退休人员继续按照原有方法支付退休金)。</w:t>
      </w:r>
    </w:p>
    <w:p w14:paraId="7B836FF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b w:val="0"/>
          <w:bCs w:val="0"/>
          <w:color w:val="FF000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五、</w:t>
      </w:r>
      <w:r>
        <w:rPr>
          <w:rFonts w:hint="eastAsia" w:ascii="宋体" w:hAnsi="宋体" w:eastAsia="宋体" w:cs="宋体"/>
          <w:sz w:val="21"/>
          <w:szCs w:val="21"/>
          <w:highlight w:val="none"/>
        </w:rPr>
        <w:t>承包期间如需进行改造</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升级、增容等情况</w:t>
      </w:r>
      <w:r>
        <w:rPr>
          <w:rFonts w:hint="eastAsia" w:ascii="宋体" w:hAnsi="宋体" w:eastAsia="宋体" w:cs="宋体"/>
          <w:sz w:val="21"/>
          <w:szCs w:val="21"/>
          <w:highlight w:val="none"/>
        </w:rPr>
        <w:t>，首先应征得</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同意</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并在报批同意的基础上方能进行</w:t>
      </w:r>
      <w:r>
        <w:rPr>
          <w:rFonts w:hint="eastAsia" w:ascii="宋体" w:hAnsi="宋体" w:eastAsia="宋体" w:cs="宋体"/>
          <w:sz w:val="21"/>
          <w:szCs w:val="21"/>
          <w:highlight w:val="none"/>
        </w:rPr>
        <w:t>；改造资金由</w:t>
      </w:r>
      <w:r>
        <w:rPr>
          <w:rFonts w:hint="eastAsia" w:ascii="宋体" w:hAnsi="宋体" w:eastAsia="宋体" w:cs="宋体"/>
          <w:b w:val="0"/>
          <w:bCs w:val="0"/>
          <w:sz w:val="21"/>
          <w:szCs w:val="21"/>
          <w:highlight w:val="none"/>
        </w:rPr>
        <w:t>乙方</w:t>
      </w:r>
      <w:r>
        <w:rPr>
          <w:rFonts w:hint="eastAsia" w:ascii="宋体" w:hAnsi="宋体" w:eastAsia="宋体" w:cs="宋体"/>
          <w:sz w:val="21"/>
          <w:szCs w:val="21"/>
          <w:highlight w:val="none"/>
        </w:rPr>
        <w:t>自行解决，但不作为</w:t>
      </w:r>
      <w:r>
        <w:rPr>
          <w:rFonts w:hint="eastAsia" w:ascii="宋体" w:hAnsi="宋体" w:eastAsia="宋体" w:cs="宋体"/>
          <w:b w:val="0"/>
          <w:bCs w:val="0"/>
          <w:sz w:val="21"/>
          <w:szCs w:val="21"/>
          <w:highlight w:val="none"/>
        </w:rPr>
        <w:t>乙方</w:t>
      </w:r>
      <w:r>
        <w:rPr>
          <w:rFonts w:hint="eastAsia" w:ascii="宋体" w:hAnsi="宋体" w:eastAsia="宋体" w:cs="宋体"/>
          <w:sz w:val="21"/>
          <w:szCs w:val="21"/>
          <w:highlight w:val="none"/>
        </w:rPr>
        <w:t>对电站增资及增加电站的负债。按国家政策补贴的资金只能用在电站改造维修上，不能算作</w:t>
      </w:r>
      <w:r>
        <w:rPr>
          <w:rFonts w:hint="eastAsia" w:ascii="宋体" w:hAnsi="宋体" w:eastAsia="宋体" w:cs="宋体"/>
          <w:b w:val="0"/>
          <w:bCs w:val="0"/>
          <w:sz w:val="21"/>
          <w:szCs w:val="21"/>
          <w:highlight w:val="none"/>
        </w:rPr>
        <w:t>乙方</w:t>
      </w:r>
      <w:r>
        <w:rPr>
          <w:rFonts w:hint="eastAsia" w:ascii="宋体" w:hAnsi="宋体" w:eastAsia="宋体" w:cs="宋体"/>
          <w:sz w:val="21"/>
          <w:szCs w:val="21"/>
          <w:highlight w:val="none"/>
        </w:rPr>
        <w:t>对电站的额外增资及套现。</w:t>
      </w:r>
    </w:p>
    <w:p w14:paraId="66E051D5">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z w:val="21"/>
          <w:szCs w:val="21"/>
          <w:highlight w:val="none"/>
        </w:rPr>
        <w:t>承包期间，雷沙岭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新屋子村村民按¥0.15元/度缴交电费，大、小江村村民按¥0.</w:t>
      </w:r>
      <w:r>
        <w:rPr>
          <w:rFonts w:hint="eastAsia" w:ascii="宋体" w:hAnsi="宋体" w:eastAsia="宋体" w:cs="宋体"/>
          <w:color w:val="auto"/>
          <w:sz w:val="21"/>
          <w:szCs w:val="21"/>
          <w:highlight w:val="none"/>
          <w:lang w:val="en-US" w:eastAsia="zh-CN"/>
        </w:rPr>
        <w:t>2元/</w:t>
      </w:r>
      <w:r>
        <w:rPr>
          <w:rFonts w:hint="eastAsia" w:ascii="宋体" w:hAnsi="宋体" w:eastAsia="宋体" w:cs="宋体"/>
          <w:color w:val="auto"/>
          <w:sz w:val="21"/>
          <w:szCs w:val="21"/>
          <w:highlight w:val="none"/>
        </w:rPr>
        <w:t>度缴交电费，由</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z w:val="21"/>
          <w:szCs w:val="21"/>
          <w:highlight w:val="none"/>
        </w:rPr>
        <w:t>负责收取，电费差价由</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z w:val="21"/>
          <w:szCs w:val="21"/>
          <w:highlight w:val="none"/>
        </w:rPr>
        <w:t>承担。</w:t>
      </w:r>
    </w:p>
    <w:p w14:paraId="578901B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七</w:t>
      </w:r>
      <w:r>
        <w:rPr>
          <w:rFonts w:hint="eastAsia" w:ascii="宋体" w:hAnsi="宋体" w:eastAsia="宋体" w:cs="宋体"/>
          <w:b w:val="0"/>
          <w:bCs w:val="0"/>
          <w:color w:val="auto"/>
          <w:sz w:val="21"/>
          <w:szCs w:val="21"/>
          <w:highlight w:val="none"/>
        </w:rPr>
        <w:t>、乙方在承包期间</w:t>
      </w:r>
      <w:r>
        <w:rPr>
          <w:rFonts w:hint="eastAsia" w:ascii="宋体" w:hAnsi="宋体" w:eastAsia="宋体" w:cs="宋体"/>
          <w:b w:val="0"/>
          <w:bCs w:val="0"/>
          <w:color w:val="auto"/>
          <w:sz w:val="21"/>
          <w:szCs w:val="21"/>
          <w:highlight w:val="none"/>
          <w:lang w:eastAsia="zh-CN"/>
        </w:rPr>
        <w:t>必须</w:t>
      </w:r>
      <w:r>
        <w:rPr>
          <w:rFonts w:hint="eastAsia" w:ascii="宋体" w:hAnsi="宋体" w:eastAsia="宋体" w:cs="宋体"/>
          <w:b w:val="0"/>
          <w:bCs w:val="0"/>
          <w:color w:val="auto"/>
          <w:sz w:val="21"/>
          <w:szCs w:val="21"/>
          <w:highlight w:val="none"/>
        </w:rPr>
        <w:t>做好</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水工建筑物（大坝、引水渠道、前池、压力管道等）、机电设备、金属结构、输电线路及道路等维护、保养工作，维护保养和更新设备等费用一律由乙方负责。承包期间</w:t>
      </w:r>
      <w:r>
        <w:rPr>
          <w:rFonts w:hint="eastAsia" w:ascii="宋体" w:hAnsi="宋体" w:eastAsia="宋体" w:cs="宋体"/>
          <w:b w:val="0"/>
          <w:bCs w:val="0"/>
          <w:color w:val="auto"/>
          <w:sz w:val="21"/>
          <w:szCs w:val="21"/>
          <w:highlight w:val="none"/>
          <w:lang w:eastAsia="zh-CN"/>
        </w:rPr>
        <w:t>因安全隐患导致停网结算，与甲方无关。</w:t>
      </w:r>
      <w:r>
        <w:rPr>
          <w:rFonts w:hint="eastAsia" w:ascii="宋体" w:hAnsi="宋体" w:eastAsia="宋体" w:cs="宋体"/>
          <w:b w:val="0"/>
          <w:bCs w:val="0"/>
          <w:color w:val="auto"/>
          <w:sz w:val="21"/>
          <w:szCs w:val="21"/>
          <w:highlight w:val="none"/>
        </w:rPr>
        <w:t>承包期间若发生安全事故的，由乙方自行承担责任，与甲方无关。</w:t>
      </w:r>
    </w:p>
    <w:p w14:paraId="4DEBDECC">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trike/>
          <w:dstrike w:val="0"/>
          <w:color w:val="auto"/>
          <w:sz w:val="21"/>
          <w:szCs w:val="21"/>
          <w:highlight w:val="none"/>
        </w:rPr>
      </w:pPr>
      <w:r>
        <w:rPr>
          <w:rFonts w:hint="eastAsia" w:ascii="宋体" w:hAnsi="宋体" w:eastAsia="宋体" w:cs="宋体"/>
          <w:b w:val="0"/>
          <w:bCs w:val="0"/>
          <w:color w:val="auto"/>
          <w:sz w:val="21"/>
          <w:szCs w:val="21"/>
          <w:highlight w:val="none"/>
          <w:lang w:val="en-US" w:eastAsia="zh-CN"/>
        </w:rPr>
        <w:t>八</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乙方全权承包电站的生产运行、安全生产和维护管理，乙方是水电站的一切设备、设施和人身安全的责任人，应保证水电站稳定、安全运行；自主组织和管理水电站生产，自主经营，自负盈亏。水电站经营所产生的一切费用（包括工人工资、社保、保险等）由乙方负责，证件办理、年审及国家政策规定应缴纳的税费由乙方全额负责，甲方协助乙方办理水电站依法经营所应办理的相关手续。</w:t>
      </w:r>
    </w:p>
    <w:p w14:paraId="6F3A51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九</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应对所聘用员工进行安全意识教育和业务知识培训，同时必须设置安全生产管理机构，配置专门安全生产管理人员。并承担其安全责任，发生的一切安全事故所产生的一切法律责任、经济责任均由乙方承担，与甲方无关。</w:t>
      </w:r>
    </w:p>
    <w:p w14:paraId="1FA388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乙方在承包期间，须严格履行生态流量保障及防洪泄洪义务，服从生态、防汛等相关部门的工作指导，因不服从相关部门指导，甲方有权解除合同并追究相关责任。</w:t>
      </w:r>
    </w:p>
    <w:p w14:paraId="28E22D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乙方承担该水电站所属引水渠、前池、管道、厂房、生活建筑物，发电、配电、输电设备设施的运行、维护（修）和管理的责任，费用由乙方承担。</w:t>
      </w:r>
    </w:p>
    <w:p w14:paraId="68BFD9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乙方在承包期间，应加强经营管理，保持水电站环境整洁，注重安全生产、杜绝各种事故发生，如发生一切事故应承担全部责任。</w:t>
      </w:r>
    </w:p>
    <w:p w14:paraId="5A49AC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十三</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在承包经营期间所发生的一切债权债务由乙方承担，与甲方及该水电站无关。</w:t>
      </w:r>
    </w:p>
    <w:p w14:paraId="3E49F6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十四</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在承包期限内，乙方只有乐昌市两江镇洋莲桥水电站所有的有形资产、土地使用权及经营权，但不改变各项资产的用途。不得变卖水电站的财产设备设施，不得将承包水电站的资产（包括但不限于土地、库区、厂区、房屋、机械设备）以整体或分拆方式对外转让。未经甲方同意，不得擅自转包，将承包水电站的资产以整体或分拆方式对外转让、出租、出借、提供担保。否则，一切后果由乙方负责，甲方有权收回该水电站承包经营权。</w:t>
      </w:r>
    </w:p>
    <w:p w14:paraId="03110F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十五</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承包期内，乙方不能作为法人，应由两江镇人民政府指定专人代理。</w:t>
      </w:r>
    </w:p>
    <w:p w14:paraId="43EE86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十六</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在合同期内，如因人力不可抗拒的自然灾害，如地震、战争、洪涝灾害等导致电站无法运行，本合同自动终止，甲方和乙方无须承担违约责任。</w:t>
      </w:r>
    </w:p>
    <w:p w14:paraId="43AA73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十七</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如乙方提供虚假文件、隐瞒事实或以不正当手段获得承包权的，甲方有权取消其中标资格，收回发包标的，乙方缴交的投标保证金不予退还，且该乙方自有关情况发生之日起5年内不得参加甲方统一管理物业的招标活动，同时保留通过法律途径进行追诉的权利。</w:t>
      </w:r>
    </w:p>
    <w:p w14:paraId="48A0F3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十八</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乙方应按规定时间向甲方缴纳相关承包费用，逾期未付清者视为违约，其所缴纳的履约保证金作为违约金，不予返还。同时甲方可根据相关的法律法规，追究其相应的违约责任。</w:t>
      </w:r>
    </w:p>
    <w:p w14:paraId="3D4860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十九</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合同正常履行完毕或提前解除的，电站所属的设备设施和乙方经营期间在电站投资建设的全部建、构筑物、机电设备设施（包括但不限于水轮机组，发电机组，建筑设备，机械设备，工器具等）等资产均由甲方无偿取得，乙方必须保证附属设施设备的完整和正常运行。乙方不得随意破坏及擅自拆除、搬离或造成损失破坏，如对电站现有设备造成损失和破坏的，应承担相应的赔偿责任。</w:t>
      </w:r>
    </w:p>
    <w:p w14:paraId="016444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0000FF"/>
          <w:spacing w:val="0"/>
          <w:sz w:val="21"/>
          <w:szCs w:val="21"/>
          <w:highlight w:val="none"/>
        </w:rPr>
      </w:pPr>
      <w:r>
        <w:rPr>
          <w:rFonts w:hint="eastAsia" w:ascii="宋体" w:hAnsi="宋体" w:eastAsia="宋体" w:cs="宋体"/>
          <w:sz w:val="21"/>
          <w:szCs w:val="21"/>
          <w:highlight w:val="none"/>
          <w:lang w:val="en-US" w:eastAsia="zh-CN"/>
        </w:rPr>
        <w:t>二十</w:t>
      </w:r>
      <w:r>
        <w:rPr>
          <w:rFonts w:hint="eastAsia" w:ascii="宋体" w:hAnsi="宋体" w:eastAsia="宋体" w:cs="宋体"/>
          <w:b w:val="0"/>
          <w:bCs w:val="0"/>
          <w:color w:val="auto"/>
          <w:sz w:val="21"/>
          <w:szCs w:val="21"/>
          <w:highlight w:val="none"/>
        </w:rPr>
        <w:t>、承包经营期限届满或合同提前终止的，乙方应在期限届满当年的   月  日前或合同提前终止情形发生之日起30日内向甲方移交</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的全部资产和承包经营权，办理所有交接手续，并保证</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机电设备能正常运行和发电。</w:t>
      </w:r>
    </w:p>
    <w:p w14:paraId="25678E2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both"/>
        <w:textAlignment w:val="auto"/>
        <w:rPr>
          <w:rFonts w:hint="eastAsia" w:ascii="宋体" w:hAnsi="宋体" w:eastAsia="宋体" w:cs="宋体"/>
          <w:color w:val="0000FF"/>
          <w:spacing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二十一、</w:t>
      </w:r>
      <w:r>
        <w:rPr>
          <w:rFonts w:hint="eastAsia" w:ascii="宋体" w:hAnsi="宋体" w:eastAsia="宋体" w:cs="宋体"/>
          <w:color w:val="auto"/>
          <w:spacing w:val="0"/>
          <w:sz w:val="21"/>
          <w:szCs w:val="21"/>
          <w:highlight w:val="none"/>
        </w:rPr>
        <w:t>承包期内，</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pacing w:val="0"/>
          <w:sz w:val="21"/>
          <w:szCs w:val="21"/>
          <w:highlight w:val="none"/>
          <w:lang w:val="en-US" w:eastAsia="zh-CN"/>
        </w:rPr>
        <w:t>如有意向担任</w:t>
      </w:r>
      <w:r>
        <w:rPr>
          <w:rFonts w:hint="eastAsia" w:ascii="宋体" w:hAnsi="宋体" w:eastAsia="宋体" w:cs="宋体"/>
          <w:color w:val="auto"/>
          <w:spacing w:val="0"/>
          <w:sz w:val="21"/>
          <w:szCs w:val="21"/>
          <w:highlight w:val="none"/>
        </w:rPr>
        <w:t>水电站法</w:t>
      </w:r>
      <w:r>
        <w:rPr>
          <w:rFonts w:hint="eastAsia" w:ascii="宋体" w:hAnsi="宋体" w:eastAsia="宋体" w:cs="宋体"/>
          <w:color w:val="auto"/>
          <w:spacing w:val="0"/>
          <w:sz w:val="21"/>
          <w:szCs w:val="21"/>
          <w:highlight w:val="none"/>
          <w:lang w:val="en-US" w:eastAsia="zh-CN"/>
        </w:rPr>
        <w:t>人</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必须与</w:t>
      </w:r>
      <w:r>
        <w:rPr>
          <w:rFonts w:hint="eastAsia" w:ascii="宋体" w:hAnsi="宋体" w:eastAsia="宋体" w:cs="宋体"/>
          <w:color w:val="auto"/>
          <w:spacing w:val="0"/>
          <w:sz w:val="21"/>
          <w:szCs w:val="21"/>
          <w:highlight w:val="none"/>
        </w:rPr>
        <w:t>两江镇人民政府</w:t>
      </w:r>
      <w:r>
        <w:rPr>
          <w:rFonts w:hint="eastAsia" w:ascii="宋体" w:hAnsi="宋体" w:eastAsia="宋体" w:cs="宋体"/>
          <w:color w:val="auto"/>
          <w:spacing w:val="0"/>
          <w:sz w:val="21"/>
          <w:szCs w:val="21"/>
          <w:highlight w:val="none"/>
          <w:lang w:val="en-US" w:eastAsia="zh-CN"/>
        </w:rPr>
        <w:t>签订企业法人变更协议，如乙方违反企业法人变更协议约定，甲方有权没收本合同第三条乙方先行垫付的债务及保证金</w:t>
      </w:r>
      <w:r>
        <w:rPr>
          <w:rFonts w:hint="eastAsia" w:ascii="宋体" w:hAnsi="宋体" w:eastAsia="宋体" w:cs="宋体"/>
          <w:color w:val="auto"/>
          <w:spacing w:val="0"/>
          <w:sz w:val="21"/>
          <w:szCs w:val="21"/>
          <w:highlight w:val="none"/>
        </w:rPr>
        <w:t>。</w:t>
      </w:r>
    </w:p>
    <w:p w14:paraId="245A72F8">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color w:val="auto"/>
          <w:spacing w:val="0"/>
          <w:sz w:val="21"/>
          <w:szCs w:val="21"/>
          <w:highlight w:val="none"/>
          <w:lang w:eastAsia="zh-CN" w:bidi="ar"/>
        </w:rPr>
      </w:pPr>
      <w:r>
        <w:rPr>
          <w:rFonts w:hint="eastAsia" w:ascii="宋体" w:hAnsi="宋体" w:eastAsia="宋体" w:cs="宋体"/>
          <w:b/>
          <w:bCs/>
          <w:color w:val="auto"/>
          <w:sz w:val="21"/>
          <w:szCs w:val="21"/>
          <w:highlight w:val="none"/>
        </w:rPr>
        <w:t>第四条：</w:t>
      </w:r>
      <w:r>
        <w:rPr>
          <w:rFonts w:hint="eastAsia" w:ascii="宋体" w:hAnsi="宋体" w:eastAsia="宋体" w:cs="宋体"/>
          <w:b w:val="0"/>
          <w:bCs w:val="0"/>
          <w:color w:val="auto"/>
          <w:sz w:val="21"/>
          <w:szCs w:val="21"/>
          <w:highlight w:val="none"/>
          <w:lang w:val="en-US" w:eastAsia="zh-CN"/>
        </w:rPr>
        <w:t>承包费</w:t>
      </w:r>
      <w:r>
        <w:rPr>
          <w:rFonts w:hint="eastAsia" w:ascii="宋体" w:hAnsi="宋体" w:eastAsia="宋体" w:cs="宋体"/>
          <w:b w:val="0"/>
          <w:bCs w:val="0"/>
          <w:color w:val="auto"/>
          <w:sz w:val="21"/>
          <w:szCs w:val="21"/>
          <w:highlight w:val="none"/>
        </w:rPr>
        <w:t>递增执行方法</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bCs/>
          <w:color w:val="auto"/>
          <w:spacing w:val="0"/>
          <w:kern w:val="2"/>
          <w:sz w:val="21"/>
          <w:szCs w:val="21"/>
          <w:highlight w:val="none"/>
          <w:lang w:val="en-US" w:eastAsia="zh-CN" w:bidi="ar"/>
        </w:rPr>
        <w:t>每三年递增3%</w:t>
      </w:r>
      <w:r>
        <w:rPr>
          <w:rFonts w:hint="eastAsia" w:ascii="宋体" w:hAnsi="宋体" w:eastAsia="宋体" w:cs="宋体"/>
          <w:b/>
          <w:bCs/>
          <w:color w:val="auto"/>
          <w:spacing w:val="0"/>
          <w:sz w:val="21"/>
          <w:szCs w:val="21"/>
          <w:highlight w:val="none"/>
          <w:lang w:eastAsia="zh-CN" w:bidi="ar"/>
        </w:rPr>
        <w:t>。</w:t>
      </w:r>
    </w:p>
    <w:p w14:paraId="6A3CEBB6">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1"/>
          <w:szCs w:val="21"/>
          <w:highlight w:val="none"/>
        </w:rPr>
        <w:t>第</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条：</w:t>
      </w:r>
      <w:r>
        <w:rPr>
          <w:rFonts w:hint="eastAsia" w:ascii="宋体" w:hAnsi="宋体" w:eastAsia="宋体" w:cs="宋体"/>
          <w:b w:val="0"/>
          <w:bCs w:val="0"/>
          <w:color w:val="auto"/>
          <w:sz w:val="21"/>
          <w:szCs w:val="21"/>
          <w:highlight w:val="none"/>
        </w:rPr>
        <w:t>设备设施移交</w:t>
      </w:r>
    </w:p>
    <w:p w14:paraId="6B85899A">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甲方按</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固定资产清单（具体见</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固定资产清单）在</w:t>
      </w:r>
      <w:r>
        <w:rPr>
          <w:rFonts w:hint="eastAsia" w:ascii="宋体" w:hAnsi="宋体" w:eastAsia="宋体" w:cs="宋体"/>
          <w:b w:val="0"/>
          <w:bCs w:val="0"/>
          <w:color w:val="auto"/>
          <w:sz w:val="21"/>
          <w:szCs w:val="21"/>
          <w:highlight w:val="none"/>
          <w:u w:val="single"/>
        </w:rPr>
        <w:t>202</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日前按现状逐项移交，经双方签名确认后，由双方收执保存。承包期满，乙方按此固定资产清单无偿移交给甲方。在承包期内,乙方所增加的固定资产一并无偿移交给甲方。</w:t>
      </w:r>
    </w:p>
    <w:p w14:paraId="6C86D537">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w:t>
      </w: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rPr>
        <w:t>条：承包期限约定</w:t>
      </w:r>
    </w:p>
    <w:p w14:paraId="3BBDDC1A">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本合同的承包期限共</w:t>
      </w:r>
      <w:r>
        <w:rPr>
          <w:rFonts w:hint="eastAsia" w:ascii="宋体" w:hAnsi="宋体" w:eastAsia="宋体" w:cs="宋体"/>
          <w:b w:val="0"/>
          <w:bCs w:val="0"/>
          <w:sz w:val="21"/>
          <w:szCs w:val="21"/>
          <w:highlight w:val="none"/>
          <w:u w:val="single"/>
          <w:lang w:val="en-US" w:eastAsia="zh-CN"/>
        </w:rPr>
        <w:t>贰拾</w:t>
      </w:r>
      <w:r>
        <w:rPr>
          <w:rFonts w:hint="eastAsia" w:ascii="宋体" w:hAnsi="宋体" w:eastAsia="宋体" w:cs="宋体"/>
          <w:b w:val="0"/>
          <w:bCs w:val="0"/>
          <w:sz w:val="21"/>
          <w:szCs w:val="21"/>
          <w:highlight w:val="none"/>
        </w:rPr>
        <w:t>年，自202</w:t>
      </w:r>
      <w:r>
        <w:rPr>
          <w:rFonts w:hint="eastAsia" w:ascii="宋体" w:hAnsi="宋体" w:eastAsia="宋体" w:cs="宋体"/>
          <w:b w:val="0"/>
          <w:bCs w:val="0"/>
          <w:sz w:val="21"/>
          <w:szCs w:val="21"/>
          <w:highlight w:val="none"/>
          <w:lang w:val="en-US" w:eastAsia="zh-CN"/>
        </w:rPr>
        <w:t>5</w:t>
      </w:r>
      <w:r>
        <w:rPr>
          <w:rFonts w:hint="eastAsia" w:ascii="宋体" w:hAnsi="宋体" w:eastAsia="宋体" w:cs="宋体"/>
          <w:b w:val="0"/>
          <w:bCs w:val="0"/>
          <w:sz w:val="21"/>
          <w:szCs w:val="21"/>
          <w:highlight w:val="none"/>
        </w:rPr>
        <w:t>年</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月</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日起至20</w:t>
      </w:r>
      <w:r>
        <w:rPr>
          <w:rFonts w:hint="eastAsia" w:ascii="宋体" w:hAnsi="宋体" w:eastAsia="宋体" w:cs="宋体"/>
          <w:b w:val="0"/>
          <w:bCs w:val="0"/>
          <w:sz w:val="21"/>
          <w:szCs w:val="21"/>
          <w:highlight w:val="none"/>
          <w:lang w:val="en-US" w:eastAsia="zh-CN"/>
        </w:rPr>
        <w:t>45</w:t>
      </w:r>
      <w:r>
        <w:rPr>
          <w:rFonts w:hint="eastAsia" w:ascii="宋体" w:hAnsi="宋体" w:eastAsia="宋体" w:cs="宋体"/>
          <w:b w:val="0"/>
          <w:bCs w:val="0"/>
          <w:sz w:val="21"/>
          <w:szCs w:val="21"/>
          <w:highlight w:val="none"/>
        </w:rPr>
        <w:t xml:space="preserve">年 </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月</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日止。在合同期间内，一切改造、升级、增容和维修费用由乙方自行承担，出租方不承担技术改造和维修等一切费用。</w:t>
      </w:r>
    </w:p>
    <w:p w14:paraId="520028A7">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本合同期满后，如甲方继续采取承包方式经营的，</w:t>
      </w:r>
      <w:r>
        <w:rPr>
          <w:rFonts w:hint="eastAsia" w:ascii="宋体" w:hAnsi="宋体" w:eastAsia="宋体" w:cs="宋体"/>
          <w:b w:val="0"/>
          <w:bCs w:val="0"/>
          <w:color w:val="auto"/>
          <w:sz w:val="21"/>
          <w:szCs w:val="21"/>
          <w:highlight w:val="none"/>
          <w:lang w:val="en-US" w:eastAsia="zh-CN"/>
        </w:rPr>
        <w:t>依据法律法规等规定履行相应的程序后，在同等条件下乙方享有优先承包权</w:t>
      </w:r>
      <w:r>
        <w:rPr>
          <w:rFonts w:hint="eastAsia" w:ascii="宋体" w:hAnsi="宋体" w:eastAsia="宋体" w:cs="宋体"/>
          <w:b w:val="0"/>
          <w:bCs w:val="0"/>
          <w:color w:val="auto"/>
          <w:sz w:val="21"/>
          <w:szCs w:val="21"/>
          <w:highlight w:val="none"/>
        </w:rPr>
        <w:t>。</w:t>
      </w:r>
    </w:p>
    <w:p w14:paraId="6154E9DE">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七</w:t>
      </w:r>
      <w:r>
        <w:rPr>
          <w:rFonts w:hint="eastAsia" w:ascii="宋体" w:hAnsi="宋体" w:eastAsia="宋体" w:cs="宋体"/>
          <w:b/>
          <w:bCs/>
          <w:sz w:val="21"/>
          <w:szCs w:val="21"/>
          <w:highlight w:val="none"/>
        </w:rPr>
        <w:t>条：违约责任处理</w:t>
      </w:r>
    </w:p>
    <w:p w14:paraId="2FF4CF6F">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w:t>
      </w:r>
      <w:r>
        <w:rPr>
          <w:rFonts w:hint="eastAsia" w:ascii="宋体" w:hAnsi="宋体" w:eastAsia="宋体" w:cs="宋体"/>
          <w:b w:val="0"/>
          <w:bCs w:val="0"/>
          <w:sz w:val="21"/>
          <w:szCs w:val="21"/>
          <w:highlight w:val="none"/>
          <w:lang w:val="en-US" w:eastAsia="zh-CN"/>
        </w:rPr>
        <w:t>甲</w:t>
      </w:r>
      <w:r>
        <w:rPr>
          <w:rFonts w:hint="eastAsia" w:ascii="宋体" w:hAnsi="宋体" w:eastAsia="宋体" w:cs="宋体"/>
          <w:b w:val="0"/>
          <w:bCs w:val="0"/>
          <w:sz w:val="21"/>
          <w:szCs w:val="21"/>
          <w:highlight w:val="none"/>
        </w:rPr>
        <w:t>方违反本合同第</w:t>
      </w:r>
      <w:r>
        <w:rPr>
          <w:rFonts w:hint="eastAsia" w:ascii="宋体" w:hAnsi="宋体" w:eastAsia="宋体" w:cs="宋体"/>
          <w:b w:val="0"/>
          <w:bCs w:val="0"/>
          <w:sz w:val="21"/>
          <w:szCs w:val="21"/>
          <w:highlight w:val="none"/>
          <w:lang w:val="en-US" w:eastAsia="zh-CN"/>
        </w:rPr>
        <w:t>二</w:t>
      </w:r>
      <w:r>
        <w:rPr>
          <w:rFonts w:hint="eastAsia" w:ascii="宋体" w:hAnsi="宋体" w:eastAsia="宋体" w:cs="宋体"/>
          <w:b w:val="0"/>
          <w:bCs w:val="0"/>
          <w:sz w:val="21"/>
          <w:szCs w:val="21"/>
          <w:highlight w:val="none"/>
        </w:rPr>
        <w:t>条约定给</w:t>
      </w:r>
      <w:r>
        <w:rPr>
          <w:rFonts w:hint="eastAsia" w:ascii="宋体" w:hAnsi="宋体" w:eastAsia="宋体" w:cs="宋体"/>
          <w:b w:val="0"/>
          <w:bCs w:val="0"/>
          <w:sz w:val="21"/>
          <w:szCs w:val="21"/>
          <w:highlight w:val="none"/>
          <w:lang w:val="en-US" w:eastAsia="zh-CN"/>
        </w:rPr>
        <w:t>乙</w:t>
      </w:r>
      <w:r>
        <w:rPr>
          <w:rFonts w:hint="eastAsia" w:ascii="宋体" w:hAnsi="宋体" w:eastAsia="宋体" w:cs="宋体"/>
          <w:b w:val="0"/>
          <w:bCs w:val="0"/>
          <w:sz w:val="21"/>
          <w:szCs w:val="21"/>
          <w:highlight w:val="none"/>
        </w:rPr>
        <w:t>方造成损失的，</w:t>
      </w:r>
      <w:r>
        <w:rPr>
          <w:rFonts w:hint="eastAsia" w:ascii="宋体" w:hAnsi="宋体" w:eastAsia="宋体" w:cs="宋体"/>
          <w:b w:val="0"/>
          <w:bCs w:val="0"/>
          <w:sz w:val="21"/>
          <w:szCs w:val="21"/>
          <w:highlight w:val="none"/>
          <w:lang w:val="en-US" w:eastAsia="zh-CN"/>
        </w:rPr>
        <w:t>甲</w:t>
      </w:r>
      <w:r>
        <w:rPr>
          <w:rFonts w:hint="eastAsia" w:ascii="宋体" w:hAnsi="宋体" w:eastAsia="宋体" w:cs="宋体"/>
          <w:b w:val="0"/>
          <w:bCs w:val="0"/>
          <w:sz w:val="21"/>
          <w:szCs w:val="21"/>
          <w:highlight w:val="none"/>
        </w:rPr>
        <w:t>方应当向</w:t>
      </w:r>
      <w:r>
        <w:rPr>
          <w:rFonts w:hint="eastAsia" w:ascii="宋体" w:hAnsi="宋体" w:eastAsia="宋体" w:cs="宋体"/>
          <w:b w:val="0"/>
          <w:bCs w:val="0"/>
          <w:sz w:val="21"/>
          <w:szCs w:val="21"/>
          <w:highlight w:val="none"/>
          <w:lang w:val="en-US" w:eastAsia="zh-CN"/>
        </w:rPr>
        <w:t>乙</w:t>
      </w:r>
      <w:r>
        <w:rPr>
          <w:rFonts w:hint="eastAsia" w:ascii="宋体" w:hAnsi="宋体" w:eastAsia="宋体" w:cs="宋体"/>
          <w:b w:val="0"/>
          <w:bCs w:val="0"/>
          <w:sz w:val="21"/>
          <w:szCs w:val="21"/>
          <w:highlight w:val="none"/>
        </w:rPr>
        <w:t>方支付违约金5万元，违约金不足以弥补</w:t>
      </w:r>
      <w:r>
        <w:rPr>
          <w:rFonts w:hint="eastAsia" w:ascii="宋体" w:hAnsi="宋体" w:eastAsia="宋体" w:cs="宋体"/>
          <w:b w:val="0"/>
          <w:bCs w:val="0"/>
          <w:sz w:val="21"/>
          <w:szCs w:val="21"/>
          <w:highlight w:val="none"/>
          <w:lang w:val="en-US" w:eastAsia="zh-CN"/>
        </w:rPr>
        <w:t>乙</w:t>
      </w:r>
      <w:r>
        <w:rPr>
          <w:rFonts w:hint="eastAsia" w:ascii="宋体" w:hAnsi="宋体" w:eastAsia="宋体" w:cs="宋体"/>
          <w:b w:val="0"/>
          <w:bCs w:val="0"/>
          <w:sz w:val="21"/>
          <w:szCs w:val="21"/>
          <w:highlight w:val="none"/>
        </w:rPr>
        <w:t>方损失的，不足部分由</w:t>
      </w:r>
      <w:r>
        <w:rPr>
          <w:rFonts w:hint="eastAsia" w:ascii="宋体" w:hAnsi="宋体" w:eastAsia="宋体" w:cs="宋体"/>
          <w:b w:val="0"/>
          <w:bCs w:val="0"/>
          <w:sz w:val="21"/>
          <w:szCs w:val="21"/>
          <w:highlight w:val="none"/>
          <w:lang w:val="en-US" w:eastAsia="zh-CN"/>
        </w:rPr>
        <w:t>甲</w:t>
      </w:r>
      <w:r>
        <w:rPr>
          <w:rFonts w:hint="eastAsia" w:ascii="宋体" w:hAnsi="宋体" w:eastAsia="宋体" w:cs="宋体"/>
          <w:b w:val="0"/>
          <w:bCs w:val="0"/>
          <w:sz w:val="21"/>
          <w:szCs w:val="21"/>
          <w:highlight w:val="none"/>
        </w:rPr>
        <w:t>方另行赔偿。</w:t>
      </w:r>
    </w:p>
    <w:p w14:paraId="17BCD43A">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乙方违反本合同第三条约定给甲方造成损失的，乙方应当向甲方支付违约金5万元，违约金不足以弥补甲方损失的，不足部分由乙方另行赔偿。</w:t>
      </w:r>
    </w:p>
    <w:p w14:paraId="7CFC555B">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二</w:t>
      </w:r>
      <w:r>
        <w:rPr>
          <w:rFonts w:hint="eastAsia" w:ascii="宋体" w:hAnsi="宋体" w:eastAsia="宋体" w:cs="宋体"/>
          <w:b w:val="0"/>
          <w:bCs w:val="0"/>
          <w:sz w:val="21"/>
          <w:szCs w:val="21"/>
          <w:highlight w:val="none"/>
        </w:rPr>
        <w:t>、若发生下列情形之一的，甲方有权单方解除合同，乙方缴纳的履约保证金归甲方所有，且乙方应赔偿甲方的一切损失（包括但不限于差旅费、律师费、保全费、公证费等），合同自甲方发出的解除合同通知到达乙方工商注册地址时解除，合同解除后乙方须按移交标准及时间向甲方移交</w:t>
      </w:r>
      <w:r>
        <w:rPr>
          <w:rFonts w:hint="eastAsia" w:ascii="宋体" w:hAnsi="宋体" w:eastAsia="宋体" w:cs="宋体"/>
          <w:b w:val="0"/>
          <w:bCs w:val="0"/>
          <w:spacing w:val="0"/>
          <w:kern w:val="0"/>
          <w:sz w:val="21"/>
          <w:szCs w:val="21"/>
          <w:highlight w:val="none"/>
          <w:lang w:val="en-US" w:eastAsia="zh-CN" w:bidi="ar"/>
        </w:rPr>
        <w:t>洋莲桥水电站</w:t>
      </w:r>
      <w:r>
        <w:rPr>
          <w:rFonts w:hint="eastAsia" w:ascii="宋体" w:hAnsi="宋体" w:eastAsia="宋体" w:cs="宋体"/>
          <w:b w:val="0"/>
          <w:bCs w:val="0"/>
          <w:sz w:val="21"/>
          <w:szCs w:val="21"/>
          <w:highlight w:val="none"/>
        </w:rPr>
        <w:t>的全部资产及承包经营权：</w:t>
      </w:r>
    </w:p>
    <w:p w14:paraId="0526FD0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（一）乙方未按时支付承包款，在甲方给予宽限期后仍不支付的。</w:t>
      </w:r>
    </w:p>
    <w:p w14:paraId="39BCDD42">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（二）乙方未经甲方同意，擅自转包，将承包</w:t>
      </w:r>
      <w:r>
        <w:rPr>
          <w:rFonts w:hint="eastAsia" w:ascii="宋体" w:hAnsi="宋体" w:eastAsia="宋体" w:cs="宋体"/>
          <w:b w:val="0"/>
          <w:bCs w:val="0"/>
          <w:sz w:val="21"/>
          <w:szCs w:val="21"/>
          <w:highlight w:val="none"/>
          <w:lang w:val="en-US" w:eastAsia="zh-CN"/>
        </w:rPr>
        <w:t>水电站</w:t>
      </w:r>
      <w:r>
        <w:rPr>
          <w:rFonts w:hint="eastAsia" w:ascii="宋体" w:hAnsi="宋体" w:eastAsia="宋体" w:cs="宋体"/>
          <w:b w:val="0"/>
          <w:bCs w:val="0"/>
          <w:sz w:val="21"/>
          <w:szCs w:val="21"/>
          <w:highlight w:val="none"/>
        </w:rPr>
        <w:t>的资产以整体或分拆方式对外转让、出租、出借、提供担保的。</w:t>
      </w:r>
    </w:p>
    <w:p w14:paraId="6B1173EE">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八</w:t>
      </w:r>
      <w:r>
        <w:rPr>
          <w:rFonts w:hint="eastAsia" w:ascii="宋体" w:hAnsi="宋体" w:eastAsia="宋体" w:cs="宋体"/>
          <w:b/>
          <w:bCs/>
          <w:sz w:val="21"/>
          <w:szCs w:val="21"/>
          <w:highlight w:val="none"/>
        </w:rPr>
        <w:t>条：合同纠纷的解决方法</w:t>
      </w:r>
    </w:p>
    <w:p w14:paraId="0AF6B1F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合同存续期间，未尽事宜，甲乙双方可协商解决。如甲乙违反本合同，经双方协议不成，任何一方均有权向</w:t>
      </w:r>
      <w:r>
        <w:rPr>
          <w:rFonts w:hint="eastAsia" w:ascii="宋体" w:hAnsi="宋体" w:eastAsia="宋体" w:cs="宋体"/>
          <w:b w:val="0"/>
          <w:bCs w:val="0"/>
          <w:sz w:val="21"/>
          <w:szCs w:val="21"/>
          <w:highlight w:val="none"/>
          <w:lang w:val="en-US" w:eastAsia="zh-CN"/>
        </w:rPr>
        <w:t>甲方当地</w:t>
      </w:r>
      <w:r>
        <w:rPr>
          <w:rFonts w:hint="eastAsia" w:ascii="宋体" w:hAnsi="宋体" w:eastAsia="宋体" w:cs="宋体"/>
          <w:b w:val="0"/>
          <w:bCs w:val="0"/>
          <w:sz w:val="21"/>
          <w:szCs w:val="21"/>
          <w:highlight w:val="none"/>
        </w:rPr>
        <w:t>人民法院提起民事诉讼。</w:t>
      </w:r>
    </w:p>
    <w:p w14:paraId="1246C89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九</w:t>
      </w:r>
      <w:r>
        <w:rPr>
          <w:rFonts w:hint="eastAsia" w:ascii="宋体" w:hAnsi="宋体" w:eastAsia="宋体" w:cs="宋体"/>
          <w:b/>
          <w:bCs/>
          <w:sz w:val="21"/>
          <w:szCs w:val="21"/>
          <w:highlight w:val="none"/>
        </w:rPr>
        <w:t>条：其它</w:t>
      </w:r>
    </w:p>
    <w:p w14:paraId="63278B6A">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 如因人力不可抗拒的自然灾害，如地震、战争、洪涝灾害等导致</w:t>
      </w:r>
      <w:r>
        <w:rPr>
          <w:rFonts w:hint="eastAsia" w:ascii="宋体" w:hAnsi="宋体" w:eastAsia="宋体" w:cs="宋体"/>
          <w:b w:val="0"/>
          <w:bCs w:val="0"/>
          <w:spacing w:val="0"/>
          <w:kern w:val="0"/>
          <w:sz w:val="21"/>
          <w:szCs w:val="21"/>
          <w:highlight w:val="none"/>
          <w:lang w:val="en-US" w:eastAsia="zh-CN" w:bidi="ar"/>
        </w:rPr>
        <w:t>洋莲桥水电站</w:t>
      </w:r>
      <w:r>
        <w:rPr>
          <w:rFonts w:hint="eastAsia" w:ascii="宋体" w:hAnsi="宋体" w:eastAsia="宋体" w:cs="宋体"/>
          <w:b w:val="0"/>
          <w:bCs w:val="0"/>
          <w:sz w:val="21"/>
          <w:szCs w:val="21"/>
          <w:highlight w:val="none"/>
        </w:rPr>
        <w:t>无法运行，本合同自动终止，甲乙双方无须承担违约责任。</w:t>
      </w:r>
    </w:p>
    <w:p w14:paraId="2D2217E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二、</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在合同期内，如因国家政策和环保部门等政府行为按规定需要征收、关闭或停运</w:t>
      </w:r>
      <w:r>
        <w:rPr>
          <w:rFonts w:hint="eastAsia" w:ascii="宋体" w:hAnsi="宋体" w:eastAsia="宋体" w:cs="宋体"/>
          <w:b/>
          <w:bCs/>
          <w:spacing w:val="0"/>
          <w:kern w:val="0"/>
          <w:sz w:val="21"/>
          <w:szCs w:val="21"/>
          <w:highlight w:val="none"/>
          <w:lang w:val="en-US" w:eastAsia="zh-CN" w:bidi="ar"/>
        </w:rPr>
        <w:t>洋莲桥水电站</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，本合同自动终止，甲乙双方无须承担违约责任，全部或部分征收所得的补偿款：</w:t>
      </w:r>
    </w:p>
    <w:p w14:paraId="0758D51E">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（一）如乙方承包后未对电站进行改造、改建、新增设施、设备，补偿款归甲方所有。</w:t>
      </w:r>
    </w:p>
    <w:p w14:paraId="22E6DD6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二）如乙方承包后对电站进行改造、改建、新增设施、设备的，结合《合同》第三条第十二点‘经营期限届满或合同提前终止的，乙方在电站投资建设的全部建、构筑物、机电设备设施等资产均由甲方无偿取得，乙方不得拆除或搬离’，补偿款按乙方对电站改造、改建、新增的设施、设备更新改造部分结合承包合同剩余年限制定双方所占比例。</w:t>
      </w:r>
    </w:p>
    <w:p w14:paraId="14043677">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三、本合同自双方签名盖章后生效。本合同一式</w:t>
      </w:r>
      <w:r>
        <w:rPr>
          <w:rFonts w:hint="eastAsia" w:ascii="宋体" w:hAnsi="宋体" w:eastAsia="宋体" w:cs="宋体"/>
          <w:b w:val="0"/>
          <w:bCs w:val="0"/>
          <w:color w:val="auto"/>
          <w:sz w:val="21"/>
          <w:szCs w:val="21"/>
          <w:highlight w:val="none"/>
          <w:lang w:val="en-US" w:eastAsia="zh-CN"/>
        </w:rPr>
        <w:t>肆</w:t>
      </w:r>
      <w:r>
        <w:rPr>
          <w:rFonts w:hint="eastAsia" w:ascii="宋体" w:hAnsi="宋体" w:eastAsia="宋体" w:cs="宋体"/>
          <w:b w:val="0"/>
          <w:bCs w:val="0"/>
          <w:color w:val="auto"/>
          <w:sz w:val="21"/>
          <w:szCs w:val="21"/>
          <w:highlight w:val="none"/>
        </w:rPr>
        <w:t>份，甲、乙双方各执</w:t>
      </w:r>
      <w:r>
        <w:rPr>
          <w:rFonts w:hint="eastAsia" w:ascii="宋体" w:hAnsi="宋体" w:eastAsia="宋体" w:cs="宋体"/>
          <w:b w:val="0"/>
          <w:bCs w:val="0"/>
          <w:color w:val="auto"/>
          <w:sz w:val="21"/>
          <w:szCs w:val="21"/>
          <w:highlight w:val="none"/>
          <w:lang w:val="en-US" w:eastAsia="zh-CN"/>
        </w:rPr>
        <w:t>贰</w:t>
      </w:r>
      <w:r>
        <w:rPr>
          <w:rFonts w:hint="eastAsia" w:ascii="宋体" w:hAnsi="宋体" w:eastAsia="宋体" w:cs="宋体"/>
          <w:b w:val="0"/>
          <w:bCs w:val="0"/>
          <w:color w:val="auto"/>
          <w:sz w:val="21"/>
          <w:szCs w:val="21"/>
          <w:highlight w:val="none"/>
        </w:rPr>
        <w:t>份，</w:t>
      </w:r>
      <w:r>
        <w:rPr>
          <w:rFonts w:hint="eastAsia" w:ascii="宋体" w:hAnsi="宋体" w:eastAsia="宋体" w:cs="宋体"/>
          <w:b w:val="0"/>
          <w:bCs w:val="0"/>
          <w:color w:val="auto"/>
          <w:sz w:val="21"/>
          <w:szCs w:val="21"/>
          <w:highlight w:val="none"/>
          <w:lang w:val="en-US" w:eastAsia="zh-CN"/>
        </w:rPr>
        <w:t>均具有同等法律效应</w:t>
      </w:r>
      <w:r>
        <w:rPr>
          <w:rFonts w:hint="eastAsia" w:ascii="宋体" w:hAnsi="宋体" w:eastAsia="宋体" w:cs="宋体"/>
          <w:b w:val="0"/>
          <w:bCs w:val="0"/>
          <w:color w:val="auto"/>
          <w:sz w:val="21"/>
          <w:szCs w:val="21"/>
          <w:highlight w:val="none"/>
        </w:rPr>
        <w:t>。合同期满</w:t>
      </w:r>
      <w:r>
        <w:rPr>
          <w:rFonts w:hint="eastAsia" w:ascii="宋体" w:hAnsi="宋体" w:eastAsia="宋体" w:cs="宋体"/>
          <w:b w:val="0"/>
          <w:bCs w:val="0"/>
          <w:color w:val="auto"/>
          <w:sz w:val="21"/>
          <w:szCs w:val="21"/>
          <w:highlight w:val="none"/>
          <w:lang w:val="en-US" w:eastAsia="zh-CN"/>
        </w:rPr>
        <w:t>后</w:t>
      </w:r>
      <w:r>
        <w:rPr>
          <w:rFonts w:hint="eastAsia" w:ascii="宋体" w:hAnsi="宋体" w:eastAsia="宋体" w:cs="宋体"/>
          <w:b w:val="0"/>
          <w:bCs w:val="0"/>
          <w:color w:val="auto"/>
          <w:sz w:val="21"/>
          <w:szCs w:val="21"/>
          <w:highlight w:val="none"/>
        </w:rPr>
        <w:t>本合同自行废止。</w:t>
      </w:r>
    </w:p>
    <w:p w14:paraId="7BCB4B8F">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 文件送达</w:t>
      </w:r>
    </w:p>
    <w:p w14:paraId="3A9A19E6">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color w:val="auto"/>
          <w:sz w:val="21"/>
          <w:szCs w:val="21"/>
          <w:highlight w:val="none"/>
          <w:lang w:val="en-US" w:eastAsia="zh-CN"/>
        </w:rPr>
        <w:t>双方在合同载明的地址是邮寄文件、法院送达法律文书的有效送达地址，上述材料以自寄出之日起第三日视为送达日。如一方地址、电话、传真号码有变更，应在变更当日内书面通知对方，否则根据合同载明的地址按照前述方式进行送达仍视为有效送达。</w:t>
      </w:r>
    </w:p>
    <w:p w14:paraId="414E59B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p>
    <w:p w14:paraId="232F6CAC">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甲方（</w:t>
      </w:r>
      <w:r>
        <w:rPr>
          <w:rFonts w:hint="eastAsia" w:ascii="宋体" w:hAnsi="宋体" w:eastAsia="宋体" w:cs="宋体"/>
          <w:b w:val="0"/>
          <w:bCs w:val="0"/>
          <w:sz w:val="21"/>
          <w:szCs w:val="21"/>
          <w:highlight w:val="none"/>
          <w:lang w:val="en-US" w:eastAsia="zh-CN"/>
        </w:rPr>
        <w:t>发包</w:t>
      </w:r>
      <w:r>
        <w:rPr>
          <w:rFonts w:hint="eastAsia" w:ascii="宋体" w:hAnsi="宋体" w:eastAsia="宋体" w:cs="宋体"/>
          <w:b w:val="0"/>
          <w:bCs w:val="0"/>
          <w:sz w:val="21"/>
          <w:szCs w:val="21"/>
          <w:highlight w:val="none"/>
        </w:rPr>
        <w:t>方）：</w:t>
      </w:r>
      <w:r>
        <w:rPr>
          <w:rFonts w:hint="eastAsia" w:ascii="宋体" w:hAnsi="宋体" w:eastAsia="宋体" w:cs="宋体"/>
          <w:b w:val="0"/>
          <w:bCs w:val="0"/>
          <w:sz w:val="21"/>
          <w:szCs w:val="21"/>
          <w:highlight w:val="none"/>
          <w:lang w:val="en-US" w:eastAsia="zh-CN"/>
        </w:rPr>
        <w:t xml:space="preserve">                </w:t>
      </w:r>
      <w:r>
        <w:rPr>
          <w:rFonts w:hint="eastAsia" w:ascii="宋体" w:hAnsi="宋体" w:eastAsia="宋体" w:cs="宋体"/>
          <w:b w:val="0"/>
          <w:bCs w:val="0"/>
          <w:sz w:val="21"/>
          <w:szCs w:val="21"/>
          <w:highlight w:val="none"/>
        </w:rPr>
        <w:t>乙方（承</w:t>
      </w:r>
      <w:r>
        <w:rPr>
          <w:rFonts w:hint="eastAsia" w:ascii="宋体" w:hAnsi="宋体" w:eastAsia="宋体" w:cs="宋体"/>
          <w:b w:val="0"/>
          <w:bCs w:val="0"/>
          <w:sz w:val="21"/>
          <w:szCs w:val="21"/>
          <w:highlight w:val="none"/>
          <w:lang w:val="en-US" w:eastAsia="zh-CN"/>
        </w:rPr>
        <w:t>租方</w:t>
      </w:r>
      <w:r>
        <w:rPr>
          <w:rFonts w:hint="eastAsia" w:ascii="宋体" w:hAnsi="宋体" w:eastAsia="宋体" w:cs="宋体"/>
          <w:b w:val="0"/>
          <w:bCs w:val="0"/>
          <w:sz w:val="21"/>
          <w:szCs w:val="21"/>
          <w:highlight w:val="none"/>
        </w:rPr>
        <w:t>）：</w:t>
      </w:r>
    </w:p>
    <w:p w14:paraId="737D86BD">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代表签名：</w:t>
      </w:r>
      <w:r>
        <w:rPr>
          <w:rFonts w:hint="eastAsia" w:ascii="宋体" w:hAnsi="宋体" w:eastAsia="宋体" w:cs="宋体"/>
          <w:b w:val="0"/>
          <w:bCs w:val="0"/>
          <w:sz w:val="21"/>
          <w:szCs w:val="21"/>
          <w:highlight w:val="none"/>
          <w:lang w:val="en-US" w:eastAsia="zh-CN"/>
        </w:rPr>
        <w:t xml:space="preserve">                      </w:t>
      </w:r>
      <w:r>
        <w:rPr>
          <w:rFonts w:hint="eastAsia" w:ascii="宋体" w:hAnsi="宋体" w:eastAsia="宋体" w:cs="宋体"/>
          <w:b w:val="0"/>
          <w:bCs w:val="0"/>
          <w:sz w:val="21"/>
          <w:szCs w:val="21"/>
          <w:highlight w:val="none"/>
        </w:rPr>
        <w:t>代表签名：</w:t>
      </w:r>
    </w:p>
    <w:p w14:paraId="386E7304">
      <w:pPr>
        <w:keepNext w:val="0"/>
        <w:keepLines w:val="0"/>
        <w:pageBreakBefore w:val="0"/>
        <w:widowControl w:val="0"/>
        <w:kinsoku/>
        <w:wordWrap/>
        <w:overflowPunct/>
        <w:topLinePunct w:val="0"/>
        <w:autoSpaceDE/>
        <w:autoSpaceDN/>
        <w:bidi w:val="0"/>
        <w:adjustRightInd/>
        <w:spacing w:line="400" w:lineRule="exact"/>
        <w:ind w:firstLine="3780" w:firstLineChars="1800"/>
        <w:textAlignment w:val="auto"/>
        <w:rPr>
          <w:rFonts w:hint="eastAsia" w:ascii="宋体" w:hAnsi="宋体" w:eastAsia="宋体" w:cs="宋体"/>
          <w:sz w:val="21"/>
          <w:szCs w:val="21"/>
          <w:highlight w:val="none"/>
        </w:rPr>
      </w:pPr>
      <w:r>
        <w:rPr>
          <w:rFonts w:hint="eastAsia" w:ascii="宋体" w:hAnsi="宋体" w:eastAsia="宋体" w:cs="宋体"/>
          <w:b w:val="0"/>
          <w:bCs w:val="0"/>
          <w:sz w:val="21"/>
          <w:szCs w:val="21"/>
          <w:highlight w:val="none"/>
        </w:rPr>
        <w:t>签约时间：    年  月  日</w:t>
      </w:r>
    </w:p>
    <w:p w14:paraId="16AF4A41">
      <w:pPr>
        <w:tabs>
          <w:tab w:val="left" w:pos="4395"/>
        </w:tabs>
        <w:rPr>
          <w:rFonts w:hint="eastAsia" w:ascii="宋体" w:hAnsi="宋体" w:eastAsia="宋体" w:cs="宋体"/>
          <w:color w:val="auto"/>
          <w:szCs w:val="21"/>
          <w:highlight w:val="none"/>
        </w:rPr>
      </w:pPr>
    </w:p>
    <w:p w14:paraId="7665A0B7">
      <w:pPr>
        <w:spacing w:line="360" w:lineRule="auto"/>
        <w:rPr>
          <w:rFonts w:hint="eastAsia" w:ascii="宋体" w:hAnsi="宋体" w:eastAsia="宋体" w:cs="宋体"/>
          <w:color w:val="000000"/>
          <w:szCs w:val="21"/>
          <w:highlight w:val="none"/>
        </w:rPr>
      </w:pPr>
    </w:p>
    <w:p w14:paraId="4B48E7B8">
      <w:pPr>
        <w:jc w:val="both"/>
        <w:rPr>
          <w:rFonts w:hint="eastAsia" w:ascii="宋体" w:hAnsi="宋体" w:eastAsia="宋体" w:cs="宋体"/>
          <w:b/>
          <w:sz w:val="44"/>
          <w:szCs w:val="44"/>
          <w:highlight w:val="none"/>
        </w:rPr>
      </w:pPr>
      <w:bookmarkStart w:id="136" w:name="_Toc24011_WPSOffice_Level2"/>
      <w:bookmarkStart w:id="137" w:name="_Toc23127_WPSOffice_Level2"/>
    </w:p>
    <w:bookmarkEnd w:id="136"/>
    <w:bookmarkEnd w:id="137"/>
    <w:p w14:paraId="60D0D89E">
      <w:pPr>
        <w:wordWrap w:val="0"/>
        <w:adjustRightInd w:val="0"/>
        <w:snapToGrid w:val="0"/>
        <w:spacing w:line="360" w:lineRule="auto"/>
        <w:jc w:val="right"/>
        <w:rPr>
          <w:rFonts w:hint="eastAsia" w:ascii="宋体" w:hAnsi="宋体" w:eastAsia="宋体" w:cs="宋体"/>
          <w:szCs w:val="21"/>
          <w:highlight w:val="none"/>
        </w:rPr>
      </w:pPr>
    </w:p>
    <w:sectPr>
      <w:headerReference r:id="rId3" w:type="default"/>
      <w:footerReference r:id="rId4" w:type="default"/>
      <w:pgSz w:w="11906" w:h="16838"/>
      <w:pgMar w:top="1440" w:right="1683" w:bottom="1440" w:left="16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_x000B__x000C_">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FF121">
    <w:pPr>
      <w:pStyle w:val="12"/>
      <w:jc w:val="center"/>
    </w:pPr>
    <w:r>
      <w:fldChar w:fldCharType="begin"/>
    </w:r>
    <w:r>
      <w:instrText xml:space="preserve">PAGE   \* MERGEFORMAT</w:instrText>
    </w:r>
    <w:r>
      <w:fldChar w:fldCharType="separate"/>
    </w:r>
    <w:r>
      <w:rPr>
        <w:lang w:val="zh-CN"/>
      </w:rPr>
      <w:t>2</w:t>
    </w:r>
    <w:r>
      <w:fldChar w:fldCharType="end"/>
    </w:r>
  </w:p>
  <w:p w14:paraId="142EECA3">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EB36B">
    <w:pPr>
      <w:pStyle w:val="13"/>
      <w:pBdr>
        <w:bottom w:val="none" w:color="auto" w:sz="0" w:space="1"/>
      </w:pBdr>
      <w:jc w:val="left"/>
    </w:pPr>
    <w:r>
      <w:rPr>
        <w:rFonts w:hint="eastAsia" w:ascii="宋体" w:hAnsi="宋体" w:cs="宋体"/>
        <w:sz w:val="24"/>
      </w:rPr>
      <w:drawing>
        <wp:inline distT="0" distB="0" distL="114300" distR="114300">
          <wp:extent cx="2595880" cy="397510"/>
          <wp:effectExtent l="0" t="0" r="13970" b="2540"/>
          <wp:docPr id="1" name="图片 1" descr="6ce82a9588870a90520d46e10fb24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ce82a9588870a90520d46e10fb24ca"/>
                  <pic:cNvPicPr>
                    <a:picLocks noChangeAspect="1"/>
                  </pic:cNvPicPr>
                </pic:nvPicPr>
                <pic:blipFill>
                  <a:blip r:embed="rId1"/>
                  <a:stretch>
                    <a:fillRect/>
                  </a:stretch>
                </pic:blipFill>
                <pic:spPr>
                  <a:xfrm>
                    <a:off x="0" y="0"/>
                    <a:ext cx="2595880" cy="397510"/>
                  </a:xfrm>
                  <a:prstGeom prst="rect">
                    <a:avLst/>
                  </a:prstGeom>
                </pic:spPr>
              </pic:pic>
            </a:graphicData>
          </a:graphic>
        </wp:inline>
      </w:drawing>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1"/>
        <w:szCs w:val="21"/>
      </w:rPr>
      <w:t>|道同志合 平心持正|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800A4"/>
    <w:multiLevelType w:val="singleLevel"/>
    <w:tmpl w:val="8D7800A4"/>
    <w:lvl w:ilvl="0" w:tentative="0">
      <w:start w:val="1"/>
      <w:numFmt w:val="chineseCounting"/>
      <w:suff w:val="space"/>
      <w:lvlText w:val="第%1章"/>
      <w:lvlJc w:val="left"/>
      <w:rPr>
        <w:rFonts w:hint="eastAsia"/>
      </w:rPr>
    </w:lvl>
  </w:abstractNum>
  <w:abstractNum w:abstractNumId="1">
    <w:nsid w:val="A9396156"/>
    <w:multiLevelType w:val="singleLevel"/>
    <w:tmpl w:val="A9396156"/>
    <w:lvl w:ilvl="0" w:tentative="0">
      <w:start w:val="5"/>
      <w:numFmt w:val="decimal"/>
      <w:suff w:val="nothing"/>
      <w:lvlText w:val="（%1）"/>
      <w:lvlJc w:val="left"/>
    </w:lvl>
  </w:abstractNum>
  <w:abstractNum w:abstractNumId="2">
    <w:nsid w:val="B4FDF470"/>
    <w:multiLevelType w:val="singleLevel"/>
    <w:tmpl w:val="B4FDF470"/>
    <w:lvl w:ilvl="0" w:tentative="0">
      <w:start w:val="1"/>
      <w:numFmt w:val="decimal"/>
      <w:suff w:val="nothing"/>
      <w:lvlText w:val="（%1）"/>
      <w:lvlJc w:val="left"/>
    </w:lvl>
  </w:abstractNum>
  <w:abstractNum w:abstractNumId="3">
    <w:nsid w:val="B9A1E8D1"/>
    <w:multiLevelType w:val="singleLevel"/>
    <w:tmpl w:val="B9A1E8D1"/>
    <w:lvl w:ilvl="0" w:tentative="0">
      <w:start w:val="1"/>
      <w:numFmt w:val="decimal"/>
      <w:suff w:val="nothing"/>
      <w:lvlText w:val="（%1）"/>
      <w:lvlJc w:val="left"/>
    </w:lvl>
  </w:abstractNum>
  <w:abstractNum w:abstractNumId="4">
    <w:nsid w:val="D94E9609"/>
    <w:multiLevelType w:val="multilevel"/>
    <w:tmpl w:val="D94E9609"/>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F2E39787"/>
    <w:multiLevelType w:val="singleLevel"/>
    <w:tmpl w:val="F2E39787"/>
    <w:lvl w:ilvl="0" w:tentative="0">
      <w:start w:val="1"/>
      <w:numFmt w:val="chineseCounting"/>
      <w:suff w:val="space"/>
      <w:lvlText w:val="第%1条"/>
      <w:lvlJc w:val="left"/>
      <w:rPr>
        <w:rFonts w:hint="eastAsia"/>
      </w:rPr>
    </w:lvl>
  </w:abstractNum>
  <w:abstractNum w:abstractNumId="6">
    <w:nsid w:val="09669A0E"/>
    <w:multiLevelType w:val="singleLevel"/>
    <w:tmpl w:val="09669A0E"/>
    <w:lvl w:ilvl="0" w:tentative="0">
      <w:start w:val="1"/>
      <w:numFmt w:val="decimal"/>
      <w:lvlText w:val="%1."/>
      <w:lvlJc w:val="left"/>
      <w:pPr>
        <w:tabs>
          <w:tab w:val="left" w:pos="312"/>
        </w:tabs>
      </w:pPr>
    </w:lvl>
  </w:abstractNum>
  <w:abstractNum w:abstractNumId="7">
    <w:nsid w:val="0A69AEEE"/>
    <w:multiLevelType w:val="singleLevel"/>
    <w:tmpl w:val="0A69AEEE"/>
    <w:lvl w:ilvl="0" w:tentative="0">
      <w:start w:val="3"/>
      <w:numFmt w:val="chineseCounting"/>
      <w:suff w:val="nothing"/>
      <w:lvlText w:val="（%1）"/>
      <w:lvlJc w:val="left"/>
      <w:rPr>
        <w:rFonts w:hint="eastAsia"/>
      </w:rPr>
    </w:lvl>
  </w:abstractNum>
  <w:abstractNum w:abstractNumId="8">
    <w:nsid w:val="25F4223F"/>
    <w:multiLevelType w:val="singleLevel"/>
    <w:tmpl w:val="25F4223F"/>
    <w:lvl w:ilvl="0" w:tentative="0">
      <w:start w:val="1"/>
      <w:numFmt w:val="chineseCounting"/>
      <w:suff w:val="nothing"/>
      <w:lvlText w:val="%1、"/>
      <w:lvlJc w:val="left"/>
      <w:rPr>
        <w:rFonts w:hint="eastAsia"/>
      </w:rPr>
    </w:lvl>
  </w:abstractNum>
  <w:abstractNum w:abstractNumId="9">
    <w:nsid w:val="27E8E525"/>
    <w:multiLevelType w:val="singleLevel"/>
    <w:tmpl w:val="27E8E525"/>
    <w:lvl w:ilvl="0" w:tentative="0">
      <w:start w:val="1"/>
      <w:numFmt w:val="decimal"/>
      <w:suff w:val="nothing"/>
      <w:lvlText w:val="（%1）"/>
      <w:lvlJc w:val="left"/>
    </w:lvl>
  </w:abstractNum>
  <w:abstractNum w:abstractNumId="10">
    <w:nsid w:val="420C153B"/>
    <w:multiLevelType w:val="multilevel"/>
    <w:tmpl w:val="420C153B"/>
    <w:lvl w:ilvl="0" w:tentative="0">
      <w:start w:val="1"/>
      <w:numFmt w:val="decimal"/>
      <w:pStyle w:val="8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4DE76CC5"/>
    <w:multiLevelType w:val="multilevel"/>
    <w:tmpl w:val="4DE76CC5"/>
    <w:lvl w:ilvl="0" w:tentative="0">
      <w:start w:val="1"/>
      <w:numFmt w:val="chineseCountingThousand"/>
      <w:pStyle w:val="97"/>
      <w:isLgl/>
      <w:lvlText w:val="第%1章"/>
      <w:lvlJc w:val="left"/>
      <w:pPr>
        <w:ind w:left="0" w:firstLine="0"/>
      </w:pPr>
      <w:rPr>
        <w:rFonts w:hint="eastAsia" w:eastAsia="黑体"/>
        <w:b/>
        <w:i w:val="0"/>
        <w:sz w:val="44"/>
        <w:szCs w:val="32"/>
      </w:rPr>
    </w:lvl>
    <w:lvl w:ilvl="1" w:tentative="0">
      <w:start w:val="1"/>
      <w:numFmt w:val="decimal"/>
      <w:isLgl/>
      <w:lvlText w:val="%1.%2"/>
      <w:lvlJc w:val="left"/>
      <w:pPr>
        <w:ind w:left="0" w:firstLine="0"/>
      </w:pPr>
      <w:rPr>
        <w:rFonts w:hint="eastAsia" w:eastAsia="黑体"/>
        <w:b/>
        <w:i w:val="0"/>
        <w:sz w:val="32"/>
      </w:rPr>
    </w:lvl>
    <w:lvl w:ilvl="2" w:tentative="0">
      <w:start w:val="1"/>
      <w:numFmt w:val="lowerLetter"/>
      <w:lvlText w:val="%3)"/>
      <w:lvlJc w:val="left"/>
      <w:pPr>
        <w:ind w:left="0" w:firstLine="0"/>
      </w:pPr>
      <w:rPr>
        <w:rFonts w:hint="eastAsia"/>
        <w:b/>
        <w:i w:val="0"/>
        <w:sz w:val="24"/>
        <w:szCs w:val="24"/>
      </w:rPr>
    </w:lvl>
    <w:lvl w:ilvl="3" w:tentative="0">
      <w:start w:val="1"/>
      <w:numFmt w:val="decimal"/>
      <w:lvlText w:val="%4)"/>
      <w:lvlJc w:val="left"/>
      <w:pPr>
        <w:ind w:left="0" w:firstLine="0"/>
      </w:pPr>
      <w:rPr>
        <w:rFonts w:hint="eastAsia"/>
        <w:b/>
        <w:i w:val="0"/>
        <w:sz w:val="24"/>
        <w:szCs w:val="24"/>
      </w:rPr>
    </w:lvl>
    <w:lvl w:ilvl="4" w:tentative="0">
      <w:start w:val="1"/>
      <w:numFmt w:val="lowerLetter"/>
      <w:lvlText w:val="%5)"/>
      <w:lvlJc w:val="left"/>
      <w:pPr>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2">
    <w:nsid w:val="622A341E"/>
    <w:multiLevelType w:val="multilevel"/>
    <w:tmpl w:val="622A341E"/>
    <w:lvl w:ilvl="0" w:tentative="0">
      <w:start w:val="1"/>
      <w:numFmt w:val="japaneseCounting"/>
      <w:lvlText w:val="%1、"/>
      <w:lvlJc w:val="left"/>
      <w:pPr>
        <w:tabs>
          <w:tab w:val="left" w:pos="570"/>
        </w:tabs>
        <w:ind w:left="570" w:hanging="570"/>
      </w:pPr>
      <w:rPr>
        <w:rFonts w:hint="eastAsia"/>
      </w:rPr>
    </w:lvl>
    <w:lvl w:ilvl="1" w:tentative="0">
      <w:start w:val="1"/>
      <w:numFmt w:val="decimal"/>
      <w:lvlText w:val="%2."/>
      <w:lvlJc w:val="left"/>
      <w:pPr>
        <w:tabs>
          <w:tab w:val="left" w:pos="1620"/>
        </w:tabs>
        <w:ind w:left="1620" w:hanging="360"/>
      </w:pPr>
      <w:rPr>
        <w:rFonts w:hint="default"/>
      </w:rPr>
    </w:lvl>
    <w:lvl w:ilvl="2" w:tentative="0">
      <w:start w:val="1"/>
      <w:numFmt w:val="decimal"/>
      <w:lvlText w:val="（%3）"/>
      <w:lvlJc w:val="left"/>
      <w:pPr>
        <w:tabs>
          <w:tab w:val="left" w:pos="2520"/>
        </w:tabs>
        <w:ind w:left="2520" w:hanging="840"/>
      </w:pPr>
      <w:rPr>
        <w:rFonts w:hint="default"/>
      </w:r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13">
    <w:nsid w:val="6CB3DE2F"/>
    <w:multiLevelType w:val="singleLevel"/>
    <w:tmpl w:val="6CB3DE2F"/>
    <w:lvl w:ilvl="0" w:tentative="0">
      <w:start w:val="17"/>
      <w:numFmt w:val="decimal"/>
      <w:suff w:val="space"/>
      <w:lvlText w:val="%1."/>
      <w:lvlJc w:val="left"/>
    </w:lvl>
  </w:abstractNum>
  <w:abstractNum w:abstractNumId="14">
    <w:nsid w:val="76778866"/>
    <w:multiLevelType w:val="multilevel"/>
    <w:tmpl w:val="76778866"/>
    <w:lvl w:ilvl="0" w:tentative="0">
      <w:start w:val="8"/>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5">
    <w:nsid w:val="7B4156D0"/>
    <w:multiLevelType w:val="singleLevel"/>
    <w:tmpl w:val="7B4156D0"/>
    <w:lvl w:ilvl="0" w:tentative="0">
      <w:start w:val="1"/>
      <w:numFmt w:val="decimal"/>
      <w:suff w:val="nothing"/>
      <w:lvlText w:val="（%1）"/>
      <w:lvlJc w:val="left"/>
    </w:lvl>
  </w:abstractNum>
  <w:num w:numId="1">
    <w:abstractNumId w:val="10"/>
  </w:num>
  <w:num w:numId="2">
    <w:abstractNumId w:val="11"/>
  </w:num>
  <w:num w:numId="3">
    <w:abstractNumId w:val="1"/>
  </w:num>
  <w:num w:numId="4">
    <w:abstractNumId w:val="6"/>
  </w:num>
  <w:num w:numId="5">
    <w:abstractNumId w:val="14"/>
  </w:num>
  <w:num w:numId="6">
    <w:abstractNumId w:val="0"/>
  </w:num>
  <w:num w:numId="7">
    <w:abstractNumId w:val="13"/>
  </w:num>
  <w:num w:numId="8">
    <w:abstractNumId w:val="4"/>
  </w:num>
  <w:num w:numId="9">
    <w:abstractNumId w:val="8"/>
  </w:num>
  <w:num w:numId="10">
    <w:abstractNumId w:val="3"/>
  </w:num>
  <w:num w:numId="11">
    <w:abstractNumId w:val="7"/>
  </w:num>
  <w:num w:numId="12">
    <w:abstractNumId w:val="12"/>
  </w:num>
  <w:num w:numId="13">
    <w:abstractNumId w:val="2"/>
  </w:num>
  <w:num w:numId="14">
    <w:abstractNumId w:val="9"/>
  </w:num>
  <w:num w:numId="15">
    <w:abstractNumId w:val="15"/>
  </w:num>
  <w:num w:numId="1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ky123.Org">
    <w15:presenceInfo w15:providerId="None" w15:userId="Sky123.O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zN2U4ZjJkNTJjNDgxYmI4N2M2Mjg5YjVmOTg1NDkifQ=="/>
  </w:docVars>
  <w:rsids>
    <w:rsidRoot w:val="35AB3B2B"/>
    <w:rsid w:val="00051172"/>
    <w:rsid w:val="000A696E"/>
    <w:rsid w:val="000E5816"/>
    <w:rsid w:val="00112D2F"/>
    <w:rsid w:val="00191629"/>
    <w:rsid w:val="001D4F4F"/>
    <w:rsid w:val="00285E04"/>
    <w:rsid w:val="002B7AA0"/>
    <w:rsid w:val="003216E0"/>
    <w:rsid w:val="0033690E"/>
    <w:rsid w:val="0035078C"/>
    <w:rsid w:val="003879AD"/>
    <w:rsid w:val="00440750"/>
    <w:rsid w:val="00465D3D"/>
    <w:rsid w:val="0048013C"/>
    <w:rsid w:val="004A1A92"/>
    <w:rsid w:val="004C5563"/>
    <w:rsid w:val="004E3769"/>
    <w:rsid w:val="004E4BAC"/>
    <w:rsid w:val="00502E90"/>
    <w:rsid w:val="00513444"/>
    <w:rsid w:val="0055604D"/>
    <w:rsid w:val="0055608C"/>
    <w:rsid w:val="00575A00"/>
    <w:rsid w:val="00635F97"/>
    <w:rsid w:val="00642EAC"/>
    <w:rsid w:val="00684C44"/>
    <w:rsid w:val="007C2CCC"/>
    <w:rsid w:val="00851CC2"/>
    <w:rsid w:val="0085543B"/>
    <w:rsid w:val="00A66F03"/>
    <w:rsid w:val="00A82127"/>
    <w:rsid w:val="00B34B5B"/>
    <w:rsid w:val="00BB1D83"/>
    <w:rsid w:val="00BB6AEE"/>
    <w:rsid w:val="00BC22DA"/>
    <w:rsid w:val="00BF2574"/>
    <w:rsid w:val="00C85AB7"/>
    <w:rsid w:val="00D8435D"/>
    <w:rsid w:val="00DB10A5"/>
    <w:rsid w:val="00DB41F3"/>
    <w:rsid w:val="00DD084B"/>
    <w:rsid w:val="00E01590"/>
    <w:rsid w:val="00EC4BCA"/>
    <w:rsid w:val="00EE68FA"/>
    <w:rsid w:val="00EF3971"/>
    <w:rsid w:val="00F05317"/>
    <w:rsid w:val="00F2137E"/>
    <w:rsid w:val="00F3061C"/>
    <w:rsid w:val="00F64DEA"/>
    <w:rsid w:val="00FC15F9"/>
    <w:rsid w:val="01007E42"/>
    <w:rsid w:val="01275D20"/>
    <w:rsid w:val="017734C4"/>
    <w:rsid w:val="01864D83"/>
    <w:rsid w:val="019A5532"/>
    <w:rsid w:val="022958E8"/>
    <w:rsid w:val="02393D62"/>
    <w:rsid w:val="026033F5"/>
    <w:rsid w:val="02786FB6"/>
    <w:rsid w:val="028247F4"/>
    <w:rsid w:val="029E7AD0"/>
    <w:rsid w:val="02D23086"/>
    <w:rsid w:val="02DD4F9C"/>
    <w:rsid w:val="02F545EC"/>
    <w:rsid w:val="02FA30D3"/>
    <w:rsid w:val="02FF1F50"/>
    <w:rsid w:val="03090322"/>
    <w:rsid w:val="031C07A5"/>
    <w:rsid w:val="032759B1"/>
    <w:rsid w:val="033F1FD5"/>
    <w:rsid w:val="03640239"/>
    <w:rsid w:val="036F159C"/>
    <w:rsid w:val="03804DFA"/>
    <w:rsid w:val="03A07AD7"/>
    <w:rsid w:val="03F86B1C"/>
    <w:rsid w:val="04AC72EC"/>
    <w:rsid w:val="05190704"/>
    <w:rsid w:val="05322502"/>
    <w:rsid w:val="057B7AFF"/>
    <w:rsid w:val="0580226C"/>
    <w:rsid w:val="059B2E14"/>
    <w:rsid w:val="05AA531D"/>
    <w:rsid w:val="05AE61E0"/>
    <w:rsid w:val="05CD3179"/>
    <w:rsid w:val="05D067D9"/>
    <w:rsid w:val="05DE2D7B"/>
    <w:rsid w:val="0609510A"/>
    <w:rsid w:val="06191E5A"/>
    <w:rsid w:val="06750C66"/>
    <w:rsid w:val="06DB7470"/>
    <w:rsid w:val="06EF58D3"/>
    <w:rsid w:val="07116147"/>
    <w:rsid w:val="074107DA"/>
    <w:rsid w:val="07504EC1"/>
    <w:rsid w:val="075E76FE"/>
    <w:rsid w:val="079B0BC0"/>
    <w:rsid w:val="07B34DB3"/>
    <w:rsid w:val="082C0402"/>
    <w:rsid w:val="0855720F"/>
    <w:rsid w:val="085B4F44"/>
    <w:rsid w:val="088D5F5C"/>
    <w:rsid w:val="09475E50"/>
    <w:rsid w:val="094C565A"/>
    <w:rsid w:val="096D5AA7"/>
    <w:rsid w:val="097A36AD"/>
    <w:rsid w:val="0997077C"/>
    <w:rsid w:val="09C12E52"/>
    <w:rsid w:val="09FD11BF"/>
    <w:rsid w:val="0A260FC3"/>
    <w:rsid w:val="0A2B6A3F"/>
    <w:rsid w:val="0AB823C4"/>
    <w:rsid w:val="0ACA4546"/>
    <w:rsid w:val="0AF27E57"/>
    <w:rsid w:val="0AF357B1"/>
    <w:rsid w:val="0B095AB3"/>
    <w:rsid w:val="0B5E2A33"/>
    <w:rsid w:val="0B753148"/>
    <w:rsid w:val="0B825441"/>
    <w:rsid w:val="0BA525D8"/>
    <w:rsid w:val="0BB71F8D"/>
    <w:rsid w:val="0BD50CE3"/>
    <w:rsid w:val="0BD51E39"/>
    <w:rsid w:val="0BDC0B16"/>
    <w:rsid w:val="0C0A7D34"/>
    <w:rsid w:val="0C2F6006"/>
    <w:rsid w:val="0C426CB3"/>
    <w:rsid w:val="0C454256"/>
    <w:rsid w:val="0C5056AF"/>
    <w:rsid w:val="0C5B37C6"/>
    <w:rsid w:val="0C602928"/>
    <w:rsid w:val="0C8352C9"/>
    <w:rsid w:val="0C88726E"/>
    <w:rsid w:val="0C9F66CF"/>
    <w:rsid w:val="0CB819EA"/>
    <w:rsid w:val="0CCB7B51"/>
    <w:rsid w:val="0D164A4D"/>
    <w:rsid w:val="0D8F1B47"/>
    <w:rsid w:val="0DB73DA5"/>
    <w:rsid w:val="0DC134A7"/>
    <w:rsid w:val="0E235597"/>
    <w:rsid w:val="0E4D03C4"/>
    <w:rsid w:val="0E512BF8"/>
    <w:rsid w:val="0EE34DB9"/>
    <w:rsid w:val="0EF46240"/>
    <w:rsid w:val="0F182768"/>
    <w:rsid w:val="0F465E03"/>
    <w:rsid w:val="0F4878B5"/>
    <w:rsid w:val="0F620FFF"/>
    <w:rsid w:val="0F681E22"/>
    <w:rsid w:val="0F6C20F8"/>
    <w:rsid w:val="0F9262E5"/>
    <w:rsid w:val="0FD018B6"/>
    <w:rsid w:val="0FEE60A0"/>
    <w:rsid w:val="0FF54858"/>
    <w:rsid w:val="100B5B75"/>
    <w:rsid w:val="10390CED"/>
    <w:rsid w:val="105D45B9"/>
    <w:rsid w:val="10797991"/>
    <w:rsid w:val="108D7FEC"/>
    <w:rsid w:val="10C34A85"/>
    <w:rsid w:val="10E86A85"/>
    <w:rsid w:val="10EB0A61"/>
    <w:rsid w:val="10F96CD3"/>
    <w:rsid w:val="110D477C"/>
    <w:rsid w:val="11230728"/>
    <w:rsid w:val="114317C8"/>
    <w:rsid w:val="11551C27"/>
    <w:rsid w:val="116F7948"/>
    <w:rsid w:val="117E3EBF"/>
    <w:rsid w:val="11A63895"/>
    <w:rsid w:val="11AA0E33"/>
    <w:rsid w:val="11AB4181"/>
    <w:rsid w:val="11D465DE"/>
    <w:rsid w:val="11F35E10"/>
    <w:rsid w:val="121E003E"/>
    <w:rsid w:val="12313361"/>
    <w:rsid w:val="123238F4"/>
    <w:rsid w:val="124E6914"/>
    <w:rsid w:val="129B7938"/>
    <w:rsid w:val="12CC26ED"/>
    <w:rsid w:val="12D84CD4"/>
    <w:rsid w:val="12F51579"/>
    <w:rsid w:val="12F65A31"/>
    <w:rsid w:val="12F86B39"/>
    <w:rsid w:val="12FD7CCA"/>
    <w:rsid w:val="13042B7A"/>
    <w:rsid w:val="131909C4"/>
    <w:rsid w:val="131F2662"/>
    <w:rsid w:val="137139DD"/>
    <w:rsid w:val="13852ECA"/>
    <w:rsid w:val="13BA2040"/>
    <w:rsid w:val="13C139AF"/>
    <w:rsid w:val="13E01C4A"/>
    <w:rsid w:val="14032E1B"/>
    <w:rsid w:val="142B3045"/>
    <w:rsid w:val="14333776"/>
    <w:rsid w:val="144E16AB"/>
    <w:rsid w:val="144F6715"/>
    <w:rsid w:val="145C30F7"/>
    <w:rsid w:val="147A16BB"/>
    <w:rsid w:val="14AA5797"/>
    <w:rsid w:val="14D53C37"/>
    <w:rsid w:val="15283DF9"/>
    <w:rsid w:val="154D743D"/>
    <w:rsid w:val="15667555"/>
    <w:rsid w:val="1582293C"/>
    <w:rsid w:val="1588503E"/>
    <w:rsid w:val="159B37AB"/>
    <w:rsid w:val="15A97268"/>
    <w:rsid w:val="15B52B26"/>
    <w:rsid w:val="15CF1DD7"/>
    <w:rsid w:val="15E224A7"/>
    <w:rsid w:val="16150220"/>
    <w:rsid w:val="164342FA"/>
    <w:rsid w:val="16536803"/>
    <w:rsid w:val="16573DB1"/>
    <w:rsid w:val="165770B0"/>
    <w:rsid w:val="16A22BEB"/>
    <w:rsid w:val="16C43712"/>
    <w:rsid w:val="16CB645F"/>
    <w:rsid w:val="16D74B46"/>
    <w:rsid w:val="171820A2"/>
    <w:rsid w:val="171877C6"/>
    <w:rsid w:val="17571001"/>
    <w:rsid w:val="17707BBF"/>
    <w:rsid w:val="17776970"/>
    <w:rsid w:val="179E6119"/>
    <w:rsid w:val="17B374D2"/>
    <w:rsid w:val="17BA1FA3"/>
    <w:rsid w:val="17C7601A"/>
    <w:rsid w:val="17CF624F"/>
    <w:rsid w:val="181270D8"/>
    <w:rsid w:val="183A7AB3"/>
    <w:rsid w:val="183C74C7"/>
    <w:rsid w:val="18402742"/>
    <w:rsid w:val="185C4B83"/>
    <w:rsid w:val="18722EE9"/>
    <w:rsid w:val="18930869"/>
    <w:rsid w:val="190C0B53"/>
    <w:rsid w:val="19540841"/>
    <w:rsid w:val="1962480C"/>
    <w:rsid w:val="196A5697"/>
    <w:rsid w:val="197902A7"/>
    <w:rsid w:val="19A60971"/>
    <w:rsid w:val="19AB36D4"/>
    <w:rsid w:val="19E00326"/>
    <w:rsid w:val="1A040DEC"/>
    <w:rsid w:val="1A6257C6"/>
    <w:rsid w:val="1A7B185F"/>
    <w:rsid w:val="1A7D5B75"/>
    <w:rsid w:val="1AB175CD"/>
    <w:rsid w:val="1ACA77FB"/>
    <w:rsid w:val="1ACC5BF8"/>
    <w:rsid w:val="1AD774CB"/>
    <w:rsid w:val="1B124510"/>
    <w:rsid w:val="1B1E67F8"/>
    <w:rsid w:val="1B200CF6"/>
    <w:rsid w:val="1B390BDC"/>
    <w:rsid w:val="1B574618"/>
    <w:rsid w:val="1B5C1AF3"/>
    <w:rsid w:val="1B8972B8"/>
    <w:rsid w:val="1B8E7170"/>
    <w:rsid w:val="1BAD7680"/>
    <w:rsid w:val="1BBD111D"/>
    <w:rsid w:val="1BE0443F"/>
    <w:rsid w:val="1BEF6F49"/>
    <w:rsid w:val="1C13053F"/>
    <w:rsid w:val="1C471722"/>
    <w:rsid w:val="1C527D7D"/>
    <w:rsid w:val="1C5C588F"/>
    <w:rsid w:val="1C8D00F1"/>
    <w:rsid w:val="1C8E7773"/>
    <w:rsid w:val="1C983F97"/>
    <w:rsid w:val="1CB1569A"/>
    <w:rsid w:val="1CB313F6"/>
    <w:rsid w:val="1CEF0D6A"/>
    <w:rsid w:val="1CFB6B14"/>
    <w:rsid w:val="1D3C45B0"/>
    <w:rsid w:val="1D4028B0"/>
    <w:rsid w:val="1DD9385C"/>
    <w:rsid w:val="1E00462C"/>
    <w:rsid w:val="1E1C5E73"/>
    <w:rsid w:val="1E3649B9"/>
    <w:rsid w:val="1E3D5BFF"/>
    <w:rsid w:val="1E3F5B0A"/>
    <w:rsid w:val="1E402DD2"/>
    <w:rsid w:val="1E590153"/>
    <w:rsid w:val="1E5B585E"/>
    <w:rsid w:val="1E703E54"/>
    <w:rsid w:val="1EA0459D"/>
    <w:rsid w:val="1EAE00EE"/>
    <w:rsid w:val="1EB21D4C"/>
    <w:rsid w:val="1EBC5938"/>
    <w:rsid w:val="1ECC5D06"/>
    <w:rsid w:val="1ED42809"/>
    <w:rsid w:val="1EF26162"/>
    <w:rsid w:val="1F43738D"/>
    <w:rsid w:val="1F6A2CF4"/>
    <w:rsid w:val="1F796CCC"/>
    <w:rsid w:val="1F9F2549"/>
    <w:rsid w:val="1FCC5382"/>
    <w:rsid w:val="1FD86B10"/>
    <w:rsid w:val="1FD922C6"/>
    <w:rsid w:val="1FE97955"/>
    <w:rsid w:val="1FFD6FC8"/>
    <w:rsid w:val="1FFE3AC1"/>
    <w:rsid w:val="202279CC"/>
    <w:rsid w:val="202E28C0"/>
    <w:rsid w:val="20441B19"/>
    <w:rsid w:val="20663493"/>
    <w:rsid w:val="2069018D"/>
    <w:rsid w:val="20A0219D"/>
    <w:rsid w:val="20B87A68"/>
    <w:rsid w:val="20BB2DEE"/>
    <w:rsid w:val="20BF45FE"/>
    <w:rsid w:val="20C70459"/>
    <w:rsid w:val="2102069D"/>
    <w:rsid w:val="21082292"/>
    <w:rsid w:val="212154AC"/>
    <w:rsid w:val="21463165"/>
    <w:rsid w:val="21A06E5B"/>
    <w:rsid w:val="21C9221A"/>
    <w:rsid w:val="21D85266"/>
    <w:rsid w:val="21DF2C72"/>
    <w:rsid w:val="21E8394E"/>
    <w:rsid w:val="21F00C93"/>
    <w:rsid w:val="21FB5C14"/>
    <w:rsid w:val="220C72DA"/>
    <w:rsid w:val="22160B82"/>
    <w:rsid w:val="2234120F"/>
    <w:rsid w:val="228952D6"/>
    <w:rsid w:val="2297314D"/>
    <w:rsid w:val="229F23A9"/>
    <w:rsid w:val="22A279E3"/>
    <w:rsid w:val="22A30143"/>
    <w:rsid w:val="22BA2B41"/>
    <w:rsid w:val="22D26F9A"/>
    <w:rsid w:val="22E3461C"/>
    <w:rsid w:val="22F15352"/>
    <w:rsid w:val="23301C0E"/>
    <w:rsid w:val="235558E1"/>
    <w:rsid w:val="235D05EE"/>
    <w:rsid w:val="235F2973"/>
    <w:rsid w:val="2374034F"/>
    <w:rsid w:val="23AF69F1"/>
    <w:rsid w:val="23B12896"/>
    <w:rsid w:val="23CB0902"/>
    <w:rsid w:val="23D74548"/>
    <w:rsid w:val="23EF0A76"/>
    <w:rsid w:val="23F0560A"/>
    <w:rsid w:val="23F316BB"/>
    <w:rsid w:val="245C759D"/>
    <w:rsid w:val="246F2CB5"/>
    <w:rsid w:val="24763848"/>
    <w:rsid w:val="247C12B5"/>
    <w:rsid w:val="24827E18"/>
    <w:rsid w:val="24963225"/>
    <w:rsid w:val="24C31569"/>
    <w:rsid w:val="252D0794"/>
    <w:rsid w:val="25377C12"/>
    <w:rsid w:val="255505B4"/>
    <w:rsid w:val="25902E9C"/>
    <w:rsid w:val="25B0273C"/>
    <w:rsid w:val="25D45C3E"/>
    <w:rsid w:val="25DD61F7"/>
    <w:rsid w:val="25E81861"/>
    <w:rsid w:val="26034EF6"/>
    <w:rsid w:val="260E6047"/>
    <w:rsid w:val="263D5C2C"/>
    <w:rsid w:val="268100BF"/>
    <w:rsid w:val="26AF716B"/>
    <w:rsid w:val="27126E5B"/>
    <w:rsid w:val="27437FDF"/>
    <w:rsid w:val="276E7580"/>
    <w:rsid w:val="277A5916"/>
    <w:rsid w:val="277B5D96"/>
    <w:rsid w:val="279E1806"/>
    <w:rsid w:val="279F27E3"/>
    <w:rsid w:val="28096C9A"/>
    <w:rsid w:val="281E11E4"/>
    <w:rsid w:val="28936921"/>
    <w:rsid w:val="28B92147"/>
    <w:rsid w:val="293624BD"/>
    <w:rsid w:val="293730BE"/>
    <w:rsid w:val="294D49C5"/>
    <w:rsid w:val="296231D6"/>
    <w:rsid w:val="29BA0A21"/>
    <w:rsid w:val="2A0E67EA"/>
    <w:rsid w:val="2A19597B"/>
    <w:rsid w:val="2A23324E"/>
    <w:rsid w:val="2A6C2D68"/>
    <w:rsid w:val="2A7439F6"/>
    <w:rsid w:val="2AAD6003"/>
    <w:rsid w:val="2AFD4EC5"/>
    <w:rsid w:val="2AFF1738"/>
    <w:rsid w:val="2B046437"/>
    <w:rsid w:val="2B1B420B"/>
    <w:rsid w:val="2B376F2C"/>
    <w:rsid w:val="2B417276"/>
    <w:rsid w:val="2B5A5895"/>
    <w:rsid w:val="2BB619B3"/>
    <w:rsid w:val="2BCE7FDF"/>
    <w:rsid w:val="2BDA5C4B"/>
    <w:rsid w:val="2BEF4F82"/>
    <w:rsid w:val="2C3F2C8B"/>
    <w:rsid w:val="2C60492A"/>
    <w:rsid w:val="2C685386"/>
    <w:rsid w:val="2C852F06"/>
    <w:rsid w:val="2C905476"/>
    <w:rsid w:val="2C981CCD"/>
    <w:rsid w:val="2C9F53AF"/>
    <w:rsid w:val="2CB84072"/>
    <w:rsid w:val="2CBA641B"/>
    <w:rsid w:val="2D040C32"/>
    <w:rsid w:val="2D0757A6"/>
    <w:rsid w:val="2D576C63"/>
    <w:rsid w:val="2D6E111E"/>
    <w:rsid w:val="2D982E0B"/>
    <w:rsid w:val="2DB53B3B"/>
    <w:rsid w:val="2DB63DDF"/>
    <w:rsid w:val="2DCC44FF"/>
    <w:rsid w:val="2E072654"/>
    <w:rsid w:val="2E5E1319"/>
    <w:rsid w:val="2E6F38EF"/>
    <w:rsid w:val="2E7D4B79"/>
    <w:rsid w:val="2EB4342F"/>
    <w:rsid w:val="2EC24EAE"/>
    <w:rsid w:val="2F466CCF"/>
    <w:rsid w:val="2F47109C"/>
    <w:rsid w:val="2F4B2213"/>
    <w:rsid w:val="2F7111BF"/>
    <w:rsid w:val="2F9075F6"/>
    <w:rsid w:val="2F9A594D"/>
    <w:rsid w:val="2FF3519E"/>
    <w:rsid w:val="304B769F"/>
    <w:rsid w:val="307B4A76"/>
    <w:rsid w:val="30960091"/>
    <w:rsid w:val="30B610CD"/>
    <w:rsid w:val="30E14F3B"/>
    <w:rsid w:val="31172428"/>
    <w:rsid w:val="313279B0"/>
    <w:rsid w:val="317F3D7D"/>
    <w:rsid w:val="31960D20"/>
    <w:rsid w:val="31A435DE"/>
    <w:rsid w:val="31CD0C24"/>
    <w:rsid w:val="31F0559B"/>
    <w:rsid w:val="31FF60CF"/>
    <w:rsid w:val="3200110E"/>
    <w:rsid w:val="32174FB5"/>
    <w:rsid w:val="322963D4"/>
    <w:rsid w:val="324C7494"/>
    <w:rsid w:val="324E528F"/>
    <w:rsid w:val="325B3715"/>
    <w:rsid w:val="32642296"/>
    <w:rsid w:val="32A01606"/>
    <w:rsid w:val="32C94A9C"/>
    <w:rsid w:val="32D93D68"/>
    <w:rsid w:val="32E120A3"/>
    <w:rsid w:val="32E752BB"/>
    <w:rsid w:val="32F84566"/>
    <w:rsid w:val="332D454F"/>
    <w:rsid w:val="334E1463"/>
    <w:rsid w:val="33C54B71"/>
    <w:rsid w:val="348E3F5F"/>
    <w:rsid w:val="34A07D70"/>
    <w:rsid w:val="34A65EB2"/>
    <w:rsid w:val="34AE125F"/>
    <w:rsid w:val="34D84426"/>
    <w:rsid w:val="34D85063"/>
    <w:rsid w:val="350318B2"/>
    <w:rsid w:val="352548D7"/>
    <w:rsid w:val="352A70A8"/>
    <w:rsid w:val="359B5E22"/>
    <w:rsid w:val="359C1AAB"/>
    <w:rsid w:val="35A63D95"/>
    <w:rsid w:val="35AB3B2B"/>
    <w:rsid w:val="35B11597"/>
    <w:rsid w:val="35F7478C"/>
    <w:rsid w:val="360B3E62"/>
    <w:rsid w:val="364E1FAC"/>
    <w:rsid w:val="36502FEF"/>
    <w:rsid w:val="367F29FE"/>
    <w:rsid w:val="36927BAE"/>
    <w:rsid w:val="36B06732"/>
    <w:rsid w:val="36C2491F"/>
    <w:rsid w:val="36C24DA9"/>
    <w:rsid w:val="36C26B8E"/>
    <w:rsid w:val="36E41E01"/>
    <w:rsid w:val="36F42649"/>
    <w:rsid w:val="3744619F"/>
    <w:rsid w:val="375F48B5"/>
    <w:rsid w:val="37797AAB"/>
    <w:rsid w:val="37965565"/>
    <w:rsid w:val="37D15D38"/>
    <w:rsid w:val="37FF7C7E"/>
    <w:rsid w:val="3842422E"/>
    <w:rsid w:val="38851C61"/>
    <w:rsid w:val="389649C5"/>
    <w:rsid w:val="3971655D"/>
    <w:rsid w:val="39735B4B"/>
    <w:rsid w:val="39BA1ADC"/>
    <w:rsid w:val="39C22BC8"/>
    <w:rsid w:val="3A5E59CC"/>
    <w:rsid w:val="3A735F50"/>
    <w:rsid w:val="3A8202CA"/>
    <w:rsid w:val="3A8D08BE"/>
    <w:rsid w:val="3AC740E5"/>
    <w:rsid w:val="3AE83416"/>
    <w:rsid w:val="3B013B41"/>
    <w:rsid w:val="3B1E1277"/>
    <w:rsid w:val="3B241639"/>
    <w:rsid w:val="3B2958E9"/>
    <w:rsid w:val="3B340B10"/>
    <w:rsid w:val="3B4342F2"/>
    <w:rsid w:val="3B9A13A5"/>
    <w:rsid w:val="3BAC54A0"/>
    <w:rsid w:val="3BB450D2"/>
    <w:rsid w:val="3BB83A55"/>
    <w:rsid w:val="3C016259"/>
    <w:rsid w:val="3C07263B"/>
    <w:rsid w:val="3C4E319D"/>
    <w:rsid w:val="3C70334F"/>
    <w:rsid w:val="3C797D13"/>
    <w:rsid w:val="3C806348"/>
    <w:rsid w:val="3CD2615F"/>
    <w:rsid w:val="3D11205B"/>
    <w:rsid w:val="3D385754"/>
    <w:rsid w:val="3D3D55B3"/>
    <w:rsid w:val="3D50398D"/>
    <w:rsid w:val="3D5619DA"/>
    <w:rsid w:val="3D604ED5"/>
    <w:rsid w:val="3D780336"/>
    <w:rsid w:val="3DE25DB3"/>
    <w:rsid w:val="3DE6670E"/>
    <w:rsid w:val="3E0D2B9C"/>
    <w:rsid w:val="3E35213F"/>
    <w:rsid w:val="3E445CEF"/>
    <w:rsid w:val="3E4D7BE8"/>
    <w:rsid w:val="3E7A463F"/>
    <w:rsid w:val="3E925B12"/>
    <w:rsid w:val="3E9E740B"/>
    <w:rsid w:val="3EA45827"/>
    <w:rsid w:val="3EB10774"/>
    <w:rsid w:val="3EF07329"/>
    <w:rsid w:val="3EFB0FE0"/>
    <w:rsid w:val="3F0128C7"/>
    <w:rsid w:val="3F12480E"/>
    <w:rsid w:val="3F50722A"/>
    <w:rsid w:val="3F645D9C"/>
    <w:rsid w:val="3F8E1AF4"/>
    <w:rsid w:val="3FA35235"/>
    <w:rsid w:val="3FAA090B"/>
    <w:rsid w:val="3FC12F2F"/>
    <w:rsid w:val="3FCB2B69"/>
    <w:rsid w:val="3FFD4490"/>
    <w:rsid w:val="4026608A"/>
    <w:rsid w:val="405A34BE"/>
    <w:rsid w:val="405D597D"/>
    <w:rsid w:val="40650AB8"/>
    <w:rsid w:val="40A73A11"/>
    <w:rsid w:val="40D50F73"/>
    <w:rsid w:val="40E765BD"/>
    <w:rsid w:val="410D6E30"/>
    <w:rsid w:val="41412351"/>
    <w:rsid w:val="414E6719"/>
    <w:rsid w:val="41551410"/>
    <w:rsid w:val="416D4D8C"/>
    <w:rsid w:val="417A46D4"/>
    <w:rsid w:val="419345E1"/>
    <w:rsid w:val="41940CDA"/>
    <w:rsid w:val="41AA2509"/>
    <w:rsid w:val="41CB6267"/>
    <w:rsid w:val="41CF0BCF"/>
    <w:rsid w:val="41D427C4"/>
    <w:rsid w:val="41E04248"/>
    <w:rsid w:val="42027434"/>
    <w:rsid w:val="42042CCA"/>
    <w:rsid w:val="42073265"/>
    <w:rsid w:val="42812A86"/>
    <w:rsid w:val="42B56350"/>
    <w:rsid w:val="42EA15F6"/>
    <w:rsid w:val="432C5504"/>
    <w:rsid w:val="43365770"/>
    <w:rsid w:val="43423D8B"/>
    <w:rsid w:val="43482809"/>
    <w:rsid w:val="43642DEC"/>
    <w:rsid w:val="436D237B"/>
    <w:rsid w:val="43727FC7"/>
    <w:rsid w:val="43794BD1"/>
    <w:rsid w:val="437D4C24"/>
    <w:rsid w:val="439006C3"/>
    <w:rsid w:val="43AA712C"/>
    <w:rsid w:val="440D2E29"/>
    <w:rsid w:val="449C1209"/>
    <w:rsid w:val="44C409AF"/>
    <w:rsid w:val="44CB6471"/>
    <w:rsid w:val="44D70159"/>
    <w:rsid w:val="44FD1AAB"/>
    <w:rsid w:val="4504471C"/>
    <w:rsid w:val="45152417"/>
    <w:rsid w:val="45652B3C"/>
    <w:rsid w:val="4567448A"/>
    <w:rsid w:val="457328FF"/>
    <w:rsid w:val="45791C6C"/>
    <w:rsid w:val="45861074"/>
    <w:rsid w:val="45D05F89"/>
    <w:rsid w:val="460008CE"/>
    <w:rsid w:val="46155582"/>
    <w:rsid w:val="46212412"/>
    <w:rsid w:val="465B295F"/>
    <w:rsid w:val="467F0CD9"/>
    <w:rsid w:val="46A301C2"/>
    <w:rsid w:val="46A83331"/>
    <w:rsid w:val="46B215A3"/>
    <w:rsid w:val="46C36755"/>
    <w:rsid w:val="46D027AA"/>
    <w:rsid w:val="470B6133"/>
    <w:rsid w:val="4730328E"/>
    <w:rsid w:val="47396823"/>
    <w:rsid w:val="476D5EBB"/>
    <w:rsid w:val="47711558"/>
    <w:rsid w:val="47723768"/>
    <w:rsid w:val="47D9353C"/>
    <w:rsid w:val="47E54F55"/>
    <w:rsid w:val="489062EC"/>
    <w:rsid w:val="48961FF5"/>
    <w:rsid w:val="48A25DD0"/>
    <w:rsid w:val="48DD2962"/>
    <w:rsid w:val="492A2C9F"/>
    <w:rsid w:val="492D05E3"/>
    <w:rsid w:val="49490BB1"/>
    <w:rsid w:val="494B36B3"/>
    <w:rsid w:val="49692915"/>
    <w:rsid w:val="496E65D0"/>
    <w:rsid w:val="49C01A75"/>
    <w:rsid w:val="49F41101"/>
    <w:rsid w:val="4A3847B0"/>
    <w:rsid w:val="4A3F772C"/>
    <w:rsid w:val="4A492B02"/>
    <w:rsid w:val="4A563B69"/>
    <w:rsid w:val="4A5751EC"/>
    <w:rsid w:val="4A584C12"/>
    <w:rsid w:val="4A653EE0"/>
    <w:rsid w:val="4A6603DD"/>
    <w:rsid w:val="4A6E7668"/>
    <w:rsid w:val="4A8E08A1"/>
    <w:rsid w:val="4ABC719B"/>
    <w:rsid w:val="4B040E73"/>
    <w:rsid w:val="4B054806"/>
    <w:rsid w:val="4B072620"/>
    <w:rsid w:val="4B217C72"/>
    <w:rsid w:val="4B306168"/>
    <w:rsid w:val="4B323DAD"/>
    <w:rsid w:val="4B5A1437"/>
    <w:rsid w:val="4B6C0448"/>
    <w:rsid w:val="4B992729"/>
    <w:rsid w:val="4B9A5CD8"/>
    <w:rsid w:val="4BF14E5C"/>
    <w:rsid w:val="4BF6455A"/>
    <w:rsid w:val="4C2C72E7"/>
    <w:rsid w:val="4C4E0422"/>
    <w:rsid w:val="4CB2203E"/>
    <w:rsid w:val="4D2F1ADF"/>
    <w:rsid w:val="4D397E04"/>
    <w:rsid w:val="4D5B3007"/>
    <w:rsid w:val="4D83282D"/>
    <w:rsid w:val="4DA8648A"/>
    <w:rsid w:val="4DB91463"/>
    <w:rsid w:val="4DBC3CE3"/>
    <w:rsid w:val="4DD26CD8"/>
    <w:rsid w:val="4DE16570"/>
    <w:rsid w:val="4DF64A7C"/>
    <w:rsid w:val="4E663FE6"/>
    <w:rsid w:val="4E7B27EF"/>
    <w:rsid w:val="4EA355D2"/>
    <w:rsid w:val="4EBC4081"/>
    <w:rsid w:val="4ECB206C"/>
    <w:rsid w:val="4ED02D42"/>
    <w:rsid w:val="4F377CE8"/>
    <w:rsid w:val="4F48599F"/>
    <w:rsid w:val="4F604C84"/>
    <w:rsid w:val="4F7A0880"/>
    <w:rsid w:val="4F934F18"/>
    <w:rsid w:val="4F96706C"/>
    <w:rsid w:val="4F9B3924"/>
    <w:rsid w:val="4FA060F5"/>
    <w:rsid w:val="4FC915F8"/>
    <w:rsid w:val="4FD05E0A"/>
    <w:rsid w:val="50421741"/>
    <w:rsid w:val="504E4277"/>
    <w:rsid w:val="506F3038"/>
    <w:rsid w:val="507256E0"/>
    <w:rsid w:val="50B02BCA"/>
    <w:rsid w:val="50B213CE"/>
    <w:rsid w:val="50CC1832"/>
    <w:rsid w:val="50F07683"/>
    <w:rsid w:val="51316332"/>
    <w:rsid w:val="513B5710"/>
    <w:rsid w:val="516C70A1"/>
    <w:rsid w:val="51F83758"/>
    <w:rsid w:val="52450976"/>
    <w:rsid w:val="52ED3DDA"/>
    <w:rsid w:val="5302247A"/>
    <w:rsid w:val="53315390"/>
    <w:rsid w:val="533A5121"/>
    <w:rsid w:val="534B0C47"/>
    <w:rsid w:val="534E1882"/>
    <w:rsid w:val="5360776D"/>
    <w:rsid w:val="537261AA"/>
    <w:rsid w:val="53B67427"/>
    <w:rsid w:val="53E411F3"/>
    <w:rsid w:val="53EC4002"/>
    <w:rsid w:val="541F4FCC"/>
    <w:rsid w:val="544D59FD"/>
    <w:rsid w:val="54A2438E"/>
    <w:rsid w:val="54FD0B04"/>
    <w:rsid w:val="550479F9"/>
    <w:rsid w:val="554054D5"/>
    <w:rsid w:val="5565242B"/>
    <w:rsid w:val="55717AA9"/>
    <w:rsid w:val="558B0EF2"/>
    <w:rsid w:val="56195DC5"/>
    <w:rsid w:val="565C42B5"/>
    <w:rsid w:val="5671771B"/>
    <w:rsid w:val="569F5204"/>
    <w:rsid w:val="56A143BE"/>
    <w:rsid w:val="56A40F80"/>
    <w:rsid w:val="56E30A23"/>
    <w:rsid w:val="56F805D3"/>
    <w:rsid w:val="570010E5"/>
    <w:rsid w:val="57024302"/>
    <w:rsid w:val="572F2122"/>
    <w:rsid w:val="5732282D"/>
    <w:rsid w:val="573F41BC"/>
    <w:rsid w:val="57513E3C"/>
    <w:rsid w:val="575E71D1"/>
    <w:rsid w:val="57656AAF"/>
    <w:rsid w:val="57780285"/>
    <w:rsid w:val="57895841"/>
    <w:rsid w:val="578D66F1"/>
    <w:rsid w:val="57CB7122"/>
    <w:rsid w:val="580F49BF"/>
    <w:rsid w:val="58167EF7"/>
    <w:rsid w:val="58280B32"/>
    <w:rsid w:val="58371999"/>
    <w:rsid w:val="58726008"/>
    <w:rsid w:val="58C67724"/>
    <w:rsid w:val="58F74373"/>
    <w:rsid w:val="58FA327F"/>
    <w:rsid w:val="59002D5A"/>
    <w:rsid w:val="590F1AB3"/>
    <w:rsid w:val="592B2BC8"/>
    <w:rsid w:val="5932697F"/>
    <w:rsid w:val="5945570A"/>
    <w:rsid w:val="59843CBF"/>
    <w:rsid w:val="598A1022"/>
    <w:rsid w:val="59B44E5D"/>
    <w:rsid w:val="59B93578"/>
    <w:rsid w:val="59C60319"/>
    <w:rsid w:val="5A2055FA"/>
    <w:rsid w:val="5A636A25"/>
    <w:rsid w:val="5A967AC9"/>
    <w:rsid w:val="5AC36C93"/>
    <w:rsid w:val="5B5267B9"/>
    <w:rsid w:val="5B5F034D"/>
    <w:rsid w:val="5B64318C"/>
    <w:rsid w:val="5B7A2A80"/>
    <w:rsid w:val="5B9242D5"/>
    <w:rsid w:val="5BC00E23"/>
    <w:rsid w:val="5BC05588"/>
    <w:rsid w:val="5BD42E24"/>
    <w:rsid w:val="5BE21F66"/>
    <w:rsid w:val="5BFB37A6"/>
    <w:rsid w:val="5C0465AC"/>
    <w:rsid w:val="5C240C7B"/>
    <w:rsid w:val="5C8D51F6"/>
    <w:rsid w:val="5CA52AF5"/>
    <w:rsid w:val="5CB963A2"/>
    <w:rsid w:val="5CC41C0D"/>
    <w:rsid w:val="5CCE1A7B"/>
    <w:rsid w:val="5CE42D12"/>
    <w:rsid w:val="5D5D7AEC"/>
    <w:rsid w:val="5DB07B64"/>
    <w:rsid w:val="5DDE2965"/>
    <w:rsid w:val="5DE55D4F"/>
    <w:rsid w:val="5E0B635A"/>
    <w:rsid w:val="5E1F1A63"/>
    <w:rsid w:val="5E203FCF"/>
    <w:rsid w:val="5E2C6C63"/>
    <w:rsid w:val="5EA11D24"/>
    <w:rsid w:val="5EBD3528"/>
    <w:rsid w:val="5ED02091"/>
    <w:rsid w:val="5EF54261"/>
    <w:rsid w:val="5EF66F80"/>
    <w:rsid w:val="5EFD3DCB"/>
    <w:rsid w:val="5F323D85"/>
    <w:rsid w:val="5F5919A6"/>
    <w:rsid w:val="5F82440E"/>
    <w:rsid w:val="5F9024AC"/>
    <w:rsid w:val="5FAF771F"/>
    <w:rsid w:val="5FE408D5"/>
    <w:rsid w:val="5FF0492B"/>
    <w:rsid w:val="60210B27"/>
    <w:rsid w:val="602A5424"/>
    <w:rsid w:val="60992FAF"/>
    <w:rsid w:val="60BD590C"/>
    <w:rsid w:val="6106763F"/>
    <w:rsid w:val="610B3038"/>
    <w:rsid w:val="613E79F6"/>
    <w:rsid w:val="6157463B"/>
    <w:rsid w:val="617E4947"/>
    <w:rsid w:val="618C3680"/>
    <w:rsid w:val="619157A0"/>
    <w:rsid w:val="61AD7FAC"/>
    <w:rsid w:val="61B9082C"/>
    <w:rsid w:val="61E1790B"/>
    <w:rsid w:val="61F43CFC"/>
    <w:rsid w:val="61FA5A55"/>
    <w:rsid w:val="62012E19"/>
    <w:rsid w:val="620C4DF8"/>
    <w:rsid w:val="62552691"/>
    <w:rsid w:val="62835858"/>
    <w:rsid w:val="62FE72D8"/>
    <w:rsid w:val="632259C4"/>
    <w:rsid w:val="63263D0D"/>
    <w:rsid w:val="634D2D5C"/>
    <w:rsid w:val="63632B45"/>
    <w:rsid w:val="63644522"/>
    <w:rsid w:val="6373260F"/>
    <w:rsid w:val="63856413"/>
    <w:rsid w:val="63D201A3"/>
    <w:rsid w:val="64003D27"/>
    <w:rsid w:val="64426F57"/>
    <w:rsid w:val="644763D7"/>
    <w:rsid w:val="646E04C5"/>
    <w:rsid w:val="646E335A"/>
    <w:rsid w:val="6489287E"/>
    <w:rsid w:val="649548FB"/>
    <w:rsid w:val="64AD388C"/>
    <w:rsid w:val="64B60830"/>
    <w:rsid w:val="64D81CF5"/>
    <w:rsid w:val="65420BAE"/>
    <w:rsid w:val="655533F0"/>
    <w:rsid w:val="65A45561"/>
    <w:rsid w:val="66324275"/>
    <w:rsid w:val="66582833"/>
    <w:rsid w:val="667557A4"/>
    <w:rsid w:val="66C66E69"/>
    <w:rsid w:val="670771EC"/>
    <w:rsid w:val="671D276F"/>
    <w:rsid w:val="673D3AD3"/>
    <w:rsid w:val="67AA791C"/>
    <w:rsid w:val="681253D0"/>
    <w:rsid w:val="68464F3B"/>
    <w:rsid w:val="684A64D9"/>
    <w:rsid w:val="685A6D95"/>
    <w:rsid w:val="68637725"/>
    <w:rsid w:val="689B44E8"/>
    <w:rsid w:val="68A32F09"/>
    <w:rsid w:val="68B94F59"/>
    <w:rsid w:val="68C0194D"/>
    <w:rsid w:val="68C0710C"/>
    <w:rsid w:val="68C65D6E"/>
    <w:rsid w:val="68C85A18"/>
    <w:rsid w:val="68D313BC"/>
    <w:rsid w:val="68F2680E"/>
    <w:rsid w:val="6924250F"/>
    <w:rsid w:val="69271690"/>
    <w:rsid w:val="694C0E55"/>
    <w:rsid w:val="696033A5"/>
    <w:rsid w:val="696533DD"/>
    <w:rsid w:val="698E4AF7"/>
    <w:rsid w:val="69A16F46"/>
    <w:rsid w:val="69BA2094"/>
    <w:rsid w:val="69C55233"/>
    <w:rsid w:val="69DC6DBD"/>
    <w:rsid w:val="69EB0D20"/>
    <w:rsid w:val="6A152A41"/>
    <w:rsid w:val="6A624D6D"/>
    <w:rsid w:val="6A6857B4"/>
    <w:rsid w:val="6A932B4B"/>
    <w:rsid w:val="6AD246EE"/>
    <w:rsid w:val="6AE663EC"/>
    <w:rsid w:val="6AE866A8"/>
    <w:rsid w:val="6AF619D0"/>
    <w:rsid w:val="6B051D29"/>
    <w:rsid w:val="6B1225A1"/>
    <w:rsid w:val="6B676306"/>
    <w:rsid w:val="6B6D718E"/>
    <w:rsid w:val="6B711B7A"/>
    <w:rsid w:val="6B850073"/>
    <w:rsid w:val="6BA90A3A"/>
    <w:rsid w:val="6BD43669"/>
    <w:rsid w:val="6BE8725E"/>
    <w:rsid w:val="6C034FFD"/>
    <w:rsid w:val="6C152647"/>
    <w:rsid w:val="6C255D33"/>
    <w:rsid w:val="6C2F6077"/>
    <w:rsid w:val="6C6608D6"/>
    <w:rsid w:val="6C6770B8"/>
    <w:rsid w:val="6C7D5484"/>
    <w:rsid w:val="6C85778D"/>
    <w:rsid w:val="6C9852E5"/>
    <w:rsid w:val="6C9C1458"/>
    <w:rsid w:val="6CBF7509"/>
    <w:rsid w:val="6CD858AC"/>
    <w:rsid w:val="6CFA7D7F"/>
    <w:rsid w:val="6CFC1EF7"/>
    <w:rsid w:val="6D2A25C0"/>
    <w:rsid w:val="6D2F5CB2"/>
    <w:rsid w:val="6D8D7A35"/>
    <w:rsid w:val="6DBD1347"/>
    <w:rsid w:val="6E215D96"/>
    <w:rsid w:val="6E245261"/>
    <w:rsid w:val="6E2A7591"/>
    <w:rsid w:val="6E4F523E"/>
    <w:rsid w:val="6E5729A2"/>
    <w:rsid w:val="6E583A1F"/>
    <w:rsid w:val="6EAA495D"/>
    <w:rsid w:val="6EAB742B"/>
    <w:rsid w:val="6EB0558D"/>
    <w:rsid w:val="6EC6113E"/>
    <w:rsid w:val="6EC97476"/>
    <w:rsid w:val="6EDF1648"/>
    <w:rsid w:val="6EFF1080"/>
    <w:rsid w:val="6F0F5F11"/>
    <w:rsid w:val="6F170E2C"/>
    <w:rsid w:val="6F1C670B"/>
    <w:rsid w:val="6F434E86"/>
    <w:rsid w:val="6F45287E"/>
    <w:rsid w:val="6F600F85"/>
    <w:rsid w:val="6F614CE4"/>
    <w:rsid w:val="6FA32AFD"/>
    <w:rsid w:val="70531535"/>
    <w:rsid w:val="70BF0D6E"/>
    <w:rsid w:val="70E01DD1"/>
    <w:rsid w:val="71033336"/>
    <w:rsid w:val="71146B51"/>
    <w:rsid w:val="71147230"/>
    <w:rsid w:val="71161C74"/>
    <w:rsid w:val="71597165"/>
    <w:rsid w:val="716A07BC"/>
    <w:rsid w:val="717256AD"/>
    <w:rsid w:val="718544F1"/>
    <w:rsid w:val="718715E5"/>
    <w:rsid w:val="71B96608"/>
    <w:rsid w:val="71DE2066"/>
    <w:rsid w:val="71EA30C1"/>
    <w:rsid w:val="720A152D"/>
    <w:rsid w:val="720A6E64"/>
    <w:rsid w:val="72197677"/>
    <w:rsid w:val="721F1D01"/>
    <w:rsid w:val="7222649A"/>
    <w:rsid w:val="72A2709C"/>
    <w:rsid w:val="72D11304"/>
    <w:rsid w:val="72D640D7"/>
    <w:rsid w:val="730C4186"/>
    <w:rsid w:val="7341102A"/>
    <w:rsid w:val="73532145"/>
    <w:rsid w:val="735323A8"/>
    <w:rsid w:val="736B0572"/>
    <w:rsid w:val="737974C3"/>
    <w:rsid w:val="73A17E6A"/>
    <w:rsid w:val="73E16D57"/>
    <w:rsid w:val="73EE0AE6"/>
    <w:rsid w:val="742858BD"/>
    <w:rsid w:val="7453624B"/>
    <w:rsid w:val="745A31D0"/>
    <w:rsid w:val="746049BA"/>
    <w:rsid w:val="74624D35"/>
    <w:rsid w:val="74874E5A"/>
    <w:rsid w:val="74A227F4"/>
    <w:rsid w:val="74A2568B"/>
    <w:rsid w:val="74C47F76"/>
    <w:rsid w:val="754E3DD7"/>
    <w:rsid w:val="7573132B"/>
    <w:rsid w:val="75DC3A8B"/>
    <w:rsid w:val="76021882"/>
    <w:rsid w:val="76160679"/>
    <w:rsid w:val="761715C6"/>
    <w:rsid w:val="76360C3D"/>
    <w:rsid w:val="766574D1"/>
    <w:rsid w:val="766C12B8"/>
    <w:rsid w:val="767C3DB4"/>
    <w:rsid w:val="768F2CE9"/>
    <w:rsid w:val="76B95CCD"/>
    <w:rsid w:val="76DE1045"/>
    <w:rsid w:val="76E8442E"/>
    <w:rsid w:val="771463D1"/>
    <w:rsid w:val="774A39DA"/>
    <w:rsid w:val="775F37AE"/>
    <w:rsid w:val="77777CEB"/>
    <w:rsid w:val="7796379A"/>
    <w:rsid w:val="77993B8C"/>
    <w:rsid w:val="779B02BA"/>
    <w:rsid w:val="77AD5663"/>
    <w:rsid w:val="77CA4292"/>
    <w:rsid w:val="77D64484"/>
    <w:rsid w:val="77E922B4"/>
    <w:rsid w:val="77EE5F88"/>
    <w:rsid w:val="782A7918"/>
    <w:rsid w:val="78391529"/>
    <w:rsid w:val="783C7A78"/>
    <w:rsid w:val="785A31E0"/>
    <w:rsid w:val="786258A4"/>
    <w:rsid w:val="787A60AB"/>
    <w:rsid w:val="78CE1FD7"/>
    <w:rsid w:val="78D0463B"/>
    <w:rsid w:val="78E11F34"/>
    <w:rsid w:val="7906595E"/>
    <w:rsid w:val="790A7749"/>
    <w:rsid w:val="7917686A"/>
    <w:rsid w:val="794B7201"/>
    <w:rsid w:val="795B0ABE"/>
    <w:rsid w:val="798B1783"/>
    <w:rsid w:val="79B2108A"/>
    <w:rsid w:val="79FC3536"/>
    <w:rsid w:val="7A417E6A"/>
    <w:rsid w:val="7A92024C"/>
    <w:rsid w:val="7A98347A"/>
    <w:rsid w:val="7AA222D1"/>
    <w:rsid w:val="7ACF168E"/>
    <w:rsid w:val="7B0B5BD1"/>
    <w:rsid w:val="7B2F707C"/>
    <w:rsid w:val="7B563349"/>
    <w:rsid w:val="7B8B2DC3"/>
    <w:rsid w:val="7BA53398"/>
    <w:rsid w:val="7BC71689"/>
    <w:rsid w:val="7BE20360"/>
    <w:rsid w:val="7C1A1A2B"/>
    <w:rsid w:val="7C435CA9"/>
    <w:rsid w:val="7C727ADF"/>
    <w:rsid w:val="7C78688F"/>
    <w:rsid w:val="7C7C21F9"/>
    <w:rsid w:val="7C867510"/>
    <w:rsid w:val="7CE67C03"/>
    <w:rsid w:val="7CE85FF3"/>
    <w:rsid w:val="7CF01DBB"/>
    <w:rsid w:val="7D21376C"/>
    <w:rsid w:val="7D622331"/>
    <w:rsid w:val="7D6E5432"/>
    <w:rsid w:val="7D8A3772"/>
    <w:rsid w:val="7D8B198E"/>
    <w:rsid w:val="7D934831"/>
    <w:rsid w:val="7D9E7AB5"/>
    <w:rsid w:val="7DC95B94"/>
    <w:rsid w:val="7DD75B87"/>
    <w:rsid w:val="7DFC7E2B"/>
    <w:rsid w:val="7E122B46"/>
    <w:rsid w:val="7E262275"/>
    <w:rsid w:val="7E2676D0"/>
    <w:rsid w:val="7E4F73AA"/>
    <w:rsid w:val="7E74200D"/>
    <w:rsid w:val="7E7B6F9A"/>
    <w:rsid w:val="7EA22277"/>
    <w:rsid w:val="7EC63541"/>
    <w:rsid w:val="7EED4B13"/>
    <w:rsid w:val="7F8B1A78"/>
    <w:rsid w:val="7FA418D8"/>
    <w:rsid w:val="7FA92784"/>
    <w:rsid w:val="7FDD57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2">
    <w:name w:val="heading 1"/>
    <w:basedOn w:val="1"/>
    <w:next w:val="1"/>
    <w:qFormat/>
    <w:uiPriority w:val="0"/>
    <w:pPr>
      <w:keepNext/>
      <w:keepLines/>
      <w:spacing w:before="120" w:after="120"/>
      <w:jc w:val="center"/>
      <w:outlineLvl w:val="0"/>
    </w:pPr>
    <w:rPr>
      <w:b/>
      <w:kern w:val="44"/>
      <w:sz w:val="44"/>
    </w:rPr>
  </w:style>
  <w:style w:type="paragraph" w:styleId="3">
    <w:name w:val="heading 2"/>
    <w:basedOn w:val="1"/>
    <w:next w:val="4"/>
    <w:qFormat/>
    <w:uiPriority w:val="0"/>
    <w:pPr>
      <w:keepNext/>
      <w:keepLines/>
      <w:spacing w:before="140" w:after="140" w:line="413" w:lineRule="auto"/>
      <w:jc w:val="center"/>
      <w:outlineLvl w:val="1"/>
    </w:pPr>
    <w:rPr>
      <w:rFonts w:ascii="Arial" w:hAnsi="Arial"/>
      <w:b/>
      <w:sz w:val="28"/>
    </w:rPr>
  </w:style>
  <w:style w:type="paragraph" w:styleId="5">
    <w:name w:val="heading 3"/>
    <w:basedOn w:val="1"/>
    <w:next w:val="1"/>
    <w:qFormat/>
    <w:uiPriority w:val="9"/>
    <w:pPr>
      <w:keepNext/>
      <w:keepLines/>
      <w:spacing w:line="360" w:lineRule="auto"/>
      <w:outlineLvl w:val="2"/>
    </w:pPr>
    <w:rPr>
      <w:b/>
      <w:bCs/>
      <w:szCs w:val="32"/>
    </w:rPr>
  </w:style>
  <w:style w:type="paragraph" w:styleId="6">
    <w:name w:val="heading 4"/>
    <w:basedOn w:val="1"/>
    <w:next w:val="1"/>
    <w:qFormat/>
    <w:uiPriority w:val="0"/>
    <w:pPr>
      <w:keepNext/>
      <w:keepLines/>
      <w:outlineLvl w:val="3"/>
    </w:pPr>
    <w:rPr>
      <w:rFonts w:ascii="Arial" w:hAnsi="Arial" w:eastAsia="黑体"/>
      <w:bCs/>
      <w:kern w:val="0"/>
      <w:sz w:val="24"/>
      <w:szCs w:val="28"/>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rPr>
  </w:style>
  <w:style w:type="paragraph" w:styleId="7">
    <w:name w:val="caption"/>
    <w:basedOn w:val="1"/>
    <w:next w:val="1"/>
    <w:qFormat/>
    <w:uiPriority w:val="0"/>
    <w:rPr>
      <w:rFonts w:ascii="Arial" w:hAnsi="Arial" w:eastAsia="黑体" w:cs="Arial"/>
      <w:sz w:val="20"/>
      <w:szCs w:val="20"/>
    </w:rPr>
  </w:style>
  <w:style w:type="paragraph" w:styleId="8">
    <w:name w:val="annotation text"/>
    <w:basedOn w:val="1"/>
    <w:unhideWhenUsed/>
    <w:qFormat/>
    <w:uiPriority w:val="99"/>
    <w:pPr>
      <w:jc w:val="left"/>
    </w:pPr>
  </w:style>
  <w:style w:type="paragraph" w:styleId="9">
    <w:name w:val="Body Text"/>
    <w:basedOn w:val="1"/>
    <w:qFormat/>
    <w:uiPriority w:val="0"/>
    <w:pPr>
      <w:spacing w:after="120" w:afterLines="0"/>
    </w:pPr>
    <w:rPr>
      <w:rFonts w:ascii="宋体" w:hAnsi="宋体"/>
      <w:kern w:val="2"/>
      <w:sz w:val="28"/>
      <w:szCs w:val="52"/>
    </w:rPr>
  </w:style>
  <w:style w:type="paragraph" w:styleId="10">
    <w:name w:val="Plain Text"/>
    <w:basedOn w:val="1"/>
    <w:qFormat/>
    <w:uiPriority w:val="99"/>
    <w:rPr>
      <w:rFonts w:ascii="宋体" w:hAnsi="Courier New" w:cs="Courier New"/>
      <w:szCs w:val="21"/>
    </w:rPr>
  </w:style>
  <w:style w:type="paragraph" w:styleId="11">
    <w:name w:val="Balloon Text"/>
    <w:basedOn w:val="1"/>
    <w:link w:val="29"/>
    <w:qFormat/>
    <w:uiPriority w:val="0"/>
    <w:rPr>
      <w:sz w:val="18"/>
      <w:szCs w:val="18"/>
    </w:rPr>
  </w:style>
  <w:style w:type="paragraph" w:styleId="12">
    <w:name w:val="footer"/>
    <w:basedOn w:val="1"/>
    <w:link w:val="30"/>
    <w:qFormat/>
    <w:uiPriority w:val="99"/>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Subtitle"/>
    <w:basedOn w:val="1"/>
    <w:next w:val="1"/>
    <w:qFormat/>
    <w:uiPriority w:val="0"/>
    <w:pPr>
      <w:widowControl/>
      <w:spacing w:after="240" w:line="312" w:lineRule="auto"/>
      <w:jc w:val="left"/>
    </w:pPr>
    <w:rPr>
      <w:rFonts w:ascii="Times New Roman" w:hAnsi="Times New Roman"/>
      <w:color w:val="000000"/>
      <w:kern w:val="0"/>
      <w:sz w:val="24"/>
      <w:szCs w:val="20"/>
    </w:rPr>
  </w:style>
  <w:style w:type="paragraph" w:styleId="1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6">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0"/>
    <w:rPr>
      <w:b/>
    </w:rPr>
  </w:style>
  <w:style w:type="character" w:styleId="21">
    <w:name w:val="FollowedHyperlink"/>
    <w:qFormat/>
    <w:uiPriority w:val="0"/>
    <w:rPr>
      <w:rFonts w:ascii="微软雅黑" w:hAnsi="微软雅黑" w:eastAsia="微软雅黑" w:cs="微软雅黑"/>
      <w:color w:val="02396F"/>
      <w:u w:val="single"/>
    </w:rPr>
  </w:style>
  <w:style w:type="character" w:styleId="22">
    <w:name w:val="Emphasis"/>
    <w:basedOn w:val="19"/>
    <w:qFormat/>
    <w:uiPriority w:val="0"/>
    <w:rPr>
      <w:i/>
    </w:rPr>
  </w:style>
  <w:style w:type="character" w:styleId="23">
    <w:name w:val="Hyperlink"/>
    <w:qFormat/>
    <w:uiPriority w:val="0"/>
    <w:rPr>
      <w:rFonts w:hint="eastAsia" w:ascii="微软雅黑" w:hAnsi="微软雅黑" w:eastAsia="微软雅黑" w:cs="微软雅黑"/>
      <w:color w:val="02396F"/>
      <w:u w:val="single"/>
    </w:rPr>
  </w:style>
  <w:style w:type="character" w:styleId="24">
    <w:name w:val="annotation reference"/>
    <w:unhideWhenUsed/>
    <w:qFormat/>
    <w:uiPriority w:val="99"/>
    <w:rPr>
      <w:sz w:val="21"/>
      <w:szCs w:val="21"/>
    </w:rPr>
  </w:style>
  <w:style w:type="paragraph" w:customStyle="1" w:styleId="25">
    <w:name w:val="正文正"/>
    <w:basedOn w:val="26"/>
    <w:qFormat/>
    <w:uiPriority w:val="0"/>
    <w:pPr>
      <w:spacing w:line="560" w:lineRule="exact"/>
      <w:ind w:firstLine="561"/>
    </w:pPr>
    <w:rPr>
      <w:rFonts w:eastAsia="仿宋_GB2312"/>
      <w:sz w:val="28"/>
      <w:szCs w:val="24"/>
    </w:rPr>
  </w:style>
  <w:style w:type="paragraph" w:customStyle="1" w:styleId="26">
    <w:name w:val="正文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27">
    <w:name w:val="正文文本 New"/>
    <w:basedOn w:val="28"/>
    <w:qFormat/>
    <w:uiPriority w:val="0"/>
    <w:pPr>
      <w:spacing w:line="360" w:lineRule="auto"/>
    </w:pPr>
    <w:rPr>
      <w:rFonts w:ascii="_x000B__x000C_" w:hAnsi="_x000B__x000C_"/>
      <w:sz w:val="24"/>
      <w:szCs w:val="20"/>
    </w:rPr>
  </w:style>
  <w:style w:type="paragraph" w:customStyle="1" w:styleId="28">
    <w:name w:val="正文 New New New New"/>
    <w:next w:val="27"/>
    <w:qFormat/>
    <w:uiPriority w:val="0"/>
    <w:pPr>
      <w:widowControl w:val="0"/>
      <w:jc w:val="both"/>
    </w:pPr>
    <w:rPr>
      <w:rFonts w:ascii="Calibri" w:hAnsi="Calibri" w:eastAsia="宋体" w:cs="Times New Roman"/>
      <w:kern w:val="2"/>
      <w:sz w:val="21"/>
      <w:szCs w:val="22"/>
      <w:lang w:val="en-US" w:eastAsia="zh-CN" w:bidi="ar-SA"/>
    </w:rPr>
  </w:style>
  <w:style w:type="character" w:customStyle="1" w:styleId="29">
    <w:name w:val="批注框文本 字符"/>
    <w:link w:val="11"/>
    <w:qFormat/>
    <w:uiPriority w:val="0"/>
    <w:rPr>
      <w:rFonts w:ascii="Calibri" w:hAnsi="Calibri" w:eastAsia="仿宋" w:cs="Times New Roman"/>
      <w:kern w:val="2"/>
      <w:sz w:val="18"/>
      <w:szCs w:val="18"/>
    </w:rPr>
  </w:style>
  <w:style w:type="character" w:customStyle="1" w:styleId="30">
    <w:name w:val="页脚 字符"/>
    <w:link w:val="12"/>
    <w:qFormat/>
    <w:uiPriority w:val="99"/>
    <w:rPr>
      <w:rFonts w:eastAsia="仿宋"/>
      <w:kern w:val="2"/>
      <w:sz w:val="18"/>
      <w:szCs w:val="24"/>
    </w:rPr>
  </w:style>
  <w:style w:type="character" w:customStyle="1" w:styleId="31">
    <w:name w:val="xhebtnblocktag"/>
    <w:basedOn w:val="19"/>
    <w:qFormat/>
    <w:uiPriority w:val="0"/>
  </w:style>
  <w:style w:type="character" w:customStyle="1" w:styleId="32">
    <w:name w:val="xhebtnbold"/>
    <w:basedOn w:val="19"/>
    <w:qFormat/>
    <w:uiPriority w:val="0"/>
  </w:style>
  <w:style w:type="character" w:customStyle="1" w:styleId="33">
    <w:name w:val="xhebtnanchor"/>
    <w:basedOn w:val="19"/>
    <w:qFormat/>
    <w:uiPriority w:val="0"/>
  </w:style>
  <w:style w:type="character" w:customStyle="1" w:styleId="34">
    <w:name w:val="xhebtnindent"/>
    <w:basedOn w:val="19"/>
    <w:qFormat/>
    <w:uiPriority w:val="0"/>
  </w:style>
  <w:style w:type="character" w:customStyle="1" w:styleId="35">
    <w:name w:val="xheseparator"/>
    <w:basedOn w:val="19"/>
    <w:qFormat/>
    <w:uiPriority w:val="0"/>
  </w:style>
  <w:style w:type="character" w:customStyle="1" w:styleId="36">
    <w:name w:val="xhebtnprint"/>
    <w:basedOn w:val="19"/>
    <w:qFormat/>
    <w:uiPriority w:val="0"/>
  </w:style>
  <w:style w:type="character" w:customStyle="1" w:styleId="37">
    <w:name w:val="qxdate"/>
    <w:qFormat/>
    <w:uiPriority w:val="0"/>
    <w:rPr>
      <w:color w:val="333333"/>
      <w:sz w:val="18"/>
      <w:szCs w:val="18"/>
    </w:rPr>
  </w:style>
  <w:style w:type="character" w:customStyle="1" w:styleId="38">
    <w:name w:val="xhebtnstrikethrough"/>
    <w:basedOn w:val="19"/>
    <w:qFormat/>
    <w:uiPriority w:val="0"/>
  </w:style>
  <w:style w:type="character" w:customStyle="1" w:styleId="39">
    <w:name w:val="xhegend"/>
    <w:basedOn w:val="19"/>
    <w:qFormat/>
    <w:uiPriority w:val="0"/>
    <w:rPr>
      <w:vanish/>
    </w:rPr>
  </w:style>
  <w:style w:type="character" w:customStyle="1" w:styleId="40">
    <w:name w:val="redfilenumber"/>
    <w:qFormat/>
    <w:uiPriority w:val="0"/>
    <w:rPr>
      <w:color w:val="BA2636"/>
      <w:sz w:val="18"/>
      <w:szCs w:val="18"/>
    </w:rPr>
  </w:style>
  <w:style w:type="character" w:customStyle="1" w:styleId="41">
    <w:name w:val="xhebtnfontcolor"/>
    <w:basedOn w:val="19"/>
    <w:qFormat/>
    <w:uiPriority w:val="0"/>
  </w:style>
  <w:style w:type="character" w:customStyle="1" w:styleId="42">
    <w:name w:val="xhebtnunderline"/>
    <w:basedOn w:val="19"/>
    <w:qFormat/>
    <w:uiPriority w:val="0"/>
  </w:style>
  <w:style w:type="character" w:customStyle="1" w:styleId="43">
    <w:name w:val="xhebtnselectall"/>
    <w:basedOn w:val="19"/>
    <w:qFormat/>
    <w:uiPriority w:val="0"/>
  </w:style>
  <w:style w:type="character" w:customStyle="1" w:styleId="44">
    <w:name w:val="xhebtnpastetext"/>
    <w:basedOn w:val="19"/>
    <w:qFormat/>
    <w:uiPriority w:val="0"/>
  </w:style>
  <w:style w:type="character" w:customStyle="1" w:styleId="45">
    <w:name w:val="xhebtncopy"/>
    <w:basedOn w:val="19"/>
    <w:qFormat/>
    <w:uiPriority w:val="0"/>
  </w:style>
  <w:style w:type="character" w:customStyle="1" w:styleId="46">
    <w:name w:val="xhebtntable"/>
    <w:basedOn w:val="19"/>
    <w:qFormat/>
    <w:uiPriority w:val="0"/>
  </w:style>
  <w:style w:type="character" w:customStyle="1" w:styleId="47">
    <w:name w:val="xhebtnflash"/>
    <w:basedOn w:val="19"/>
    <w:qFormat/>
    <w:uiPriority w:val="0"/>
  </w:style>
  <w:style w:type="character" w:customStyle="1" w:styleId="48">
    <w:name w:val="xhebtnfontsize"/>
    <w:basedOn w:val="19"/>
    <w:qFormat/>
    <w:uiPriority w:val="0"/>
  </w:style>
  <w:style w:type="character" w:customStyle="1" w:styleId="49">
    <w:name w:val="xhebtnabout"/>
    <w:basedOn w:val="19"/>
    <w:qFormat/>
    <w:uiPriority w:val="0"/>
  </w:style>
  <w:style w:type="character" w:customStyle="1" w:styleId="50">
    <w:name w:val="gjfg"/>
    <w:basedOn w:val="19"/>
    <w:qFormat/>
    <w:uiPriority w:val="0"/>
  </w:style>
  <w:style w:type="character" w:customStyle="1" w:styleId="51">
    <w:name w:val="xhebtnlink"/>
    <w:basedOn w:val="19"/>
    <w:qFormat/>
    <w:uiPriority w:val="0"/>
  </w:style>
  <w:style w:type="character" w:customStyle="1" w:styleId="52">
    <w:name w:val="redfilefwwh"/>
    <w:qFormat/>
    <w:uiPriority w:val="0"/>
    <w:rPr>
      <w:color w:val="BA2636"/>
      <w:sz w:val="18"/>
      <w:szCs w:val="18"/>
    </w:rPr>
  </w:style>
  <w:style w:type="character" w:customStyle="1" w:styleId="53">
    <w:name w:val="xhebtnalign"/>
    <w:basedOn w:val="19"/>
    <w:qFormat/>
    <w:uiPriority w:val="0"/>
  </w:style>
  <w:style w:type="character" w:customStyle="1" w:styleId="54">
    <w:name w:val="xhebtnunlink"/>
    <w:basedOn w:val="19"/>
    <w:qFormat/>
    <w:uiPriority w:val="0"/>
  </w:style>
  <w:style w:type="character" w:customStyle="1" w:styleId="55">
    <w:name w:val="displayarti"/>
    <w:qFormat/>
    <w:uiPriority w:val="0"/>
    <w:rPr>
      <w:color w:val="FFFFFF"/>
      <w:shd w:val="clear" w:color="auto" w:fill="A00000"/>
    </w:rPr>
  </w:style>
  <w:style w:type="character" w:customStyle="1" w:styleId="56">
    <w:name w:val="xhebtnitalic"/>
    <w:basedOn w:val="19"/>
    <w:qFormat/>
    <w:uiPriority w:val="0"/>
  </w:style>
  <w:style w:type="character" w:customStyle="1" w:styleId="57">
    <w:name w:val="xhebtnmedia"/>
    <w:basedOn w:val="19"/>
    <w:qFormat/>
    <w:uiPriority w:val="0"/>
  </w:style>
  <w:style w:type="character" w:customStyle="1" w:styleId="58">
    <w:name w:val="xhebtncut"/>
    <w:basedOn w:val="19"/>
    <w:qFormat/>
    <w:uiPriority w:val="0"/>
  </w:style>
  <w:style w:type="character" w:customStyle="1" w:styleId="59">
    <w:name w:val="xhegstart"/>
    <w:basedOn w:val="19"/>
    <w:qFormat/>
    <w:uiPriority w:val="0"/>
    <w:rPr>
      <w:vanish/>
    </w:rPr>
  </w:style>
  <w:style w:type="character" w:customStyle="1" w:styleId="60">
    <w:name w:val="xheicon"/>
    <w:basedOn w:val="19"/>
    <w:qFormat/>
    <w:uiPriority w:val="0"/>
  </w:style>
  <w:style w:type="character" w:customStyle="1" w:styleId="61">
    <w:name w:val="tt-radio1"/>
    <w:basedOn w:val="19"/>
    <w:qFormat/>
    <w:uiPriority w:val="0"/>
  </w:style>
  <w:style w:type="character" w:customStyle="1" w:styleId="62">
    <w:name w:val="xhebtnremoveformat"/>
    <w:basedOn w:val="19"/>
    <w:qFormat/>
    <w:uiPriority w:val="0"/>
  </w:style>
  <w:style w:type="character" w:customStyle="1" w:styleId="63">
    <w:name w:val="xhebtnpaste"/>
    <w:basedOn w:val="19"/>
    <w:qFormat/>
    <w:uiPriority w:val="0"/>
  </w:style>
  <w:style w:type="character" w:customStyle="1" w:styleId="64">
    <w:name w:val="cfdate"/>
    <w:qFormat/>
    <w:uiPriority w:val="0"/>
    <w:rPr>
      <w:color w:val="333333"/>
      <w:sz w:val="18"/>
      <w:szCs w:val="18"/>
    </w:rPr>
  </w:style>
  <w:style w:type="character" w:customStyle="1" w:styleId="65">
    <w:name w:val="xhebtnfullscreen"/>
    <w:basedOn w:val="19"/>
    <w:qFormat/>
    <w:uiPriority w:val="0"/>
  </w:style>
  <w:style w:type="character" w:customStyle="1" w:styleId="66">
    <w:name w:val="xhebtnoutdent"/>
    <w:basedOn w:val="19"/>
    <w:qFormat/>
    <w:uiPriority w:val="0"/>
  </w:style>
  <w:style w:type="character" w:customStyle="1" w:styleId="67">
    <w:name w:val="xhebtnhr"/>
    <w:basedOn w:val="19"/>
    <w:qFormat/>
    <w:uiPriority w:val="0"/>
  </w:style>
  <w:style w:type="character" w:customStyle="1" w:styleId="68">
    <w:name w:val="xhebtnsource"/>
    <w:basedOn w:val="19"/>
    <w:qFormat/>
    <w:uiPriority w:val="0"/>
  </w:style>
  <w:style w:type="character" w:customStyle="1" w:styleId="69">
    <w:name w:val="xhebtnbackcolor"/>
    <w:basedOn w:val="19"/>
    <w:qFormat/>
    <w:uiPriority w:val="0"/>
  </w:style>
  <w:style w:type="character" w:customStyle="1" w:styleId="70">
    <w:name w:val="xhebtnlist"/>
    <w:basedOn w:val="19"/>
    <w:qFormat/>
    <w:uiPriority w:val="0"/>
  </w:style>
  <w:style w:type="character" w:customStyle="1" w:styleId="71">
    <w:name w:val="xhebtnimg"/>
    <w:basedOn w:val="19"/>
    <w:qFormat/>
    <w:uiPriority w:val="0"/>
  </w:style>
  <w:style w:type="character" w:customStyle="1" w:styleId="72">
    <w:name w:val="xhebtnpreview"/>
    <w:basedOn w:val="19"/>
    <w:qFormat/>
    <w:uiPriority w:val="0"/>
  </w:style>
  <w:style w:type="character" w:customStyle="1" w:styleId="73">
    <w:name w:val="xhebtnemot"/>
    <w:basedOn w:val="19"/>
    <w:qFormat/>
    <w:uiPriority w:val="0"/>
  </w:style>
  <w:style w:type="character" w:customStyle="1" w:styleId="74">
    <w:name w:val="xhebtnfontface"/>
    <w:basedOn w:val="19"/>
    <w:qFormat/>
    <w:uiPriority w:val="0"/>
  </w:style>
  <w:style w:type="paragraph" w:customStyle="1" w:styleId="75">
    <w:name w:val="列出段落11"/>
    <w:basedOn w:val="1"/>
    <w:qFormat/>
    <w:uiPriority w:val="34"/>
    <w:pPr>
      <w:ind w:firstLine="420" w:firstLineChars="200"/>
    </w:pPr>
    <w:rPr>
      <w:rFonts w:ascii="Calibri" w:hAnsi="Calibri" w:eastAsia="宋体" w:cs="Times New Roman"/>
      <w:szCs w:val="22"/>
      <w:lang w:val="zh-CN"/>
    </w:rPr>
  </w:style>
  <w:style w:type="paragraph" w:customStyle="1" w:styleId="7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8">
    <w:name w:val="样式N"/>
    <w:basedOn w:val="79"/>
    <w:qFormat/>
    <w:uiPriority w:val="0"/>
    <w:rPr>
      <w:sz w:val="30"/>
    </w:rPr>
  </w:style>
  <w:style w:type="paragraph" w:customStyle="1" w:styleId="79">
    <w:name w:val="样式H"/>
    <w:basedOn w:val="2"/>
    <w:next w:val="1"/>
    <w:qFormat/>
    <w:uiPriority w:val="0"/>
    <w:pPr>
      <w:spacing w:before="100" w:line="500" w:lineRule="exact"/>
    </w:pPr>
  </w:style>
  <w:style w:type="paragraph" w:customStyle="1" w:styleId="80">
    <w:name w:val="Normal New New New New"/>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8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82">
    <w:name w:val="正文 New New New New New New New New New New"/>
    <w:qFormat/>
    <w:uiPriority w:val="0"/>
    <w:pPr>
      <w:widowControl w:val="0"/>
      <w:adjustRightInd w:val="0"/>
      <w:spacing w:before="60" w:after="60" w:line="360" w:lineRule="auto"/>
      <w:ind w:firstLine="200" w:firstLineChars="200"/>
      <w:jc w:val="both"/>
      <w:textAlignment w:val="baseline"/>
    </w:pPr>
    <w:rPr>
      <w:rFonts w:ascii="Times New Roman" w:hAnsi="Times New Roman" w:eastAsia="宋体" w:cs="Times New Roman"/>
      <w:sz w:val="21"/>
      <w:lang w:val="en-US" w:eastAsia="zh-CN" w:bidi="ar-SA"/>
    </w:rPr>
  </w:style>
  <w:style w:type="paragraph" w:customStyle="1" w:styleId="83">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styleId="84">
    <w:name w:val="List Paragraph"/>
    <w:basedOn w:val="1"/>
    <w:qFormat/>
    <w:uiPriority w:val="34"/>
    <w:pPr>
      <w:ind w:firstLine="420" w:firstLineChars="200"/>
    </w:p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87">
    <w:name w:val="正文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8">
    <w:name w:val="题注4"/>
    <w:basedOn w:val="1"/>
    <w:next w:val="7"/>
    <w:qFormat/>
    <w:uiPriority w:val="0"/>
    <w:pPr>
      <w:ind w:left="-132" w:leftChars="-64" w:right="-105" w:rightChars="-50" w:hanging="2"/>
      <w:jc w:val="center"/>
    </w:pPr>
    <w:rPr>
      <w:b/>
      <w:color w:val="FF0000"/>
      <w:szCs w:val="21"/>
      <w:lang w:val="en-GB"/>
    </w:rPr>
  </w:style>
  <w:style w:type="paragraph" w:customStyle="1" w:styleId="8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1">
    <w:name w:val="WPSOffice手动目录 1"/>
    <w:qFormat/>
    <w:uiPriority w:val="0"/>
    <w:rPr>
      <w:rFonts w:ascii="Times New Roman" w:hAnsi="Times New Roman" w:eastAsia="宋体" w:cs="Times New Roman"/>
      <w:lang w:val="en-US" w:eastAsia="zh-CN" w:bidi="ar-SA"/>
    </w:rPr>
  </w:style>
  <w:style w:type="paragraph" w:customStyle="1" w:styleId="92">
    <w:name w:val="_Style 3"/>
    <w:basedOn w:val="1"/>
    <w:qFormat/>
    <w:uiPriority w:val="0"/>
    <w:pPr>
      <w:spacing w:line="360" w:lineRule="auto"/>
      <w:ind w:firstLine="420" w:firstLineChars="200"/>
    </w:pPr>
    <w:rPr>
      <w:rFonts w:ascii="Calibri" w:hAnsi="Calibri"/>
      <w:kern w:val="2"/>
      <w:sz w:val="21"/>
      <w:szCs w:val="22"/>
    </w:rPr>
  </w:style>
  <w:style w:type="paragraph" w:customStyle="1" w:styleId="93">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94">
    <w:name w:val="正文 New New New New New New New New New New New New New New New New New New New New New New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9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96">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97">
    <w:name w:val="正文 New New"/>
    <w:qFormat/>
    <w:uiPriority w:val="99"/>
    <w:pPr>
      <w:widowControl w:val="0"/>
      <w:numPr>
        <w:ilvl w:val="0"/>
        <w:numId w:val="2"/>
      </w:numPr>
      <w:jc w:val="both"/>
    </w:pPr>
    <w:rPr>
      <w:rFonts w:ascii="Times New Roman" w:hAnsi="Times New Roman" w:eastAsia="宋体" w:cs="Times New Roman"/>
      <w:kern w:val="2"/>
      <w:sz w:val="21"/>
      <w:szCs w:val="21"/>
      <w:lang w:val="en-US" w:eastAsia="zh-CN" w:bidi="ar-SA"/>
    </w:rPr>
  </w:style>
  <w:style w:type="paragraph" w:customStyle="1" w:styleId="98">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9">
    <w:name w:val="样式 行距: 1.5 倍行距 首行缩进:  2 字符"/>
    <w:basedOn w:val="1"/>
    <w:qFormat/>
    <w:uiPriority w:val="0"/>
    <w:pPr>
      <w:adjustRightInd w:val="0"/>
      <w:snapToGrid w:val="0"/>
      <w:spacing w:line="460" w:lineRule="exact"/>
    </w:pPr>
    <w:rPr>
      <w:sz w:val="24"/>
    </w:rPr>
  </w:style>
  <w:style w:type="table" w:customStyle="1" w:styleId="100">
    <w:name w:val="Table Normal"/>
    <w:semiHidden/>
    <w:unhideWhenUsed/>
    <w:qFormat/>
    <w:uiPriority w:val="0"/>
    <w:tblPr>
      <w:tblCellMar>
        <w:top w:w="0" w:type="dxa"/>
        <w:left w:w="0" w:type="dxa"/>
        <w:bottom w:w="0" w:type="dxa"/>
        <w:right w:w="0" w:type="dxa"/>
      </w:tblCellMar>
    </w:tblPr>
  </w:style>
  <w:style w:type="paragraph" w:customStyle="1" w:styleId="101">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4006</Words>
  <Characters>4668</Characters>
  <Lines>193</Lines>
  <Paragraphs>54</Paragraphs>
  <TotalTime>10</TotalTime>
  <ScaleCrop>false</ScaleCrop>
  <LinksUpToDate>false</LinksUpToDate>
  <CharactersWithSpaces>4704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2018-10-30T16:31:00Z</dcterms:created>
  <dc:creator>meimei</dc:creator>
  <cp:lastModifiedBy>Daishaoc</cp:lastModifiedBy>
  <cp:lastPrinted>2025-11-10T02:18:00Z</cp:lastPrinted>
  <dcterms:modified xsi:type="dcterms:W3CDTF">2025-12-19T07:25:55Z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D8C672AB099F4A62914AAD21442BE058_13</vt:lpwstr>
  </property>
  <property fmtid="{D5CDD505-2E9C-101B-9397-08002B2CF9AE}" pid="4" name="KSOTemplateDocerSaveRecord">
    <vt:lpwstr>eyJoZGlkIjoiYjkzN2U4ZjJkNTJjNDgxYmI4N2M2Mjg5YjVmOTg1NDkiLCJ1c2VySWQiOiI2NTU3NzExNTAifQ==</vt:lpwstr>
  </property>
</Properties>
</file>