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86DF307">
      <w:pPr>
        <w:pStyle w:val="35"/>
        <w:shd w:val="clear" w:color="auto" w:fill="auto"/>
        <w:spacing w:line="360" w:lineRule="auto"/>
        <w:jc w:val="center"/>
        <w:rPr>
          <w:rFonts w:hint="eastAsia" w:ascii="宋体" w:hAnsi="宋体" w:eastAsia="宋体" w:cs="宋体"/>
          <w:b/>
          <w:bCs/>
          <w:color w:val="auto"/>
          <w:spacing w:val="28"/>
          <w:sz w:val="84"/>
          <w:szCs w:val="84"/>
          <w:highlight w:val="none"/>
          <w:lang w:eastAsia="zh-CN"/>
        </w:rPr>
      </w:pPr>
      <w:bookmarkStart w:id="624" w:name="_GoBack"/>
      <w:bookmarkEnd w:id="624"/>
      <w:r>
        <w:rPr>
          <w:rFonts w:hint="eastAsia" w:ascii="宋体" w:hAnsi="宋体" w:eastAsia="宋体" w:cs="宋体"/>
          <w:b/>
          <w:bCs/>
          <w:color w:val="auto"/>
          <w:sz w:val="48"/>
          <w:szCs w:val="48"/>
          <w:highlight w:val="none"/>
          <w:lang w:eastAsia="zh-CN"/>
        </w:rPr>
        <w:t>韶关百年东街及周边历史街区城市更新项目（一期）工程总承包（EPC）</w:t>
      </w:r>
    </w:p>
    <w:p w14:paraId="1BCAD83B">
      <w:pPr>
        <w:pStyle w:val="35"/>
        <w:shd w:val="clear" w:color="auto" w:fill="auto"/>
        <w:spacing w:line="360" w:lineRule="auto"/>
        <w:jc w:val="center"/>
        <w:rPr>
          <w:rFonts w:hint="eastAsia" w:ascii="宋体" w:hAnsi="宋体" w:eastAsia="宋体" w:cs="宋体"/>
          <w:b/>
          <w:bCs/>
          <w:color w:val="auto"/>
          <w:spacing w:val="28"/>
          <w:sz w:val="84"/>
          <w:szCs w:val="84"/>
          <w:highlight w:val="none"/>
        </w:rPr>
      </w:pPr>
    </w:p>
    <w:p w14:paraId="0C1C9249">
      <w:pPr>
        <w:pStyle w:val="35"/>
        <w:shd w:val="clear" w:color="auto" w:fill="auto"/>
        <w:spacing w:line="360" w:lineRule="auto"/>
        <w:jc w:val="center"/>
        <w:rPr>
          <w:rFonts w:hint="eastAsia" w:ascii="宋体" w:hAnsi="宋体" w:eastAsia="宋体" w:cs="宋体"/>
          <w:b/>
          <w:bCs/>
          <w:color w:val="auto"/>
          <w:spacing w:val="26"/>
          <w:sz w:val="52"/>
          <w:szCs w:val="52"/>
          <w:highlight w:val="none"/>
          <w14:shadow w14:blurRad="50800" w14:dist="38100" w14:dir="2700000" w14:sx="100000" w14:sy="100000" w14:kx="0" w14:ky="0" w14:algn="tl">
            <w14:srgbClr w14:val="000000">
              <w14:alpha w14:val="60000"/>
            </w14:srgbClr>
          </w14:shadow>
        </w:rPr>
      </w:pPr>
      <w:r>
        <w:rPr>
          <w:rFonts w:hint="eastAsia" w:ascii="宋体" w:hAnsi="宋体" w:eastAsia="宋体" w:cs="宋体"/>
          <w:b/>
          <w:bCs/>
          <w:color w:val="auto"/>
          <w:spacing w:val="28"/>
          <w:sz w:val="84"/>
          <w:szCs w:val="84"/>
          <w:highlight w:val="none"/>
        </w:rPr>
        <w:t>招标文件</w:t>
      </w:r>
    </w:p>
    <w:p w14:paraId="1B5F50ED">
      <w:pPr>
        <w:pStyle w:val="37"/>
        <w:tabs>
          <w:tab w:val="left" w:pos="4935"/>
        </w:tabs>
        <w:jc w:val="center"/>
        <w:rPr>
          <w:rFonts w:asciiTheme="minorEastAsia" w:hAnsiTheme="minorEastAsia" w:eastAsiaTheme="minorEastAsia" w:cstheme="minorEastAsia"/>
          <w:b/>
          <w:color w:val="auto"/>
          <w:sz w:val="28"/>
          <w:szCs w:val="28"/>
          <w:highlight w:val="none"/>
        </w:rPr>
      </w:pPr>
    </w:p>
    <w:p w14:paraId="27D1E52B">
      <w:pPr>
        <w:pStyle w:val="37"/>
        <w:tabs>
          <w:tab w:val="left" w:pos="4935"/>
        </w:tabs>
        <w:jc w:val="center"/>
        <w:rPr>
          <w:rFonts w:asciiTheme="minorEastAsia" w:hAnsiTheme="minorEastAsia" w:eastAsiaTheme="minorEastAsia" w:cstheme="minorEastAsia"/>
          <w:b/>
          <w:color w:val="auto"/>
          <w:sz w:val="28"/>
          <w:szCs w:val="28"/>
          <w:highlight w:val="none"/>
        </w:rPr>
      </w:pPr>
    </w:p>
    <w:p w14:paraId="619CA2A8">
      <w:pPr>
        <w:pStyle w:val="37"/>
        <w:tabs>
          <w:tab w:val="left" w:pos="4935"/>
        </w:tabs>
        <w:jc w:val="center"/>
        <w:rPr>
          <w:rFonts w:asciiTheme="minorEastAsia" w:hAnsiTheme="minorEastAsia" w:eastAsiaTheme="minorEastAsia" w:cstheme="minorEastAsia"/>
          <w:b/>
          <w:color w:val="auto"/>
          <w:sz w:val="28"/>
          <w:szCs w:val="28"/>
          <w:highlight w:val="none"/>
        </w:rPr>
      </w:pPr>
    </w:p>
    <w:p w14:paraId="7BEA9175">
      <w:pPr>
        <w:pStyle w:val="37"/>
        <w:tabs>
          <w:tab w:val="left" w:pos="4935"/>
        </w:tabs>
        <w:jc w:val="center"/>
        <w:rPr>
          <w:rFonts w:asciiTheme="minorEastAsia" w:hAnsiTheme="minorEastAsia" w:eastAsiaTheme="minorEastAsia" w:cstheme="minorEastAsia"/>
          <w:b/>
          <w:color w:val="auto"/>
          <w:sz w:val="28"/>
          <w:szCs w:val="28"/>
          <w:highlight w:val="none"/>
        </w:rPr>
      </w:pPr>
    </w:p>
    <w:p w14:paraId="762787FC">
      <w:pPr>
        <w:pStyle w:val="37"/>
        <w:tabs>
          <w:tab w:val="left" w:pos="4935"/>
        </w:tabs>
        <w:jc w:val="center"/>
        <w:rPr>
          <w:rFonts w:asciiTheme="minorEastAsia" w:hAnsiTheme="minorEastAsia" w:eastAsiaTheme="minorEastAsia" w:cstheme="minorEastAsia"/>
          <w:b/>
          <w:color w:val="auto"/>
          <w:sz w:val="28"/>
          <w:szCs w:val="28"/>
          <w:highlight w:val="none"/>
        </w:rPr>
      </w:pPr>
    </w:p>
    <w:p w14:paraId="3F8A80E3">
      <w:pPr>
        <w:pStyle w:val="37"/>
        <w:tabs>
          <w:tab w:val="left" w:pos="4935"/>
        </w:tabs>
        <w:jc w:val="center"/>
        <w:rPr>
          <w:rFonts w:asciiTheme="minorEastAsia" w:hAnsiTheme="minorEastAsia" w:eastAsiaTheme="minorEastAsia" w:cstheme="minorEastAsia"/>
          <w:b/>
          <w:color w:val="auto"/>
          <w:sz w:val="28"/>
          <w:szCs w:val="28"/>
          <w:highlight w:val="none"/>
        </w:rPr>
      </w:pPr>
    </w:p>
    <w:tbl>
      <w:tblPr>
        <w:tblStyle w:val="23"/>
        <w:tblW w:w="9567"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
      <w:tblGrid>
        <w:gridCol w:w="4768"/>
        <w:gridCol w:w="4799"/>
      </w:tblGrid>
      <w:tr w14:paraId="1D263CE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917" w:hRule="atLeast"/>
          <w:jc w:val="center"/>
        </w:trPr>
        <w:tc>
          <w:tcPr>
            <w:tcW w:w="4768" w:type="dxa"/>
            <w:tcBorders>
              <w:top w:val="nil"/>
              <w:left w:val="nil"/>
              <w:bottom w:val="nil"/>
              <w:right w:val="nil"/>
            </w:tcBorders>
            <w:shd w:val="clear" w:color="auto" w:fill="auto"/>
            <w:vAlign w:val="center"/>
          </w:tcPr>
          <w:p w14:paraId="55D597C4">
            <w:pPr>
              <w:pStyle w:val="20"/>
              <w:keepNext w:val="0"/>
              <w:keepLines w:val="0"/>
              <w:widowControl w:val="0"/>
              <w:suppressLineNumbers w:val="0"/>
              <w:spacing w:before="0" w:beforeLines="0" w:beforeAutospacing="0" w:after="0" w:afterLines="0" w:afterAutospacing="0" w:line="360" w:lineRule="auto"/>
              <w:ind w:left="0" w:right="0" w:firstLine="280" w:firstLineChars="100"/>
              <w:jc w:val="both"/>
              <w:rPr>
                <w:rFonts w:hint="eastAsia" w:ascii="宋体" w:hAnsi="宋体" w:eastAsia="宋体" w:cs="宋体"/>
                <w:color w:val="auto"/>
                <w:kern w:val="2"/>
                <w:sz w:val="28"/>
                <w:szCs w:val="28"/>
                <w:highlight w:val="none"/>
              </w:rPr>
            </w:pPr>
            <w:r>
              <w:rPr>
                <w:rFonts w:hint="eastAsia" w:ascii="宋体" w:hAnsi="宋体" w:eastAsia="宋体" w:cs="宋体"/>
                <w:color w:val="auto"/>
                <w:kern w:val="2"/>
                <w:sz w:val="28"/>
                <w:szCs w:val="28"/>
                <w:highlight w:val="none"/>
                <w:lang w:val="en-US" w:eastAsia="zh-CN" w:bidi="ar"/>
              </w:rPr>
              <w:t>招      标      人（盖 章）：</w:t>
            </w:r>
          </w:p>
        </w:tc>
        <w:tc>
          <w:tcPr>
            <w:tcW w:w="4799" w:type="dxa"/>
            <w:tcBorders>
              <w:top w:val="nil"/>
              <w:left w:val="nil"/>
              <w:bottom w:val="nil"/>
              <w:right w:val="nil"/>
            </w:tcBorders>
            <w:shd w:val="clear" w:color="auto" w:fill="auto"/>
            <w:vAlign w:val="center"/>
          </w:tcPr>
          <w:p w14:paraId="1247DD2C">
            <w:pPr>
              <w:pStyle w:val="20"/>
              <w:keepNext w:val="0"/>
              <w:keepLines w:val="0"/>
              <w:widowControl w:val="0"/>
              <w:suppressLineNumbers w:val="0"/>
              <w:spacing w:before="0" w:beforeLines="0" w:beforeAutospacing="0" w:after="0" w:afterLines="0" w:afterAutospacing="0" w:line="360" w:lineRule="auto"/>
              <w:ind w:left="0" w:right="0"/>
              <w:jc w:val="both"/>
              <w:rPr>
                <w:rFonts w:hint="eastAsia" w:ascii="宋体" w:hAnsi="宋体" w:eastAsia="宋体" w:cs="宋体"/>
                <w:color w:val="auto"/>
                <w:kern w:val="0"/>
                <w:sz w:val="24"/>
                <w:szCs w:val="24"/>
                <w:highlight w:val="none"/>
              </w:rPr>
            </w:pPr>
            <w:r>
              <w:rPr>
                <w:rFonts w:hint="eastAsia" w:eastAsia="宋体" w:cs="宋体"/>
                <w:color w:val="auto"/>
                <w:kern w:val="2"/>
                <w:sz w:val="28"/>
                <w:szCs w:val="28"/>
                <w:highlight w:val="none"/>
                <w:lang w:val="en-US" w:eastAsia="zh-CN" w:bidi="ar"/>
              </w:rPr>
              <w:t>韶关市金沁城市更新投资有限公司</w:t>
            </w:r>
          </w:p>
        </w:tc>
      </w:tr>
      <w:tr w14:paraId="34B168F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902" w:hRule="atLeast"/>
          <w:jc w:val="center"/>
        </w:trPr>
        <w:tc>
          <w:tcPr>
            <w:tcW w:w="4768" w:type="dxa"/>
            <w:tcBorders>
              <w:top w:val="nil"/>
              <w:left w:val="nil"/>
              <w:bottom w:val="nil"/>
              <w:right w:val="nil"/>
            </w:tcBorders>
            <w:shd w:val="clear" w:color="auto" w:fill="auto"/>
            <w:vAlign w:val="center"/>
          </w:tcPr>
          <w:p w14:paraId="3AD9C87A">
            <w:pPr>
              <w:keepNext w:val="0"/>
              <w:keepLines w:val="0"/>
              <w:widowControl w:val="0"/>
              <w:suppressLineNumbers w:val="0"/>
              <w:spacing w:before="0" w:beforeLines="0" w:beforeAutospacing="0" w:after="0" w:afterLines="0" w:afterAutospacing="0"/>
              <w:ind w:left="0" w:right="0"/>
              <w:jc w:val="left"/>
              <w:rPr>
                <w:rFonts w:hint="eastAsia" w:ascii="宋体" w:hAnsi="宋体" w:eastAsia="宋体" w:cs="宋体"/>
                <w:color w:val="auto"/>
                <w:kern w:val="2"/>
                <w:sz w:val="28"/>
                <w:szCs w:val="28"/>
                <w:highlight w:val="none"/>
              </w:rPr>
            </w:pPr>
            <w:r>
              <w:rPr>
                <w:rFonts w:hint="eastAsia" w:ascii="宋体" w:hAnsi="宋体" w:eastAsia="宋体" w:cs="宋体"/>
                <w:color w:val="auto"/>
                <w:kern w:val="2"/>
                <w:sz w:val="28"/>
                <w:szCs w:val="28"/>
                <w:highlight w:val="none"/>
                <w:lang w:val="en-US" w:eastAsia="zh-CN" w:bidi="ar"/>
              </w:rPr>
              <w:t xml:space="preserve"> 招标人工作领导小组负责人（签字）：</w:t>
            </w:r>
          </w:p>
        </w:tc>
        <w:tc>
          <w:tcPr>
            <w:tcW w:w="4799" w:type="dxa"/>
            <w:tcBorders>
              <w:top w:val="nil"/>
              <w:left w:val="nil"/>
              <w:bottom w:val="nil"/>
              <w:right w:val="nil"/>
            </w:tcBorders>
            <w:shd w:val="clear" w:color="auto" w:fill="auto"/>
            <w:vAlign w:val="center"/>
          </w:tcPr>
          <w:p w14:paraId="32639634">
            <w:pPr>
              <w:keepNext w:val="0"/>
              <w:keepLines w:val="0"/>
              <w:widowControl w:val="0"/>
              <w:suppressLineNumbers w:val="0"/>
              <w:spacing w:before="0" w:beforeLines="0" w:beforeAutospacing="0" w:after="0" w:afterLines="0" w:afterAutospacing="0"/>
              <w:ind w:left="0" w:right="0"/>
              <w:jc w:val="both"/>
              <w:rPr>
                <w:rFonts w:hint="eastAsia" w:ascii="宋体" w:hAnsi="宋体" w:eastAsia="宋体" w:cs="宋体"/>
                <w:color w:val="auto"/>
                <w:kern w:val="2"/>
                <w:sz w:val="28"/>
                <w:szCs w:val="28"/>
                <w:highlight w:val="none"/>
              </w:rPr>
            </w:pPr>
          </w:p>
        </w:tc>
      </w:tr>
      <w:tr w14:paraId="5A27CA7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872" w:hRule="atLeast"/>
          <w:jc w:val="center"/>
        </w:trPr>
        <w:tc>
          <w:tcPr>
            <w:tcW w:w="4768" w:type="dxa"/>
            <w:tcBorders>
              <w:top w:val="nil"/>
              <w:left w:val="nil"/>
              <w:bottom w:val="nil"/>
              <w:right w:val="nil"/>
            </w:tcBorders>
            <w:shd w:val="clear" w:color="auto" w:fill="auto"/>
            <w:vAlign w:val="center"/>
          </w:tcPr>
          <w:p w14:paraId="1BF96D95">
            <w:pPr>
              <w:keepNext w:val="0"/>
              <w:keepLines w:val="0"/>
              <w:widowControl w:val="0"/>
              <w:suppressLineNumbers w:val="0"/>
              <w:spacing w:before="0" w:beforeLines="0" w:beforeAutospacing="0" w:after="0" w:afterLines="0" w:afterAutospacing="0"/>
              <w:ind w:left="0" w:right="0"/>
              <w:jc w:val="left"/>
              <w:rPr>
                <w:rFonts w:hint="eastAsia" w:ascii="宋体" w:hAnsi="宋体" w:eastAsia="宋体" w:cs="宋体"/>
                <w:color w:val="auto"/>
                <w:kern w:val="2"/>
                <w:sz w:val="28"/>
                <w:szCs w:val="28"/>
                <w:highlight w:val="none"/>
              </w:rPr>
            </w:pPr>
            <w:r>
              <w:rPr>
                <w:rFonts w:hint="eastAsia" w:ascii="宋体" w:hAnsi="宋体" w:eastAsia="宋体" w:cs="宋体"/>
                <w:color w:val="auto"/>
                <w:kern w:val="2"/>
                <w:sz w:val="28"/>
                <w:szCs w:val="28"/>
                <w:highlight w:val="none"/>
                <w:lang w:val="en-US" w:eastAsia="zh-CN" w:bidi="ar"/>
              </w:rPr>
              <w:t xml:space="preserve"> 招 标 代 理 机 构 （盖 章）：</w:t>
            </w:r>
          </w:p>
        </w:tc>
        <w:tc>
          <w:tcPr>
            <w:tcW w:w="4799" w:type="dxa"/>
            <w:tcBorders>
              <w:top w:val="nil"/>
              <w:left w:val="nil"/>
              <w:bottom w:val="nil"/>
              <w:right w:val="nil"/>
            </w:tcBorders>
            <w:shd w:val="clear" w:color="auto" w:fill="auto"/>
            <w:vAlign w:val="center"/>
          </w:tcPr>
          <w:p w14:paraId="039F6055">
            <w:pPr>
              <w:keepNext w:val="0"/>
              <w:keepLines w:val="0"/>
              <w:widowControl w:val="0"/>
              <w:suppressLineNumbers w:val="0"/>
              <w:spacing w:before="0" w:beforeLines="0" w:beforeAutospacing="0" w:after="0" w:afterLines="0" w:afterAutospacing="0"/>
              <w:ind w:left="0" w:right="0"/>
              <w:jc w:val="both"/>
              <w:rPr>
                <w:rFonts w:hint="eastAsia" w:ascii="宋体" w:hAnsi="宋体" w:eastAsia="宋体" w:cs="宋体"/>
                <w:color w:val="auto"/>
                <w:kern w:val="2"/>
                <w:sz w:val="28"/>
                <w:szCs w:val="28"/>
                <w:highlight w:val="none"/>
              </w:rPr>
            </w:pPr>
            <w:r>
              <w:rPr>
                <w:rFonts w:hint="eastAsia" w:hAnsi="宋体" w:eastAsia="宋体" w:cs="宋体"/>
                <w:color w:val="auto"/>
                <w:kern w:val="2"/>
                <w:sz w:val="28"/>
                <w:szCs w:val="28"/>
                <w:highlight w:val="none"/>
                <w:lang w:val="en-US" w:eastAsia="zh-CN" w:bidi="ar"/>
              </w:rPr>
              <w:t>韶关市建韶工程造价咨询有限公司</w:t>
            </w:r>
          </w:p>
        </w:tc>
      </w:tr>
      <w:tr w14:paraId="00C8237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921" w:hRule="atLeast"/>
          <w:jc w:val="center"/>
        </w:trPr>
        <w:tc>
          <w:tcPr>
            <w:tcW w:w="4768" w:type="dxa"/>
            <w:tcBorders>
              <w:top w:val="nil"/>
              <w:left w:val="nil"/>
              <w:bottom w:val="nil"/>
              <w:right w:val="nil"/>
            </w:tcBorders>
            <w:shd w:val="clear" w:color="auto" w:fill="auto"/>
            <w:vAlign w:val="center"/>
          </w:tcPr>
          <w:p w14:paraId="5C39CAF6">
            <w:pPr>
              <w:keepNext w:val="0"/>
              <w:keepLines w:val="0"/>
              <w:widowControl w:val="0"/>
              <w:suppressLineNumbers w:val="0"/>
              <w:spacing w:before="0" w:beforeLines="0" w:beforeAutospacing="0" w:after="0" w:afterLines="0" w:afterAutospacing="0"/>
              <w:ind w:left="0" w:right="0"/>
              <w:jc w:val="left"/>
              <w:rPr>
                <w:rFonts w:hint="eastAsia" w:ascii="宋体" w:hAnsi="宋体" w:eastAsia="宋体" w:cs="宋体"/>
                <w:color w:val="auto"/>
                <w:kern w:val="2"/>
                <w:sz w:val="28"/>
                <w:szCs w:val="28"/>
                <w:highlight w:val="none"/>
              </w:rPr>
            </w:pPr>
            <w:r>
              <w:rPr>
                <w:rFonts w:hint="eastAsia" w:ascii="宋体" w:hAnsi="宋体" w:eastAsia="宋体" w:cs="宋体"/>
                <w:color w:val="auto"/>
                <w:kern w:val="2"/>
                <w:sz w:val="28"/>
                <w:szCs w:val="28"/>
                <w:highlight w:val="none"/>
                <w:lang w:val="en-US" w:eastAsia="zh-CN" w:bidi="ar"/>
              </w:rPr>
              <w:t xml:space="preserve"> 招 标 文 件 编 制 人（签字）：</w:t>
            </w:r>
          </w:p>
        </w:tc>
        <w:tc>
          <w:tcPr>
            <w:tcW w:w="4799" w:type="dxa"/>
            <w:tcBorders>
              <w:top w:val="nil"/>
              <w:left w:val="nil"/>
              <w:bottom w:val="nil"/>
              <w:right w:val="nil"/>
            </w:tcBorders>
            <w:shd w:val="clear" w:color="auto" w:fill="auto"/>
            <w:vAlign w:val="center"/>
          </w:tcPr>
          <w:p w14:paraId="733A5552">
            <w:pPr>
              <w:keepNext w:val="0"/>
              <w:keepLines w:val="0"/>
              <w:widowControl w:val="0"/>
              <w:suppressLineNumbers w:val="0"/>
              <w:spacing w:before="0" w:beforeLines="0" w:beforeAutospacing="0" w:after="0" w:afterLines="0" w:afterAutospacing="0"/>
              <w:ind w:left="0" w:right="0"/>
              <w:jc w:val="both"/>
              <w:rPr>
                <w:rFonts w:hint="eastAsia" w:ascii="宋体" w:hAnsi="宋体" w:eastAsia="宋体" w:cs="宋体"/>
                <w:color w:val="auto"/>
                <w:kern w:val="2"/>
                <w:sz w:val="28"/>
                <w:szCs w:val="28"/>
                <w:highlight w:val="none"/>
              </w:rPr>
            </w:pPr>
          </w:p>
        </w:tc>
      </w:tr>
      <w:tr w14:paraId="172E588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857" w:hRule="atLeast"/>
          <w:jc w:val="center"/>
        </w:trPr>
        <w:tc>
          <w:tcPr>
            <w:tcW w:w="4768" w:type="dxa"/>
            <w:tcBorders>
              <w:top w:val="nil"/>
              <w:left w:val="nil"/>
              <w:bottom w:val="nil"/>
              <w:right w:val="nil"/>
            </w:tcBorders>
            <w:shd w:val="clear" w:color="auto" w:fill="auto"/>
            <w:vAlign w:val="center"/>
          </w:tcPr>
          <w:p w14:paraId="2C546F75">
            <w:pPr>
              <w:keepNext w:val="0"/>
              <w:keepLines w:val="0"/>
              <w:widowControl w:val="0"/>
              <w:suppressLineNumbers w:val="0"/>
              <w:wordWrap w:val="0"/>
              <w:spacing w:before="0" w:beforeLines="0" w:beforeAutospacing="0" w:after="0" w:afterLines="0" w:afterAutospacing="0"/>
              <w:ind w:left="0" w:right="0"/>
              <w:jc w:val="left"/>
              <w:rPr>
                <w:rFonts w:hint="eastAsia" w:ascii="宋体" w:hAnsi="宋体" w:eastAsia="宋体" w:cs="宋体"/>
                <w:color w:val="auto"/>
                <w:kern w:val="2"/>
                <w:sz w:val="28"/>
                <w:szCs w:val="28"/>
                <w:highlight w:val="none"/>
              </w:rPr>
            </w:pPr>
            <w:r>
              <w:rPr>
                <w:rFonts w:hint="eastAsia" w:ascii="宋体" w:hAnsi="宋体" w:eastAsia="宋体" w:cs="宋体"/>
                <w:color w:val="auto"/>
                <w:kern w:val="2"/>
                <w:sz w:val="28"/>
                <w:szCs w:val="28"/>
                <w:highlight w:val="none"/>
                <w:lang w:val="en-US" w:eastAsia="zh-CN" w:bidi="ar"/>
              </w:rPr>
              <w:t xml:space="preserve"> 招标代理机构项目负责人（签字）：</w:t>
            </w:r>
          </w:p>
        </w:tc>
        <w:tc>
          <w:tcPr>
            <w:tcW w:w="4799" w:type="dxa"/>
            <w:tcBorders>
              <w:top w:val="nil"/>
              <w:left w:val="nil"/>
              <w:bottom w:val="nil"/>
              <w:right w:val="nil"/>
            </w:tcBorders>
            <w:shd w:val="clear" w:color="auto" w:fill="auto"/>
            <w:vAlign w:val="center"/>
          </w:tcPr>
          <w:p w14:paraId="616E209E">
            <w:pPr>
              <w:keepNext w:val="0"/>
              <w:keepLines w:val="0"/>
              <w:widowControl w:val="0"/>
              <w:suppressLineNumbers w:val="0"/>
              <w:spacing w:before="0" w:beforeLines="0" w:beforeAutospacing="0" w:after="0" w:afterLines="0" w:afterAutospacing="0"/>
              <w:ind w:left="0" w:right="0"/>
              <w:jc w:val="both"/>
              <w:rPr>
                <w:rFonts w:hint="eastAsia" w:ascii="宋体" w:hAnsi="宋体" w:eastAsia="宋体" w:cs="宋体"/>
                <w:color w:val="auto"/>
                <w:kern w:val="2"/>
                <w:sz w:val="28"/>
                <w:szCs w:val="28"/>
                <w:highlight w:val="none"/>
              </w:rPr>
            </w:pPr>
          </w:p>
        </w:tc>
      </w:tr>
      <w:tr w14:paraId="659C662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888" w:hRule="atLeast"/>
          <w:jc w:val="center"/>
        </w:trPr>
        <w:tc>
          <w:tcPr>
            <w:tcW w:w="4768" w:type="dxa"/>
            <w:tcBorders>
              <w:top w:val="nil"/>
              <w:left w:val="nil"/>
              <w:bottom w:val="nil"/>
              <w:right w:val="nil"/>
            </w:tcBorders>
            <w:shd w:val="clear" w:color="auto" w:fill="auto"/>
            <w:vAlign w:val="center"/>
          </w:tcPr>
          <w:p w14:paraId="03C596F8">
            <w:pPr>
              <w:keepNext w:val="0"/>
              <w:keepLines w:val="0"/>
              <w:widowControl w:val="0"/>
              <w:suppressLineNumbers w:val="0"/>
              <w:wordWrap w:val="0"/>
              <w:spacing w:before="0" w:beforeLines="0" w:beforeAutospacing="0" w:after="0" w:afterLines="0" w:afterAutospacing="0"/>
              <w:ind w:left="0" w:right="0"/>
              <w:jc w:val="left"/>
              <w:rPr>
                <w:rFonts w:hint="eastAsia" w:ascii="宋体" w:hAnsi="宋体" w:eastAsia="宋体" w:cs="宋体"/>
                <w:color w:val="auto"/>
                <w:kern w:val="2"/>
                <w:sz w:val="28"/>
                <w:szCs w:val="28"/>
                <w:highlight w:val="none"/>
              </w:rPr>
            </w:pPr>
            <w:r>
              <w:rPr>
                <w:rFonts w:hint="eastAsia" w:ascii="宋体" w:hAnsi="宋体" w:eastAsia="宋体" w:cs="宋体"/>
                <w:color w:val="auto"/>
                <w:kern w:val="2"/>
                <w:sz w:val="28"/>
                <w:szCs w:val="28"/>
                <w:highlight w:val="none"/>
                <w:lang w:val="en-US" w:eastAsia="zh-CN" w:bidi="ar"/>
              </w:rPr>
              <w:t xml:space="preserve"> 招  标  文  件  编  制  日  期：</w:t>
            </w:r>
          </w:p>
        </w:tc>
        <w:tc>
          <w:tcPr>
            <w:tcW w:w="4799" w:type="dxa"/>
            <w:tcBorders>
              <w:top w:val="nil"/>
              <w:left w:val="nil"/>
              <w:bottom w:val="nil"/>
              <w:right w:val="nil"/>
            </w:tcBorders>
            <w:shd w:val="clear" w:color="auto" w:fill="auto"/>
            <w:vAlign w:val="center"/>
          </w:tcPr>
          <w:p w14:paraId="32DC0C6F">
            <w:pPr>
              <w:keepNext w:val="0"/>
              <w:keepLines w:val="0"/>
              <w:widowControl w:val="0"/>
              <w:suppressLineNumbers w:val="0"/>
              <w:spacing w:before="0" w:beforeLines="0" w:beforeAutospacing="0" w:after="0" w:afterLines="0" w:afterAutospacing="0"/>
              <w:ind w:left="0" w:right="0"/>
              <w:jc w:val="both"/>
              <w:rPr>
                <w:rFonts w:hint="eastAsia" w:ascii="宋体" w:hAnsi="宋体" w:eastAsia="宋体" w:cs="宋体"/>
                <w:color w:val="auto"/>
                <w:kern w:val="2"/>
                <w:sz w:val="28"/>
                <w:szCs w:val="28"/>
                <w:highlight w:val="none"/>
              </w:rPr>
            </w:pPr>
            <w:r>
              <w:rPr>
                <w:rFonts w:hint="eastAsia" w:ascii="宋体" w:hAnsi="宋体" w:eastAsia="宋体" w:cs="宋体"/>
                <w:color w:val="auto"/>
                <w:kern w:val="2"/>
                <w:sz w:val="28"/>
                <w:szCs w:val="28"/>
                <w:highlight w:val="none"/>
                <w:lang w:val="en-US" w:eastAsia="zh-CN" w:bidi="ar"/>
              </w:rPr>
              <w:t xml:space="preserve">   2026年</w:t>
            </w:r>
            <w:r>
              <w:rPr>
                <w:rFonts w:hint="eastAsia" w:hAnsi="宋体" w:eastAsia="宋体" w:cs="宋体"/>
                <w:color w:val="auto"/>
                <w:kern w:val="2"/>
                <w:sz w:val="28"/>
                <w:szCs w:val="28"/>
                <w:highlight w:val="none"/>
                <w:lang w:val="en-US" w:eastAsia="zh-CN" w:bidi="ar"/>
              </w:rPr>
              <w:t>9</w:t>
            </w:r>
            <w:r>
              <w:rPr>
                <w:rFonts w:hint="eastAsia" w:ascii="宋体" w:hAnsi="宋体" w:eastAsia="宋体" w:cs="宋体"/>
                <w:color w:val="auto"/>
                <w:kern w:val="2"/>
                <w:sz w:val="28"/>
                <w:szCs w:val="28"/>
                <w:highlight w:val="none"/>
                <w:lang w:val="en-US" w:eastAsia="zh-CN" w:bidi="ar"/>
              </w:rPr>
              <w:t>月</w:t>
            </w:r>
          </w:p>
        </w:tc>
      </w:tr>
    </w:tbl>
    <w:p w14:paraId="219E47AC">
      <w:pPr>
        <w:pStyle w:val="37"/>
        <w:tabs>
          <w:tab w:val="left" w:pos="4935"/>
        </w:tabs>
        <w:jc w:val="center"/>
        <w:rPr>
          <w:rFonts w:asciiTheme="minorEastAsia" w:hAnsiTheme="minorEastAsia" w:eastAsiaTheme="minorEastAsia" w:cstheme="minorEastAsia"/>
          <w:b/>
          <w:color w:val="auto"/>
          <w:sz w:val="28"/>
          <w:szCs w:val="28"/>
          <w:highlight w:val="none"/>
        </w:rPr>
        <w:sectPr>
          <w:footerReference r:id="rId3" w:type="default"/>
          <w:endnotePr>
            <w:numFmt w:val="decimal"/>
          </w:endnotePr>
          <w:pgSz w:w="11905" w:h="16838"/>
          <w:pgMar w:top="1134" w:right="1134" w:bottom="1134" w:left="1417" w:header="850" w:footer="752" w:gutter="0"/>
          <w:pgBorders>
            <w:top w:val="none" w:sz="0" w:space="0"/>
            <w:left w:val="none" w:sz="0" w:space="0"/>
            <w:bottom w:val="none" w:sz="0" w:space="0"/>
            <w:right w:val="none" w:sz="0" w:space="0"/>
          </w:pgBorders>
          <w:pgNumType w:start="1"/>
          <w:cols w:space="0" w:num="1"/>
          <w:rtlGutter w:val="0"/>
          <w:docGrid w:linePitch="312" w:charSpace="0"/>
        </w:sectPr>
      </w:pPr>
    </w:p>
    <w:p w14:paraId="718589EE">
      <w:pPr>
        <w:pStyle w:val="37"/>
        <w:tabs>
          <w:tab w:val="left" w:pos="4935"/>
        </w:tabs>
        <w:jc w:val="center"/>
        <w:rPr>
          <w:rFonts w:asciiTheme="minorEastAsia" w:hAnsiTheme="minorEastAsia" w:eastAsiaTheme="minorEastAsia" w:cstheme="minorEastAsia"/>
          <w:b/>
          <w:color w:val="auto"/>
          <w:sz w:val="28"/>
          <w:szCs w:val="28"/>
          <w:highlight w:val="none"/>
        </w:rPr>
      </w:pPr>
    </w:p>
    <w:p w14:paraId="66FB6965">
      <w:pPr>
        <w:rPr>
          <w:rFonts w:hint="eastAsia" w:asciiTheme="minorEastAsia" w:hAnsiTheme="minorEastAsia" w:eastAsiaTheme="minorEastAsia" w:cstheme="minorEastAsia"/>
          <w:b/>
          <w:color w:val="auto"/>
          <w:sz w:val="28"/>
          <w:szCs w:val="28"/>
          <w:highlight w:val="none"/>
        </w:rPr>
      </w:pPr>
      <w:r>
        <w:rPr>
          <w:rFonts w:hint="eastAsia" w:asciiTheme="minorEastAsia" w:hAnsiTheme="minorEastAsia" w:eastAsiaTheme="minorEastAsia" w:cstheme="minorEastAsia"/>
          <w:b/>
          <w:color w:val="auto"/>
          <w:sz w:val="28"/>
          <w:szCs w:val="28"/>
          <w:highlight w:val="none"/>
        </w:rPr>
        <w:br w:type="page"/>
      </w:r>
    </w:p>
    <w:p w14:paraId="0CA51632">
      <w:pPr>
        <w:pStyle w:val="37"/>
        <w:tabs>
          <w:tab w:val="left" w:pos="4935"/>
        </w:tabs>
        <w:jc w:val="center"/>
        <w:rPr>
          <w:rFonts w:asciiTheme="minorEastAsia" w:hAnsiTheme="minorEastAsia" w:eastAsiaTheme="minorEastAsia" w:cstheme="minorEastAsia"/>
          <w:b/>
          <w:color w:val="auto"/>
          <w:sz w:val="28"/>
          <w:szCs w:val="28"/>
          <w:highlight w:val="none"/>
        </w:rPr>
      </w:pPr>
      <w:r>
        <w:rPr>
          <w:rFonts w:hint="eastAsia" w:asciiTheme="minorEastAsia" w:hAnsiTheme="minorEastAsia" w:eastAsiaTheme="minorEastAsia" w:cstheme="minorEastAsia"/>
          <w:b/>
          <w:color w:val="auto"/>
          <w:sz w:val="28"/>
          <w:szCs w:val="28"/>
          <w:highlight w:val="none"/>
        </w:rPr>
        <w:t>目    录</w:t>
      </w:r>
    </w:p>
    <w:p w14:paraId="7074D822">
      <w:pPr>
        <w:pStyle w:val="16"/>
        <w:tabs>
          <w:tab w:val="right" w:leader="dot" w:pos="9354"/>
        </w:tabs>
        <w:spacing w:line="360" w:lineRule="auto"/>
        <w:rPr>
          <w:color w:val="auto"/>
          <w:highlight w:val="none"/>
        </w:rPr>
      </w:pPr>
      <w:r>
        <w:rPr>
          <w:rFonts w:asciiTheme="minorEastAsia" w:hAnsiTheme="minorEastAsia" w:eastAsiaTheme="minorEastAsia" w:cstheme="minorEastAsia"/>
          <w:color w:val="auto"/>
          <w:szCs w:val="21"/>
          <w:highlight w:val="none"/>
        </w:rPr>
        <w:fldChar w:fldCharType="begin"/>
      </w:r>
      <w:r>
        <w:rPr>
          <w:rFonts w:asciiTheme="minorEastAsia" w:hAnsiTheme="minorEastAsia" w:eastAsiaTheme="minorEastAsia" w:cstheme="minorEastAsia"/>
          <w:color w:val="auto"/>
          <w:szCs w:val="21"/>
          <w:highlight w:val="none"/>
        </w:rPr>
        <w:instrText xml:space="preserve"> TOC \o "1-4" \h \z </w:instrText>
      </w:r>
      <w:r>
        <w:rPr>
          <w:rFonts w:asciiTheme="minorEastAsia" w:hAnsiTheme="minorEastAsia" w:eastAsiaTheme="minorEastAsia" w:cstheme="minorEastAsia"/>
          <w:color w:val="auto"/>
          <w:szCs w:val="21"/>
          <w:highlight w:val="none"/>
        </w:rPr>
        <w:fldChar w:fldCharType="separate"/>
      </w:r>
      <w:r>
        <w:rPr>
          <w:rFonts w:asciiTheme="minorEastAsia" w:hAnsiTheme="minorEastAsia" w:eastAsiaTheme="minorEastAsia" w:cstheme="minorEastAsia"/>
          <w:color w:val="auto"/>
          <w:szCs w:val="21"/>
          <w:highlight w:val="none"/>
        </w:rPr>
        <w:fldChar w:fldCharType="begin"/>
      </w:r>
      <w:r>
        <w:rPr>
          <w:rFonts w:asciiTheme="minorEastAsia" w:hAnsiTheme="minorEastAsia" w:eastAsiaTheme="minorEastAsia" w:cstheme="minorEastAsia"/>
          <w:color w:val="auto"/>
          <w:szCs w:val="21"/>
          <w:highlight w:val="none"/>
        </w:rPr>
        <w:instrText xml:space="preserve"> HYPERLINK \l _Toc29310 </w:instrText>
      </w:r>
      <w:r>
        <w:rPr>
          <w:rFonts w:asciiTheme="minorEastAsia" w:hAnsiTheme="minorEastAsia" w:eastAsiaTheme="minorEastAsia" w:cstheme="minorEastAsia"/>
          <w:color w:val="auto"/>
          <w:szCs w:val="21"/>
          <w:highlight w:val="none"/>
        </w:rPr>
        <w:fldChar w:fldCharType="separate"/>
      </w:r>
      <w:r>
        <w:rPr>
          <w:rFonts w:hint="eastAsia" w:asciiTheme="minorEastAsia" w:hAnsiTheme="minorEastAsia" w:eastAsiaTheme="minorEastAsia" w:cstheme="minorEastAsia"/>
          <w:color w:val="auto"/>
          <w:kern w:val="44"/>
          <w:szCs w:val="36"/>
          <w:highlight w:val="none"/>
        </w:rPr>
        <w:t>第一章投标须知</w:t>
      </w:r>
      <w:r>
        <w:rPr>
          <w:color w:val="auto"/>
          <w:highlight w:val="none"/>
        </w:rPr>
        <w:tab/>
      </w:r>
      <w:r>
        <w:rPr>
          <w:color w:val="auto"/>
          <w:highlight w:val="none"/>
        </w:rPr>
        <w:fldChar w:fldCharType="begin"/>
      </w:r>
      <w:r>
        <w:rPr>
          <w:color w:val="auto"/>
          <w:highlight w:val="none"/>
        </w:rPr>
        <w:instrText xml:space="preserve"> PAGEREF _Toc29310 \h </w:instrText>
      </w:r>
      <w:r>
        <w:rPr>
          <w:color w:val="auto"/>
          <w:highlight w:val="none"/>
        </w:rPr>
        <w:fldChar w:fldCharType="separate"/>
      </w:r>
      <w:r>
        <w:rPr>
          <w:color w:val="auto"/>
          <w:highlight w:val="none"/>
        </w:rPr>
        <w:t>1</w:t>
      </w:r>
      <w:r>
        <w:rPr>
          <w:color w:val="auto"/>
          <w:highlight w:val="none"/>
        </w:rPr>
        <w:fldChar w:fldCharType="end"/>
      </w:r>
      <w:r>
        <w:rPr>
          <w:rFonts w:asciiTheme="minorEastAsia" w:hAnsiTheme="minorEastAsia" w:eastAsiaTheme="minorEastAsia" w:cstheme="minorEastAsia"/>
          <w:color w:val="auto"/>
          <w:szCs w:val="21"/>
          <w:highlight w:val="none"/>
        </w:rPr>
        <w:fldChar w:fldCharType="end"/>
      </w:r>
    </w:p>
    <w:p w14:paraId="075BC77E">
      <w:pPr>
        <w:pStyle w:val="18"/>
        <w:tabs>
          <w:tab w:val="right" w:leader="dot" w:pos="9354"/>
        </w:tabs>
        <w:spacing w:line="360" w:lineRule="auto"/>
        <w:rPr>
          <w:color w:val="auto"/>
          <w:highlight w:val="none"/>
        </w:rPr>
      </w:pPr>
      <w:r>
        <w:rPr>
          <w:rFonts w:hint="eastAsia" w:asciiTheme="minorEastAsia" w:hAnsiTheme="minorEastAsia" w:eastAsiaTheme="minorEastAsia" w:cstheme="minorEastAsia"/>
          <w:color w:val="auto"/>
          <w:szCs w:val="21"/>
          <w:highlight w:val="none"/>
        </w:rPr>
        <w:fldChar w:fldCharType="begin"/>
      </w:r>
      <w:r>
        <w:rPr>
          <w:rFonts w:hint="eastAsia" w:asciiTheme="minorEastAsia" w:hAnsiTheme="minorEastAsia" w:eastAsiaTheme="minorEastAsia" w:cstheme="minorEastAsia"/>
          <w:color w:val="auto"/>
          <w:szCs w:val="21"/>
          <w:highlight w:val="none"/>
        </w:rPr>
        <w:instrText xml:space="preserve"> HYPERLINK \l _Toc11314 </w:instrText>
      </w:r>
      <w:r>
        <w:rPr>
          <w:rFonts w:hint="eastAsia" w:asciiTheme="minorEastAsia" w:hAnsiTheme="minorEastAsia" w:eastAsiaTheme="minorEastAsia" w:cstheme="minorEastAsia"/>
          <w:color w:val="auto"/>
          <w:szCs w:val="21"/>
          <w:highlight w:val="none"/>
        </w:rPr>
        <w:fldChar w:fldCharType="separate"/>
      </w:r>
      <w:r>
        <w:rPr>
          <w:rFonts w:hint="eastAsia" w:asciiTheme="minorEastAsia" w:hAnsiTheme="minorEastAsia" w:eastAsiaTheme="minorEastAsia" w:cstheme="minorEastAsia"/>
          <w:color w:val="auto"/>
          <w:kern w:val="2"/>
          <w:highlight w:val="none"/>
        </w:rPr>
        <w:t>第一节.投标须知前附表</w:t>
      </w:r>
      <w:r>
        <w:rPr>
          <w:color w:val="auto"/>
          <w:highlight w:val="none"/>
        </w:rPr>
        <w:tab/>
      </w:r>
      <w:r>
        <w:rPr>
          <w:color w:val="auto"/>
          <w:highlight w:val="none"/>
        </w:rPr>
        <w:fldChar w:fldCharType="begin"/>
      </w:r>
      <w:r>
        <w:rPr>
          <w:color w:val="auto"/>
          <w:highlight w:val="none"/>
        </w:rPr>
        <w:instrText xml:space="preserve"> PAGEREF _Toc11314 \h </w:instrText>
      </w:r>
      <w:r>
        <w:rPr>
          <w:color w:val="auto"/>
          <w:highlight w:val="none"/>
        </w:rPr>
        <w:fldChar w:fldCharType="separate"/>
      </w:r>
      <w:r>
        <w:rPr>
          <w:color w:val="auto"/>
          <w:highlight w:val="none"/>
        </w:rPr>
        <w:t>1</w:t>
      </w:r>
      <w:r>
        <w:rPr>
          <w:color w:val="auto"/>
          <w:highlight w:val="none"/>
        </w:rPr>
        <w:fldChar w:fldCharType="end"/>
      </w:r>
      <w:r>
        <w:rPr>
          <w:rFonts w:hint="eastAsia" w:asciiTheme="minorEastAsia" w:hAnsiTheme="minorEastAsia" w:eastAsiaTheme="minorEastAsia" w:cstheme="minorEastAsia"/>
          <w:color w:val="auto"/>
          <w:szCs w:val="21"/>
          <w:highlight w:val="none"/>
        </w:rPr>
        <w:fldChar w:fldCharType="end"/>
      </w:r>
    </w:p>
    <w:p w14:paraId="6ECBC609">
      <w:pPr>
        <w:pStyle w:val="18"/>
        <w:tabs>
          <w:tab w:val="right" w:leader="dot" w:pos="9354"/>
        </w:tabs>
        <w:spacing w:line="360" w:lineRule="auto"/>
        <w:rPr>
          <w:color w:val="auto"/>
          <w:highlight w:val="none"/>
        </w:rPr>
      </w:pPr>
      <w:r>
        <w:rPr>
          <w:rFonts w:hint="eastAsia" w:asciiTheme="minorEastAsia" w:hAnsiTheme="minorEastAsia" w:eastAsiaTheme="minorEastAsia" w:cstheme="minorEastAsia"/>
          <w:color w:val="auto"/>
          <w:szCs w:val="21"/>
          <w:highlight w:val="none"/>
        </w:rPr>
        <w:fldChar w:fldCharType="begin"/>
      </w:r>
      <w:r>
        <w:rPr>
          <w:rFonts w:hint="eastAsia" w:asciiTheme="minorEastAsia" w:hAnsiTheme="minorEastAsia" w:eastAsiaTheme="minorEastAsia" w:cstheme="minorEastAsia"/>
          <w:color w:val="auto"/>
          <w:szCs w:val="21"/>
          <w:highlight w:val="none"/>
        </w:rPr>
        <w:instrText xml:space="preserve"> HYPERLINK \l _Toc26160 </w:instrText>
      </w:r>
      <w:r>
        <w:rPr>
          <w:rFonts w:hint="eastAsia" w:asciiTheme="minorEastAsia" w:hAnsiTheme="minorEastAsia" w:eastAsiaTheme="minorEastAsia" w:cstheme="minorEastAsia"/>
          <w:color w:val="auto"/>
          <w:szCs w:val="21"/>
          <w:highlight w:val="none"/>
        </w:rPr>
        <w:fldChar w:fldCharType="separate"/>
      </w:r>
      <w:r>
        <w:rPr>
          <w:rFonts w:asciiTheme="minorEastAsia" w:hAnsiTheme="minorEastAsia" w:eastAsiaTheme="minorEastAsia" w:cstheme="minorEastAsia"/>
          <w:color w:val="auto"/>
          <w:kern w:val="2"/>
          <w:szCs w:val="24"/>
          <w:highlight w:val="none"/>
        </w:rPr>
        <w:t>第二节.重要事项时间地点一览表</w:t>
      </w:r>
      <w:r>
        <w:rPr>
          <w:color w:val="auto"/>
          <w:highlight w:val="none"/>
        </w:rPr>
        <w:tab/>
      </w:r>
      <w:r>
        <w:rPr>
          <w:color w:val="auto"/>
          <w:highlight w:val="none"/>
        </w:rPr>
        <w:fldChar w:fldCharType="begin"/>
      </w:r>
      <w:r>
        <w:rPr>
          <w:color w:val="auto"/>
          <w:highlight w:val="none"/>
        </w:rPr>
        <w:instrText xml:space="preserve"> PAGEREF _Toc26160 \h </w:instrText>
      </w:r>
      <w:r>
        <w:rPr>
          <w:color w:val="auto"/>
          <w:highlight w:val="none"/>
        </w:rPr>
        <w:fldChar w:fldCharType="separate"/>
      </w:r>
      <w:r>
        <w:rPr>
          <w:color w:val="auto"/>
          <w:highlight w:val="none"/>
        </w:rPr>
        <w:t>7</w:t>
      </w:r>
      <w:r>
        <w:rPr>
          <w:color w:val="auto"/>
          <w:highlight w:val="none"/>
        </w:rPr>
        <w:fldChar w:fldCharType="end"/>
      </w:r>
      <w:r>
        <w:rPr>
          <w:rFonts w:hint="eastAsia" w:asciiTheme="minorEastAsia" w:hAnsiTheme="minorEastAsia" w:eastAsiaTheme="minorEastAsia" w:cstheme="minorEastAsia"/>
          <w:color w:val="auto"/>
          <w:szCs w:val="21"/>
          <w:highlight w:val="none"/>
        </w:rPr>
        <w:fldChar w:fldCharType="end"/>
      </w:r>
    </w:p>
    <w:p w14:paraId="11995606">
      <w:pPr>
        <w:pStyle w:val="16"/>
        <w:tabs>
          <w:tab w:val="right" w:leader="dot" w:pos="9354"/>
        </w:tabs>
        <w:spacing w:line="360" w:lineRule="auto"/>
        <w:rPr>
          <w:color w:val="auto"/>
          <w:highlight w:val="none"/>
        </w:rPr>
      </w:pPr>
      <w:r>
        <w:rPr>
          <w:rFonts w:hint="eastAsia" w:asciiTheme="minorEastAsia" w:hAnsiTheme="minorEastAsia" w:eastAsiaTheme="minorEastAsia" w:cstheme="minorEastAsia"/>
          <w:color w:val="auto"/>
          <w:szCs w:val="21"/>
          <w:highlight w:val="none"/>
        </w:rPr>
        <w:fldChar w:fldCharType="begin"/>
      </w:r>
      <w:r>
        <w:rPr>
          <w:rFonts w:hint="eastAsia" w:asciiTheme="minorEastAsia" w:hAnsiTheme="minorEastAsia" w:eastAsiaTheme="minorEastAsia" w:cstheme="minorEastAsia"/>
          <w:color w:val="auto"/>
          <w:szCs w:val="21"/>
          <w:highlight w:val="none"/>
        </w:rPr>
        <w:instrText xml:space="preserve"> HYPERLINK \l _Toc4632 </w:instrText>
      </w:r>
      <w:r>
        <w:rPr>
          <w:rFonts w:hint="eastAsia" w:asciiTheme="minorEastAsia" w:hAnsiTheme="minorEastAsia" w:eastAsiaTheme="minorEastAsia" w:cstheme="minorEastAsia"/>
          <w:color w:val="auto"/>
          <w:szCs w:val="21"/>
          <w:highlight w:val="none"/>
        </w:rPr>
        <w:fldChar w:fldCharType="separate"/>
      </w:r>
      <w:r>
        <w:rPr>
          <w:rFonts w:hint="eastAsia" w:asciiTheme="minorEastAsia" w:hAnsiTheme="minorEastAsia" w:eastAsiaTheme="minorEastAsia" w:cstheme="minorEastAsia"/>
          <w:color w:val="auto"/>
          <w:szCs w:val="36"/>
          <w:highlight w:val="none"/>
        </w:rPr>
        <w:t>第</w:t>
      </w:r>
      <w:r>
        <w:rPr>
          <w:rFonts w:hint="eastAsia" w:asciiTheme="minorEastAsia" w:hAnsiTheme="minorEastAsia" w:eastAsiaTheme="minorEastAsia" w:cstheme="minorEastAsia"/>
          <w:color w:val="auto"/>
          <w:kern w:val="44"/>
          <w:szCs w:val="36"/>
          <w:highlight w:val="none"/>
        </w:rPr>
        <w:t>三节 投标须知正文</w:t>
      </w:r>
      <w:r>
        <w:rPr>
          <w:color w:val="auto"/>
          <w:highlight w:val="none"/>
        </w:rPr>
        <w:tab/>
      </w:r>
      <w:r>
        <w:rPr>
          <w:color w:val="auto"/>
          <w:highlight w:val="none"/>
        </w:rPr>
        <w:fldChar w:fldCharType="begin"/>
      </w:r>
      <w:r>
        <w:rPr>
          <w:color w:val="auto"/>
          <w:highlight w:val="none"/>
        </w:rPr>
        <w:instrText xml:space="preserve"> PAGEREF _Toc4632 \h </w:instrText>
      </w:r>
      <w:r>
        <w:rPr>
          <w:color w:val="auto"/>
          <w:highlight w:val="none"/>
        </w:rPr>
        <w:fldChar w:fldCharType="separate"/>
      </w:r>
      <w:r>
        <w:rPr>
          <w:color w:val="auto"/>
          <w:highlight w:val="none"/>
        </w:rPr>
        <w:t>8</w:t>
      </w:r>
      <w:r>
        <w:rPr>
          <w:color w:val="auto"/>
          <w:highlight w:val="none"/>
        </w:rPr>
        <w:fldChar w:fldCharType="end"/>
      </w:r>
      <w:r>
        <w:rPr>
          <w:rFonts w:hint="eastAsia" w:asciiTheme="minorEastAsia" w:hAnsiTheme="minorEastAsia" w:eastAsiaTheme="minorEastAsia" w:cstheme="minorEastAsia"/>
          <w:color w:val="auto"/>
          <w:szCs w:val="21"/>
          <w:highlight w:val="none"/>
        </w:rPr>
        <w:fldChar w:fldCharType="end"/>
      </w:r>
    </w:p>
    <w:p w14:paraId="0316C2DE">
      <w:pPr>
        <w:pStyle w:val="18"/>
        <w:tabs>
          <w:tab w:val="right" w:leader="dot" w:pos="9354"/>
        </w:tabs>
        <w:spacing w:line="360" w:lineRule="auto"/>
        <w:rPr>
          <w:color w:val="auto"/>
          <w:highlight w:val="none"/>
        </w:rPr>
      </w:pPr>
      <w:r>
        <w:rPr>
          <w:rFonts w:hint="eastAsia" w:asciiTheme="minorEastAsia" w:hAnsiTheme="minorEastAsia" w:eastAsiaTheme="minorEastAsia" w:cstheme="minorEastAsia"/>
          <w:color w:val="auto"/>
          <w:szCs w:val="21"/>
          <w:highlight w:val="none"/>
        </w:rPr>
        <w:fldChar w:fldCharType="begin"/>
      </w:r>
      <w:r>
        <w:rPr>
          <w:rFonts w:hint="eastAsia" w:asciiTheme="minorEastAsia" w:hAnsiTheme="minorEastAsia" w:eastAsiaTheme="minorEastAsia" w:cstheme="minorEastAsia"/>
          <w:color w:val="auto"/>
          <w:szCs w:val="21"/>
          <w:highlight w:val="none"/>
        </w:rPr>
        <w:instrText xml:space="preserve"> HYPERLINK \l _Toc4906 </w:instrText>
      </w:r>
      <w:r>
        <w:rPr>
          <w:rFonts w:hint="eastAsia" w:asciiTheme="minorEastAsia" w:hAnsiTheme="minorEastAsia" w:eastAsiaTheme="minorEastAsia" w:cstheme="minorEastAsia"/>
          <w:color w:val="auto"/>
          <w:szCs w:val="21"/>
          <w:highlight w:val="none"/>
        </w:rPr>
        <w:fldChar w:fldCharType="separate"/>
      </w:r>
      <w:r>
        <w:rPr>
          <w:rFonts w:hint="eastAsia" w:ascii="宋体" w:hAnsi="宋体" w:eastAsia="宋体" w:cs="宋体"/>
          <w:color w:val="auto"/>
          <w:kern w:val="2"/>
          <w:szCs w:val="24"/>
          <w:highlight w:val="none"/>
        </w:rPr>
        <w:t>1、 工程概况综合说明</w:t>
      </w:r>
      <w:r>
        <w:rPr>
          <w:color w:val="auto"/>
          <w:highlight w:val="none"/>
        </w:rPr>
        <w:tab/>
      </w:r>
      <w:r>
        <w:rPr>
          <w:color w:val="auto"/>
          <w:highlight w:val="none"/>
        </w:rPr>
        <w:fldChar w:fldCharType="begin"/>
      </w:r>
      <w:r>
        <w:rPr>
          <w:color w:val="auto"/>
          <w:highlight w:val="none"/>
        </w:rPr>
        <w:instrText xml:space="preserve"> PAGEREF _Toc4906 \h </w:instrText>
      </w:r>
      <w:r>
        <w:rPr>
          <w:color w:val="auto"/>
          <w:highlight w:val="none"/>
        </w:rPr>
        <w:fldChar w:fldCharType="separate"/>
      </w:r>
      <w:r>
        <w:rPr>
          <w:color w:val="auto"/>
          <w:highlight w:val="none"/>
        </w:rPr>
        <w:t>8</w:t>
      </w:r>
      <w:r>
        <w:rPr>
          <w:color w:val="auto"/>
          <w:highlight w:val="none"/>
        </w:rPr>
        <w:fldChar w:fldCharType="end"/>
      </w:r>
      <w:r>
        <w:rPr>
          <w:rFonts w:hint="eastAsia" w:asciiTheme="minorEastAsia" w:hAnsiTheme="minorEastAsia" w:eastAsiaTheme="minorEastAsia" w:cstheme="minorEastAsia"/>
          <w:color w:val="auto"/>
          <w:szCs w:val="21"/>
          <w:highlight w:val="none"/>
        </w:rPr>
        <w:fldChar w:fldCharType="end"/>
      </w:r>
    </w:p>
    <w:p w14:paraId="4D9BB171">
      <w:pPr>
        <w:pStyle w:val="18"/>
        <w:tabs>
          <w:tab w:val="right" w:leader="dot" w:pos="9354"/>
        </w:tabs>
        <w:spacing w:line="360" w:lineRule="auto"/>
        <w:rPr>
          <w:color w:val="auto"/>
          <w:highlight w:val="none"/>
        </w:rPr>
      </w:pPr>
      <w:r>
        <w:rPr>
          <w:rFonts w:hint="eastAsia" w:asciiTheme="minorEastAsia" w:hAnsiTheme="minorEastAsia" w:eastAsiaTheme="minorEastAsia" w:cstheme="minorEastAsia"/>
          <w:color w:val="auto"/>
          <w:szCs w:val="21"/>
          <w:highlight w:val="none"/>
        </w:rPr>
        <w:fldChar w:fldCharType="begin"/>
      </w:r>
      <w:r>
        <w:rPr>
          <w:rFonts w:hint="eastAsia" w:asciiTheme="minorEastAsia" w:hAnsiTheme="minorEastAsia" w:eastAsiaTheme="minorEastAsia" w:cstheme="minorEastAsia"/>
          <w:color w:val="auto"/>
          <w:szCs w:val="21"/>
          <w:highlight w:val="none"/>
        </w:rPr>
        <w:instrText xml:space="preserve"> HYPERLINK \l _Toc2627 </w:instrText>
      </w:r>
      <w:r>
        <w:rPr>
          <w:rFonts w:hint="eastAsia" w:asciiTheme="minorEastAsia" w:hAnsiTheme="minorEastAsia" w:eastAsiaTheme="minorEastAsia" w:cstheme="minorEastAsia"/>
          <w:color w:val="auto"/>
          <w:szCs w:val="21"/>
          <w:highlight w:val="none"/>
        </w:rPr>
        <w:fldChar w:fldCharType="separate"/>
      </w:r>
      <w:r>
        <w:rPr>
          <w:rFonts w:hint="eastAsia" w:ascii="宋体" w:hAnsi="宋体" w:eastAsia="宋体" w:cs="宋体"/>
          <w:color w:val="auto"/>
          <w:kern w:val="2"/>
          <w:szCs w:val="24"/>
          <w:highlight w:val="none"/>
        </w:rPr>
        <w:t>2 、招标范围</w:t>
      </w:r>
      <w:r>
        <w:rPr>
          <w:color w:val="auto"/>
          <w:highlight w:val="none"/>
        </w:rPr>
        <w:tab/>
      </w:r>
      <w:r>
        <w:rPr>
          <w:color w:val="auto"/>
          <w:highlight w:val="none"/>
        </w:rPr>
        <w:fldChar w:fldCharType="begin"/>
      </w:r>
      <w:r>
        <w:rPr>
          <w:color w:val="auto"/>
          <w:highlight w:val="none"/>
        </w:rPr>
        <w:instrText xml:space="preserve"> PAGEREF _Toc2627 \h </w:instrText>
      </w:r>
      <w:r>
        <w:rPr>
          <w:color w:val="auto"/>
          <w:highlight w:val="none"/>
        </w:rPr>
        <w:fldChar w:fldCharType="separate"/>
      </w:r>
      <w:r>
        <w:rPr>
          <w:color w:val="auto"/>
          <w:highlight w:val="none"/>
        </w:rPr>
        <w:t>8</w:t>
      </w:r>
      <w:r>
        <w:rPr>
          <w:color w:val="auto"/>
          <w:highlight w:val="none"/>
        </w:rPr>
        <w:fldChar w:fldCharType="end"/>
      </w:r>
      <w:r>
        <w:rPr>
          <w:rFonts w:hint="eastAsia" w:asciiTheme="minorEastAsia" w:hAnsiTheme="minorEastAsia" w:eastAsiaTheme="minorEastAsia" w:cstheme="minorEastAsia"/>
          <w:color w:val="auto"/>
          <w:szCs w:val="21"/>
          <w:highlight w:val="none"/>
        </w:rPr>
        <w:fldChar w:fldCharType="end"/>
      </w:r>
    </w:p>
    <w:p w14:paraId="79D299F4">
      <w:pPr>
        <w:pStyle w:val="18"/>
        <w:tabs>
          <w:tab w:val="right" w:leader="dot" w:pos="9354"/>
        </w:tabs>
        <w:spacing w:line="360" w:lineRule="auto"/>
        <w:rPr>
          <w:color w:val="auto"/>
          <w:highlight w:val="none"/>
        </w:rPr>
      </w:pPr>
      <w:r>
        <w:rPr>
          <w:rFonts w:hint="eastAsia" w:asciiTheme="minorEastAsia" w:hAnsiTheme="minorEastAsia" w:eastAsiaTheme="minorEastAsia" w:cstheme="minorEastAsia"/>
          <w:color w:val="auto"/>
          <w:szCs w:val="21"/>
          <w:highlight w:val="none"/>
        </w:rPr>
        <w:fldChar w:fldCharType="begin"/>
      </w:r>
      <w:r>
        <w:rPr>
          <w:rFonts w:hint="eastAsia" w:asciiTheme="minorEastAsia" w:hAnsiTheme="minorEastAsia" w:eastAsiaTheme="minorEastAsia" w:cstheme="minorEastAsia"/>
          <w:color w:val="auto"/>
          <w:szCs w:val="21"/>
          <w:highlight w:val="none"/>
        </w:rPr>
        <w:instrText xml:space="preserve"> HYPERLINK \l _Toc23542 </w:instrText>
      </w:r>
      <w:r>
        <w:rPr>
          <w:rFonts w:hint="eastAsia" w:asciiTheme="minorEastAsia" w:hAnsiTheme="minorEastAsia" w:eastAsiaTheme="minorEastAsia" w:cstheme="minorEastAsia"/>
          <w:color w:val="auto"/>
          <w:szCs w:val="21"/>
          <w:highlight w:val="none"/>
        </w:rPr>
        <w:fldChar w:fldCharType="separate"/>
      </w:r>
      <w:r>
        <w:rPr>
          <w:rFonts w:hint="eastAsia" w:ascii="宋体" w:hAnsi="宋体" w:eastAsia="宋体" w:cs="宋体"/>
          <w:color w:val="auto"/>
          <w:kern w:val="2"/>
          <w:szCs w:val="24"/>
          <w:highlight w:val="none"/>
        </w:rPr>
        <w:t>3、工期</w:t>
      </w:r>
      <w:r>
        <w:rPr>
          <w:color w:val="auto"/>
          <w:highlight w:val="none"/>
        </w:rPr>
        <w:tab/>
      </w:r>
      <w:r>
        <w:rPr>
          <w:color w:val="auto"/>
          <w:highlight w:val="none"/>
        </w:rPr>
        <w:fldChar w:fldCharType="begin"/>
      </w:r>
      <w:r>
        <w:rPr>
          <w:color w:val="auto"/>
          <w:highlight w:val="none"/>
        </w:rPr>
        <w:instrText xml:space="preserve"> PAGEREF _Toc23542 \h </w:instrText>
      </w:r>
      <w:r>
        <w:rPr>
          <w:color w:val="auto"/>
          <w:highlight w:val="none"/>
        </w:rPr>
        <w:fldChar w:fldCharType="separate"/>
      </w:r>
      <w:r>
        <w:rPr>
          <w:color w:val="auto"/>
          <w:highlight w:val="none"/>
        </w:rPr>
        <w:t>9</w:t>
      </w:r>
      <w:r>
        <w:rPr>
          <w:color w:val="auto"/>
          <w:highlight w:val="none"/>
        </w:rPr>
        <w:fldChar w:fldCharType="end"/>
      </w:r>
      <w:r>
        <w:rPr>
          <w:rFonts w:hint="eastAsia" w:asciiTheme="minorEastAsia" w:hAnsiTheme="minorEastAsia" w:eastAsiaTheme="minorEastAsia" w:cstheme="minorEastAsia"/>
          <w:color w:val="auto"/>
          <w:szCs w:val="21"/>
          <w:highlight w:val="none"/>
        </w:rPr>
        <w:fldChar w:fldCharType="end"/>
      </w:r>
    </w:p>
    <w:p w14:paraId="615439F1">
      <w:pPr>
        <w:pStyle w:val="18"/>
        <w:tabs>
          <w:tab w:val="right" w:leader="dot" w:pos="9354"/>
        </w:tabs>
        <w:spacing w:line="360" w:lineRule="auto"/>
        <w:rPr>
          <w:color w:val="auto"/>
          <w:highlight w:val="none"/>
        </w:rPr>
      </w:pPr>
      <w:r>
        <w:rPr>
          <w:rFonts w:hint="eastAsia" w:asciiTheme="minorEastAsia" w:hAnsiTheme="minorEastAsia" w:eastAsiaTheme="minorEastAsia" w:cstheme="minorEastAsia"/>
          <w:color w:val="auto"/>
          <w:szCs w:val="21"/>
          <w:highlight w:val="none"/>
        </w:rPr>
        <w:fldChar w:fldCharType="begin"/>
      </w:r>
      <w:r>
        <w:rPr>
          <w:rFonts w:hint="eastAsia" w:asciiTheme="minorEastAsia" w:hAnsiTheme="minorEastAsia" w:eastAsiaTheme="minorEastAsia" w:cstheme="minorEastAsia"/>
          <w:color w:val="auto"/>
          <w:szCs w:val="21"/>
          <w:highlight w:val="none"/>
        </w:rPr>
        <w:instrText xml:space="preserve"> HYPERLINK \l _Toc4118 </w:instrText>
      </w:r>
      <w:r>
        <w:rPr>
          <w:rFonts w:hint="eastAsia" w:asciiTheme="minorEastAsia" w:hAnsiTheme="minorEastAsia" w:eastAsiaTheme="minorEastAsia" w:cstheme="minorEastAsia"/>
          <w:color w:val="auto"/>
          <w:szCs w:val="21"/>
          <w:highlight w:val="none"/>
        </w:rPr>
        <w:fldChar w:fldCharType="separate"/>
      </w:r>
      <w:r>
        <w:rPr>
          <w:rFonts w:hint="eastAsia" w:ascii="宋体" w:hAnsi="宋体" w:eastAsia="宋体" w:cs="宋体"/>
          <w:color w:val="auto"/>
          <w:kern w:val="2"/>
          <w:szCs w:val="24"/>
          <w:highlight w:val="none"/>
        </w:rPr>
        <w:t>4 、投标人资质及条件要求</w:t>
      </w:r>
      <w:r>
        <w:rPr>
          <w:color w:val="auto"/>
          <w:highlight w:val="none"/>
        </w:rPr>
        <w:tab/>
      </w:r>
      <w:r>
        <w:rPr>
          <w:color w:val="auto"/>
          <w:highlight w:val="none"/>
        </w:rPr>
        <w:fldChar w:fldCharType="begin"/>
      </w:r>
      <w:r>
        <w:rPr>
          <w:color w:val="auto"/>
          <w:highlight w:val="none"/>
        </w:rPr>
        <w:instrText xml:space="preserve"> PAGEREF _Toc4118 \h </w:instrText>
      </w:r>
      <w:r>
        <w:rPr>
          <w:color w:val="auto"/>
          <w:highlight w:val="none"/>
        </w:rPr>
        <w:fldChar w:fldCharType="separate"/>
      </w:r>
      <w:r>
        <w:rPr>
          <w:color w:val="auto"/>
          <w:highlight w:val="none"/>
        </w:rPr>
        <w:t>9</w:t>
      </w:r>
      <w:r>
        <w:rPr>
          <w:color w:val="auto"/>
          <w:highlight w:val="none"/>
        </w:rPr>
        <w:fldChar w:fldCharType="end"/>
      </w:r>
      <w:r>
        <w:rPr>
          <w:rFonts w:hint="eastAsia" w:asciiTheme="minorEastAsia" w:hAnsiTheme="minorEastAsia" w:eastAsiaTheme="minorEastAsia" w:cstheme="minorEastAsia"/>
          <w:color w:val="auto"/>
          <w:szCs w:val="21"/>
          <w:highlight w:val="none"/>
        </w:rPr>
        <w:fldChar w:fldCharType="end"/>
      </w:r>
    </w:p>
    <w:p w14:paraId="1A4CF98E">
      <w:pPr>
        <w:pStyle w:val="18"/>
        <w:tabs>
          <w:tab w:val="right" w:leader="dot" w:pos="9354"/>
        </w:tabs>
        <w:spacing w:line="360" w:lineRule="auto"/>
        <w:rPr>
          <w:color w:val="auto"/>
          <w:highlight w:val="none"/>
        </w:rPr>
      </w:pPr>
      <w:r>
        <w:rPr>
          <w:rFonts w:hint="eastAsia" w:asciiTheme="minorEastAsia" w:hAnsiTheme="minorEastAsia" w:eastAsiaTheme="minorEastAsia" w:cstheme="minorEastAsia"/>
          <w:color w:val="auto"/>
          <w:szCs w:val="21"/>
          <w:highlight w:val="none"/>
        </w:rPr>
        <w:fldChar w:fldCharType="begin"/>
      </w:r>
      <w:r>
        <w:rPr>
          <w:rFonts w:hint="eastAsia" w:asciiTheme="minorEastAsia" w:hAnsiTheme="minorEastAsia" w:eastAsiaTheme="minorEastAsia" w:cstheme="minorEastAsia"/>
          <w:color w:val="auto"/>
          <w:szCs w:val="21"/>
          <w:highlight w:val="none"/>
        </w:rPr>
        <w:instrText xml:space="preserve"> HYPERLINK \l _Toc19842 </w:instrText>
      </w:r>
      <w:r>
        <w:rPr>
          <w:rFonts w:hint="eastAsia" w:asciiTheme="minorEastAsia" w:hAnsiTheme="minorEastAsia" w:eastAsiaTheme="minorEastAsia" w:cstheme="minorEastAsia"/>
          <w:color w:val="auto"/>
          <w:szCs w:val="21"/>
          <w:highlight w:val="none"/>
        </w:rPr>
        <w:fldChar w:fldCharType="separate"/>
      </w:r>
      <w:r>
        <w:rPr>
          <w:rFonts w:hint="eastAsia" w:ascii="宋体" w:hAnsi="宋体" w:eastAsia="宋体" w:cs="宋体"/>
          <w:color w:val="auto"/>
          <w:kern w:val="2"/>
          <w:szCs w:val="24"/>
          <w:highlight w:val="none"/>
        </w:rPr>
        <w:t>5 、工程招标内容及要求</w:t>
      </w:r>
      <w:r>
        <w:rPr>
          <w:color w:val="auto"/>
          <w:highlight w:val="none"/>
        </w:rPr>
        <w:tab/>
      </w:r>
      <w:r>
        <w:rPr>
          <w:color w:val="auto"/>
          <w:highlight w:val="none"/>
        </w:rPr>
        <w:fldChar w:fldCharType="begin"/>
      </w:r>
      <w:r>
        <w:rPr>
          <w:color w:val="auto"/>
          <w:highlight w:val="none"/>
        </w:rPr>
        <w:instrText xml:space="preserve"> PAGEREF _Toc19842 \h </w:instrText>
      </w:r>
      <w:r>
        <w:rPr>
          <w:color w:val="auto"/>
          <w:highlight w:val="none"/>
        </w:rPr>
        <w:fldChar w:fldCharType="separate"/>
      </w:r>
      <w:r>
        <w:rPr>
          <w:color w:val="auto"/>
          <w:highlight w:val="none"/>
        </w:rPr>
        <w:t>12</w:t>
      </w:r>
      <w:r>
        <w:rPr>
          <w:color w:val="auto"/>
          <w:highlight w:val="none"/>
        </w:rPr>
        <w:fldChar w:fldCharType="end"/>
      </w:r>
      <w:r>
        <w:rPr>
          <w:rFonts w:hint="eastAsia" w:asciiTheme="minorEastAsia" w:hAnsiTheme="minorEastAsia" w:eastAsiaTheme="minorEastAsia" w:cstheme="minorEastAsia"/>
          <w:color w:val="auto"/>
          <w:szCs w:val="21"/>
          <w:highlight w:val="none"/>
        </w:rPr>
        <w:fldChar w:fldCharType="end"/>
      </w:r>
    </w:p>
    <w:p w14:paraId="7E5C16D3">
      <w:pPr>
        <w:pStyle w:val="18"/>
        <w:tabs>
          <w:tab w:val="right" w:leader="dot" w:pos="9354"/>
        </w:tabs>
        <w:spacing w:line="360" w:lineRule="auto"/>
        <w:rPr>
          <w:color w:val="auto"/>
          <w:highlight w:val="none"/>
        </w:rPr>
      </w:pPr>
      <w:r>
        <w:rPr>
          <w:rFonts w:hint="eastAsia" w:asciiTheme="minorEastAsia" w:hAnsiTheme="minorEastAsia" w:eastAsiaTheme="minorEastAsia" w:cstheme="minorEastAsia"/>
          <w:color w:val="auto"/>
          <w:szCs w:val="21"/>
          <w:highlight w:val="none"/>
        </w:rPr>
        <w:fldChar w:fldCharType="begin"/>
      </w:r>
      <w:r>
        <w:rPr>
          <w:rFonts w:hint="eastAsia" w:asciiTheme="minorEastAsia" w:hAnsiTheme="minorEastAsia" w:eastAsiaTheme="minorEastAsia" w:cstheme="minorEastAsia"/>
          <w:color w:val="auto"/>
          <w:szCs w:val="21"/>
          <w:highlight w:val="none"/>
        </w:rPr>
        <w:instrText xml:space="preserve"> HYPERLINK \l _Toc18311 </w:instrText>
      </w:r>
      <w:r>
        <w:rPr>
          <w:rFonts w:hint="eastAsia" w:asciiTheme="minorEastAsia" w:hAnsiTheme="minorEastAsia" w:eastAsiaTheme="minorEastAsia" w:cstheme="minorEastAsia"/>
          <w:color w:val="auto"/>
          <w:szCs w:val="21"/>
          <w:highlight w:val="none"/>
        </w:rPr>
        <w:fldChar w:fldCharType="separate"/>
      </w:r>
      <w:r>
        <w:rPr>
          <w:rFonts w:hint="eastAsia" w:ascii="宋体" w:hAnsi="宋体" w:eastAsia="宋体" w:cs="宋体"/>
          <w:color w:val="auto"/>
          <w:kern w:val="2"/>
          <w:szCs w:val="24"/>
          <w:highlight w:val="none"/>
        </w:rPr>
        <w:t>6 、招标工程施工条件及现场踏勘</w:t>
      </w:r>
      <w:r>
        <w:rPr>
          <w:color w:val="auto"/>
          <w:highlight w:val="none"/>
        </w:rPr>
        <w:tab/>
      </w:r>
      <w:r>
        <w:rPr>
          <w:color w:val="auto"/>
          <w:highlight w:val="none"/>
        </w:rPr>
        <w:fldChar w:fldCharType="begin"/>
      </w:r>
      <w:r>
        <w:rPr>
          <w:color w:val="auto"/>
          <w:highlight w:val="none"/>
        </w:rPr>
        <w:instrText xml:space="preserve"> PAGEREF _Toc18311 \h </w:instrText>
      </w:r>
      <w:r>
        <w:rPr>
          <w:color w:val="auto"/>
          <w:highlight w:val="none"/>
        </w:rPr>
        <w:fldChar w:fldCharType="separate"/>
      </w:r>
      <w:r>
        <w:rPr>
          <w:color w:val="auto"/>
          <w:highlight w:val="none"/>
        </w:rPr>
        <w:t>14</w:t>
      </w:r>
      <w:r>
        <w:rPr>
          <w:color w:val="auto"/>
          <w:highlight w:val="none"/>
        </w:rPr>
        <w:fldChar w:fldCharType="end"/>
      </w:r>
      <w:r>
        <w:rPr>
          <w:rFonts w:hint="eastAsia" w:asciiTheme="minorEastAsia" w:hAnsiTheme="minorEastAsia" w:eastAsiaTheme="minorEastAsia" w:cstheme="minorEastAsia"/>
          <w:color w:val="auto"/>
          <w:szCs w:val="21"/>
          <w:highlight w:val="none"/>
        </w:rPr>
        <w:fldChar w:fldCharType="end"/>
      </w:r>
    </w:p>
    <w:p w14:paraId="2C095996">
      <w:pPr>
        <w:pStyle w:val="18"/>
        <w:tabs>
          <w:tab w:val="right" w:leader="dot" w:pos="9354"/>
        </w:tabs>
        <w:spacing w:line="360" w:lineRule="auto"/>
        <w:rPr>
          <w:color w:val="auto"/>
          <w:highlight w:val="none"/>
        </w:rPr>
      </w:pPr>
      <w:r>
        <w:rPr>
          <w:rFonts w:hint="eastAsia" w:asciiTheme="minorEastAsia" w:hAnsiTheme="minorEastAsia" w:eastAsiaTheme="minorEastAsia" w:cstheme="minorEastAsia"/>
          <w:color w:val="auto"/>
          <w:szCs w:val="21"/>
          <w:highlight w:val="none"/>
        </w:rPr>
        <w:fldChar w:fldCharType="begin"/>
      </w:r>
      <w:r>
        <w:rPr>
          <w:rFonts w:hint="eastAsia" w:asciiTheme="minorEastAsia" w:hAnsiTheme="minorEastAsia" w:eastAsiaTheme="minorEastAsia" w:cstheme="minorEastAsia"/>
          <w:color w:val="auto"/>
          <w:szCs w:val="21"/>
          <w:highlight w:val="none"/>
        </w:rPr>
        <w:instrText xml:space="preserve"> HYPERLINK \l _Toc17286 </w:instrText>
      </w:r>
      <w:r>
        <w:rPr>
          <w:rFonts w:hint="eastAsia" w:asciiTheme="minorEastAsia" w:hAnsiTheme="minorEastAsia" w:eastAsiaTheme="minorEastAsia" w:cstheme="minorEastAsia"/>
          <w:color w:val="auto"/>
          <w:szCs w:val="21"/>
          <w:highlight w:val="none"/>
        </w:rPr>
        <w:fldChar w:fldCharType="separate"/>
      </w:r>
      <w:r>
        <w:rPr>
          <w:rFonts w:hint="eastAsia" w:ascii="宋体" w:hAnsi="宋体" w:eastAsia="宋体" w:cs="宋体"/>
          <w:color w:val="auto"/>
          <w:kern w:val="2"/>
          <w:szCs w:val="24"/>
          <w:highlight w:val="none"/>
        </w:rPr>
        <w:t>7 、其他招标说明</w:t>
      </w:r>
      <w:r>
        <w:rPr>
          <w:color w:val="auto"/>
          <w:highlight w:val="none"/>
        </w:rPr>
        <w:tab/>
      </w:r>
      <w:r>
        <w:rPr>
          <w:color w:val="auto"/>
          <w:highlight w:val="none"/>
        </w:rPr>
        <w:fldChar w:fldCharType="begin"/>
      </w:r>
      <w:r>
        <w:rPr>
          <w:color w:val="auto"/>
          <w:highlight w:val="none"/>
        </w:rPr>
        <w:instrText xml:space="preserve"> PAGEREF _Toc17286 \h </w:instrText>
      </w:r>
      <w:r>
        <w:rPr>
          <w:color w:val="auto"/>
          <w:highlight w:val="none"/>
        </w:rPr>
        <w:fldChar w:fldCharType="separate"/>
      </w:r>
      <w:r>
        <w:rPr>
          <w:color w:val="auto"/>
          <w:highlight w:val="none"/>
        </w:rPr>
        <w:t>15</w:t>
      </w:r>
      <w:r>
        <w:rPr>
          <w:color w:val="auto"/>
          <w:highlight w:val="none"/>
        </w:rPr>
        <w:fldChar w:fldCharType="end"/>
      </w:r>
      <w:r>
        <w:rPr>
          <w:rFonts w:hint="eastAsia" w:asciiTheme="minorEastAsia" w:hAnsiTheme="minorEastAsia" w:eastAsiaTheme="minorEastAsia" w:cstheme="minorEastAsia"/>
          <w:color w:val="auto"/>
          <w:szCs w:val="21"/>
          <w:highlight w:val="none"/>
        </w:rPr>
        <w:fldChar w:fldCharType="end"/>
      </w:r>
    </w:p>
    <w:p w14:paraId="5BECA667">
      <w:pPr>
        <w:pStyle w:val="18"/>
        <w:tabs>
          <w:tab w:val="right" w:leader="dot" w:pos="9354"/>
        </w:tabs>
        <w:spacing w:line="360" w:lineRule="auto"/>
        <w:rPr>
          <w:color w:val="auto"/>
          <w:highlight w:val="none"/>
        </w:rPr>
      </w:pPr>
      <w:r>
        <w:rPr>
          <w:rFonts w:hint="eastAsia" w:asciiTheme="minorEastAsia" w:hAnsiTheme="minorEastAsia" w:eastAsiaTheme="minorEastAsia" w:cstheme="minorEastAsia"/>
          <w:color w:val="auto"/>
          <w:szCs w:val="21"/>
          <w:highlight w:val="none"/>
        </w:rPr>
        <w:fldChar w:fldCharType="begin"/>
      </w:r>
      <w:r>
        <w:rPr>
          <w:rFonts w:hint="eastAsia" w:asciiTheme="minorEastAsia" w:hAnsiTheme="minorEastAsia" w:eastAsiaTheme="minorEastAsia" w:cstheme="minorEastAsia"/>
          <w:color w:val="auto"/>
          <w:szCs w:val="21"/>
          <w:highlight w:val="none"/>
        </w:rPr>
        <w:instrText xml:space="preserve"> HYPERLINK \l _Toc20115 </w:instrText>
      </w:r>
      <w:r>
        <w:rPr>
          <w:rFonts w:hint="eastAsia" w:asciiTheme="minorEastAsia" w:hAnsiTheme="minorEastAsia" w:eastAsiaTheme="minorEastAsia" w:cstheme="minorEastAsia"/>
          <w:color w:val="auto"/>
          <w:szCs w:val="21"/>
          <w:highlight w:val="none"/>
        </w:rPr>
        <w:fldChar w:fldCharType="separate"/>
      </w:r>
      <w:r>
        <w:rPr>
          <w:rFonts w:hint="eastAsia" w:ascii="宋体" w:hAnsi="宋体" w:eastAsia="宋体" w:cs="宋体"/>
          <w:color w:val="auto"/>
          <w:kern w:val="2"/>
          <w:szCs w:val="24"/>
          <w:highlight w:val="none"/>
        </w:rPr>
        <w:t>8 、招标答疑</w:t>
      </w:r>
      <w:r>
        <w:rPr>
          <w:color w:val="auto"/>
          <w:highlight w:val="none"/>
        </w:rPr>
        <w:tab/>
      </w:r>
      <w:r>
        <w:rPr>
          <w:color w:val="auto"/>
          <w:highlight w:val="none"/>
        </w:rPr>
        <w:fldChar w:fldCharType="begin"/>
      </w:r>
      <w:r>
        <w:rPr>
          <w:color w:val="auto"/>
          <w:highlight w:val="none"/>
        </w:rPr>
        <w:instrText xml:space="preserve"> PAGEREF _Toc20115 \h </w:instrText>
      </w:r>
      <w:r>
        <w:rPr>
          <w:color w:val="auto"/>
          <w:highlight w:val="none"/>
        </w:rPr>
        <w:fldChar w:fldCharType="separate"/>
      </w:r>
      <w:r>
        <w:rPr>
          <w:color w:val="auto"/>
          <w:highlight w:val="none"/>
        </w:rPr>
        <w:t>17</w:t>
      </w:r>
      <w:r>
        <w:rPr>
          <w:color w:val="auto"/>
          <w:highlight w:val="none"/>
        </w:rPr>
        <w:fldChar w:fldCharType="end"/>
      </w:r>
      <w:r>
        <w:rPr>
          <w:rFonts w:hint="eastAsia" w:asciiTheme="minorEastAsia" w:hAnsiTheme="minorEastAsia" w:eastAsiaTheme="minorEastAsia" w:cstheme="minorEastAsia"/>
          <w:color w:val="auto"/>
          <w:szCs w:val="21"/>
          <w:highlight w:val="none"/>
        </w:rPr>
        <w:fldChar w:fldCharType="end"/>
      </w:r>
    </w:p>
    <w:p w14:paraId="4EAB6DB0">
      <w:pPr>
        <w:pStyle w:val="18"/>
        <w:tabs>
          <w:tab w:val="right" w:leader="dot" w:pos="9354"/>
        </w:tabs>
        <w:spacing w:line="360" w:lineRule="auto"/>
        <w:rPr>
          <w:color w:val="auto"/>
          <w:highlight w:val="none"/>
        </w:rPr>
      </w:pPr>
      <w:r>
        <w:rPr>
          <w:rFonts w:hint="eastAsia" w:asciiTheme="minorEastAsia" w:hAnsiTheme="minorEastAsia" w:eastAsiaTheme="minorEastAsia" w:cstheme="minorEastAsia"/>
          <w:color w:val="auto"/>
          <w:szCs w:val="21"/>
          <w:highlight w:val="none"/>
        </w:rPr>
        <w:fldChar w:fldCharType="begin"/>
      </w:r>
      <w:r>
        <w:rPr>
          <w:rFonts w:hint="eastAsia" w:asciiTheme="minorEastAsia" w:hAnsiTheme="minorEastAsia" w:eastAsiaTheme="minorEastAsia" w:cstheme="minorEastAsia"/>
          <w:color w:val="auto"/>
          <w:szCs w:val="21"/>
          <w:highlight w:val="none"/>
        </w:rPr>
        <w:instrText xml:space="preserve"> HYPERLINK \l _Toc14533 </w:instrText>
      </w:r>
      <w:r>
        <w:rPr>
          <w:rFonts w:hint="eastAsia" w:asciiTheme="minorEastAsia" w:hAnsiTheme="minorEastAsia" w:eastAsiaTheme="minorEastAsia" w:cstheme="minorEastAsia"/>
          <w:color w:val="auto"/>
          <w:szCs w:val="21"/>
          <w:highlight w:val="none"/>
        </w:rPr>
        <w:fldChar w:fldCharType="separate"/>
      </w:r>
      <w:r>
        <w:rPr>
          <w:rFonts w:hint="eastAsia" w:ascii="宋体" w:hAnsi="宋体" w:eastAsia="宋体" w:cs="宋体"/>
          <w:color w:val="auto"/>
          <w:kern w:val="2"/>
          <w:szCs w:val="24"/>
          <w:highlight w:val="none"/>
        </w:rPr>
        <w:t>9 、投标报价的编制</w:t>
      </w:r>
      <w:r>
        <w:rPr>
          <w:color w:val="auto"/>
          <w:highlight w:val="none"/>
        </w:rPr>
        <w:tab/>
      </w:r>
      <w:r>
        <w:rPr>
          <w:color w:val="auto"/>
          <w:highlight w:val="none"/>
        </w:rPr>
        <w:fldChar w:fldCharType="begin"/>
      </w:r>
      <w:r>
        <w:rPr>
          <w:color w:val="auto"/>
          <w:highlight w:val="none"/>
        </w:rPr>
        <w:instrText xml:space="preserve"> PAGEREF _Toc14533 \h </w:instrText>
      </w:r>
      <w:r>
        <w:rPr>
          <w:color w:val="auto"/>
          <w:highlight w:val="none"/>
        </w:rPr>
        <w:fldChar w:fldCharType="separate"/>
      </w:r>
      <w:r>
        <w:rPr>
          <w:color w:val="auto"/>
          <w:highlight w:val="none"/>
        </w:rPr>
        <w:t>17</w:t>
      </w:r>
      <w:r>
        <w:rPr>
          <w:color w:val="auto"/>
          <w:highlight w:val="none"/>
        </w:rPr>
        <w:fldChar w:fldCharType="end"/>
      </w:r>
      <w:r>
        <w:rPr>
          <w:rFonts w:hint="eastAsia" w:asciiTheme="minorEastAsia" w:hAnsiTheme="minorEastAsia" w:eastAsiaTheme="minorEastAsia" w:cstheme="minorEastAsia"/>
          <w:color w:val="auto"/>
          <w:szCs w:val="21"/>
          <w:highlight w:val="none"/>
        </w:rPr>
        <w:fldChar w:fldCharType="end"/>
      </w:r>
    </w:p>
    <w:p w14:paraId="185D4F55">
      <w:pPr>
        <w:pStyle w:val="18"/>
        <w:tabs>
          <w:tab w:val="right" w:leader="dot" w:pos="9354"/>
        </w:tabs>
        <w:spacing w:line="360" w:lineRule="auto"/>
        <w:rPr>
          <w:color w:val="auto"/>
          <w:highlight w:val="none"/>
        </w:rPr>
      </w:pPr>
      <w:r>
        <w:rPr>
          <w:rFonts w:hint="eastAsia" w:asciiTheme="minorEastAsia" w:hAnsiTheme="minorEastAsia" w:eastAsiaTheme="minorEastAsia" w:cstheme="minorEastAsia"/>
          <w:color w:val="auto"/>
          <w:szCs w:val="21"/>
          <w:highlight w:val="none"/>
        </w:rPr>
        <w:fldChar w:fldCharType="begin"/>
      </w:r>
      <w:r>
        <w:rPr>
          <w:rFonts w:hint="eastAsia" w:asciiTheme="minorEastAsia" w:hAnsiTheme="minorEastAsia" w:eastAsiaTheme="minorEastAsia" w:cstheme="minorEastAsia"/>
          <w:color w:val="auto"/>
          <w:szCs w:val="21"/>
          <w:highlight w:val="none"/>
        </w:rPr>
        <w:instrText xml:space="preserve"> HYPERLINK \l _Toc32465 </w:instrText>
      </w:r>
      <w:r>
        <w:rPr>
          <w:rFonts w:hint="eastAsia" w:asciiTheme="minorEastAsia" w:hAnsiTheme="minorEastAsia" w:eastAsiaTheme="minorEastAsia" w:cstheme="minorEastAsia"/>
          <w:color w:val="auto"/>
          <w:szCs w:val="21"/>
          <w:highlight w:val="none"/>
        </w:rPr>
        <w:fldChar w:fldCharType="separate"/>
      </w:r>
      <w:r>
        <w:rPr>
          <w:rFonts w:hint="eastAsia" w:ascii="宋体" w:hAnsi="宋体" w:eastAsia="宋体" w:cs="宋体"/>
          <w:color w:val="auto"/>
          <w:szCs w:val="24"/>
          <w:highlight w:val="none"/>
        </w:rPr>
        <w:t>10、 最高</w:t>
      </w:r>
      <w:r>
        <w:rPr>
          <w:rFonts w:hint="eastAsia" w:ascii="宋体" w:hAnsi="宋体" w:eastAsia="宋体" w:cs="宋体"/>
          <w:color w:val="auto"/>
          <w:kern w:val="2"/>
          <w:szCs w:val="24"/>
          <w:highlight w:val="none"/>
        </w:rPr>
        <w:t>投标</w:t>
      </w:r>
      <w:r>
        <w:rPr>
          <w:rFonts w:hint="eastAsia" w:ascii="宋体" w:hAnsi="宋体" w:eastAsia="宋体" w:cs="宋体"/>
          <w:color w:val="auto"/>
          <w:szCs w:val="24"/>
          <w:highlight w:val="none"/>
        </w:rPr>
        <w:t>限价的确定</w:t>
      </w:r>
      <w:r>
        <w:rPr>
          <w:color w:val="auto"/>
          <w:highlight w:val="none"/>
        </w:rPr>
        <w:tab/>
      </w:r>
      <w:r>
        <w:rPr>
          <w:color w:val="auto"/>
          <w:highlight w:val="none"/>
        </w:rPr>
        <w:fldChar w:fldCharType="begin"/>
      </w:r>
      <w:r>
        <w:rPr>
          <w:color w:val="auto"/>
          <w:highlight w:val="none"/>
        </w:rPr>
        <w:instrText xml:space="preserve"> PAGEREF _Toc32465 \h </w:instrText>
      </w:r>
      <w:r>
        <w:rPr>
          <w:color w:val="auto"/>
          <w:highlight w:val="none"/>
        </w:rPr>
        <w:fldChar w:fldCharType="separate"/>
      </w:r>
      <w:r>
        <w:rPr>
          <w:color w:val="auto"/>
          <w:highlight w:val="none"/>
        </w:rPr>
        <w:t>19</w:t>
      </w:r>
      <w:r>
        <w:rPr>
          <w:color w:val="auto"/>
          <w:highlight w:val="none"/>
        </w:rPr>
        <w:fldChar w:fldCharType="end"/>
      </w:r>
      <w:r>
        <w:rPr>
          <w:rFonts w:hint="eastAsia" w:asciiTheme="minorEastAsia" w:hAnsiTheme="minorEastAsia" w:eastAsiaTheme="minorEastAsia" w:cstheme="minorEastAsia"/>
          <w:color w:val="auto"/>
          <w:szCs w:val="21"/>
          <w:highlight w:val="none"/>
        </w:rPr>
        <w:fldChar w:fldCharType="end"/>
      </w:r>
    </w:p>
    <w:p w14:paraId="15724BB8">
      <w:pPr>
        <w:pStyle w:val="18"/>
        <w:tabs>
          <w:tab w:val="right" w:leader="dot" w:pos="9354"/>
        </w:tabs>
        <w:spacing w:line="360" w:lineRule="auto"/>
        <w:rPr>
          <w:color w:val="auto"/>
          <w:highlight w:val="none"/>
        </w:rPr>
      </w:pPr>
      <w:r>
        <w:rPr>
          <w:rFonts w:hint="eastAsia" w:asciiTheme="minorEastAsia" w:hAnsiTheme="minorEastAsia" w:eastAsiaTheme="minorEastAsia" w:cstheme="minorEastAsia"/>
          <w:color w:val="auto"/>
          <w:szCs w:val="21"/>
          <w:highlight w:val="none"/>
        </w:rPr>
        <w:fldChar w:fldCharType="begin"/>
      </w:r>
      <w:r>
        <w:rPr>
          <w:rFonts w:hint="eastAsia" w:asciiTheme="minorEastAsia" w:hAnsiTheme="minorEastAsia" w:eastAsiaTheme="minorEastAsia" w:cstheme="minorEastAsia"/>
          <w:color w:val="auto"/>
          <w:szCs w:val="21"/>
          <w:highlight w:val="none"/>
        </w:rPr>
        <w:instrText xml:space="preserve"> HYPERLINK \l _Toc27317 </w:instrText>
      </w:r>
      <w:r>
        <w:rPr>
          <w:rFonts w:hint="eastAsia" w:asciiTheme="minorEastAsia" w:hAnsiTheme="minorEastAsia" w:eastAsiaTheme="minorEastAsia" w:cstheme="minorEastAsia"/>
          <w:color w:val="auto"/>
          <w:szCs w:val="21"/>
          <w:highlight w:val="none"/>
        </w:rPr>
        <w:fldChar w:fldCharType="separate"/>
      </w:r>
      <w:r>
        <w:rPr>
          <w:rFonts w:hint="eastAsia" w:ascii="宋体" w:hAnsi="宋体" w:eastAsia="宋体" w:cs="宋体"/>
          <w:color w:val="auto"/>
          <w:szCs w:val="24"/>
          <w:highlight w:val="none"/>
        </w:rPr>
        <w:t>11、</w:t>
      </w:r>
      <w:r>
        <w:rPr>
          <w:rFonts w:hint="eastAsia" w:ascii="宋体" w:hAnsi="宋体" w:eastAsia="宋体" w:cs="宋体"/>
          <w:color w:val="auto"/>
          <w:kern w:val="2"/>
          <w:szCs w:val="24"/>
          <w:highlight w:val="none"/>
        </w:rPr>
        <w:t>投标</w:t>
      </w:r>
      <w:r>
        <w:rPr>
          <w:rFonts w:hint="eastAsia" w:ascii="宋体" w:hAnsi="宋体" w:eastAsia="宋体" w:cs="宋体"/>
          <w:color w:val="auto"/>
          <w:szCs w:val="24"/>
          <w:highlight w:val="none"/>
        </w:rPr>
        <w:t>文件的编制要求</w:t>
      </w:r>
      <w:r>
        <w:rPr>
          <w:color w:val="auto"/>
          <w:highlight w:val="none"/>
        </w:rPr>
        <w:tab/>
      </w:r>
      <w:r>
        <w:rPr>
          <w:color w:val="auto"/>
          <w:highlight w:val="none"/>
        </w:rPr>
        <w:fldChar w:fldCharType="begin"/>
      </w:r>
      <w:r>
        <w:rPr>
          <w:color w:val="auto"/>
          <w:highlight w:val="none"/>
        </w:rPr>
        <w:instrText xml:space="preserve"> PAGEREF _Toc27317 \h </w:instrText>
      </w:r>
      <w:r>
        <w:rPr>
          <w:color w:val="auto"/>
          <w:highlight w:val="none"/>
        </w:rPr>
        <w:fldChar w:fldCharType="separate"/>
      </w:r>
      <w:r>
        <w:rPr>
          <w:color w:val="auto"/>
          <w:highlight w:val="none"/>
        </w:rPr>
        <w:t>19</w:t>
      </w:r>
      <w:r>
        <w:rPr>
          <w:color w:val="auto"/>
          <w:highlight w:val="none"/>
        </w:rPr>
        <w:fldChar w:fldCharType="end"/>
      </w:r>
      <w:r>
        <w:rPr>
          <w:rFonts w:hint="eastAsia" w:asciiTheme="minorEastAsia" w:hAnsiTheme="minorEastAsia" w:eastAsiaTheme="minorEastAsia" w:cstheme="minorEastAsia"/>
          <w:color w:val="auto"/>
          <w:szCs w:val="21"/>
          <w:highlight w:val="none"/>
        </w:rPr>
        <w:fldChar w:fldCharType="end"/>
      </w:r>
    </w:p>
    <w:p w14:paraId="2AC31505">
      <w:pPr>
        <w:pStyle w:val="18"/>
        <w:tabs>
          <w:tab w:val="right" w:leader="dot" w:pos="9354"/>
        </w:tabs>
        <w:spacing w:line="360" w:lineRule="auto"/>
        <w:rPr>
          <w:color w:val="auto"/>
          <w:highlight w:val="none"/>
        </w:rPr>
      </w:pPr>
      <w:r>
        <w:rPr>
          <w:rFonts w:hint="eastAsia" w:asciiTheme="minorEastAsia" w:hAnsiTheme="minorEastAsia" w:eastAsiaTheme="minorEastAsia" w:cstheme="minorEastAsia"/>
          <w:color w:val="auto"/>
          <w:szCs w:val="21"/>
          <w:highlight w:val="none"/>
        </w:rPr>
        <w:fldChar w:fldCharType="begin"/>
      </w:r>
      <w:r>
        <w:rPr>
          <w:rFonts w:hint="eastAsia" w:asciiTheme="minorEastAsia" w:hAnsiTheme="minorEastAsia" w:eastAsiaTheme="minorEastAsia" w:cstheme="minorEastAsia"/>
          <w:color w:val="auto"/>
          <w:szCs w:val="21"/>
          <w:highlight w:val="none"/>
        </w:rPr>
        <w:instrText xml:space="preserve"> HYPERLINK \l _Toc18718 </w:instrText>
      </w:r>
      <w:r>
        <w:rPr>
          <w:rFonts w:hint="eastAsia" w:asciiTheme="minorEastAsia" w:hAnsiTheme="minorEastAsia" w:eastAsiaTheme="minorEastAsia" w:cstheme="minorEastAsia"/>
          <w:color w:val="auto"/>
          <w:szCs w:val="21"/>
          <w:highlight w:val="none"/>
        </w:rPr>
        <w:fldChar w:fldCharType="separate"/>
      </w:r>
      <w:r>
        <w:rPr>
          <w:rFonts w:hint="eastAsia" w:ascii="宋体" w:hAnsi="宋体" w:eastAsia="宋体" w:cs="宋体"/>
          <w:color w:val="auto"/>
          <w:kern w:val="2"/>
          <w:szCs w:val="24"/>
          <w:highlight w:val="none"/>
        </w:rPr>
        <w:t>12、 投标有效期及对投标人的其他要求</w:t>
      </w:r>
      <w:r>
        <w:rPr>
          <w:color w:val="auto"/>
          <w:highlight w:val="none"/>
        </w:rPr>
        <w:tab/>
      </w:r>
      <w:r>
        <w:rPr>
          <w:color w:val="auto"/>
          <w:highlight w:val="none"/>
        </w:rPr>
        <w:fldChar w:fldCharType="begin"/>
      </w:r>
      <w:r>
        <w:rPr>
          <w:color w:val="auto"/>
          <w:highlight w:val="none"/>
        </w:rPr>
        <w:instrText xml:space="preserve"> PAGEREF _Toc18718 \h </w:instrText>
      </w:r>
      <w:r>
        <w:rPr>
          <w:color w:val="auto"/>
          <w:highlight w:val="none"/>
        </w:rPr>
        <w:fldChar w:fldCharType="separate"/>
      </w:r>
      <w:r>
        <w:rPr>
          <w:color w:val="auto"/>
          <w:highlight w:val="none"/>
        </w:rPr>
        <w:t>23</w:t>
      </w:r>
      <w:r>
        <w:rPr>
          <w:color w:val="auto"/>
          <w:highlight w:val="none"/>
        </w:rPr>
        <w:fldChar w:fldCharType="end"/>
      </w:r>
      <w:r>
        <w:rPr>
          <w:rFonts w:hint="eastAsia" w:asciiTheme="minorEastAsia" w:hAnsiTheme="minorEastAsia" w:eastAsiaTheme="minorEastAsia" w:cstheme="minorEastAsia"/>
          <w:color w:val="auto"/>
          <w:szCs w:val="21"/>
          <w:highlight w:val="none"/>
        </w:rPr>
        <w:fldChar w:fldCharType="end"/>
      </w:r>
    </w:p>
    <w:p w14:paraId="4B7E4984">
      <w:pPr>
        <w:pStyle w:val="18"/>
        <w:tabs>
          <w:tab w:val="right" w:leader="dot" w:pos="9354"/>
        </w:tabs>
        <w:spacing w:line="360" w:lineRule="auto"/>
        <w:rPr>
          <w:color w:val="auto"/>
          <w:highlight w:val="none"/>
        </w:rPr>
      </w:pPr>
      <w:r>
        <w:rPr>
          <w:rFonts w:hint="eastAsia" w:asciiTheme="minorEastAsia" w:hAnsiTheme="minorEastAsia" w:eastAsiaTheme="minorEastAsia" w:cstheme="minorEastAsia"/>
          <w:color w:val="auto"/>
          <w:szCs w:val="21"/>
          <w:highlight w:val="none"/>
        </w:rPr>
        <w:fldChar w:fldCharType="begin"/>
      </w:r>
      <w:r>
        <w:rPr>
          <w:rFonts w:hint="eastAsia" w:asciiTheme="minorEastAsia" w:hAnsiTheme="minorEastAsia" w:eastAsiaTheme="minorEastAsia" w:cstheme="minorEastAsia"/>
          <w:color w:val="auto"/>
          <w:szCs w:val="21"/>
          <w:highlight w:val="none"/>
        </w:rPr>
        <w:instrText xml:space="preserve"> HYPERLINK \l _Toc29464 </w:instrText>
      </w:r>
      <w:r>
        <w:rPr>
          <w:rFonts w:hint="eastAsia" w:asciiTheme="minorEastAsia" w:hAnsiTheme="minorEastAsia" w:eastAsiaTheme="minorEastAsia" w:cstheme="minorEastAsia"/>
          <w:color w:val="auto"/>
          <w:szCs w:val="21"/>
          <w:highlight w:val="none"/>
        </w:rPr>
        <w:fldChar w:fldCharType="separate"/>
      </w:r>
      <w:r>
        <w:rPr>
          <w:rFonts w:hint="eastAsia" w:ascii="宋体" w:hAnsi="宋体" w:eastAsia="宋体" w:cs="宋体"/>
          <w:color w:val="auto"/>
          <w:kern w:val="2"/>
          <w:szCs w:val="24"/>
          <w:highlight w:val="none"/>
        </w:rPr>
        <w:t>13、开标</w:t>
      </w:r>
      <w:r>
        <w:rPr>
          <w:color w:val="auto"/>
          <w:highlight w:val="none"/>
        </w:rPr>
        <w:tab/>
      </w:r>
      <w:r>
        <w:rPr>
          <w:color w:val="auto"/>
          <w:highlight w:val="none"/>
        </w:rPr>
        <w:fldChar w:fldCharType="begin"/>
      </w:r>
      <w:r>
        <w:rPr>
          <w:color w:val="auto"/>
          <w:highlight w:val="none"/>
        </w:rPr>
        <w:instrText xml:space="preserve"> PAGEREF _Toc29464 \h </w:instrText>
      </w:r>
      <w:r>
        <w:rPr>
          <w:color w:val="auto"/>
          <w:highlight w:val="none"/>
        </w:rPr>
        <w:fldChar w:fldCharType="separate"/>
      </w:r>
      <w:r>
        <w:rPr>
          <w:color w:val="auto"/>
          <w:highlight w:val="none"/>
        </w:rPr>
        <w:t>24</w:t>
      </w:r>
      <w:r>
        <w:rPr>
          <w:color w:val="auto"/>
          <w:highlight w:val="none"/>
        </w:rPr>
        <w:fldChar w:fldCharType="end"/>
      </w:r>
      <w:r>
        <w:rPr>
          <w:rFonts w:hint="eastAsia" w:asciiTheme="minorEastAsia" w:hAnsiTheme="minorEastAsia" w:eastAsiaTheme="minorEastAsia" w:cstheme="minorEastAsia"/>
          <w:color w:val="auto"/>
          <w:szCs w:val="21"/>
          <w:highlight w:val="none"/>
        </w:rPr>
        <w:fldChar w:fldCharType="end"/>
      </w:r>
    </w:p>
    <w:p w14:paraId="5FFAF324">
      <w:pPr>
        <w:pStyle w:val="18"/>
        <w:tabs>
          <w:tab w:val="right" w:leader="dot" w:pos="9354"/>
        </w:tabs>
        <w:spacing w:line="360" w:lineRule="auto"/>
        <w:rPr>
          <w:color w:val="auto"/>
          <w:highlight w:val="none"/>
        </w:rPr>
      </w:pPr>
      <w:r>
        <w:rPr>
          <w:rFonts w:hint="eastAsia" w:asciiTheme="minorEastAsia" w:hAnsiTheme="minorEastAsia" w:eastAsiaTheme="minorEastAsia" w:cstheme="minorEastAsia"/>
          <w:color w:val="auto"/>
          <w:szCs w:val="21"/>
          <w:highlight w:val="none"/>
        </w:rPr>
        <w:fldChar w:fldCharType="begin"/>
      </w:r>
      <w:r>
        <w:rPr>
          <w:rFonts w:hint="eastAsia" w:asciiTheme="minorEastAsia" w:hAnsiTheme="minorEastAsia" w:eastAsiaTheme="minorEastAsia" w:cstheme="minorEastAsia"/>
          <w:color w:val="auto"/>
          <w:szCs w:val="21"/>
          <w:highlight w:val="none"/>
        </w:rPr>
        <w:instrText xml:space="preserve"> HYPERLINK \l _Toc25406 </w:instrText>
      </w:r>
      <w:r>
        <w:rPr>
          <w:rFonts w:hint="eastAsia" w:asciiTheme="minorEastAsia" w:hAnsiTheme="minorEastAsia" w:eastAsiaTheme="minorEastAsia" w:cstheme="minorEastAsia"/>
          <w:color w:val="auto"/>
          <w:szCs w:val="21"/>
          <w:highlight w:val="none"/>
        </w:rPr>
        <w:fldChar w:fldCharType="separate"/>
      </w:r>
      <w:r>
        <w:rPr>
          <w:rFonts w:hint="eastAsia" w:ascii="宋体" w:hAnsi="宋体" w:eastAsia="宋体" w:cs="宋体"/>
          <w:color w:val="auto"/>
          <w:kern w:val="2"/>
          <w:szCs w:val="24"/>
          <w:highlight w:val="none"/>
        </w:rPr>
        <w:t>14、评标的方法和标准</w:t>
      </w:r>
      <w:r>
        <w:rPr>
          <w:color w:val="auto"/>
          <w:highlight w:val="none"/>
        </w:rPr>
        <w:tab/>
      </w:r>
      <w:r>
        <w:rPr>
          <w:color w:val="auto"/>
          <w:highlight w:val="none"/>
        </w:rPr>
        <w:fldChar w:fldCharType="begin"/>
      </w:r>
      <w:r>
        <w:rPr>
          <w:color w:val="auto"/>
          <w:highlight w:val="none"/>
        </w:rPr>
        <w:instrText xml:space="preserve"> PAGEREF _Toc25406 \h </w:instrText>
      </w:r>
      <w:r>
        <w:rPr>
          <w:color w:val="auto"/>
          <w:highlight w:val="none"/>
        </w:rPr>
        <w:fldChar w:fldCharType="separate"/>
      </w:r>
      <w:r>
        <w:rPr>
          <w:color w:val="auto"/>
          <w:highlight w:val="none"/>
        </w:rPr>
        <w:t>25</w:t>
      </w:r>
      <w:r>
        <w:rPr>
          <w:color w:val="auto"/>
          <w:highlight w:val="none"/>
        </w:rPr>
        <w:fldChar w:fldCharType="end"/>
      </w:r>
      <w:r>
        <w:rPr>
          <w:rFonts w:hint="eastAsia" w:asciiTheme="minorEastAsia" w:hAnsiTheme="minorEastAsia" w:eastAsiaTheme="minorEastAsia" w:cstheme="minorEastAsia"/>
          <w:color w:val="auto"/>
          <w:szCs w:val="21"/>
          <w:highlight w:val="none"/>
        </w:rPr>
        <w:fldChar w:fldCharType="end"/>
      </w:r>
    </w:p>
    <w:p w14:paraId="54AC09D2">
      <w:pPr>
        <w:pStyle w:val="18"/>
        <w:tabs>
          <w:tab w:val="right" w:leader="dot" w:pos="9354"/>
        </w:tabs>
        <w:spacing w:line="360" w:lineRule="auto"/>
        <w:rPr>
          <w:color w:val="auto"/>
          <w:highlight w:val="none"/>
        </w:rPr>
      </w:pPr>
      <w:r>
        <w:rPr>
          <w:rFonts w:hint="eastAsia" w:asciiTheme="minorEastAsia" w:hAnsiTheme="minorEastAsia" w:eastAsiaTheme="minorEastAsia" w:cstheme="minorEastAsia"/>
          <w:color w:val="auto"/>
          <w:szCs w:val="21"/>
          <w:highlight w:val="none"/>
        </w:rPr>
        <w:fldChar w:fldCharType="begin"/>
      </w:r>
      <w:r>
        <w:rPr>
          <w:rFonts w:hint="eastAsia" w:asciiTheme="minorEastAsia" w:hAnsiTheme="minorEastAsia" w:eastAsiaTheme="minorEastAsia" w:cstheme="minorEastAsia"/>
          <w:color w:val="auto"/>
          <w:szCs w:val="21"/>
          <w:highlight w:val="none"/>
        </w:rPr>
        <w:instrText xml:space="preserve"> HYPERLINK \l _Toc20348 </w:instrText>
      </w:r>
      <w:r>
        <w:rPr>
          <w:rFonts w:hint="eastAsia" w:asciiTheme="minorEastAsia" w:hAnsiTheme="minorEastAsia" w:eastAsiaTheme="minorEastAsia" w:cstheme="minorEastAsia"/>
          <w:color w:val="auto"/>
          <w:szCs w:val="21"/>
          <w:highlight w:val="none"/>
        </w:rPr>
        <w:fldChar w:fldCharType="separate"/>
      </w:r>
      <w:r>
        <w:rPr>
          <w:rFonts w:hAnsi="宋体" w:eastAsia="宋体" w:cs="宋体"/>
          <w:color w:val="auto"/>
          <w:szCs w:val="28"/>
          <w:highlight w:val="none"/>
        </w:rPr>
        <w:t>综合评分表</w:t>
      </w:r>
      <w:r>
        <w:rPr>
          <w:color w:val="auto"/>
          <w:highlight w:val="none"/>
        </w:rPr>
        <w:tab/>
      </w:r>
      <w:r>
        <w:rPr>
          <w:color w:val="auto"/>
          <w:highlight w:val="none"/>
        </w:rPr>
        <w:fldChar w:fldCharType="begin"/>
      </w:r>
      <w:r>
        <w:rPr>
          <w:color w:val="auto"/>
          <w:highlight w:val="none"/>
        </w:rPr>
        <w:instrText xml:space="preserve"> PAGEREF _Toc20348 \h </w:instrText>
      </w:r>
      <w:r>
        <w:rPr>
          <w:color w:val="auto"/>
          <w:highlight w:val="none"/>
        </w:rPr>
        <w:fldChar w:fldCharType="separate"/>
      </w:r>
      <w:r>
        <w:rPr>
          <w:color w:val="auto"/>
          <w:highlight w:val="none"/>
        </w:rPr>
        <w:t>29</w:t>
      </w:r>
      <w:r>
        <w:rPr>
          <w:color w:val="auto"/>
          <w:highlight w:val="none"/>
        </w:rPr>
        <w:fldChar w:fldCharType="end"/>
      </w:r>
      <w:r>
        <w:rPr>
          <w:rFonts w:hint="eastAsia" w:asciiTheme="minorEastAsia" w:hAnsiTheme="minorEastAsia" w:eastAsiaTheme="minorEastAsia" w:cstheme="minorEastAsia"/>
          <w:color w:val="auto"/>
          <w:szCs w:val="21"/>
          <w:highlight w:val="none"/>
        </w:rPr>
        <w:fldChar w:fldCharType="end"/>
      </w:r>
    </w:p>
    <w:p w14:paraId="20F25FB2">
      <w:pPr>
        <w:pStyle w:val="18"/>
        <w:tabs>
          <w:tab w:val="right" w:leader="dot" w:pos="9354"/>
        </w:tabs>
        <w:spacing w:line="360" w:lineRule="auto"/>
        <w:rPr>
          <w:color w:val="auto"/>
          <w:highlight w:val="none"/>
        </w:rPr>
      </w:pPr>
      <w:r>
        <w:rPr>
          <w:rFonts w:hint="eastAsia" w:asciiTheme="minorEastAsia" w:hAnsiTheme="minorEastAsia" w:eastAsiaTheme="minorEastAsia" w:cstheme="minorEastAsia"/>
          <w:color w:val="auto"/>
          <w:szCs w:val="21"/>
          <w:highlight w:val="none"/>
        </w:rPr>
        <w:fldChar w:fldCharType="begin"/>
      </w:r>
      <w:r>
        <w:rPr>
          <w:rFonts w:hint="eastAsia" w:asciiTheme="minorEastAsia" w:hAnsiTheme="minorEastAsia" w:eastAsiaTheme="minorEastAsia" w:cstheme="minorEastAsia"/>
          <w:color w:val="auto"/>
          <w:szCs w:val="21"/>
          <w:highlight w:val="none"/>
        </w:rPr>
        <w:instrText xml:space="preserve"> HYPERLINK \l _Toc32736 </w:instrText>
      </w:r>
      <w:r>
        <w:rPr>
          <w:rFonts w:hint="eastAsia" w:asciiTheme="minorEastAsia" w:hAnsiTheme="minorEastAsia" w:eastAsiaTheme="minorEastAsia" w:cstheme="minorEastAsia"/>
          <w:color w:val="auto"/>
          <w:szCs w:val="21"/>
          <w:highlight w:val="none"/>
        </w:rPr>
        <w:fldChar w:fldCharType="separate"/>
      </w:r>
      <w:r>
        <w:rPr>
          <w:rFonts w:hint="eastAsia" w:ascii="宋体" w:hAnsi="宋体" w:eastAsia="宋体" w:cs="宋体"/>
          <w:color w:val="auto"/>
          <w:kern w:val="2"/>
          <w:szCs w:val="24"/>
          <w:highlight w:val="none"/>
          <w:lang w:val="en-US" w:eastAsia="zh-CN"/>
        </w:rPr>
        <w:t>15</w:t>
      </w:r>
      <w:r>
        <w:rPr>
          <w:rFonts w:hint="eastAsia" w:ascii="宋体" w:hAnsi="宋体" w:eastAsia="宋体" w:cs="宋体"/>
          <w:color w:val="auto"/>
          <w:kern w:val="2"/>
          <w:szCs w:val="24"/>
          <w:highlight w:val="none"/>
        </w:rPr>
        <w:t>．</w:t>
      </w:r>
      <w:r>
        <w:rPr>
          <w:rFonts w:hint="eastAsia" w:ascii="宋体" w:hAnsi="宋体" w:eastAsia="宋体" w:cs="宋体"/>
          <w:color w:val="auto"/>
          <w:kern w:val="2"/>
          <w:szCs w:val="24"/>
          <w:highlight w:val="none"/>
          <w:lang w:eastAsia="zh-CN"/>
        </w:rPr>
        <w:t>评标结果公示</w:t>
      </w:r>
      <w:r>
        <w:rPr>
          <w:color w:val="auto"/>
          <w:highlight w:val="none"/>
        </w:rPr>
        <w:tab/>
      </w:r>
      <w:r>
        <w:rPr>
          <w:color w:val="auto"/>
          <w:highlight w:val="none"/>
        </w:rPr>
        <w:fldChar w:fldCharType="begin"/>
      </w:r>
      <w:r>
        <w:rPr>
          <w:color w:val="auto"/>
          <w:highlight w:val="none"/>
        </w:rPr>
        <w:instrText xml:space="preserve"> PAGEREF _Toc32736 \h </w:instrText>
      </w:r>
      <w:r>
        <w:rPr>
          <w:color w:val="auto"/>
          <w:highlight w:val="none"/>
        </w:rPr>
        <w:fldChar w:fldCharType="separate"/>
      </w:r>
      <w:r>
        <w:rPr>
          <w:color w:val="auto"/>
          <w:highlight w:val="none"/>
        </w:rPr>
        <w:t>33</w:t>
      </w:r>
      <w:r>
        <w:rPr>
          <w:color w:val="auto"/>
          <w:highlight w:val="none"/>
        </w:rPr>
        <w:fldChar w:fldCharType="end"/>
      </w:r>
      <w:r>
        <w:rPr>
          <w:rFonts w:hint="eastAsia" w:asciiTheme="minorEastAsia" w:hAnsiTheme="minorEastAsia" w:eastAsiaTheme="minorEastAsia" w:cstheme="minorEastAsia"/>
          <w:color w:val="auto"/>
          <w:szCs w:val="21"/>
          <w:highlight w:val="none"/>
        </w:rPr>
        <w:fldChar w:fldCharType="end"/>
      </w:r>
    </w:p>
    <w:p w14:paraId="50FEA03A">
      <w:pPr>
        <w:pStyle w:val="16"/>
        <w:tabs>
          <w:tab w:val="right" w:leader="dot" w:pos="9354"/>
        </w:tabs>
        <w:spacing w:line="360" w:lineRule="auto"/>
        <w:rPr>
          <w:color w:val="auto"/>
          <w:highlight w:val="none"/>
        </w:rPr>
      </w:pPr>
      <w:r>
        <w:rPr>
          <w:rFonts w:hint="eastAsia" w:asciiTheme="minorEastAsia" w:hAnsiTheme="minorEastAsia" w:eastAsiaTheme="minorEastAsia" w:cstheme="minorEastAsia"/>
          <w:color w:val="auto"/>
          <w:szCs w:val="21"/>
          <w:highlight w:val="none"/>
        </w:rPr>
        <w:fldChar w:fldCharType="begin"/>
      </w:r>
      <w:r>
        <w:rPr>
          <w:rFonts w:hint="eastAsia" w:asciiTheme="minorEastAsia" w:hAnsiTheme="minorEastAsia" w:eastAsiaTheme="minorEastAsia" w:cstheme="minorEastAsia"/>
          <w:color w:val="auto"/>
          <w:szCs w:val="21"/>
          <w:highlight w:val="none"/>
        </w:rPr>
        <w:instrText xml:space="preserve"> HYPERLINK \l _Toc19917 </w:instrText>
      </w:r>
      <w:r>
        <w:rPr>
          <w:rFonts w:hint="eastAsia" w:asciiTheme="minorEastAsia" w:hAnsiTheme="minorEastAsia" w:eastAsiaTheme="minorEastAsia" w:cstheme="minorEastAsia"/>
          <w:color w:val="auto"/>
          <w:szCs w:val="21"/>
          <w:highlight w:val="none"/>
        </w:rPr>
        <w:fldChar w:fldCharType="separate"/>
      </w:r>
      <w:r>
        <w:rPr>
          <w:rFonts w:hint="eastAsia" w:asciiTheme="minorEastAsia" w:hAnsiTheme="minorEastAsia" w:eastAsiaTheme="minorEastAsia" w:cstheme="minorEastAsia"/>
          <w:color w:val="auto"/>
          <w:kern w:val="44"/>
          <w:szCs w:val="36"/>
          <w:highlight w:val="none"/>
        </w:rPr>
        <w:t>第二章 拟签订合同的主要条款</w:t>
      </w:r>
      <w:r>
        <w:rPr>
          <w:color w:val="auto"/>
          <w:highlight w:val="none"/>
        </w:rPr>
        <w:tab/>
      </w:r>
      <w:r>
        <w:rPr>
          <w:color w:val="auto"/>
          <w:highlight w:val="none"/>
        </w:rPr>
        <w:fldChar w:fldCharType="begin"/>
      </w:r>
      <w:r>
        <w:rPr>
          <w:color w:val="auto"/>
          <w:highlight w:val="none"/>
        </w:rPr>
        <w:instrText xml:space="preserve"> PAGEREF _Toc19917 \h </w:instrText>
      </w:r>
      <w:r>
        <w:rPr>
          <w:color w:val="auto"/>
          <w:highlight w:val="none"/>
        </w:rPr>
        <w:fldChar w:fldCharType="separate"/>
      </w:r>
      <w:r>
        <w:rPr>
          <w:color w:val="auto"/>
          <w:highlight w:val="none"/>
        </w:rPr>
        <w:t>42</w:t>
      </w:r>
      <w:r>
        <w:rPr>
          <w:color w:val="auto"/>
          <w:highlight w:val="none"/>
        </w:rPr>
        <w:fldChar w:fldCharType="end"/>
      </w:r>
      <w:r>
        <w:rPr>
          <w:rFonts w:hint="eastAsia" w:asciiTheme="minorEastAsia" w:hAnsiTheme="minorEastAsia" w:eastAsiaTheme="minorEastAsia" w:cstheme="minorEastAsia"/>
          <w:color w:val="auto"/>
          <w:szCs w:val="21"/>
          <w:highlight w:val="none"/>
        </w:rPr>
        <w:fldChar w:fldCharType="end"/>
      </w:r>
    </w:p>
    <w:p w14:paraId="2CEAE6DA">
      <w:pPr>
        <w:pStyle w:val="18"/>
        <w:tabs>
          <w:tab w:val="right" w:leader="dot" w:pos="9354"/>
        </w:tabs>
        <w:spacing w:line="360" w:lineRule="auto"/>
        <w:rPr>
          <w:color w:val="auto"/>
          <w:highlight w:val="none"/>
        </w:rPr>
      </w:pPr>
      <w:r>
        <w:rPr>
          <w:rFonts w:hint="eastAsia" w:asciiTheme="minorEastAsia" w:hAnsiTheme="minorEastAsia" w:eastAsiaTheme="minorEastAsia" w:cstheme="minorEastAsia"/>
          <w:color w:val="auto"/>
          <w:szCs w:val="21"/>
          <w:highlight w:val="none"/>
        </w:rPr>
        <w:fldChar w:fldCharType="begin"/>
      </w:r>
      <w:r>
        <w:rPr>
          <w:rFonts w:hint="eastAsia" w:asciiTheme="minorEastAsia" w:hAnsiTheme="minorEastAsia" w:eastAsiaTheme="minorEastAsia" w:cstheme="minorEastAsia"/>
          <w:color w:val="auto"/>
          <w:szCs w:val="21"/>
          <w:highlight w:val="none"/>
        </w:rPr>
        <w:instrText xml:space="preserve"> HYPERLINK \l _Toc19306 </w:instrText>
      </w:r>
      <w:r>
        <w:rPr>
          <w:rFonts w:hint="eastAsia" w:asciiTheme="minorEastAsia" w:hAnsiTheme="minorEastAsia" w:eastAsiaTheme="minorEastAsia" w:cstheme="minorEastAsia"/>
          <w:color w:val="auto"/>
          <w:szCs w:val="21"/>
          <w:highlight w:val="none"/>
        </w:rPr>
        <w:fldChar w:fldCharType="separate"/>
      </w:r>
      <w:r>
        <w:rPr>
          <w:rFonts w:hint="eastAsia" w:ascii="宋体" w:hAnsi="宋体" w:eastAsia="宋体" w:cs="宋体"/>
          <w:color w:val="auto"/>
          <w:kern w:val="2"/>
          <w:highlight w:val="none"/>
        </w:rPr>
        <w:t>1 工程承包方式</w:t>
      </w:r>
      <w:r>
        <w:rPr>
          <w:color w:val="auto"/>
          <w:highlight w:val="none"/>
        </w:rPr>
        <w:tab/>
      </w:r>
      <w:r>
        <w:rPr>
          <w:color w:val="auto"/>
          <w:highlight w:val="none"/>
        </w:rPr>
        <w:fldChar w:fldCharType="begin"/>
      </w:r>
      <w:r>
        <w:rPr>
          <w:color w:val="auto"/>
          <w:highlight w:val="none"/>
        </w:rPr>
        <w:instrText xml:space="preserve"> PAGEREF _Toc19306 \h </w:instrText>
      </w:r>
      <w:r>
        <w:rPr>
          <w:color w:val="auto"/>
          <w:highlight w:val="none"/>
        </w:rPr>
        <w:fldChar w:fldCharType="separate"/>
      </w:r>
      <w:r>
        <w:rPr>
          <w:color w:val="auto"/>
          <w:highlight w:val="none"/>
        </w:rPr>
        <w:t>42</w:t>
      </w:r>
      <w:r>
        <w:rPr>
          <w:color w:val="auto"/>
          <w:highlight w:val="none"/>
        </w:rPr>
        <w:fldChar w:fldCharType="end"/>
      </w:r>
      <w:r>
        <w:rPr>
          <w:rFonts w:hint="eastAsia" w:asciiTheme="minorEastAsia" w:hAnsiTheme="minorEastAsia" w:eastAsiaTheme="minorEastAsia" w:cstheme="minorEastAsia"/>
          <w:color w:val="auto"/>
          <w:szCs w:val="21"/>
          <w:highlight w:val="none"/>
        </w:rPr>
        <w:fldChar w:fldCharType="end"/>
      </w:r>
    </w:p>
    <w:p w14:paraId="173C6A9C">
      <w:pPr>
        <w:pStyle w:val="18"/>
        <w:tabs>
          <w:tab w:val="right" w:leader="dot" w:pos="9354"/>
        </w:tabs>
        <w:spacing w:line="360" w:lineRule="auto"/>
        <w:rPr>
          <w:color w:val="auto"/>
          <w:highlight w:val="none"/>
        </w:rPr>
      </w:pPr>
      <w:r>
        <w:rPr>
          <w:rFonts w:hint="eastAsia" w:asciiTheme="minorEastAsia" w:hAnsiTheme="minorEastAsia" w:eastAsiaTheme="minorEastAsia" w:cstheme="minorEastAsia"/>
          <w:color w:val="auto"/>
          <w:szCs w:val="21"/>
          <w:highlight w:val="none"/>
        </w:rPr>
        <w:fldChar w:fldCharType="begin"/>
      </w:r>
      <w:r>
        <w:rPr>
          <w:rFonts w:hint="eastAsia" w:asciiTheme="minorEastAsia" w:hAnsiTheme="minorEastAsia" w:eastAsiaTheme="minorEastAsia" w:cstheme="minorEastAsia"/>
          <w:color w:val="auto"/>
          <w:szCs w:val="21"/>
          <w:highlight w:val="none"/>
        </w:rPr>
        <w:instrText xml:space="preserve"> HYPERLINK \l _Toc20054 </w:instrText>
      </w:r>
      <w:r>
        <w:rPr>
          <w:rFonts w:hint="eastAsia" w:asciiTheme="minorEastAsia" w:hAnsiTheme="minorEastAsia" w:eastAsiaTheme="minorEastAsia" w:cstheme="minorEastAsia"/>
          <w:color w:val="auto"/>
          <w:szCs w:val="21"/>
          <w:highlight w:val="none"/>
        </w:rPr>
        <w:fldChar w:fldCharType="separate"/>
      </w:r>
      <w:r>
        <w:rPr>
          <w:rFonts w:hint="eastAsia" w:ascii="宋体" w:hAnsi="宋体" w:eastAsia="宋体" w:cs="宋体"/>
          <w:color w:val="auto"/>
          <w:highlight w:val="none"/>
        </w:rPr>
        <w:t>2 施工图工程量清单预算的编制原则</w:t>
      </w:r>
      <w:r>
        <w:rPr>
          <w:color w:val="auto"/>
          <w:highlight w:val="none"/>
        </w:rPr>
        <w:tab/>
      </w:r>
      <w:r>
        <w:rPr>
          <w:color w:val="auto"/>
          <w:highlight w:val="none"/>
        </w:rPr>
        <w:fldChar w:fldCharType="begin"/>
      </w:r>
      <w:r>
        <w:rPr>
          <w:color w:val="auto"/>
          <w:highlight w:val="none"/>
        </w:rPr>
        <w:instrText xml:space="preserve"> PAGEREF _Toc20054 \h </w:instrText>
      </w:r>
      <w:r>
        <w:rPr>
          <w:color w:val="auto"/>
          <w:highlight w:val="none"/>
        </w:rPr>
        <w:fldChar w:fldCharType="separate"/>
      </w:r>
      <w:r>
        <w:rPr>
          <w:color w:val="auto"/>
          <w:highlight w:val="none"/>
        </w:rPr>
        <w:t>42</w:t>
      </w:r>
      <w:r>
        <w:rPr>
          <w:color w:val="auto"/>
          <w:highlight w:val="none"/>
        </w:rPr>
        <w:fldChar w:fldCharType="end"/>
      </w:r>
      <w:r>
        <w:rPr>
          <w:rFonts w:hint="eastAsia" w:asciiTheme="minorEastAsia" w:hAnsiTheme="minorEastAsia" w:eastAsiaTheme="minorEastAsia" w:cstheme="minorEastAsia"/>
          <w:color w:val="auto"/>
          <w:szCs w:val="21"/>
          <w:highlight w:val="none"/>
        </w:rPr>
        <w:fldChar w:fldCharType="end"/>
      </w:r>
    </w:p>
    <w:p w14:paraId="160ED543">
      <w:pPr>
        <w:pStyle w:val="18"/>
        <w:tabs>
          <w:tab w:val="right" w:leader="dot" w:pos="9354"/>
        </w:tabs>
        <w:spacing w:line="360" w:lineRule="auto"/>
        <w:rPr>
          <w:color w:val="auto"/>
          <w:highlight w:val="none"/>
        </w:rPr>
      </w:pPr>
      <w:r>
        <w:rPr>
          <w:rFonts w:hint="eastAsia" w:asciiTheme="minorEastAsia" w:hAnsiTheme="minorEastAsia" w:eastAsiaTheme="minorEastAsia" w:cstheme="minorEastAsia"/>
          <w:color w:val="auto"/>
          <w:szCs w:val="21"/>
          <w:highlight w:val="none"/>
        </w:rPr>
        <w:fldChar w:fldCharType="begin"/>
      </w:r>
      <w:r>
        <w:rPr>
          <w:rFonts w:hint="eastAsia" w:asciiTheme="minorEastAsia" w:hAnsiTheme="minorEastAsia" w:eastAsiaTheme="minorEastAsia" w:cstheme="minorEastAsia"/>
          <w:color w:val="auto"/>
          <w:szCs w:val="21"/>
          <w:highlight w:val="none"/>
        </w:rPr>
        <w:instrText xml:space="preserve"> HYPERLINK \l _Toc31861 </w:instrText>
      </w:r>
      <w:r>
        <w:rPr>
          <w:rFonts w:hint="eastAsia" w:asciiTheme="minorEastAsia" w:hAnsiTheme="minorEastAsia" w:eastAsiaTheme="minorEastAsia" w:cstheme="minorEastAsia"/>
          <w:color w:val="auto"/>
          <w:szCs w:val="21"/>
          <w:highlight w:val="none"/>
        </w:rPr>
        <w:fldChar w:fldCharType="separate"/>
      </w:r>
      <w:r>
        <w:rPr>
          <w:rFonts w:hint="eastAsia" w:ascii="宋体" w:hAnsi="宋体" w:eastAsia="宋体" w:cs="宋体"/>
          <w:color w:val="auto"/>
          <w:kern w:val="2"/>
          <w:szCs w:val="24"/>
          <w:highlight w:val="none"/>
        </w:rPr>
        <w:t>3 工程结算原则</w:t>
      </w:r>
      <w:r>
        <w:rPr>
          <w:color w:val="auto"/>
          <w:highlight w:val="none"/>
        </w:rPr>
        <w:tab/>
      </w:r>
      <w:r>
        <w:rPr>
          <w:color w:val="auto"/>
          <w:highlight w:val="none"/>
        </w:rPr>
        <w:fldChar w:fldCharType="begin"/>
      </w:r>
      <w:r>
        <w:rPr>
          <w:color w:val="auto"/>
          <w:highlight w:val="none"/>
        </w:rPr>
        <w:instrText xml:space="preserve"> PAGEREF _Toc31861 \h </w:instrText>
      </w:r>
      <w:r>
        <w:rPr>
          <w:color w:val="auto"/>
          <w:highlight w:val="none"/>
        </w:rPr>
        <w:fldChar w:fldCharType="separate"/>
      </w:r>
      <w:r>
        <w:rPr>
          <w:color w:val="auto"/>
          <w:highlight w:val="none"/>
        </w:rPr>
        <w:t>43</w:t>
      </w:r>
      <w:r>
        <w:rPr>
          <w:color w:val="auto"/>
          <w:highlight w:val="none"/>
        </w:rPr>
        <w:fldChar w:fldCharType="end"/>
      </w:r>
      <w:r>
        <w:rPr>
          <w:rFonts w:hint="eastAsia" w:asciiTheme="minorEastAsia" w:hAnsiTheme="minorEastAsia" w:eastAsiaTheme="minorEastAsia" w:cstheme="minorEastAsia"/>
          <w:color w:val="auto"/>
          <w:szCs w:val="21"/>
          <w:highlight w:val="none"/>
        </w:rPr>
        <w:fldChar w:fldCharType="end"/>
      </w:r>
    </w:p>
    <w:p w14:paraId="33502A31">
      <w:pPr>
        <w:pStyle w:val="18"/>
        <w:tabs>
          <w:tab w:val="right" w:leader="dot" w:pos="9354"/>
        </w:tabs>
        <w:spacing w:line="360" w:lineRule="auto"/>
        <w:rPr>
          <w:color w:val="auto"/>
          <w:highlight w:val="none"/>
        </w:rPr>
      </w:pPr>
      <w:r>
        <w:rPr>
          <w:rFonts w:hint="eastAsia" w:asciiTheme="minorEastAsia" w:hAnsiTheme="minorEastAsia" w:eastAsiaTheme="minorEastAsia" w:cstheme="minorEastAsia"/>
          <w:color w:val="auto"/>
          <w:szCs w:val="21"/>
          <w:highlight w:val="none"/>
        </w:rPr>
        <w:fldChar w:fldCharType="begin"/>
      </w:r>
      <w:r>
        <w:rPr>
          <w:rFonts w:hint="eastAsia" w:asciiTheme="minorEastAsia" w:hAnsiTheme="minorEastAsia" w:eastAsiaTheme="minorEastAsia" w:cstheme="minorEastAsia"/>
          <w:color w:val="auto"/>
          <w:szCs w:val="21"/>
          <w:highlight w:val="none"/>
        </w:rPr>
        <w:instrText xml:space="preserve"> HYPERLINK \l _Toc3812 </w:instrText>
      </w:r>
      <w:r>
        <w:rPr>
          <w:rFonts w:hint="eastAsia" w:asciiTheme="minorEastAsia" w:hAnsiTheme="minorEastAsia" w:eastAsiaTheme="minorEastAsia" w:cstheme="minorEastAsia"/>
          <w:color w:val="auto"/>
          <w:szCs w:val="21"/>
          <w:highlight w:val="none"/>
        </w:rPr>
        <w:fldChar w:fldCharType="separate"/>
      </w:r>
      <w:r>
        <w:rPr>
          <w:rFonts w:hint="eastAsia" w:ascii="宋体" w:hAnsi="宋体" w:eastAsia="宋体" w:cs="宋体"/>
          <w:color w:val="auto"/>
          <w:kern w:val="2"/>
          <w:szCs w:val="24"/>
          <w:highlight w:val="none"/>
        </w:rPr>
        <w:t>4 工程付款办法</w:t>
      </w:r>
      <w:r>
        <w:rPr>
          <w:color w:val="auto"/>
          <w:highlight w:val="none"/>
        </w:rPr>
        <w:tab/>
      </w:r>
      <w:r>
        <w:rPr>
          <w:color w:val="auto"/>
          <w:highlight w:val="none"/>
        </w:rPr>
        <w:fldChar w:fldCharType="begin"/>
      </w:r>
      <w:r>
        <w:rPr>
          <w:color w:val="auto"/>
          <w:highlight w:val="none"/>
        </w:rPr>
        <w:instrText xml:space="preserve"> PAGEREF _Toc3812 \h </w:instrText>
      </w:r>
      <w:r>
        <w:rPr>
          <w:color w:val="auto"/>
          <w:highlight w:val="none"/>
        </w:rPr>
        <w:fldChar w:fldCharType="separate"/>
      </w:r>
      <w:r>
        <w:rPr>
          <w:color w:val="auto"/>
          <w:highlight w:val="none"/>
        </w:rPr>
        <w:t>46</w:t>
      </w:r>
      <w:r>
        <w:rPr>
          <w:color w:val="auto"/>
          <w:highlight w:val="none"/>
        </w:rPr>
        <w:fldChar w:fldCharType="end"/>
      </w:r>
      <w:r>
        <w:rPr>
          <w:rFonts w:hint="eastAsia" w:asciiTheme="minorEastAsia" w:hAnsiTheme="minorEastAsia" w:eastAsiaTheme="minorEastAsia" w:cstheme="minorEastAsia"/>
          <w:color w:val="auto"/>
          <w:szCs w:val="21"/>
          <w:highlight w:val="none"/>
        </w:rPr>
        <w:fldChar w:fldCharType="end"/>
      </w:r>
    </w:p>
    <w:p w14:paraId="2DD88E72">
      <w:pPr>
        <w:pStyle w:val="18"/>
        <w:tabs>
          <w:tab w:val="right" w:leader="dot" w:pos="9354"/>
        </w:tabs>
        <w:spacing w:line="360" w:lineRule="auto"/>
        <w:rPr>
          <w:color w:val="auto"/>
          <w:highlight w:val="none"/>
        </w:rPr>
      </w:pPr>
      <w:r>
        <w:rPr>
          <w:rFonts w:hint="eastAsia" w:asciiTheme="minorEastAsia" w:hAnsiTheme="minorEastAsia" w:eastAsiaTheme="minorEastAsia" w:cstheme="minorEastAsia"/>
          <w:color w:val="auto"/>
          <w:szCs w:val="21"/>
          <w:highlight w:val="none"/>
        </w:rPr>
        <w:fldChar w:fldCharType="begin"/>
      </w:r>
      <w:r>
        <w:rPr>
          <w:rFonts w:hint="eastAsia" w:asciiTheme="minorEastAsia" w:hAnsiTheme="minorEastAsia" w:eastAsiaTheme="minorEastAsia" w:cstheme="minorEastAsia"/>
          <w:color w:val="auto"/>
          <w:szCs w:val="21"/>
          <w:highlight w:val="none"/>
        </w:rPr>
        <w:instrText xml:space="preserve"> HYPERLINK \l _Toc31972 </w:instrText>
      </w:r>
      <w:r>
        <w:rPr>
          <w:rFonts w:hint="eastAsia" w:asciiTheme="minorEastAsia" w:hAnsiTheme="minorEastAsia" w:eastAsiaTheme="minorEastAsia" w:cstheme="minorEastAsia"/>
          <w:color w:val="auto"/>
          <w:szCs w:val="21"/>
          <w:highlight w:val="none"/>
        </w:rPr>
        <w:fldChar w:fldCharType="separate"/>
      </w:r>
      <w:r>
        <w:rPr>
          <w:rFonts w:hint="eastAsia" w:ascii="宋体" w:hAnsi="宋体" w:eastAsia="宋体" w:cs="宋体"/>
          <w:color w:val="auto"/>
          <w:kern w:val="2"/>
          <w:szCs w:val="24"/>
          <w:highlight w:val="none"/>
          <w:lang w:val="en-US" w:eastAsia="zh-CN"/>
        </w:rPr>
        <w:t xml:space="preserve">5 </w:t>
      </w:r>
      <w:r>
        <w:rPr>
          <w:rFonts w:hint="eastAsia" w:ascii="宋体" w:hAnsi="宋体" w:eastAsia="宋体" w:cs="宋体"/>
          <w:color w:val="auto"/>
          <w:kern w:val="2"/>
          <w:szCs w:val="24"/>
          <w:highlight w:val="none"/>
        </w:rPr>
        <w:t>施工部分</w:t>
      </w:r>
      <w:r>
        <w:rPr>
          <w:color w:val="auto"/>
          <w:highlight w:val="none"/>
        </w:rPr>
        <w:tab/>
      </w:r>
      <w:r>
        <w:rPr>
          <w:color w:val="auto"/>
          <w:highlight w:val="none"/>
        </w:rPr>
        <w:fldChar w:fldCharType="begin"/>
      </w:r>
      <w:r>
        <w:rPr>
          <w:color w:val="auto"/>
          <w:highlight w:val="none"/>
        </w:rPr>
        <w:instrText xml:space="preserve"> PAGEREF _Toc31972 \h </w:instrText>
      </w:r>
      <w:r>
        <w:rPr>
          <w:color w:val="auto"/>
          <w:highlight w:val="none"/>
        </w:rPr>
        <w:fldChar w:fldCharType="separate"/>
      </w:r>
      <w:r>
        <w:rPr>
          <w:color w:val="auto"/>
          <w:highlight w:val="none"/>
        </w:rPr>
        <w:t>47</w:t>
      </w:r>
      <w:r>
        <w:rPr>
          <w:color w:val="auto"/>
          <w:highlight w:val="none"/>
        </w:rPr>
        <w:fldChar w:fldCharType="end"/>
      </w:r>
      <w:r>
        <w:rPr>
          <w:rFonts w:hint="eastAsia" w:asciiTheme="minorEastAsia" w:hAnsiTheme="minorEastAsia" w:eastAsiaTheme="minorEastAsia" w:cstheme="minorEastAsia"/>
          <w:color w:val="auto"/>
          <w:szCs w:val="21"/>
          <w:highlight w:val="none"/>
        </w:rPr>
        <w:fldChar w:fldCharType="end"/>
      </w:r>
    </w:p>
    <w:p w14:paraId="7F3E23B9">
      <w:pPr>
        <w:pStyle w:val="16"/>
        <w:tabs>
          <w:tab w:val="right" w:leader="dot" w:pos="9354"/>
        </w:tabs>
        <w:spacing w:line="360" w:lineRule="auto"/>
        <w:rPr>
          <w:color w:val="auto"/>
          <w:highlight w:val="none"/>
        </w:rPr>
      </w:pPr>
      <w:r>
        <w:rPr>
          <w:rFonts w:hint="eastAsia" w:asciiTheme="minorEastAsia" w:hAnsiTheme="minorEastAsia" w:eastAsiaTheme="minorEastAsia" w:cstheme="minorEastAsia"/>
          <w:color w:val="auto"/>
          <w:szCs w:val="21"/>
          <w:highlight w:val="none"/>
        </w:rPr>
        <w:fldChar w:fldCharType="begin"/>
      </w:r>
      <w:r>
        <w:rPr>
          <w:rFonts w:hint="eastAsia" w:asciiTheme="minorEastAsia" w:hAnsiTheme="minorEastAsia" w:eastAsiaTheme="minorEastAsia" w:cstheme="minorEastAsia"/>
          <w:color w:val="auto"/>
          <w:szCs w:val="21"/>
          <w:highlight w:val="none"/>
        </w:rPr>
        <w:instrText xml:space="preserve"> HYPERLINK \l _Toc4074 </w:instrText>
      </w:r>
      <w:r>
        <w:rPr>
          <w:rFonts w:hint="eastAsia" w:asciiTheme="minorEastAsia" w:hAnsiTheme="minorEastAsia" w:eastAsiaTheme="minorEastAsia" w:cstheme="minorEastAsia"/>
          <w:color w:val="auto"/>
          <w:szCs w:val="21"/>
          <w:highlight w:val="none"/>
        </w:rPr>
        <w:fldChar w:fldCharType="separate"/>
      </w:r>
      <w:r>
        <w:rPr>
          <w:rFonts w:hint="eastAsia" w:asciiTheme="minorEastAsia" w:hAnsiTheme="minorEastAsia" w:eastAsiaTheme="minorEastAsia" w:cstheme="minorEastAsia"/>
          <w:color w:val="auto"/>
          <w:kern w:val="44"/>
          <w:szCs w:val="36"/>
          <w:highlight w:val="none"/>
        </w:rPr>
        <w:t>第三章 中标人须知</w:t>
      </w:r>
      <w:r>
        <w:rPr>
          <w:color w:val="auto"/>
          <w:highlight w:val="none"/>
        </w:rPr>
        <w:tab/>
      </w:r>
      <w:r>
        <w:rPr>
          <w:color w:val="auto"/>
          <w:highlight w:val="none"/>
        </w:rPr>
        <w:fldChar w:fldCharType="begin"/>
      </w:r>
      <w:r>
        <w:rPr>
          <w:color w:val="auto"/>
          <w:highlight w:val="none"/>
        </w:rPr>
        <w:instrText xml:space="preserve"> PAGEREF _Toc4074 \h </w:instrText>
      </w:r>
      <w:r>
        <w:rPr>
          <w:color w:val="auto"/>
          <w:highlight w:val="none"/>
        </w:rPr>
        <w:fldChar w:fldCharType="separate"/>
      </w:r>
      <w:r>
        <w:rPr>
          <w:color w:val="auto"/>
          <w:highlight w:val="none"/>
        </w:rPr>
        <w:t>67</w:t>
      </w:r>
      <w:r>
        <w:rPr>
          <w:color w:val="auto"/>
          <w:highlight w:val="none"/>
        </w:rPr>
        <w:fldChar w:fldCharType="end"/>
      </w:r>
      <w:r>
        <w:rPr>
          <w:rFonts w:hint="eastAsia" w:asciiTheme="minorEastAsia" w:hAnsiTheme="minorEastAsia" w:eastAsiaTheme="minorEastAsia" w:cstheme="minorEastAsia"/>
          <w:color w:val="auto"/>
          <w:szCs w:val="21"/>
          <w:highlight w:val="none"/>
        </w:rPr>
        <w:fldChar w:fldCharType="end"/>
      </w:r>
    </w:p>
    <w:p w14:paraId="2A07F874">
      <w:pPr>
        <w:pStyle w:val="16"/>
        <w:tabs>
          <w:tab w:val="right" w:leader="dot" w:pos="9354"/>
        </w:tabs>
        <w:spacing w:line="360" w:lineRule="auto"/>
        <w:rPr>
          <w:color w:val="auto"/>
          <w:highlight w:val="none"/>
        </w:rPr>
      </w:pPr>
      <w:r>
        <w:rPr>
          <w:rFonts w:hint="eastAsia" w:asciiTheme="minorEastAsia" w:hAnsiTheme="minorEastAsia" w:eastAsiaTheme="minorEastAsia" w:cstheme="minorEastAsia"/>
          <w:color w:val="auto"/>
          <w:szCs w:val="21"/>
          <w:highlight w:val="none"/>
        </w:rPr>
        <w:fldChar w:fldCharType="begin"/>
      </w:r>
      <w:r>
        <w:rPr>
          <w:rFonts w:hint="eastAsia" w:asciiTheme="minorEastAsia" w:hAnsiTheme="minorEastAsia" w:eastAsiaTheme="minorEastAsia" w:cstheme="minorEastAsia"/>
          <w:color w:val="auto"/>
          <w:szCs w:val="21"/>
          <w:highlight w:val="none"/>
        </w:rPr>
        <w:instrText xml:space="preserve"> HYPERLINK \l _Toc6394 </w:instrText>
      </w:r>
      <w:r>
        <w:rPr>
          <w:rFonts w:hint="eastAsia" w:asciiTheme="minorEastAsia" w:hAnsiTheme="minorEastAsia" w:eastAsiaTheme="minorEastAsia" w:cstheme="minorEastAsia"/>
          <w:color w:val="auto"/>
          <w:szCs w:val="21"/>
          <w:highlight w:val="none"/>
        </w:rPr>
        <w:fldChar w:fldCharType="separate"/>
      </w:r>
      <w:r>
        <w:rPr>
          <w:rFonts w:hint="eastAsia" w:asciiTheme="minorEastAsia" w:hAnsiTheme="minorEastAsia" w:eastAsiaTheme="minorEastAsia" w:cstheme="minorEastAsia"/>
          <w:color w:val="auto"/>
          <w:kern w:val="44"/>
          <w:szCs w:val="36"/>
          <w:highlight w:val="none"/>
        </w:rPr>
        <w:t>第四章 投标人提交的其他材料</w:t>
      </w:r>
      <w:r>
        <w:rPr>
          <w:color w:val="auto"/>
          <w:highlight w:val="none"/>
        </w:rPr>
        <w:tab/>
      </w:r>
      <w:r>
        <w:rPr>
          <w:color w:val="auto"/>
          <w:highlight w:val="none"/>
        </w:rPr>
        <w:fldChar w:fldCharType="begin"/>
      </w:r>
      <w:r>
        <w:rPr>
          <w:color w:val="auto"/>
          <w:highlight w:val="none"/>
        </w:rPr>
        <w:instrText xml:space="preserve"> PAGEREF _Toc6394 \h </w:instrText>
      </w:r>
      <w:r>
        <w:rPr>
          <w:color w:val="auto"/>
          <w:highlight w:val="none"/>
        </w:rPr>
        <w:fldChar w:fldCharType="separate"/>
      </w:r>
      <w:r>
        <w:rPr>
          <w:color w:val="auto"/>
          <w:highlight w:val="none"/>
        </w:rPr>
        <w:t>73</w:t>
      </w:r>
      <w:r>
        <w:rPr>
          <w:color w:val="auto"/>
          <w:highlight w:val="none"/>
        </w:rPr>
        <w:fldChar w:fldCharType="end"/>
      </w:r>
      <w:r>
        <w:rPr>
          <w:rFonts w:hint="eastAsia" w:asciiTheme="minorEastAsia" w:hAnsiTheme="minorEastAsia" w:eastAsiaTheme="minorEastAsia" w:cstheme="minorEastAsia"/>
          <w:color w:val="auto"/>
          <w:szCs w:val="21"/>
          <w:highlight w:val="none"/>
        </w:rPr>
        <w:fldChar w:fldCharType="end"/>
      </w:r>
    </w:p>
    <w:p w14:paraId="275E8504">
      <w:pPr>
        <w:pStyle w:val="10"/>
        <w:tabs>
          <w:tab w:val="right" w:leader="dot" w:pos="9354"/>
        </w:tabs>
        <w:spacing w:line="360" w:lineRule="auto"/>
        <w:rPr>
          <w:color w:val="auto"/>
          <w:highlight w:val="none"/>
        </w:rPr>
      </w:pPr>
      <w:r>
        <w:rPr>
          <w:rFonts w:hint="eastAsia" w:asciiTheme="minorEastAsia" w:hAnsiTheme="minorEastAsia" w:eastAsiaTheme="minorEastAsia" w:cstheme="minorEastAsia"/>
          <w:color w:val="auto"/>
          <w:szCs w:val="21"/>
          <w:highlight w:val="none"/>
        </w:rPr>
        <w:fldChar w:fldCharType="begin"/>
      </w:r>
      <w:r>
        <w:rPr>
          <w:rFonts w:hint="eastAsia" w:asciiTheme="minorEastAsia" w:hAnsiTheme="minorEastAsia" w:eastAsiaTheme="minorEastAsia" w:cstheme="minorEastAsia"/>
          <w:color w:val="auto"/>
          <w:szCs w:val="21"/>
          <w:highlight w:val="none"/>
        </w:rPr>
        <w:instrText xml:space="preserve"> HYPERLINK \l _Toc27602 </w:instrText>
      </w:r>
      <w:r>
        <w:rPr>
          <w:rFonts w:hint="eastAsia" w:asciiTheme="minorEastAsia" w:hAnsiTheme="minorEastAsia" w:eastAsiaTheme="minorEastAsia" w:cstheme="minorEastAsia"/>
          <w:color w:val="auto"/>
          <w:szCs w:val="21"/>
          <w:highlight w:val="none"/>
        </w:rPr>
        <w:fldChar w:fldCharType="separate"/>
      </w:r>
      <w:r>
        <w:rPr>
          <w:rFonts w:hint="eastAsia" w:asciiTheme="minorEastAsia" w:hAnsiTheme="minorEastAsia" w:eastAsiaTheme="minorEastAsia" w:cstheme="minorEastAsia"/>
          <w:color w:val="auto"/>
          <w:kern w:val="2"/>
          <w:highlight w:val="none"/>
        </w:rPr>
        <w:t xml:space="preserve">1 </w:t>
      </w:r>
      <w:r>
        <w:rPr>
          <w:rFonts w:hint="eastAsia" w:asciiTheme="minorEastAsia" w:hAnsiTheme="minorEastAsia" w:eastAsiaTheme="minorEastAsia" w:cstheme="minorEastAsia"/>
          <w:color w:val="auto"/>
          <w:kern w:val="2"/>
          <w:highlight w:val="none"/>
          <w:lang w:eastAsia="zh-CN"/>
        </w:rPr>
        <w:t>、</w:t>
      </w:r>
      <w:r>
        <w:rPr>
          <w:rFonts w:hint="eastAsia" w:asciiTheme="minorEastAsia" w:hAnsiTheme="minorEastAsia" w:eastAsiaTheme="minorEastAsia" w:cstheme="minorEastAsia"/>
          <w:color w:val="auto"/>
          <w:kern w:val="2"/>
          <w:highlight w:val="none"/>
        </w:rPr>
        <w:t>投标保证</w:t>
      </w:r>
      <w:r>
        <w:rPr>
          <w:color w:val="auto"/>
          <w:highlight w:val="none"/>
        </w:rPr>
        <w:tab/>
      </w:r>
      <w:r>
        <w:rPr>
          <w:color w:val="auto"/>
          <w:highlight w:val="none"/>
        </w:rPr>
        <w:fldChar w:fldCharType="begin"/>
      </w:r>
      <w:r>
        <w:rPr>
          <w:color w:val="auto"/>
          <w:highlight w:val="none"/>
        </w:rPr>
        <w:instrText xml:space="preserve"> PAGEREF _Toc27602 \h </w:instrText>
      </w:r>
      <w:r>
        <w:rPr>
          <w:color w:val="auto"/>
          <w:highlight w:val="none"/>
        </w:rPr>
        <w:fldChar w:fldCharType="separate"/>
      </w:r>
      <w:r>
        <w:rPr>
          <w:color w:val="auto"/>
          <w:highlight w:val="none"/>
        </w:rPr>
        <w:t>73</w:t>
      </w:r>
      <w:r>
        <w:rPr>
          <w:color w:val="auto"/>
          <w:highlight w:val="none"/>
        </w:rPr>
        <w:fldChar w:fldCharType="end"/>
      </w:r>
      <w:r>
        <w:rPr>
          <w:rFonts w:hint="eastAsia" w:asciiTheme="minorEastAsia" w:hAnsiTheme="minorEastAsia" w:eastAsiaTheme="minorEastAsia" w:cstheme="minorEastAsia"/>
          <w:color w:val="auto"/>
          <w:szCs w:val="21"/>
          <w:highlight w:val="none"/>
        </w:rPr>
        <w:fldChar w:fldCharType="end"/>
      </w:r>
    </w:p>
    <w:p w14:paraId="3AB7049F">
      <w:pPr>
        <w:pStyle w:val="10"/>
        <w:tabs>
          <w:tab w:val="right" w:leader="dot" w:pos="9354"/>
        </w:tabs>
        <w:spacing w:line="360" w:lineRule="auto"/>
        <w:rPr>
          <w:color w:val="auto"/>
          <w:highlight w:val="none"/>
        </w:rPr>
      </w:pPr>
      <w:r>
        <w:rPr>
          <w:rFonts w:hint="eastAsia" w:asciiTheme="minorEastAsia" w:hAnsiTheme="minorEastAsia" w:eastAsiaTheme="minorEastAsia" w:cstheme="minorEastAsia"/>
          <w:color w:val="auto"/>
          <w:szCs w:val="21"/>
          <w:highlight w:val="none"/>
        </w:rPr>
        <w:fldChar w:fldCharType="begin"/>
      </w:r>
      <w:r>
        <w:rPr>
          <w:rFonts w:hint="eastAsia" w:asciiTheme="minorEastAsia" w:hAnsiTheme="minorEastAsia" w:eastAsiaTheme="minorEastAsia" w:cstheme="minorEastAsia"/>
          <w:color w:val="auto"/>
          <w:szCs w:val="21"/>
          <w:highlight w:val="none"/>
        </w:rPr>
        <w:instrText xml:space="preserve"> HYPERLINK \l _Toc19423 </w:instrText>
      </w:r>
      <w:r>
        <w:rPr>
          <w:rFonts w:hint="eastAsia" w:asciiTheme="minorEastAsia" w:hAnsiTheme="minorEastAsia" w:eastAsiaTheme="minorEastAsia" w:cstheme="minorEastAsia"/>
          <w:color w:val="auto"/>
          <w:szCs w:val="21"/>
          <w:highlight w:val="none"/>
        </w:rPr>
        <w:fldChar w:fldCharType="separate"/>
      </w:r>
      <w:r>
        <w:rPr>
          <w:rFonts w:hint="eastAsia" w:asciiTheme="minorEastAsia" w:hAnsiTheme="minorEastAsia" w:eastAsiaTheme="minorEastAsia" w:cstheme="minorEastAsia"/>
          <w:color w:val="auto"/>
          <w:kern w:val="2"/>
          <w:highlight w:val="none"/>
        </w:rPr>
        <w:t xml:space="preserve">2 </w:t>
      </w:r>
      <w:r>
        <w:rPr>
          <w:rFonts w:hint="eastAsia" w:asciiTheme="minorEastAsia" w:hAnsiTheme="minorEastAsia" w:eastAsiaTheme="minorEastAsia" w:cstheme="minorEastAsia"/>
          <w:color w:val="auto"/>
          <w:kern w:val="2"/>
          <w:highlight w:val="none"/>
          <w:lang w:eastAsia="zh-CN"/>
        </w:rPr>
        <w:t>、</w:t>
      </w:r>
      <w:r>
        <w:rPr>
          <w:rFonts w:hint="eastAsia" w:asciiTheme="minorEastAsia" w:hAnsiTheme="minorEastAsia" w:eastAsiaTheme="minorEastAsia" w:cstheme="minorEastAsia"/>
          <w:color w:val="auto"/>
          <w:kern w:val="2"/>
          <w:highlight w:val="none"/>
        </w:rPr>
        <w:t>履约保证金</w:t>
      </w:r>
      <w:r>
        <w:rPr>
          <w:color w:val="auto"/>
          <w:highlight w:val="none"/>
        </w:rPr>
        <w:tab/>
      </w:r>
      <w:r>
        <w:rPr>
          <w:color w:val="auto"/>
          <w:highlight w:val="none"/>
        </w:rPr>
        <w:fldChar w:fldCharType="begin"/>
      </w:r>
      <w:r>
        <w:rPr>
          <w:color w:val="auto"/>
          <w:highlight w:val="none"/>
        </w:rPr>
        <w:instrText xml:space="preserve"> PAGEREF _Toc19423 \h </w:instrText>
      </w:r>
      <w:r>
        <w:rPr>
          <w:color w:val="auto"/>
          <w:highlight w:val="none"/>
        </w:rPr>
        <w:fldChar w:fldCharType="separate"/>
      </w:r>
      <w:r>
        <w:rPr>
          <w:color w:val="auto"/>
          <w:highlight w:val="none"/>
        </w:rPr>
        <w:t>74</w:t>
      </w:r>
      <w:r>
        <w:rPr>
          <w:color w:val="auto"/>
          <w:highlight w:val="none"/>
        </w:rPr>
        <w:fldChar w:fldCharType="end"/>
      </w:r>
      <w:r>
        <w:rPr>
          <w:rFonts w:hint="eastAsia" w:asciiTheme="minorEastAsia" w:hAnsiTheme="minorEastAsia" w:eastAsiaTheme="minorEastAsia" w:cstheme="minorEastAsia"/>
          <w:color w:val="auto"/>
          <w:szCs w:val="21"/>
          <w:highlight w:val="none"/>
        </w:rPr>
        <w:fldChar w:fldCharType="end"/>
      </w:r>
    </w:p>
    <w:p w14:paraId="0D907599">
      <w:pPr>
        <w:pStyle w:val="10"/>
        <w:tabs>
          <w:tab w:val="right" w:leader="dot" w:pos="9354"/>
        </w:tabs>
        <w:spacing w:line="360" w:lineRule="auto"/>
        <w:rPr>
          <w:color w:val="auto"/>
          <w:highlight w:val="none"/>
        </w:rPr>
      </w:pPr>
      <w:r>
        <w:rPr>
          <w:rFonts w:hint="eastAsia" w:asciiTheme="minorEastAsia" w:hAnsiTheme="minorEastAsia" w:eastAsiaTheme="minorEastAsia" w:cstheme="minorEastAsia"/>
          <w:color w:val="auto"/>
          <w:szCs w:val="21"/>
          <w:highlight w:val="none"/>
        </w:rPr>
        <w:fldChar w:fldCharType="begin"/>
      </w:r>
      <w:r>
        <w:rPr>
          <w:rFonts w:hint="eastAsia" w:asciiTheme="minorEastAsia" w:hAnsiTheme="minorEastAsia" w:eastAsiaTheme="minorEastAsia" w:cstheme="minorEastAsia"/>
          <w:color w:val="auto"/>
          <w:szCs w:val="21"/>
          <w:highlight w:val="none"/>
        </w:rPr>
        <w:instrText xml:space="preserve"> HYPERLINK \l _Toc31210 </w:instrText>
      </w:r>
      <w:r>
        <w:rPr>
          <w:rFonts w:hint="eastAsia" w:asciiTheme="minorEastAsia" w:hAnsiTheme="minorEastAsia" w:eastAsiaTheme="minorEastAsia" w:cstheme="minorEastAsia"/>
          <w:color w:val="auto"/>
          <w:szCs w:val="21"/>
          <w:highlight w:val="none"/>
        </w:rPr>
        <w:fldChar w:fldCharType="separate"/>
      </w:r>
      <w:r>
        <w:rPr>
          <w:rFonts w:hint="eastAsia" w:asciiTheme="minorEastAsia" w:hAnsiTheme="minorEastAsia" w:eastAsiaTheme="minorEastAsia" w:cstheme="minorEastAsia"/>
          <w:color w:val="auto"/>
          <w:kern w:val="2"/>
          <w:highlight w:val="none"/>
        </w:rPr>
        <w:t>3</w:t>
      </w:r>
      <w:r>
        <w:rPr>
          <w:rFonts w:hint="eastAsia" w:asciiTheme="minorEastAsia" w:hAnsiTheme="minorEastAsia" w:eastAsiaTheme="minorEastAsia" w:cstheme="minorEastAsia"/>
          <w:color w:val="auto"/>
          <w:kern w:val="2"/>
          <w:highlight w:val="none"/>
          <w:lang w:eastAsia="zh-CN"/>
        </w:rPr>
        <w:t>、</w:t>
      </w:r>
      <w:r>
        <w:rPr>
          <w:rFonts w:hint="eastAsia" w:asciiTheme="minorEastAsia" w:hAnsiTheme="minorEastAsia" w:eastAsiaTheme="minorEastAsia" w:cstheme="minorEastAsia"/>
          <w:color w:val="auto"/>
          <w:kern w:val="2"/>
          <w:highlight w:val="none"/>
        </w:rPr>
        <w:t>质量保证</w:t>
      </w:r>
      <w:r>
        <w:rPr>
          <w:color w:val="auto"/>
          <w:highlight w:val="none"/>
        </w:rPr>
        <w:tab/>
      </w:r>
      <w:r>
        <w:rPr>
          <w:color w:val="auto"/>
          <w:highlight w:val="none"/>
        </w:rPr>
        <w:fldChar w:fldCharType="begin"/>
      </w:r>
      <w:r>
        <w:rPr>
          <w:color w:val="auto"/>
          <w:highlight w:val="none"/>
        </w:rPr>
        <w:instrText xml:space="preserve"> PAGEREF _Toc31210 \h </w:instrText>
      </w:r>
      <w:r>
        <w:rPr>
          <w:color w:val="auto"/>
          <w:highlight w:val="none"/>
        </w:rPr>
        <w:fldChar w:fldCharType="separate"/>
      </w:r>
      <w:r>
        <w:rPr>
          <w:color w:val="auto"/>
          <w:highlight w:val="none"/>
        </w:rPr>
        <w:t>74</w:t>
      </w:r>
      <w:r>
        <w:rPr>
          <w:color w:val="auto"/>
          <w:highlight w:val="none"/>
        </w:rPr>
        <w:fldChar w:fldCharType="end"/>
      </w:r>
      <w:r>
        <w:rPr>
          <w:rFonts w:hint="eastAsia" w:asciiTheme="minorEastAsia" w:hAnsiTheme="minorEastAsia" w:eastAsiaTheme="minorEastAsia" w:cstheme="minorEastAsia"/>
          <w:color w:val="auto"/>
          <w:szCs w:val="21"/>
          <w:highlight w:val="none"/>
        </w:rPr>
        <w:fldChar w:fldCharType="end"/>
      </w:r>
    </w:p>
    <w:p w14:paraId="3CBDBBB8">
      <w:pPr>
        <w:pStyle w:val="16"/>
        <w:tabs>
          <w:tab w:val="right" w:leader="dot" w:pos="9354"/>
        </w:tabs>
        <w:spacing w:line="360" w:lineRule="auto"/>
        <w:rPr>
          <w:color w:val="auto"/>
          <w:highlight w:val="none"/>
        </w:rPr>
      </w:pPr>
      <w:r>
        <w:rPr>
          <w:rFonts w:hint="eastAsia" w:asciiTheme="minorEastAsia" w:hAnsiTheme="minorEastAsia" w:eastAsiaTheme="minorEastAsia" w:cstheme="minorEastAsia"/>
          <w:color w:val="auto"/>
          <w:szCs w:val="21"/>
          <w:highlight w:val="none"/>
        </w:rPr>
        <w:fldChar w:fldCharType="begin"/>
      </w:r>
      <w:r>
        <w:rPr>
          <w:rFonts w:hint="eastAsia" w:asciiTheme="minorEastAsia" w:hAnsiTheme="minorEastAsia" w:eastAsiaTheme="minorEastAsia" w:cstheme="minorEastAsia"/>
          <w:color w:val="auto"/>
          <w:szCs w:val="21"/>
          <w:highlight w:val="none"/>
        </w:rPr>
        <w:instrText xml:space="preserve"> HYPERLINK \l _Toc15719 </w:instrText>
      </w:r>
      <w:r>
        <w:rPr>
          <w:rFonts w:hint="eastAsia" w:asciiTheme="minorEastAsia" w:hAnsiTheme="minorEastAsia" w:eastAsiaTheme="minorEastAsia" w:cstheme="minorEastAsia"/>
          <w:color w:val="auto"/>
          <w:szCs w:val="21"/>
          <w:highlight w:val="none"/>
        </w:rPr>
        <w:fldChar w:fldCharType="separate"/>
      </w:r>
      <w:r>
        <w:rPr>
          <w:rFonts w:hint="eastAsia" w:asciiTheme="minorEastAsia" w:hAnsiTheme="minorEastAsia" w:eastAsiaTheme="minorEastAsia" w:cstheme="minorEastAsia"/>
          <w:color w:val="auto"/>
          <w:kern w:val="44"/>
          <w:szCs w:val="36"/>
          <w:highlight w:val="none"/>
        </w:rPr>
        <w:t>第五章 招标工程的技术要求和前期文件</w:t>
      </w:r>
      <w:r>
        <w:rPr>
          <w:color w:val="auto"/>
          <w:highlight w:val="none"/>
        </w:rPr>
        <w:tab/>
      </w:r>
      <w:r>
        <w:rPr>
          <w:color w:val="auto"/>
          <w:highlight w:val="none"/>
        </w:rPr>
        <w:fldChar w:fldCharType="begin"/>
      </w:r>
      <w:r>
        <w:rPr>
          <w:color w:val="auto"/>
          <w:highlight w:val="none"/>
        </w:rPr>
        <w:instrText xml:space="preserve"> PAGEREF _Toc15719 \h </w:instrText>
      </w:r>
      <w:r>
        <w:rPr>
          <w:color w:val="auto"/>
          <w:highlight w:val="none"/>
        </w:rPr>
        <w:fldChar w:fldCharType="separate"/>
      </w:r>
      <w:r>
        <w:rPr>
          <w:color w:val="auto"/>
          <w:highlight w:val="none"/>
        </w:rPr>
        <w:t>76</w:t>
      </w:r>
      <w:r>
        <w:rPr>
          <w:color w:val="auto"/>
          <w:highlight w:val="none"/>
        </w:rPr>
        <w:fldChar w:fldCharType="end"/>
      </w:r>
      <w:r>
        <w:rPr>
          <w:rFonts w:hint="eastAsia" w:asciiTheme="minorEastAsia" w:hAnsiTheme="minorEastAsia" w:eastAsiaTheme="minorEastAsia" w:cstheme="minorEastAsia"/>
          <w:color w:val="auto"/>
          <w:szCs w:val="21"/>
          <w:highlight w:val="none"/>
        </w:rPr>
        <w:fldChar w:fldCharType="end"/>
      </w:r>
    </w:p>
    <w:p w14:paraId="0EF5733D">
      <w:pPr>
        <w:pStyle w:val="16"/>
        <w:tabs>
          <w:tab w:val="right" w:leader="dot" w:pos="9354"/>
        </w:tabs>
        <w:spacing w:line="360" w:lineRule="auto"/>
        <w:rPr>
          <w:color w:val="auto"/>
          <w:highlight w:val="none"/>
        </w:rPr>
      </w:pPr>
      <w:r>
        <w:rPr>
          <w:rFonts w:hint="eastAsia" w:asciiTheme="minorEastAsia" w:hAnsiTheme="minorEastAsia" w:eastAsiaTheme="minorEastAsia" w:cstheme="minorEastAsia"/>
          <w:color w:val="auto"/>
          <w:szCs w:val="21"/>
          <w:highlight w:val="none"/>
        </w:rPr>
        <w:fldChar w:fldCharType="begin"/>
      </w:r>
      <w:r>
        <w:rPr>
          <w:rFonts w:hint="eastAsia" w:asciiTheme="minorEastAsia" w:hAnsiTheme="minorEastAsia" w:eastAsiaTheme="minorEastAsia" w:cstheme="minorEastAsia"/>
          <w:color w:val="auto"/>
          <w:szCs w:val="21"/>
          <w:highlight w:val="none"/>
        </w:rPr>
        <w:instrText xml:space="preserve"> HYPERLINK \l _Toc8578 </w:instrText>
      </w:r>
      <w:r>
        <w:rPr>
          <w:rFonts w:hint="eastAsia" w:asciiTheme="minorEastAsia" w:hAnsiTheme="minorEastAsia" w:eastAsiaTheme="minorEastAsia" w:cstheme="minorEastAsia"/>
          <w:color w:val="auto"/>
          <w:szCs w:val="21"/>
          <w:highlight w:val="none"/>
        </w:rPr>
        <w:fldChar w:fldCharType="separate"/>
      </w:r>
      <w:r>
        <w:rPr>
          <w:rFonts w:hint="eastAsia" w:asciiTheme="minorEastAsia" w:hAnsiTheme="minorEastAsia" w:eastAsiaTheme="minorEastAsia" w:cstheme="minorEastAsia"/>
          <w:color w:val="auto"/>
          <w:kern w:val="44"/>
          <w:szCs w:val="36"/>
          <w:highlight w:val="none"/>
        </w:rPr>
        <w:t>第六章 设计任务书</w:t>
      </w:r>
      <w:r>
        <w:rPr>
          <w:color w:val="auto"/>
          <w:highlight w:val="none"/>
        </w:rPr>
        <w:tab/>
      </w:r>
      <w:r>
        <w:rPr>
          <w:color w:val="auto"/>
          <w:highlight w:val="none"/>
        </w:rPr>
        <w:fldChar w:fldCharType="begin"/>
      </w:r>
      <w:r>
        <w:rPr>
          <w:color w:val="auto"/>
          <w:highlight w:val="none"/>
        </w:rPr>
        <w:instrText xml:space="preserve"> PAGEREF _Toc8578 \h </w:instrText>
      </w:r>
      <w:r>
        <w:rPr>
          <w:color w:val="auto"/>
          <w:highlight w:val="none"/>
        </w:rPr>
        <w:fldChar w:fldCharType="separate"/>
      </w:r>
      <w:r>
        <w:rPr>
          <w:color w:val="auto"/>
          <w:highlight w:val="none"/>
        </w:rPr>
        <w:t>78</w:t>
      </w:r>
      <w:r>
        <w:rPr>
          <w:color w:val="auto"/>
          <w:highlight w:val="none"/>
        </w:rPr>
        <w:fldChar w:fldCharType="end"/>
      </w:r>
      <w:r>
        <w:rPr>
          <w:rFonts w:hint="eastAsia" w:asciiTheme="minorEastAsia" w:hAnsiTheme="minorEastAsia" w:eastAsiaTheme="minorEastAsia" w:cstheme="minorEastAsia"/>
          <w:color w:val="auto"/>
          <w:szCs w:val="21"/>
          <w:highlight w:val="none"/>
        </w:rPr>
        <w:fldChar w:fldCharType="end"/>
      </w:r>
    </w:p>
    <w:p w14:paraId="7DF91780">
      <w:pPr>
        <w:pStyle w:val="16"/>
        <w:tabs>
          <w:tab w:val="right" w:leader="dot" w:pos="9354"/>
        </w:tabs>
        <w:spacing w:line="360" w:lineRule="auto"/>
        <w:rPr>
          <w:color w:val="auto"/>
          <w:highlight w:val="none"/>
        </w:rPr>
      </w:pPr>
      <w:r>
        <w:rPr>
          <w:rFonts w:hint="eastAsia" w:asciiTheme="minorEastAsia" w:hAnsiTheme="minorEastAsia" w:eastAsiaTheme="minorEastAsia" w:cstheme="minorEastAsia"/>
          <w:color w:val="auto"/>
          <w:szCs w:val="21"/>
          <w:highlight w:val="none"/>
        </w:rPr>
        <w:fldChar w:fldCharType="begin"/>
      </w:r>
      <w:r>
        <w:rPr>
          <w:rFonts w:hint="eastAsia" w:asciiTheme="minorEastAsia" w:hAnsiTheme="minorEastAsia" w:eastAsiaTheme="minorEastAsia" w:cstheme="minorEastAsia"/>
          <w:color w:val="auto"/>
          <w:szCs w:val="21"/>
          <w:highlight w:val="none"/>
        </w:rPr>
        <w:instrText xml:space="preserve"> HYPERLINK \l _Toc25386 </w:instrText>
      </w:r>
      <w:r>
        <w:rPr>
          <w:rFonts w:hint="eastAsia" w:asciiTheme="minorEastAsia" w:hAnsiTheme="minorEastAsia" w:eastAsiaTheme="minorEastAsia" w:cstheme="minorEastAsia"/>
          <w:color w:val="auto"/>
          <w:szCs w:val="21"/>
          <w:highlight w:val="none"/>
        </w:rPr>
        <w:fldChar w:fldCharType="separate"/>
      </w:r>
      <w:r>
        <w:rPr>
          <w:rFonts w:hint="eastAsia" w:asciiTheme="minorEastAsia" w:hAnsiTheme="minorEastAsia" w:eastAsiaTheme="minorEastAsia" w:cstheme="minorEastAsia"/>
          <w:color w:val="auto"/>
          <w:kern w:val="44"/>
          <w:szCs w:val="36"/>
          <w:highlight w:val="none"/>
          <w:lang w:val="en-US" w:eastAsia="zh-CN" w:bidi="ar-SA"/>
        </w:rPr>
        <w:t xml:space="preserve">第七章 </w:t>
      </w:r>
      <w:r>
        <w:rPr>
          <w:rFonts w:asciiTheme="minorEastAsia" w:hAnsiTheme="minorEastAsia" w:eastAsiaTheme="minorEastAsia" w:cstheme="minorEastAsia"/>
          <w:color w:val="auto"/>
          <w:kern w:val="44"/>
          <w:szCs w:val="36"/>
          <w:highlight w:val="none"/>
        </w:rPr>
        <w:t>招标文件的附件</w:t>
      </w:r>
      <w:r>
        <w:rPr>
          <w:color w:val="auto"/>
          <w:highlight w:val="none"/>
        </w:rPr>
        <w:tab/>
      </w:r>
      <w:r>
        <w:rPr>
          <w:color w:val="auto"/>
          <w:highlight w:val="none"/>
        </w:rPr>
        <w:fldChar w:fldCharType="begin"/>
      </w:r>
      <w:r>
        <w:rPr>
          <w:color w:val="auto"/>
          <w:highlight w:val="none"/>
        </w:rPr>
        <w:instrText xml:space="preserve"> PAGEREF _Toc25386 \h </w:instrText>
      </w:r>
      <w:r>
        <w:rPr>
          <w:color w:val="auto"/>
          <w:highlight w:val="none"/>
        </w:rPr>
        <w:fldChar w:fldCharType="separate"/>
      </w:r>
      <w:r>
        <w:rPr>
          <w:color w:val="auto"/>
          <w:highlight w:val="none"/>
        </w:rPr>
        <w:t>80</w:t>
      </w:r>
      <w:r>
        <w:rPr>
          <w:color w:val="auto"/>
          <w:highlight w:val="none"/>
        </w:rPr>
        <w:fldChar w:fldCharType="end"/>
      </w:r>
      <w:r>
        <w:rPr>
          <w:rFonts w:hint="eastAsia" w:asciiTheme="minorEastAsia" w:hAnsiTheme="minorEastAsia" w:eastAsiaTheme="minorEastAsia" w:cstheme="minorEastAsia"/>
          <w:color w:val="auto"/>
          <w:szCs w:val="21"/>
          <w:highlight w:val="none"/>
        </w:rPr>
        <w:fldChar w:fldCharType="end"/>
      </w:r>
    </w:p>
    <w:p w14:paraId="5645F34F">
      <w:pPr>
        <w:pStyle w:val="18"/>
        <w:tabs>
          <w:tab w:val="right" w:leader="dot" w:pos="9354"/>
        </w:tabs>
        <w:spacing w:line="360" w:lineRule="auto"/>
        <w:rPr>
          <w:color w:val="auto"/>
          <w:highlight w:val="none"/>
        </w:rPr>
      </w:pPr>
      <w:r>
        <w:rPr>
          <w:rFonts w:hint="eastAsia" w:asciiTheme="minorEastAsia" w:hAnsiTheme="minorEastAsia" w:eastAsiaTheme="minorEastAsia" w:cstheme="minorEastAsia"/>
          <w:color w:val="auto"/>
          <w:szCs w:val="21"/>
          <w:highlight w:val="none"/>
        </w:rPr>
        <w:fldChar w:fldCharType="begin"/>
      </w:r>
      <w:r>
        <w:rPr>
          <w:rFonts w:hint="eastAsia" w:asciiTheme="minorEastAsia" w:hAnsiTheme="minorEastAsia" w:eastAsiaTheme="minorEastAsia" w:cstheme="minorEastAsia"/>
          <w:color w:val="auto"/>
          <w:szCs w:val="21"/>
          <w:highlight w:val="none"/>
        </w:rPr>
        <w:instrText xml:space="preserve"> HYPERLINK \l _Toc10043 </w:instrText>
      </w:r>
      <w:r>
        <w:rPr>
          <w:rFonts w:hint="eastAsia" w:asciiTheme="minorEastAsia" w:hAnsiTheme="minorEastAsia" w:eastAsiaTheme="minorEastAsia" w:cstheme="minorEastAsia"/>
          <w:color w:val="auto"/>
          <w:szCs w:val="21"/>
          <w:highlight w:val="none"/>
        </w:rPr>
        <w:fldChar w:fldCharType="separate"/>
      </w:r>
      <w:r>
        <w:rPr>
          <w:rFonts w:asciiTheme="minorEastAsia" w:hAnsiTheme="minorEastAsia" w:eastAsiaTheme="minorEastAsia" w:cstheme="minorEastAsia"/>
          <w:snapToGrid w:val="0"/>
          <w:color w:val="auto"/>
          <w:szCs w:val="24"/>
          <w:highlight w:val="none"/>
        </w:rPr>
        <w:t>格式一 封面</w:t>
      </w:r>
      <w:r>
        <w:rPr>
          <w:color w:val="auto"/>
          <w:highlight w:val="none"/>
        </w:rPr>
        <w:tab/>
      </w:r>
      <w:r>
        <w:rPr>
          <w:color w:val="auto"/>
          <w:highlight w:val="none"/>
        </w:rPr>
        <w:fldChar w:fldCharType="begin"/>
      </w:r>
      <w:r>
        <w:rPr>
          <w:color w:val="auto"/>
          <w:highlight w:val="none"/>
        </w:rPr>
        <w:instrText xml:space="preserve"> PAGEREF _Toc10043 \h </w:instrText>
      </w:r>
      <w:r>
        <w:rPr>
          <w:color w:val="auto"/>
          <w:highlight w:val="none"/>
        </w:rPr>
        <w:fldChar w:fldCharType="separate"/>
      </w:r>
      <w:r>
        <w:rPr>
          <w:color w:val="auto"/>
          <w:highlight w:val="none"/>
        </w:rPr>
        <w:t>80</w:t>
      </w:r>
      <w:r>
        <w:rPr>
          <w:color w:val="auto"/>
          <w:highlight w:val="none"/>
        </w:rPr>
        <w:fldChar w:fldCharType="end"/>
      </w:r>
      <w:r>
        <w:rPr>
          <w:rFonts w:hint="eastAsia" w:asciiTheme="minorEastAsia" w:hAnsiTheme="minorEastAsia" w:eastAsiaTheme="minorEastAsia" w:cstheme="minorEastAsia"/>
          <w:color w:val="auto"/>
          <w:szCs w:val="21"/>
          <w:highlight w:val="none"/>
        </w:rPr>
        <w:fldChar w:fldCharType="end"/>
      </w:r>
    </w:p>
    <w:p w14:paraId="56D9ABB1">
      <w:pPr>
        <w:pStyle w:val="18"/>
        <w:tabs>
          <w:tab w:val="right" w:leader="dot" w:pos="9354"/>
        </w:tabs>
        <w:spacing w:line="360" w:lineRule="auto"/>
        <w:rPr>
          <w:color w:val="auto"/>
          <w:highlight w:val="none"/>
        </w:rPr>
      </w:pPr>
      <w:r>
        <w:rPr>
          <w:rFonts w:hint="eastAsia" w:asciiTheme="minorEastAsia" w:hAnsiTheme="minorEastAsia" w:eastAsiaTheme="minorEastAsia" w:cstheme="minorEastAsia"/>
          <w:color w:val="auto"/>
          <w:szCs w:val="21"/>
          <w:highlight w:val="none"/>
        </w:rPr>
        <w:fldChar w:fldCharType="begin"/>
      </w:r>
      <w:r>
        <w:rPr>
          <w:rFonts w:hint="eastAsia" w:asciiTheme="minorEastAsia" w:hAnsiTheme="minorEastAsia" w:eastAsiaTheme="minorEastAsia" w:cstheme="minorEastAsia"/>
          <w:color w:val="auto"/>
          <w:szCs w:val="21"/>
          <w:highlight w:val="none"/>
        </w:rPr>
        <w:instrText xml:space="preserve"> HYPERLINK \l _Toc1823 </w:instrText>
      </w:r>
      <w:r>
        <w:rPr>
          <w:rFonts w:hint="eastAsia" w:asciiTheme="minorEastAsia" w:hAnsiTheme="minorEastAsia" w:eastAsiaTheme="minorEastAsia" w:cstheme="minorEastAsia"/>
          <w:color w:val="auto"/>
          <w:szCs w:val="21"/>
          <w:highlight w:val="none"/>
        </w:rPr>
        <w:fldChar w:fldCharType="separate"/>
      </w:r>
      <w:r>
        <w:rPr>
          <w:rFonts w:asciiTheme="minorEastAsia" w:hAnsiTheme="minorEastAsia" w:eastAsiaTheme="minorEastAsia" w:cstheme="minorEastAsia"/>
          <w:bCs/>
          <w:color w:val="auto"/>
          <w:szCs w:val="24"/>
          <w:highlight w:val="none"/>
        </w:rPr>
        <w:t>格式二 《投标函》及《工程项目总价表》</w:t>
      </w:r>
      <w:r>
        <w:rPr>
          <w:color w:val="auto"/>
          <w:highlight w:val="none"/>
        </w:rPr>
        <w:tab/>
      </w:r>
      <w:r>
        <w:rPr>
          <w:color w:val="auto"/>
          <w:highlight w:val="none"/>
        </w:rPr>
        <w:fldChar w:fldCharType="begin"/>
      </w:r>
      <w:r>
        <w:rPr>
          <w:color w:val="auto"/>
          <w:highlight w:val="none"/>
        </w:rPr>
        <w:instrText xml:space="preserve"> PAGEREF _Toc1823 \h </w:instrText>
      </w:r>
      <w:r>
        <w:rPr>
          <w:color w:val="auto"/>
          <w:highlight w:val="none"/>
        </w:rPr>
        <w:fldChar w:fldCharType="separate"/>
      </w:r>
      <w:r>
        <w:rPr>
          <w:color w:val="auto"/>
          <w:highlight w:val="none"/>
        </w:rPr>
        <w:t>81</w:t>
      </w:r>
      <w:r>
        <w:rPr>
          <w:color w:val="auto"/>
          <w:highlight w:val="none"/>
        </w:rPr>
        <w:fldChar w:fldCharType="end"/>
      </w:r>
      <w:r>
        <w:rPr>
          <w:rFonts w:hint="eastAsia" w:asciiTheme="minorEastAsia" w:hAnsiTheme="minorEastAsia" w:eastAsiaTheme="minorEastAsia" w:cstheme="minorEastAsia"/>
          <w:color w:val="auto"/>
          <w:szCs w:val="21"/>
          <w:highlight w:val="none"/>
        </w:rPr>
        <w:fldChar w:fldCharType="end"/>
      </w:r>
    </w:p>
    <w:p w14:paraId="63B622B0">
      <w:pPr>
        <w:pStyle w:val="18"/>
        <w:tabs>
          <w:tab w:val="right" w:leader="dot" w:pos="9354"/>
        </w:tabs>
        <w:spacing w:line="360" w:lineRule="auto"/>
        <w:rPr>
          <w:color w:val="auto"/>
          <w:highlight w:val="none"/>
        </w:rPr>
      </w:pPr>
      <w:r>
        <w:rPr>
          <w:rFonts w:hint="eastAsia" w:asciiTheme="minorEastAsia" w:hAnsiTheme="minorEastAsia" w:eastAsiaTheme="minorEastAsia" w:cstheme="minorEastAsia"/>
          <w:color w:val="auto"/>
          <w:szCs w:val="21"/>
          <w:highlight w:val="none"/>
        </w:rPr>
        <w:fldChar w:fldCharType="begin"/>
      </w:r>
      <w:r>
        <w:rPr>
          <w:rFonts w:hint="eastAsia" w:asciiTheme="minorEastAsia" w:hAnsiTheme="minorEastAsia" w:eastAsiaTheme="minorEastAsia" w:cstheme="minorEastAsia"/>
          <w:color w:val="auto"/>
          <w:szCs w:val="21"/>
          <w:highlight w:val="none"/>
        </w:rPr>
        <w:instrText xml:space="preserve"> HYPERLINK \l _Toc19866 </w:instrText>
      </w:r>
      <w:r>
        <w:rPr>
          <w:rFonts w:hint="eastAsia" w:asciiTheme="minorEastAsia" w:hAnsiTheme="minorEastAsia" w:eastAsiaTheme="minorEastAsia" w:cstheme="minorEastAsia"/>
          <w:color w:val="auto"/>
          <w:szCs w:val="21"/>
          <w:highlight w:val="none"/>
        </w:rPr>
        <w:fldChar w:fldCharType="separate"/>
      </w:r>
      <w:r>
        <w:rPr>
          <w:rFonts w:asciiTheme="minorEastAsia" w:hAnsiTheme="minorEastAsia" w:eastAsiaTheme="minorEastAsia" w:cstheme="minorEastAsia"/>
          <w:color w:val="auto"/>
          <w:szCs w:val="24"/>
          <w:highlight w:val="none"/>
        </w:rPr>
        <w:t>格式三 各项</w:t>
      </w:r>
      <w:r>
        <w:rPr>
          <w:rFonts w:asciiTheme="minorEastAsia" w:hAnsiTheme="minorEastAsia" w:eastAsiaTheme="minorEastAsia" w:cstheme="minorEastAsia"/>
          <w:bCs/>
          <w:color w:val="auto"/>
          <w:szCs w:val="24"/>
          <w:highlight w:val="none"/>
        </w:rPr>
        <w:t>承诺</w:t>
      </w:r>
      <w:r>
        <w:rPr>
          <w:rFonts w:asciiTheme="minorEastAsia" w:hAnsiTheme="minorEastAsia" w:eastAsiaTheme="minorEastAsia" w:cstheme="minorEastAsia"/>
          <w:color w:val="auto"/>
          <w:szCs w:val="24"/>
          <w:highlight w:val="none"/>
        </w:rPr>
        <w:t>一览表</w:t>
      </w:r>
      <w:r>
        <w:rPr>
          <w:color w:val="auto"/>
          <w:highlight w:val="none"/>
        </w:rPr>
        <w:tab/>
      </w:r>
      <w:r>
        <w:rPr>
          <w:color w:val="auto"/>
          <w:highlight w:val="none"/>
        </w:rPr>
        <w:fldChar w:fldCharType="begin"/>
      </w:r>
      <w:r>
        <w:rPr>
          <w:color w:val="auto"/>
          <w:highlight w:val="none"/>
        </w:rPr>
        <w:instrText xml:space="preserve"> PAGEREF _Toc19866 \h </w:instrText>
      </w:r>
      <w:r>
        <w:rPr>
          <w:color w:val="auto"/>
          <w:highlight w:val="none"/>
        </w:rPr>
        <w:fldChar w:fldCharType="separate"/>
      </w:r>
      <w:r>
        <w:rPr>
          <w:color w:val="auto"/>
          <w:highlight w:val="none"/>
        </w:rPr>
        <w:t>83</w:t>
      </w:r>
      <w:r>
        <w:rPr>
          <w:color w:val="auto"/>
          <w:highlight w:val="none"/>
        </w:rPr>
        <w:fldChar w:fldCharType="end"/>
      </w:r>
      <w:r>
        <w:rPr>
          <w:rFonts w:hint="eastAsia" w:asciiTheme="minorEastAsia" w:hAnsiTheme="minorEastAsia" w:eastAsiaTheme="minorEastAsia" w:cstheme="minorEastAsia"/>
          <w:color w:val="auto"/>
          <w:szCs w:val="21"/>
          <w:highlight w:val="none"/>
        </w:rPr>
        <w:fldChar w:fldCharType="end"/>
      </w:r>
    </w:p>
    <w:p w14:paraId="57B1527C">
      <w:pPr>
        <w:pStyle w:val="18"/>
        <w:tabs>
          <w:tab w:val="right" w:leader="dot" w:pos="9354"/>
        </w:tabs>
        <w:spacing w:line="360" w:lineRule="auto"/>
        <w:rPr>
          <w:color w:val="auto"/>
          <w:highlight w:val="none"/>
        </w:rPr>
      </w:pPr>
      <w:r>
        <w:rPr>
          <w:rFonts w:hint="eastAsia" w:asciiTheme="minorEastAsia" w:hAnsiTheme="minorEastAsia" w:eastAsiaTheme="minorEastAsia" w:cstheme="minorEastAsia"/>
          <w:color w:val="auto"/>
          <w:szCs w:val="21"/>
          <w:highlight w:val="none"/>
        </w:rPr>
        <w:fldChar w:fldCharType="begin"/>
      </w:r>
      <w:r>
        <w:rPr>
          <w:rFonts w:hint="eastAsia" w:asciiTheme="minorEastAsia" w:hAnsiTheme="minorEastAsia" w:eastAsiaTheme="minorEastAsia" w:cstheme="minorEastAsia"/>
          <w:color w:val="auto"/>
          <w:szCs w:val="21"/>
          <w:highlight w:val="none"/>
        </w:rPr>
        <w:instrText xml:space="preserve"> HYPERLINK \l _Toc18530 </w:instrText>
      </w:r>
      <w:r>
        <w:rPr>
          <w:rFonts w:hint="eastAsia" w:asciiTheme="minorEastAsia" w:hAnsiTheme="minorEastAsia" w:eastAsiaTheme="minorEastAsia" w:cstheme="minorEastAsia"/>
          <w:color w:val="auto"/>
          <w:szCs w:val="21"/>
          <w:highlight w:val="none"/>
        </w:rPr>
        <w:fldChar w:fldCharType="separate"/>
      </w:r>
      <w:r>
        <w:rPr>
          <w:rFonts w:asciiTheme="minorEastAsia" w:hAnsiTheme="minorEastAsia" w:eastAsiaTheme="minorEastAsia" w:cstheme="minorEastAsia"/>
          <w:bCs/>
          <w:color w:val="auto"/>
          <w:szCs w:val="24"/>
          <w:highlight w:val="none"/>
        </w:rPr>
        <w:t>格式四 授权委托书</w:t>
      </w:r>
      <w:r>
        <w:rPr>
          <w:color w:val="auto"/>
          <w:highlight w:val="none"/>
        </w:rPr>
        <w:tab/>
      </w:r>
      <w:r>
        <w:rPr>
          <w:color w:val="auto"/>
          <w:highlight w:val="none"/>
        </w:rPr>
        <w:fldChar w:fldCharType="begin"/>
      </w:r>
      <w:r>
        <w:rPr>
          <w:color w:val="auto"/>
          <w:highlight w:val="none"/>
        </w:rPr>
        <w:instrText xml:space="preserve"> PAGEREF _Toc18530 \h </w:instrText>
      </w:r>
      <w:r>
        <w:rPr>
          <w:color w:val="auto"/>
          <w:highlight w:val="none"/>
        </w:rPr>
        <w:fldChar w:fldCharType="separate"/>
      </w:r>
      <w:r>
        <w:rPr>
          <w:color w:val="auto"/>
          <w:highlight w:val="none"/>
        </w:rPr>
        <w:t>86</w:t>
      </w:r>
      <w:r>
        <w:rPr>
          <w:color w:val="auto"/>
          <w:highlight w:val="none"/>
        </w:rPr>
        <w:fldChar w:fldCharType="end"/>
      </w:r>
      <w:r>
        <w:rPr>
          <w:rFonts w:hint="eastAsia" w:asciiTheme="minorEastAsia" w:hAnsiTheme="minorEastAsia" w:eastAsiaTheme="minorEastAsia" w:cstheme="minorEastAsia"/>
          <w:color w:val="auto"/>
          <w:szCs w:val="21"/>
          <w:highlight w:val="none"/>
        </w:rPr>
        <w:fldChar w:fldCharType="end"/>
      </w:r>
    </w:p>
    <w:p w14:paraId="0DCBC460">
      <w:pPr>
        <w:pStyle w:val="18"/>
        <w:tabs>
          <w:tab w:val="right" w:leader="dot" w:pos="9354"/>
        </w:tabs>
        <w:spacing w:line="360" w:lineRule="auto"/>
        <w:rPr>
          <w:color w:val="auto"/>
          <w:highlight w:val="none"/>
        </w:rPr>
      </w:pPr>
      <w:r>
        <w:rPr>
          <w:rFonts w:hint="eastAsia" w:asciiTheme="minorEastAsia" w:hAnsiTheme="minorEastAsia" w:eastAsiaTheme="minorEastAsia" w:cstheme="minorEastAsia"/>
          <w:color w:val="auto"/>
          <w:szCs w:val="21"/>
          <w:highlight w:val="none"/>
        </w:rPr>
        <w:fldChar w:fldCharType="begin"/>
      </w:r>
      <w:r>
        <w:rPr>
          <w:rFonts w:hint="eastAsia" w:asciiTheme="minorEastAsia" w:hAnsiTheme="minorEastAsia" w:eastAsiaTheme="minorEastAsia" w:cstheme="minorEastAsia"/>
          <w:color w:val="auto"/>
          <w:szCs w:val="21"/>
          <w:highlight w:val="none"/>
        </w:rPr>
        <w:instrText xml:space="preserve"> HYPERLINK \l _Toc11094 </w:instrText>
      </w:r>
      <w:r>
        <w:rPr>
          <w:rFonts w:hint="eastAsia" w:asciiTheme="minorEastAsia" w:hAnsiTheme="minorEastAsia" w:eastAsiaTheme="minorEastAsia" w:cstheme="minorEastAsia"/>
          <w:color w:val="auto"/>
          <w:szCs w:val="21"/>
          <w:highlight w:val="none"/>
        </w:rPr>
        <w:fldChar w:fldCharType="separate"/>
      </w:r>
      <w:r>
        <w:rPr>
          <w:rFonts w:asciiTheme="minorEastAsia" w:hAnsiTheme="minorEastAsia" w:eastAsiaTheme="minorEastAsia" w:cstheme="minorEastAsia"/>
          <w:bCs/>
          <w:color w:val="auto"/>
          <w:szCs w:val="24"/>
          <w:highlight w:val="none"/>
        </w:rPr>
        <w:t>格式五 法定代表人身份证明</w:t>
      </w:r>
      <w:r>
        <w:rPr>
          <w:color w:val="auto"/>
          <w:highlight w:val="none"/>
        </w:rPr>
        <w:tab/>
      </w:r>
      <w:r>
        <w:rPr>
          <w:color w:val="auto"/>
          <w:highlight w:val="none"/>
        </w:rPr>
        <w:fldChar w:fldCharType="begin"/>
      </w:r>
      <w:r>
        <w:rPr>
          <w:color w:val="auto"/>
          <w:highlight w:val="none"/>
        </w:rPr>
        <w:instrText xml:space="preserve"> PAGEREF _Toc11094 \h </w:instrText>
      </w:r>
      <w:r>
        <w:rPr>
          <w:color w:val="auto"/>
          <w:highlight w:val="none"/>
        </w:rPr>
        <w:fldChar w:fldCharType="separate"/>
      </w:r>
      <w:r>
        <w:rPr>
          <w:color w:val="auto"/>
          <w:highlight w:val="none"/>
        </w:rPr>
        <w:t>87</w:t>
      </w:r>
      <w:r>
        <w:rPr>
          <w:color w:val="auto"/>
          <w:highlight w:val="none"/>
        </w:rPr>
        <w:fldChar w:fldCharType="end"/>
      </w:r>
      <w:r>
        <w:rPr>
          <w:rFonts w:hint="eastAsia" w:asciiTheme="minorEastAsia" w:hAnsiTheme="minorEastAsia" w:eastAsiaTheme="minorEastAsia" w:cstheme="minorEastAsia"/>
          <w:color w:val="auto"/>
          <w:szCs w:val="21"/>
          <w:highlight w:val="none"/>
        </w:rPr>
        <w:fldChar w:fldCharType="end"/>
      </w:r>
    </w:p>
    <w:p w14:paraId="2F320955">
      <w:pPr>
        <w:pStyle w:val="18"/>
        <w:tabs>
          <w:tab w:val="right" w:leader="dot" w:pos="9354"/>
        </w:tabs>
        <w:spacing w:line="360" w:lineRule="auto"/>
        <w:rPr>
          <w:color w:val="auto"/>
          <w:highlight w:val="none"/>
        </w:rPr>
      </w:pPr>
      <w:r>
        <w:rPr>
          <w:rFonts w:hint="eastAsia" w:asciiTheme="minorEastAsia" w:hAnsiTheme="minorEastAsia" w:eastAsiaTheme="minorEastAsia" w:cstheme="minorEastAsia"/>
          <w:color w:val="auto"/>
          <w:szCs w:val="21"/>
          <w:highlight w:val="none"/>
        </w:rPr>
        <w:fldChar w:fldCharType="begin"/>
      </w:r>
      <w:r>
        <w:rPr>
          <w:rFonts w:hint="eastAsia" w:asciiTheme="minorEastAsia" w:hAnsiTheme="minorEastAsia" w:eastAsiaTheme="minorEastAsia" w:cstheme="minorEastAsia"/>
          <w:color w:val="auto"/>
          <w:szCs w:val="21"/>
          <w:highlight w:val="none"/>
        </w:rPr>
        <w:instrText xml:space="preserve"> HYPERLINK \l _Toc3782 </w:instrText>
      </w:r>
      <w:r>
        <w:rPr>
          <w:rFonts w:hint="eastAsia" w:asciiTheme="minorEastAsia" w:hAnsiTheme="minorEastAsia" w:eastAsiaTheme="minorEastAsia" w:cstheme="minorEastAsia"/>
          <w:color w:val="auto"/>
          <w:szCs w:val="21"/>
          <w:highlight w:val="none"/>
        </w:rPr>
        <w:fldChar w:fldCharType="separate"/>
      </w:r>
      <w:r>
        <w:rPr>
          <w:rFonts w:asciiTheme="minorEastAsia" w:hAnsiTheme="minorEastAsia" w:eastAsiaTheme="minorEastAsia" w:cstheme="minorEastAsia"/>
          <w:bCs/>
          <w:color w:val="auto"/>
          <w:szCs w:val="24"/>
          <w:highlight w:val="none"/>
        </w:rPr>
        <w:t>格式六 联合体协议书</w:t>
      </w:r>
      <w:r>
        <w:rPr>
          <w:color w:val="auto"/>
          <w:highlight w:val="none"/>
        </w:rPr>
        <w:tab/>
      </w:r>
      <w:r>
        <w:rPr>
          <w:color w:val="auto"/>
          <w:highlight w:val="none"/>
        </w:rPr>
        <w:fldChar w:fldCharType="begin"/>
      </w:r>
      <w:r>
        <w:rPr>
          <w:color w:val="auto"/>
          <w:highlight w:val="none"/>
        </w:rPr>
        <w:instrText xml:space="preserve"> PAGEREF _Toc3782 \h </w:instrText>
      </w:r>
      <w:r>
        <w:rPr>
          <w:color w:val="auto"/>
          <w:highlight w:val="none"/>
        </w:rPr>
        <w:fldChar w:fldCharType="separate"/>
      </w:r>
      <w:r>
        <w:rPr>
          <w:color w:val="auto"/>
          <w:highlight w:val="none"/>
        </w:rPr>
        <w:t>88</w:t>
      </w:r>
      <w:r>
        <w:rPr>
          <w:color w:val="auto"/>
          <w:highlight w:val="none"/>
        </w:rPr>
        <w:fldChar w:fldCharType="end"/>
      </w:r>
      <w:r>
        <w:rPr>
          <w:rFonts w:hint="eastAsia" w:asciiTheme="minorEastAsia" w:hAnsiTheme="minorEastAsia" w:eastAsiaTheme="minorEastAsia" w:cstheme="minorEastAsia"/>
          <w:color w:val="auto"/>
          <w:szCs w:val="21"/>
          <w:highlight w:val="none"/>
        </w:rPr>
        <w:fldChar w:fldCharType="end"/>
      </w:r>
    </w:p>
    <w:p w14:paraId="3E657D84">
      <w:pPr>
        <w:pStyle w:val="18"/>
        <w:tabs>
          <w:tab w:val="right" w:leader="dot" w:pos="9354"/>
        </w:tabs>
        <w:spacing w:line="360" w:lineRule="auto"/>
        <w:rPr>
          <w:color w:val="auto"/>
          <w:highlight w:val="none"/>
        </w:rPr>
      </w:pPr>
      <w:r>
        <w:rPr>
          <w:rFonts w:hint="eastAsia" w:asciiTheme="minorEastAsia" w:hAnsiTheme="minorEastAsia" w:eastAsiaTheme="minorEastAsia" w:cstheme="minorEastAsia"/>
          <w:color w:val="auto"/>
          <w:szCs w:val="21"/>
          <w:highlight w:val="none"/>
        </w:rPr>
        <w:fldChar w:fldCharType="begin"/>
      </w:r>
      <w:r>
        <w:rPr>
          <w:rFonts w:hint="eastAsia" w:asciiTheme="minorEastAsia" w:hAnsiTheme="minorEastAsia" w:eastAsiaTheme="minorEastAsia" w:cstheme="minorEastAsia"/>
          <w:color w:val="auto"/>
          <w:szCs w:val="21"/>
          <w:highlight w:val="none"/>
        </w:rPr>
        <w:instrText xml:space="preserve"> HYPERLINK \l _Toc27903 </w:instrText>
      </w:r>
      <w:r>
        <w:rPr>
          <w:rFonts w:hint="eastAsia" w:asciiTheme="minorEastAsia" w:hAnsiTheme="minorEastAsia" w:eastAsiaTheme="minorEastAsia" w:cstheme="minorEastAsia"/>
          <w:color w:val="auto"/>
          <w:szCs w:val="21"/>
          <w:highlight w:val="none"/>
        </w:rPr>
        <w:fldChar w:fldCharType="separate"/>
      </w:r>
      <w:r>
        <w:rPr>
          <w:rFonts w:asciiTheme="minorEastAsia" w:hAnsiTheme="minorEastAsia" w:eastAsiaTheme="minorEastAsia" w:cstheme="minorEastAsia"/>
          <w:bCs/>
          <w:color w:val="auto"/>
          <w:szCs w:val="24"/>
          <w:highlight w:val="none"/>
        </w:rPr>
        <w:t>格式七 投标人基本情况表</w:t>
      </w:r>
      <w:r>
        <w:rPr>
          <w:color w:val="auto"/>
          <w:highlight w:val="none"/>
        </w:rPr>
        <w:tab/>
      </w:r>
      <w:r>
        <w:rPr>
          <w:color w:val="auto"/>
          <w:highlight w:val="none"/>
        </w:rPr>
        <w:fldChar w:fldCharType="begin"/>
      </w:r>
      <w:r>
        <w:rPr>
          <w:color w:val="auto"/>
          <w:highlight w:val="none"/>
        </w:rPr>
        <w:instrText xml:space="preserve"> PAGEREF _Toc27903 \h </w:instrText>
      </w:r>
      <w:r>
        <w:rPr>
          <w:color w:val="auto"/>
          <w:highlight w:val="none"/>
        </w:rPr>
        <w:fldChar w:fldCharType="separate"/>
      </w:r>
      <w:r>
        <w:rPr>
          <w:color w:val="auto"/>
          <w:highlight w:val="none"/>
        </w:rPr>
        <w:t>90</w:t>
      </w:r>
      <w:r>
        <w:rPr>
          <w:color w:val="auto"/>
          <w:highlight w:val="none"/>
        </w:rPr>
        <w:fldChar w:fldCharType="end"/>
      </w:r>
      <w:r>
        <w:rPr>
          <w:rFonts w:hint="eastAsia" w:asciiTheme="minorEastAsia" w:hAnsiTheme="minorEastAsia" w:eastAsiaTheme="minorEastAsia" w:cstheme="minorEastAsia"/>
          <w:color w:val="auto"/>
          <w:szCs w:val="21"/>
          <w:highlight w:val="none"/>
        </w:rPr>
        <w:fldChar w:fldCharType="end"/>
      </w:r>
    </w:p>
    <w:p w14:paraId="39E269A7">
      <w:pPr>
        <w:pStyle w:val="18"/>
        <w:tabs>
          <w:tab w:val="right" w:leader="dot" w:pos="9354"/>
        </w:tabs>
        <w:spacing w:line="360" w:lineRule="auto"/>
        <w:rPr>
          <w:color w:val="auto"/>
          <w:highlight w:val="none"/>
        </w:rPr>
      </w:pPr>
      <w:r>
        <w:rPr>
          <w:rFonts w:hint="eastAsia" w:asciiTheme="minorEastAsia" w:hAnsiTheme="minorEastAsia" w:eastAsiaTheme="minorEastAsia" w:cstheme="minorEastAsia"/>
          <w:color w:val="auto"/>
          <w:szCs w:val="21"/>
          <w:highlight w:val="none"/>
        </w:rPr>
        <w:fldChar w:fldCharType="begin"/>
      </w:r>
      <w:r>
        <w:rPr>
          <w:rFonts w:hint="eastAsia" w:asciiTheme="minorEastAsia" w:hAnsiTheme="minorEastAsia" w:eastAsiaTheme="minorEastAsia" w:cstheme="minorEastAsia"/>
          <w:color w:val="auto"/>
          <w:szCs w:val="21"/>
          <w:highlight w:val="none"/>
        </w:rPr>
        <w:instrText xml:space="preserve"> HYPERLINK \l _Toc28774 </w:instrText>
      </w:r>
      <w:r>
        <w:rPr>
          <w:rFonts w:hint="eastAsia" w:asciiTheme="minorEastAsia" w:hAnsiTheme="minorEastAsia" w:eastAsiaTheme="minorEastAsia" w:cstheme="minorEastAsia"/>
          <w:color w:val="auto"/>
          <w:szCs w:val="21"/>
          <w:highlight w:val="none"/>
        </w:rPr>
        <w:fldChar w:fldCharType="separate"/>
      </w:r>
      <w:r>
        <w:rPr>
          <w:rFonts w:asciiTheme="minorEastAsia" w:hAnsiTheme="minorEastAsia" w:eastAsiaTheme="minorEastAsia" w:cstheme="minorEastAsia"/>
          <w:bCs/>
          <w:color w:val="auto"/>
          <w:szCs w:val="24"/>
          <w:highlight w:val="none"/>
        </w:rPr>
        <w:t>格式八 项目经理简历表</w:t>
      </w:r>
      <w:r>
        <w:rPr>
          <w:color w:val="auto"/>
          <w:highlight w:val="none"/>
        </w:rPr>
        <w:tab/>
      </w:r>
      <w:r>
        <w:rPr>
          <w:color w:val="auto"/>
          <w:highlight w:val="none"/>
        </w:rPr>
        <w:fldChar w:fldCharType="begin"/>
      </w:r>
      <w:r>
        <w:rPr>
          <w:color w:val="auto"/>
          <w:highlight w:val="none"/>
        </w:rPr>
        <w:instrText xml:space="preserve"> PAGEREF _Toc28774 \h </w:instrText>
      </w:r>
      <w:r>
        <w:rPr>
          <w:color w:val="auto"/>
          <w:highlight w:val="none"/>
        </w:rPr>
        <w:fldChar w:fldCharType="separate"/>
      </w:r>
      <w:r>
        <w:rPr>
          <w:color w:val="auto"/>
          <w:highlight w:val="none"/>
        </w:rPr>
        <w:t>91</w:t>
      </w:r>
      <w:r>
        <w:rPr>
          <w:color w:val="auto"/>
          <w:highlight w:val="none"/>
        </w:rPr>
        <w:fldChar w:fldCharType="end"/>
      </w:r>
      <w:r>
        <w:rPr>
          <w:rFonts w:hint="eastAsia" w:asciiTheme="minorEastAsia" w:hAnsiTheme="minorEastAsia" w:eastAsiaTheme="minorEastAsia" w:cstheme="minorEastAsia"/>
          <w:color w:val="auto"/>
          <w:szCs w:val="21"/>
          <w:highlight w:val="none"/>
        </w:rPr>
        <w:fldChar w:fldCharType="end"/>
      </w:r>
    </w:p>
    <w:p w14:paraId="3B575F9B">
      <w:pPr>
        <w:pStyle w:val="18"/>
        <w:tabs>
          <w:tab w:val="right" w:leader="dot" w:pos="9354"/>
        </w:tabs>
        <w:spacing w:line="360" w:lineRule="auto"/>
        <w:rPr>
          <w:color w:val="auto"/>
          <w:highlight w:val="none"/>
        </w:rPr>
      </w:pPr>
      <w:r>
        <w:rPr>
          <w:rFonts w:hint="eastAsia" w:asciiTheme="minorEastAsia" w:hAnsiTheme="minorEastAsia" w:eastAsiaTheme="minorEastAsia" w:cstheme="minorEastAsia"/>
          <w:color w:val="auto"/>
          <w:szCs w:val="21"/>
          <w:highlight w:val="none"/>
        </w:rPr>
        <w:fldChar w:fldCharType="begin"/>
      </w:r>
      <w:r>
        <w:rPr>
          <w:rFonts w:hint="eastAsia" w:asciiTheme="minorEastAsia" w:hAnsiTheme="minorEastAsia" w:eastAsiaTheme="minorEastAsia" w:cstheme="minorEastAsia"/>
          <w:color w:val="auto"/>
          <w:szCs w:val="21"/>
          <w:highlight w:val="none"/>
        </w:rPr>
        <w:instrText xml:space="preserve"> HYPERLINK \l _Toc9454 </w:instrText>
      </w:r>
      <w:r>
        <w:rPr>
          <w:rFonts w:hint="eastAsia" w:asciiTheme="minorEastAsia" w:hAnsiTheme="minorEastAsia" w:eastAsiaTheme="minorEastAsia" w:cstheme="minorEastAsia"/>
          <w:color w:val="auto"/>
          <w:szCs w:val="21"/>
          <w:highlight w:val="none"/>
        </w:rPr>
        <w:fldChar w:fldCharType="separate"/>
      </w:r>
      <w:r>
        <w:rPr>
          <w:rFonts w:asciiTheme="minorEastAsia" w:hAnsiTheme="minorEastAsia" w:eastAsiaTheme="minorEastAsia" w:cstheme="minorEastAsia"/>
          <w:bCs/>
          <w:color w:val="auto"/>
          <w:szCs w:val="24"/>
          <w:highlight w:val="none"/>
        </w:rPr>
        <w:t>格式九 项目经理任职声明</w:t>
      </w:r>
      <w:r>
        <w:rPr>
          <w:color w:val="auto"/>
          <w:highlight w:val="none"/>
        </w:rPr>
        <w:tab/>
      </w:r>
      <w:r>
        <w:rPr>
          <w:color w:val="auto"/>
          <w:highlight w:val="none"/>
        </w:rPr>
        <w:fldChar w:fldCharType="begin"/>
      </w:r>
      <w:r>
        <w:rPr>
          <w:color w:val="auto"/>
          <w:highlight w:val="none"/>
        </w:rPr>
        <w:instrText xml:space="preserve"> PAGEREF _Toc9454 \h </w:instrText>
      </w:r>
      <w:r>
        <w:rPr>
          <w:color w:val="auto"/>
          <w:highlight w:val="none"/>
        </w:rPr>
        <w:fldChar w:fldCharType="separate"/>
      </w:r>
      <w:r>
        <w:rPr>
          <w:color w:val="auto"/>
          <w:highlight w:val="none"/>
        </w:rPr>
        <w:t>92</w:t>
      </w:r>
      <w:r>
        <w:rPr>
          <w:color w:val="auto"/>
          <w:highlight w:val="none"/>
        </w:rPr>
        <w:fldChar w:fldCharType="end"/>
      </w:r>
      <w:r>
        <w:rPr>
          <w:rFonts w:hint="eastAsia" w:asciiTheme="minorEastAsia" w:hAnsiTheme="minorEastAsia" w:eastAsiaTheme="minorEastAsia" w:cstheme="minorEastAsia"/>
          <w:color w:val="auto"/>
          <w:szCs w:val="21"/>
          <w:highlight w:val="none"/>
        </w:rPr>
        <w:fldChar w:fldCharType="end"/>
      </w:r>
    </w:p>
    <w:p w14:paraId="26F12958">
      <w:pPr>
        <w:pStyle w:val="18"/>
        <w:tabs>
          <w:tab w:val="right" w:leader="dot" w:pos="9354"/>
        </w:tabs>
        <w:spacing w:line="360" w:lineRule="auto"/>
        <w:rPr>
          <w:color w:val="auto"/>
          <w:highlight w:val="none"/>
        </w:rPr>
      </w:pPr>
      <w:r>
        <w:rPr>
          <w:rFonts w:hint="eastAsia" w:asciiTheme="minorEastAsia" w:hAnsiTheme="minorEastAsia" w:eastAsiaTheme="minorEastAsia" w:cstheme="minorEastAsia"/>
          <w:color w:val="auto"/>
          <w:szCs w:val="21"/>
          <w:highlight w:val="none"/>
        </w:rPr>
        <w:fldChar w:fldCharType="begin"/>
      </w:r>
      <w:r>
        <w:rPr>
          <w:rFonts w:hint="eastAsia" w:asciiTheme="minorEastAsia" w:hAnsiTheme="minorEastAsia" w:eastAsiaTheme="minorEastAsia" w:cstheme="minorEastAsia"/>
          <w:color w:val="auto"/>
          <w:szCs w:val="21"/>
          <w:highlight w:val="none"/>
        </w:rPr>
        <w:instrText xml:space="preserve"> HYPERLINK \l _Toc16467 </w:instrText>
      </w:r>
      <w:r>
        <w:rPr>
          <w:rFonts w:hint="eastAsia" w:asciiTheme="minorEastAsia" w:hAnsiTheme="minorEastAsia" w:eastAsiaTheme="minorEastAsia" w:cstheme="minorEastAsia"/>
          <w:color w:val="auto"/>
          <w:szCs w:val="21"/>
          <w:highlight w:val="none"/>
        </w:rPr>
        <w:fldChar w:fldCharType="separate"/>
      </w:r>
      <w:r>
        <w:rPr>
          <w:rFonts w:asciiTheme="minorEastAsia" w:hAnsiTheme="minorEastAsia" w:eastAsiaTheme="minorEastAsia" w:cstheme="minorEastAsia"/>
          <w:bCs/>
          <w:color w:val="auto"/>
          <w:szCs w:val="24"/>
          <w:highlight w:val="none"/>
        </w:rPr>
        <w:t>格式十 项目技术负责人简历表</w:t>
      </w:r>
      <w:r>
        <w:rPr>
          <w:color w:val="auto"/>
          <w:highlight w:val="none"/>
        </w:rPr>
        <w:tab/>
      </w:r>
      <w:r>
        <w:rPr>
          <w:color w:val="auto"/>
          <w:highlight w:val="none"/>
        </w:rPr>
        <w:fldChar w:fldCharType="begin"/>
      </w:r>
      <w:r>
        <w:rPr>
          <w:color w:val="auto"/>
          <w:highlight w:val="none"/>
        </w:rPr>
        <w:instrText xml:space="preserve"> PAGEREF _Toc16467 \h </w:instrText>
      </w:r>
      <w:r>
        <w:rPr>
          <w:color w:val="auto"/>
          <w:highlight w:val="none"/>
        </w:rPr>
        <w:fldChar w:fldCharType="separate"/>
      </w:r>
      <w:r>
        <w:rPr>
          <w:color w:val="auto"/>
          <w:highlight w:val="none"/>
        </w:rPr>
        <w:t>93</w:t>
      </w:r>
      <w:r>
        <w:rPr>
          <w:color w:val="auto"/>
          <w:highlight w:val="none"/>
        </w:rPr>
        <w:fldChar w:fldCharType="end"/>
      </w:r>
      <w:r>
        <w:rPr>
          <w:rFonts w:hint="eastAsia" w:asciiTheme="minorEastAsia" w:hAnsiTheme="minorEastAsia" w:eastAsiaTheme="minorEastAsia" w:cstheme="minorEastAsia"/>
          <w:color w:val="auto"/>
          <w:szCs w:val="21"/>
          <w:highlight w:val="none"/>
        </w:rPr>
        <w:fldChar w:fldCharType="end"/>
      </w:r>
    </w:p>
    <w:p w14:paraId="7698E7D1">
      <w:pPr>
        <w:pStyle w:val="18"/>
        <w:tabs>
          <w:tab w:val="right" w:leader="dot" w:pos="9354"/>
        </w:tabs>
        <w:spacing w:line="360" w:lineRule="auto"/>
        <w:rPr>
          <w:color w:val="auto"/>
          <w:highlight w:val="none"/>
        </w:rPr>
      </w:pPr>
      <w:r>
        <w:rPr>
          <w:rFonts w:hint="eastAsia" w:asciiTheme="minorEastAsia" w:hAnsiTheme="minorEastAsia" w:eastAsiaTheme="minorEastAsia" w:cstheme="minorEastAsia"/>
          <w:color w:val="auto"/>
          <w:szCs w:val="21"/>
          <w:highlight w:val="none"/>
        </w:rPr>
        <w:fldChar w:fldCharType="begin"/>
      </w:r>
      <w:r>
        <w:rPr>
          <w:rFonts w:hint="eastAsia" w:asciiTheme="minorEastAsia" w:hAnsiTheme="minorEastAsia" w:eastAsiaTheme="minorEastAsia" w:cstheme="minorEastAsia"/>
          <w:color w:val="auto"/>
          <w:szCs w:val="21"/>
          <w:highlight w:val="none"/>
        </w:rPr>
        <w:instrText xml:space="preserve"> HYPERLINK \l _Toc9115 </w:instrText>
      </w:r>
      <w:r>
        <w:rPr>
          <w:rFonts w:hint="eastAsia" w:asciiTheme="minorEastAsia" w:hAnsiTheme="minorEastAsia" w:eastAsiaTheme="minorEastAsia" w:cstheme="minorEastAsia"/>
          <w:color w:val="auto"/>
          <w:szCs w:val="21"/>
          <w:highlight w:val="none"/>
        </w:rPr>
        <w:fldChar w:fldCharType="separate"/>
      </w:r>
      <w:r>
        <w:rPr>
          <w:rFonts w:asciiTheme="minorEastAsia" w:hAnsiTheme="minorEastAsia" w:eastAsiaTheme="minorEastAsia" w:cstheme="minorEastAsia"/>
          <w:bCs/>
          <w:color w:val="auto"/>
          <w:szCs w:val="24"/>
          <w:highlight w:val="none"/>
        </w:rPr>
        <w:t>格式十一 项目设计负责人简历表</w:t>
      </w:r>
      <w:r>
        <w:rPr>
          <w:color w:val="auto"/>
          <w:highlight w:val="none"/>
        </w:rPr>
        <w:tab/>
      </w:r>
      <w:r>
        <w:rPr>
          <w:color w:val="auto"/>
          <w:highlight w:val="none"/>
        </w:rPr>
        <w:fldChar w:fldCharType="begin"/>
      </w:r>
      <w:r>
        <w:rPr>
          <w:color w:val="auto"/>
          <w:highlight w:val="none"/>
        </w:rPr>
        <w:instrText xml:space="preserve"> PAGEREF _Toc9115 \h </w:instrText>
      </w:r>
      <w:r>
        <w:rPr>
          <w:color w:val="auto"/>
          <w:highlight w:val="none"/>
        </w:rPr>
        <w:fldChar w:fldCharType="separate"/>
      </w:r>
      <w:r>
        <w:rPr>
          <w:color w:val="auto"/>
          <w:highlight w:val="none"/>
        </w:rPr>
        <w:t>94</w:t>
      </w:r>
      <w:r>
        <w:rPr>
          <w:color w:val="auto"/>
          <w:highlight w:val="none"/>
        </w:rPr>
        <w:fldChar w:fldCharType="end"/>
      </w:r>
      <w:r>
        <w:rPr>
          <w:rFonts w:hint="eastAsia" w:asciiTheme="minorEastAsia" w:hAnsiTheme="minorEastAsia" w:eastAsiaTheme="minorEastAsia" w:cstheme="minorEastAsia"/>
          <w:color w:val="auto"/>
          <w:szCs w:val="21"/>
          <w:highlight w:val="none"/>
        </w:rPr>
        <w:fldChar w:fldCharType="end"/>
      </w:r>
    </w:p>
    <w:p w14:paraId="4452BA43">
      <w:pPr>
        <w:pStyle w:val="18"/>
        <w:tabs>
          <w:tab w:val="right" w:leader="dot" w:pos="9354"/>
        </w:tabs>
        <w:spacing w:line="360" w:lineRule="auto"/>
        <w:rPr>
          <w:color w:val="auto"/>
          <w:highlight w:val="none"/>
        </w:rPr>
      </w:pPr>
      <w:r>
        <w:rPr>
          <w:rFonts w:hint="eastAsia" w:asciiTheme="minorEastAsia" w:hAnsiTheme="minorEastAsia" w:eastAsiaTheme="minorEastAsia" w:cstheme="minorEastAsia"/>
          <w:color w:val="auto"/>
          <w:szCs w:val="21"/>
          <w:highlight w:val="none"/>
        </w:rPr>
        <w:fldChar w:fldCharType="begin"/>
      </w:r>
      <w:r>
        <w:rPr>
          <w:rFonts w:hint="eastAsia" w:asciiTheme="minorEastAsia" w:hAnsiTheme="minorEastAsia" w:eastAsiaTheme="minorEastAsia" w:cstheme="minorEastAsia"/>
          <w:color w:val="auto"/>
          <w:szCs w:val="21"/>
          <w:highlight w:val="none"/>
        </w:rPr>
        <w:instrText xml:space="preserve"> HYPERLINK \l _Toc30731 </w:instrText>
      </w:r>
      <w:r>
        <w:rPr>
          <w:rFonts w:hint="eastAsia" w:asciiTheme="minorEastAsia" w:hAnsiTheme="minorEastAsia" w:eastAsiaTheme="minorEastAsia" w:cstheme="minorEastAsia"/>
          <w:color w:val="auto"/>
          <w:szCs w:val="21"/>
          <w:highlight w:val="none"/>
        </w:rPr>
        <w:fldChar w:fldCharType="separate"/>
      </w:r>
      <w:r>
        <w:rPr>
          <w:rFonts w:asciiTheme="minorEastAsia" w:hAnsiTheme="minorEastAsia" w:eastAsiaTheme="minorEastAsia" w:cstheme="minorEastAsia"/>
          <w:snapToGrid w:val="0"/>
          <w:color w:val="auto"/>
          <w:szCs w:val="24"/>
          <w:highlight w:val="none"/>
        </w:rPr>
        <w:t>格式十二 项目管理机构组成表</w:t>
      </w:r>
      <w:r>
        <w:rPr>
          <w:color w:val="auto"/>
          <w:highlight w:val="none"/>
        </w:rPr>
        <w:tab/>
      </w:r>
      <w:r>
        <w:rPr>
          <w:color w:val="auto"/>
          <w:highlight w:val="none"/>
        </w:rPr>
        <w:fldChar w:fldCharType="begin"/>
      </w:r>
      <w:r>
        <w:rPr>
          <w:color w:val="auto"/>
          <w:highlight w:val="none"/>
        </w:rPr>
        <w:instrText xml:space="preserve"> PAGEREF _Toc30731 \h </w:instrText>
      </w:r>
      <w:r>
        <w:rPr>
          <w:color w:val="auto"/>
          <w:highlight w:val="none"/>
        </w:rPr>
        <w:fldChar w:fldCharType="separate"/>
      </w:r>
      <w:r>
        <w:rPr>
          <w:color w:val="auto"/>
          <w:highlight w:val="none"/>
        </w:rPr>
        <w:t>95</w:t>
      </w:r>
      <w:r>
        <w:rPr>
          <w:color w:val="auto"/>
          <w:highlight w:val="none"/>
        </w:rPr>
        <w:fldChar w:fldCharType="end"/>
      </w:r>
      <w:r>
        <w:rPr>
          <w:rFonts w:hint="eastAsia" w:asciiTheme="minorEastAsia" w:hAnsiTheme="minorEastAsia" w:eastAsiaTheme="minorEastAsia" w:cstheme="minorEastAsia"/>
          <w:color w:val="auto"/>
          <w:szCs w:val="21"/>
          <w:highlight w:val="none"/>
        </w:rPr>
        <w:fldChar w:fldCharType="end"/>
      </w:r>
    </w:p>
    <w:p w14:paraId="4D8A8B88">
      <w:pPr>
        <w:pStyle w:val="18"/>
        <w:tabs>
          <w:tab w:val="right" w:leader="dot" w:pos="9354"/>
        </w:tabs>
        <w:spacing w:line="360" w:lineRule="auto"/>
        <w:rPr>
          <w:color w:val="auto"/>
          <w:highlight w:val="none"/>
        </w:rPr>
      </w:pPr>
      <w:r>
        <w:rPr>
          <w:rFonts w:hint="eastAsia" w:asciiTheme="minorEastAsia" w:hAnsiTheme="minorEastAsia" w:eastAsiaTheme="minorEastAsia" w:cstheme="minorEastAsia"/>
          <w:color w:val="auto"/>
          <w:szCs w:val="21"/>
          <w:highlight w:val="none"/>
        </w:rPr>
        <w:fldChar w:fldCharType="begin"/>
      </w:r>
      <w:r>
        <w:rPr>
          <w:rFonts w:hint="eastAsia" w:asciiTheme="minorEastAsia" w:hAnsiTheme="minorEastAsia" w:eastAsiaTheme="minorEastAsia" w:cstheme="minorEastAsia"/>
          <w:color w:val="auto"/>
          <w:szCs w:val="21"/>
          <w:highlight w:val="none"/>
        </w:rPr>
        <w:instrText xml:space="preserve"> HYPERLINK \l _Toc25555 </w:instrText>
      </w:r>
      <w:r>
        <w:rPr>
          <w:rFonts w:hint="eastAsia" w:asciiTheme="minorEastAsia" w:hAnsiTheme="minorEastAsia" w:eastAsiaTheme="minorEastAsia" w:cstheme="minorEastAsia"/>
          <w:color w:val="auto"/>
          <w:szCs w:val="21"/>
          <w:highlight w:val="none"/>
        </w:rPr>
        <w:fldChar w:fldCharType="separate"/>
      </w:r>
      <w:r>
        <w:rPr>
          <w:rFonts w:asciiTheme="minorEastAsia" w:hAnsiTheme="minorEastAsia" w:eastAsiaTheme="minorEastAsia" w:cstheme="minorEastAsia"/>
          <w:bCs/>
          <w:color w:val="auto"/>
          <w:szCs w:val="24"/>
          <w:highlight w:val="none"/>
        </w:rPr>
        <w:t>格式十三 原件一览表</w:t>
      </w:r>
      <w:r>
        <w:rPr>
          <w:rFonts w:hint="eastAsia" w:asciiTheme="minorEastAsia" w:hAnsiTheme="minorEastAsia" w:eastAsiaTheme="minorEastAsia" w:cstheme="minorEastAsia"/>
          <w:bCs/>
          <w:color w:val="auto"/>
          <w:szCs w:val="24"/>
          <w:highlight w:val="none"/>
          <w:lang w:eastAsia="zh-CN"/>
        </w:rPr>
        <w:t>（</w:t>
      </w:r>
      <w:r>
        <w:rPr>
          <w:rFonts w:hint="eastAsia" w:asciiTheme="minorEastAsia" w:hAnsiTheme="minorEastAsia" w:eastAsiaTheme="minorEastAsia" w:cstheme="minorEastAsia"/>
          <w:bCs/>
          <w:color w:val="auto"/>
          <w:szCs w:val="24"/>
          <w:highlight w:val="none"/>
          <w:lang w:val="en-US" w:eastAsia="zh-CN"/>
        </w:rPr>
        <w:t>须提供原件时适用）</w:t>
      </w:r>
      <w:r>
        <w:rPr>
          <w:color w:val="auto"/>
          <w:highlight w:val="none"/>
        </w:rPr>
        <w:tab/>
      </w:r>
      <w:r>
        <w:rPr>
          <w:color w:val="auto"/>
          <w:highlight w:val="none"/>
        </w:rPr>
        <w:fldChar w:fldCharType="begin"/>
      </w:r>
      <w:r>
        <w:rPr>
          <w:color w:val="auto"/>
          <w:highlight w:val="none"/>
        </w:rPr>
        <w:instrText xml:space="preserve"> PAGEREF _Toc25555 \h </w:instrText>
      </w:r>
      <w:r>
        <w:rPr>
          <w:color w:val="auto"/>
          <w:highlight w:val="none"/>
        </w:rPr>
        <w:fldChar w:fldCharType="separate"/>
      </w:r>
      <w:r>
        <w:rPr>
          <w:color w:val="auto"/>
          <w:highlight w:val="none"/>
        </w:rPr>
        <w:t>96</w:t>
      </w:r>
      <w:r>
        <w:rPr>
          <w:color w:val="auto"/>
          <w:highlight w:val="none"/>
        </w:rPr>
        <w:fldChar w:fldCharType="end"/>
      </w:r>
      <w:r>
        <w:rPr>
          <w:rFonts w:hint="eastAsia" w:asciiTheme="minorEastAsia" w:hAnsiTheme="minorEastAsia" w:eastAsiaTheme="minorEastAsia" w:cstheme="minorEastAsia"/>
          <w:color w:val="auto"/>
          <w:szCs w:val="21"/>
          <w:highlight w:val="none"/>
        </w:rPr>
        <w:fldChar w:fldCharType="end"/>
      </w:r>
    </w:p>
    <w:p w14:paraId="3076985E">
      <w:pPr>
        <w:pStyle w:val="18"/>
        <w:tabs>
          <w:tab w:val="right" w:leader="dot" w:pos="9354"/>
        </w:tabs>
        <w:spacing w:line="360" w:lineRule="auto"/>
        <w:rPr>
          <w:color w:val="auto"/>
          <w:highlight w:val="none"/>
        </w:rPr>
      </w:pPr>
      <w:r>
        <w:rPr>
          <w:rFonts w:hint="eastAsia" w:asciiTheme="minorEastAsia" w:hAnsiTheme="minorEastAsia" w:eastAsiaTheme="minorEastAsia" w:cstheme="minorEastAsia"/>
          <w:color w:val="auto"/>
          <w:szCs w:val="21"/>
          <w:highlight w:val="none"/>
        </w:rPr>
        <w:fldChar w:fldCharType="begin"/>
      </w:r>
      <w:r>
        <w:rPr>
          <w:rFonts w:hint="eastAsia" w:asciiTheme="minorEastAsia" w:hAnsiTheme="minorEastAsia" w:eastAsiaTheme="minorEastAsia" w:cstheme="minorEastAsia"/>
          <w:color w:val="auto"/>
          <w:szCs w:val="21"/>
          <w:highlight w:val="none"/>
        </w:rPr>
        <w:instrText xml:space="preserve"> HYPERLINK \l _Toc31078 </w:instrText>
      </w:r>
      <w:r>
        <w:rPr>
          <w:rFonts w:hint="eastAsia" w:asciiTheme="minorEastAsia" w:hAnsiTheme="minorEastAsia" w:eastAsiaTheme="minorEastAsia" w:cstheme="minorEastAsia"/>
          <w:color w:val="auto"/>
          <w:szCs w:val="21"/>
          <w:highlight w:val="none"/>
        </w:rPr>
        <w:fldChar w:fldCharType="separate"/>
      </w:r>
      <w:r>
        <w:rPr>
          <w:rFonts w:hint="eastAsia" w:asciiTheme="minorEastAsia" w:hAnsiTheme="minorEastAsia" w:eastAsiaTheme="minorEastAsia" w:cstheme="minorEastAsia"/>
          <w:bCs/>
          <w:color w:val="auto"/>
          <w:szCs w:val="24"/>
          <w:highlight w:val="none"/>
          <w:lang w:val="en-US" w:eastAsia="zh-CN"/>
        </w:rPr>
        <w:t>格式十四 定标因素评审资料</w:t>
      </w:r>
      <w:r>
        <w:rPr>
          <w:color w:val="auto"/>
          <w:highlight w:val="none"/>
        </w:rPr>
        <w:tab/>
      </w:r>
      <w:r>
        <w:rPr>
          <w:color w:val="auto"/>
          <w:highlight w:val="none"/>
        </w:rPr>
        <w:fldChar w:fldCharType="begin"/>
      </w:r>
      <w:r>
        <w:rPr>
          <w:color w:val="auto"/>
          <w:highlight w:val="none"/>
        </w:rPr>
        <w:instrText xml:space="preserve"> PAGEREF _Toc31078 \h </w:instrText>
      </w:r>
      <w:r>
        <w:rPr>
          <w:color w:val="auto"/>
          <w:highlight w:val="none"/>
        </w:rPr>
        <w:fldChar w:fldCharType="separate"/>
      </w:r>
      <w:r>
        <w:rPr>
          <w:color w:val="auto"/>
          <w:highlight w:val="none"/>
        </w:rPr>
        <w:t>97</w:t>
      </w:r>
      <w:r>
        <w:rPr>
          <w:color w:val="auto"/>
          <w:highlight w:val="none"/>
        </w:rPr>
        <w:fldChar w:fldCharType="end"/>
      </w:r>
      <w:r>
        <w:rPr>
          <w:rFonts w:hint="eastAsia" w:asciiTheme="minorEastAsia" w:hAnsiTheme="minorEastAsia" w:eastAsiaTheme="minorEastAsia" w:cstheme="minorEastAsia"/>
          <w:color w:val="auto"/>
          <w:szCs w:val="21"/>
          <w:highlight w:val="none"/>
        </w:rPr>
        <w:fldChar w:fldCharType="end"/>
      </w:r>
    </w:p>
    <w:p w14:paraId="683F8956">
      <w:pPr>
        <w:pStyle w:val="18"/>
        <w:tabs>
          <w:tab w:val="right" w:leader="dot" w:pos="9354"/>
        </w:tabs>
        <w:spacing w:line="360" w:lineRule="auto"/>
        <w:rPr>
          <w:color w:val="auto"/>
          <w:highlight w:val="none"/>
        </w:rPr>
      </w:pPr>
      <w:r>
        <w:rPr>
          <w:rFonts w:hint="eastAsia" w:asciiTheme="minorEastAsia" w:hAnsiTheme="minorEastAsia" w:eastAsiaTheme="minorEastAsia" w:cstheme="minorEastAsia"/>
          <w:color w:val="auto"/>
          <w:szCs w:val="21"/>
          <w:highlight w:val="none"/>
        </w:rPr>
        <w:fldChar w:fldCharType="begin"/>
      </w:r>
      <w:r>
        <w:rPr>
          <w:rFonts w:hint="eastAsia" w:asciiTheme="minorEastAsia" w:hAnsiTheme="minorEastAsia" w:eastAsiaTheme="minorEastAsia" w:cstheme="minorEastAsia"/>
          <w:color w:val="auto"/>
          <w:szCs w:val="21"/>
          <w:highlight w:val="none"/>
        </w:rPr>
        <w:instrText xml:space="preserve"> HYPERLINK \l _Toc12638 </w:instrText>
      </w:r>
      <w:r>
        <w:rPr>
          <w:rFonts w:hint="eastAsia" w:asciiTheme="minorEastAsia" w:hAnsiTheme="minorEastAsia" w:eastAsiaTheme="minorEastAsia" w:cstheme="minorEastAsia"/>
          <w:color w:val="auto"/>
          <w:szCs w:val="21"/>
          <w:highlight w:val="none"/>
        </w:rPr>
        <w:fldChar w:fldCharType="separate"/>
      </w:r>
      <w:r>
        <w:rPr>
          <w:rFonts w:hint="eastAsia" w:hAnsi="宋体" w:eastAsia="宋体" w:cs="宋体"/>
          <w:bCs/>
          <w:color w:val="auto"/>
          <w:spacing w:val="-4"/>
          <w:szCs w:val="24"/>
          <w:highlight w:val="none"/>
          <w:lang w:eastAsia="zh-CN"/>
        </w:rPr>
        <w:t>格式十五</w:t>
      </w:r>
      <w:r>
        <w:rPr>
          <w:rFonts w:hint="eastAsia" w:hAnsi="宋体" w:eastAsia="宋体" w:cs="宋体"/>
          <w:bCs/>
          <w:color w:val="auto"/>
          <w:spacing w:val="-4"/>
          <w:szCs w:val="24"/>
          <w:highlight w:val="none"/>
          <w:lang w:val="en-US" w:eastAsia="zh-CN"/>
        </w:rPr>
        <w:t xml:space="preserve"> </w:t>
      </w:r>
      <w:r>
        <w:rPr>
          <w:rFonts w:hint="eastAsia" w:ascii="宋体" w:hAnsi="宋体" w:eastAsia="宋体" w:cs="宋体"/>
          <w:bCs/>
          <w:color w:val="auto"/>
          <w:spacing w:val="-4"/>
          <w:szCs w:val="24"/>
          <w:highlight w:val="none"/>
        </w:rPr>
        <w:t>建造师查询页（有效期+建造师签字）</w:t>
      </w:r>
      <w:r>
        <w:rPr>
          <w:color w:val="auto"/>
          <w:highlight w:val="none"/>
        </w:rPr>
        <w:tab/>
      </w:r>
      <w:r>
        <w:rPr>
          <w:color w:val="auto"/>
          <w:highlight w:val="none"/>
        </w:rPr>
        <w:fldChar w:fldCharType="begin"/>
      </w:r>
      <w:r>
        <w:rPr>
          <w:color w:val="auto"/>
          <w:highlight w:val="none"/>
        </w:rPr>
        <w:instrText xml:space="preserve"> PAGEREF _Toc12638 \h </w:instrText>
      </w:r>
      <w:r>
        <w:rPr>
          <w:color w:val="auto"/>
          <w:highlight w:val="none"/>
        </w:rPr>
        <w:fldChar w:fldCharType="separate"/>
      </w:r>
      <w:r>
        <w:rPr>
          <w:color w:val="auto"/>
          <w:highlight w:val="none"/>
        </w:rPr>
        <w:t>98</w:t>
      </w:r>
      <w:r>
        <w:rPr>
          <w:color w:val="auto"/>
          <w:highlight w:val="none"/>
        </w:rPr>
        <w:fldChar w:fldCharType="end"/>
      </w:r>
      <w:r>
        <w:rPr>
          <w:rFonts w:hint="eastAsia" w:asciiTheme="minorEastAsia" w:hAnsiTheme="minorEastAsia" w:eastAsiaTheme="minorEastAsia" w:cstheme="minorEastAsia"/>
          <w:color w:val="auto"/>
          <w:szCs w:val="21"/>
          <w:highlight w:val="none"/>
        </w:rPr>
        <w:fldChar w:fldCharType="end"/>
      </w:r>
    </w:p>
    <w:p w14:paraId="7D1B9A78">
      <w:pPr>
        <w:pStyle w:val="16"/>
        <w:tabs>
          <w:tab w:val="right" w:leader="dot" w:pos="9354"/>
        </w:tabs>
        <w:spacing w:line="360" w:lineRule="auto"/>
        <w:rPr>
          <w:color w:val="auto"/>
          <w:highlight w:val="none"/>
        </w:rPr>
      </w:pPr>
      <w:r>
        <w:rPr>
          <w:rFonts w:hint="eastAsia" w:asciiTheme="minorEastAsia" w:hAnsiTheme="minorEastAsia" w:eastAsiaTheme="minorEastAsia" w:cstheme="minorEastAsia"/>
          <w:color w:val="auto"/>
          <w:szCs w:val="21"/>
          <w:highlight w:val="none"/>
        </w:rPr>
        <w:fldChar w:fldCharType="begin"/>
      </w:r>
      <w:r>
        <w:rPr>
          <w:rFonts w:hint="eastAsia" w:asciiTheme="minorEastAsia" w:hAnsiTheme="minorEastAsia" w:eastAsiaTheme="minorEastAsia" w:cstheme="minorEastAsia"/>
          <w:color w:val="auto"/>
          <w:szCs w:val="21"/>
          <w:highlight w:val="none"/>
        </w:rPr>
        <w:instrText xml:space="preserve"> HYPERLINK \l _Toc21777 </w:instrText>
      </w:r>
      <w:r>
        <w:rPr>
          <w:rFonts w:hint="eastAsia" w:asciiTheme="minorEastAsia" w:hAnsiTheme="minorEastAsia" w:eastAsiaTheme="minorEastAsia" w:cstheme="minorEastAsia"/>
          <w:color w:val="auto"/>
          <w:szCs w:val="21"/>
          <w:highlight w:val="none"/>
        </w:rPr>
        <w:fldChar w:fldCharType="separate"/>
      </w:r>
      <w:r>
        <w:rPr>
          <w:rFonts w:asciiTheme="minorEastAsia" w:hAnsiTheme="minorEastAsia" w:eastAsiaTheme="minorEastAsia" w:cstheme="minorEastAsia"/>
          <w:color w:val="auto"/>
          <w:kern w:val="44"/>
          <w:szCs w:val="36"/>
          <w:highlight w:val="none"/>
        </w:rPr>
        <w:t>第</w:t>
      </w:r>
      <w:r>
        <w:rPr>
          <w:rFonts w:hint="eastAsia" w:asciiTheme="minorEastAsia" w:hAnsiTheme="minorEastAsia" w:eastAsiaTheme="minorEastAsia" w:cstheme="minorEastAsia"/>
          <w:color w:val="auto"/>
          <w:kern w:val="44"/>
          <w:szCs w:val="36"/>
          <w:highlight w:val="none"/>
          <w:lang w:eastAsia="zh-CN"/>
        </w:rPr>
        <w:t>八</w:t>
      </w:r>
      <w:r>
        <w:rPr>
          <w:rFonts w:asciiTheme="minorEastAsia" w:hAnsiTheme="minorEastAsia" w:eastAsiaTheme="minorEastAsia" w:cstheme="minorEastAsia"/>
          <w:color w:val="auto"/>
          <w:kern w:val="44"/>
          <w:szCs w:val="36"/>
          <w:highlight w:val="none"/>
        </w:rPr>
        <w:t>章  建设工程合同</w:t>
      </w:r>
      <w:r>
        <w:rPr>
          <w:color w:val="auto"/>
          <w:highlight w:val="none"/>
        </w:rPr>
        <w:tab/>
      </w:r>
      <w:r>
        <w:rPr>
          <w:color w:val="auto"/>
          <w:highlight w:val="none"/>
        </w:rPr>
        <w:fldChar w:fldCharType="begin"/>
      </w:r>
      <w:r>
        <w:rPr>
          <w:color w:val="auto"/>
          <w:highlight w:val="none"/>
        </w:rPr>
        <w:instrText xml:space="preserve"> PAGEREF _Toc21777 \h </w:instrText>
      </w:r>
      <w:r>
        <w:rPr>
          <w:color w:val="auto"/>
          <w:highlight w:val="none"/>
        </w:rPr>
        <w:fldChar w:fldCharType="separate"/>
      </w:r>
      <w:r>
        <w:rPr>
          <w:color w:val="auto"/>
          <w:highlight w:val="none"/>
        </w:rPr>
        <w:t>99</w:t>
      </w:r>
      <w:r>
        <w:rPr>
          <w:color w:val="auto"/>
          <w:highlight w:val="none"/>
        </w:rPr>
        <w:fldChar w:fldCharType="end"/>
      </w:r>
      <w:r>
        <w:rPr>
          <w:rFonts w:hint="eastAsia" w:asciiTheme="minorEastAsia" w:hAnsiTheme="minorEastAsia" w:eastAsiaTheme="minorEastAsia" w:cstheme="minorEastAsia"/>
          <w:color w:val="auto"/>
          <w:szCs w:val="21"/>
          <w:highlight w:val="none"/>
        </w:rPr>
        <w:fldChar w:fldCharType="end"/>
      </w:r>
    </w:p>
    <w:p w14:paraId="2AC045F4">
      <w:pPr>
        <w:pStyle w:val="37"/>
        <w:tabs>
          <w:tab w:val="left" w:pos="4935"/>
        </w:tabs>
        <w:spacing w:line="360" w:lineRule="auto"/>
        <w:jc w:val="center"/>
        <w:rPr>
          <w:rFonts w:asciiTheme="minorEastAsia" w:hAnsiTheme="minorEastAsia" w:eastAsiaTheme="minorEastAsia" w:cstheme="minorEastAsia"/>
          <w:color w:val="auto"/>
          <w:szCs w:val="21"/>
          <w:highlight w:val="none"/>
        </w:rPr>
        <w:sectPr>
          <w:footerReference r:id="rId4" w:type="default"/>
          <w:endnotePr>
            <w:numFmt w:val="decimal"/>
          </w:endnotePr>
          <w:pgSz w:w="11905" w:h="16838"/>
          <w:pgMar w:top="1134" w:right="1134" w:bottom="1134" w:left="1417" w:header="850" w:footer="992" w:gutter="0"/>
          <w:pgBorders>
            <w:top w:val="none" w:sz="0" w:space="0"/>
            <w:left w:val="none" w:sz="0" w:space="0"/>
            <w:bottom w:val="none" w:sz="0" w:space="0"/>
            <w:right w:val="none" w:sz="0" w:space="0"/>
          </w:pgBorders>
          <w:pgNumType w:start="1"/>
          <w:cols w:space="0" w:num="1"/>
          <w:rtlGutter w:val="0"/>
          <w:docGrid w:linePitch="312" w:charSpace="0"/>
        </w:sectPr>
      </w:pPr>
      <w:r>
        <w:rPr>
          <w:rFonts w:hint="eastAsia" w:asciiTheme="minorEastAsia" w:hAnsiTheme="minorEastAsia" w:eastAsiaTheme="minorEastAsia" w:cstheme="minorEastAsia"/>
          <w:color w:val="auto"/>
          <w:szCs w:val="21"/>
          <w:highlight w:val="none"/>
        </w:rPr>
        <w:fldChar w:fldCharType="end"/>
      </w:r>
    </w:p>
    <w:p w14:paraId="74B57374">
      <w:pPr>
        <w:pStyle w:val="38"/>
        <w:keepNext/>
        <w:keepLines/>
        <w:jc w:val="center"/>
        <w:rPr>
          <w:rFonts w:asciiTheme="minorEastAsia" w:hAnsiTheme="minorEastAsia" w:eastAsiaTheme="minorEastAsia" w:cstheme="minorEastAsia"/>
          <w:b/>
          <w:color w:val="auto"/>
          <w:kern w:val="44"/>
          <w:sz w:val="36"/>
          <w:szCs w:val="36"/>
          <w:highlight w:val="none"/>
        </w:rPr>
      </w:pPr>
      <w:bookmarkStart w:id="0" w:name="_Toc29310"/>
      <w:bookmarkStart w:id="1" w:name="_Hlt111690251"/>
      <w:r>
        <w:rPr>
          <w:rFonts w:hint="eastAsia" w:asciiTheme="minorEastAsia" w:hAnsiTheme="minorEastAsia" w:eastAsiaTheme="minorEastAsia" w:cstheme="minorEastAsia"/>
          <w:b/>
          <w:color w:val="auto"/>
          <w:kern w:val="44"/>
          <w:sz w:val="36"/>
          <w:szCs w:val="36"/>
          <w:highlight w:val="none"/>
        </w:rPr>
        <w:t>第一章</w:t>
      </w:r>
      <w:r>
        <w:rPr>
          <w:rFonts w:hint="eastAsia" w:asciiTheme="minorEastAsia" w:hAnsiTheme="minorEastAsia" w:eastAsiaTheme="minorEastAsia" w:cstheme="minorEastAsia"/>
          <w:b/>
          <w:color w:val="auto"/>
          <w:kern w:val="44"/>
          <w:sz w:val="36"/>
          <w:szCs w:val="36"/>
          <w:highlight w:val="none"/>
          <w:lang w:eastAsia="zh-CN"/>
        </w:rPr>
        <w:t xml:space="preserve"> 投标</w:t>
      </w:r>
      <w:r>
        <w:rPr>
          <w:rFonts w:hint="eastAsia" w:asciiTheme="minorEastAsia" w:hAnsiTheme="minorEastAsia" w:eastAsiaTheme="minorEastAsia" w:cstheme="minorEastAsia"/>
          <w:b/>
          <w:color w:val="auto"/>
          <w:kern w:val="44"/>
          <w:sz w:val="36"/>
          <w:szCs w:val="36"/>
          <w:highlight w:val="none"/>
        </w:rPr>
        <w:t>须知</w:t>
      </w:r>
      <w:bookmarkEnd w:id="0"/>
    </w:p>
    <w:p w14:paraId="5C73204A">
      <w:pPr>
        <w:pStyle w:val="39"/>
        <w:keepNext/>
        <w:keepLines/>
        <w:autoSpaceDE/>
        <w:autoSpaceDN/>
        <w:adjustRightInd/>
        <w:spacing w:before="260" w:after="260" w:line="360" w:lineRule="exact"/>
        <w:jc w:val="both"/>
        <w:rPr>
          <w:rFonts w:asciiTheme="minorEastAsia" w:hAnsiTheme="minorEastAsia" w:eastAsiaTheme="minorEastAsia" w:cstheme="minorEastAsia"/>
          <w:b/>
          <w:color w:val="auto"/>
          <w:kern w:val="2"/>
          <w:highlight w:val="none"/>
        </w:rPr>
      </w:pPr>
      <w:bookmarkStart w:id="2" w:name="_Hlt127175444"/>
      <w:bookmarkEnd w:id="2"/>
      <w:bookmarkStart w:id="3" w:name="_Toc11314"/>
      <w:bookmarkStart w:id="4" w:name="_Hlt120077520"/>
      <w:r>
        <w:rPr>
          <w:rFonts w:hint="eastAsia" w:asciiTheme="minorEastAsia" w:hAnsiTheme="minorEastAsia" w:eastAsiaTheme="minorEastAsia" w:cstheme="minorEastAsia"/>
          <w:b/>
          <w:color w:val="auto"/>
          <w:kern w:val="2"/>
          <w:highlight w:val="none"/>
        </w:rPr>
        <w:t>第一节</w:t>
      </w:r>
      <w:r>
        <w:rPr>
          <w:rFonts w:hint="eastAsia" w:asciiTheme="minorEastAsia" w:hAnsiTheme="minorEastAsia" w:eastAsiaTheme="minorEastAsia" w:cstheme="minorEastAsia"/>
          <w:b/>
          <w:color w:val="auto"/>
          <w:kern w:val="2"/>
          <w:highlight w:val="none"/>
          <w:lang w:eastAsia="zh-CN"/>
        </w:rPr>
        <w:t xml:space="preserve"> </w:t>
      </w:r>
      <w:r>
        <w:rPr>
          <w:rFonts w:hint="eastAsia" w:asciiTheme="minorEastAsia" w:hAnsiTheme="minorEastAsia" w:eastAsiaTheme="minorEastAsia" w:cstheme="minorEastAsia"/>
          <w:b/>
          <w:color w:val="auto"/>
          <w:kern w:val="2"/>
          <w:highlight w:val="none"/>
        </w:rPr>
        <w:t>投标须知前附表</w:t>
      </w:r>
      <w:bookmarkEnd w:id="3"/>
    </w:p>
    <w:tbl>
      <w:tblPr>
        <w:tblStyle w:val="23"/>
        <w:tblW w:w="10095" w:type="dxa"/>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0" w:type="dxa"/>
          <w:bottom w:w="0" w:type="dxa"/>
          <w:right w:w="0" w:type="dxa"/>
        </w:tblCellMar>
      </w:tblPr>
      <w:tblGrid>
        <w:gridCol w:w="608"/>
        <w:gridCol w:w="2014"/>
        <w:gridCol w:w="7473"/>
      </w:tblGrid>
      <w:tr w14:paraId="35D2C71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396" w:hRule="atLeast"/>
          <w:jc w:val="center"/>
        </w:trPr>
        <w:tc>
          <w:tcPr>
            <w:tcW w:w="608" w:type="dxa"/>
            <w:tcBorders>
              <w:top w:val="single" w:color="auto" w:sz="4" w:space="0"/>
              <w:left w:val="single" w:color="auto" w:sz="4" w:space="0"/>
              <w:bottom w:val="single" w:color="auto" w:sz="4" w:space="0"/>
              <w:right w:val="single" w:color="auto" w:sz="4" w:space="0"/>
            </w:tcBorders>
            <w:vAlign w:val="center"/>
          </w:tcPr>
          <w:p w14:paraId="4BA58F09">
            <w:pPr>
              <w:pStyle w:val="8"/>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序号</w:t>
            </w:r>
          </w:p>
        </w:tc>
        <w:tc>
          <w:tcPr>
            <w:tcW w:w="2014" w:type="dxa"/>
            <w:tcBorders>
              <w:top w:val="single" w:color="auto" w:sz="4" w:space="0"/>
              <w:left w:val="single" w:color="auto" w:sz="4" w:space="0"/>
              <w:bottom w:val="single" w:color="auto" w:sz="4" w:space="0"/>
              <w:right w:val="single" w:color="auto" w:sz="4" w:space="0"/>
            </w:tcBorders>
            <w:vAlign w:val="center"/>
          </w:tcPr>
          <w:p w14:paraId="2ED96AD2">
            <w:pPr>
              <w:pStyle w:val="8"/>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内容</w:t>
            </w:r>
          </w:p>
        </w:tc>
        <w:tc>
          <w:tcPr>
            <w:tcW w:w="7473" w:type="dxa"/>
            <w:tcBorders>
              <w:top w:val="single" w:color="auto" w:sz="4" w:space="0"/>
              <w:left w:val="single" w:color="auto" w:sz="4" w:space="0"/>
              <w:bottom w:val="single" w:color="auto" w:sz="4" w:space="0"/>
              <w:right w:val="single" w:color="auto" w:sz="4" w:space="0"/>
            </w:tcBorders>
            <w:vAlign w:val="center"/>
          </w:tcPr>
          <w:p w14:paraId="53D8C08F">
            <w:pPr>
              <w:pStyle w:val="8"/>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说明与要求</w:t>
            </w:r>
          </w:p>
        </w:tc>
      </w:tr>
      <w:tr w14:paraId="79A5DB8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373" w:hRule="atLeast"/>
          <w:jc w:val="center"/>
        </w:trPr>
        <w:tc>
          <w:tcPr>
            <w:tcW w:w="608" w:type="dxa"/>
            <w:tcBorders>
              <w:top w:val="single" w:color="auto" w:sz="4" w:space="0"/>
              <w:left w:val="single" w:color="auto" w:sz="4" w:space="0"/>
              <w:bottom w:val="single" w:color="auto" w:sz="4" w:space="0"/>
              <w:right w:val="single" w:color="auto" w:sz="4" w:space="0"/>
            </w:tcBorders>
            <w:vAlign w:val="center"/>
          </w:tcPr>
          <w:p w14:paraId="03F1C90A">
            <w:pPr>
              <w:pStyle w:val="8"/>
              <w:keepNext w:val="0"/>
              <w:keepLines w:val="0"/>
              <w:pageBreakBefore w:val="0"/>
              <w:widowControl w:val="0"/>
              <w:numPr>
                <w:ilvl w:val="0"/>
                <w:numId w:val="1"/>
              </w:numPr>
              <w:suppressLineNumbers w:val="0"/>
              <w:kinsoku/>
              <w:wordWrap/>
              <w:overflowPunct/>
              <w:topLinePunct w:val="0"/>
              <w:autoSpaceDE/>
              <w:autoSpaceDN/>
              <w:bidi w:val="0"/>
              <w:adjustRightInd/>
              <w:snapToGrid/>
              <w:spacing w:before="0" w:beforeAutospacing="0" w:after="0" w:afterAutospacing="0" w:line="240" w:lineRule="auto"/>
              <w:ind w:left="425" w:leftChars="0" w:right="0" w:hanging="425" w:firstLineChars="0"/>
              <w:jc w:val="center"/>
              <w:textAlignment w:val="auto"/>
              <w:rPr>
                <w:rFonts w:hint="eastAsia" w:ascii="宋体" w:hAnsi="宋体" w:eastAsia="宋体" w:cs="宋体"/>
                <w:color w:val="auto"/>
                <w:sz w:val="24"/>
                <w:szCs w:val="24"/>
                <w:highlight w:val="none"/>
              </w:rPr>
            </w:pPr>
          </w:p>
        </w:tc>
        <w:tc>
          <w:tcPr>
            <w:tcW w:w="2014" w:type="dxa"/>
            <w:tcBorders>
              <w:top w:val="single" w:color="auto" w:sz="4" w:space="0"/>
              <w:left w:val="single" w:color="auto" w:sz="4" w:space="0"/>
              <w:bottom w:val="single" w:color="auto" w:sz="4" w:space="0"/>
              <w:right w:val="single" w:color="auto" w:sz="4" w:space="0"/>
            </w:tcBorders>
            <w:vAlign w:val="center"/>
          </w:tcPr>
          <w:p w14:paraId="10923B4D">
            <w:pPr>
              <w:pStyle w:val="8"/>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项目名称</w:t>
            </w:r>
          </w:p>
        </w:tc>
        <w:tc>
          <w:tcPr>
            <w:tcW w:w="7473" w:type="dxa"/>
            <w:tcBorders>
              <w:top w:val="single" w:color="auto" w:sz="4" w:space="0"/>
              <w:left w:val="single" w:color="auto" w:sz="4" w:space="0"/>
              <w:bottom w:val="single" w:color="auto" w:sz="4" w:space="0"/>
              <w:right w:val="single" w:color="auto" w:sz="4" w:space="0"/>
            </w:tcBorders>
          </w:tcPr>
          <w:p w14:paraId="3032DDC3">
            <w:pPr>
              <w:pStyle w:val="8"/>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48" w:rightChars="20"/>
              <w:textAlignment w:val="auto"/>
              <w:rPr>
                <w:rFonts w:hint="eastAsia" w:ascii="宋体" w:hAnsi="宋体" w:eastAsia="宋体" w:cs="宋体"/>
                <w:color w:val="auto"/>
                <w:sz w:val="24"/>
                <w:szCs w:val="24"/>
                <w:highlight w:val="none"/>
              </w:rPr>
            </w:pPr>
            <w:r>
              <w:rPr>
                <w:rFonts w:hint="eastAsia" w:hAnsi="宋体" w:eastAsia="宋体" w:cs="宋体"/>
                <w:color w:val="auto"/>
                <w:sz w:val="24"/>
                <w:szCs w:val="24"/>
                <w:highlight w:val="none"/>
                <w:lang w:eastAsia="zh-CN"/>
              </w:rPr>
              <w:t>韶关百年东街及周边历史街区城市更新项目（一期）工程总承包（EPC）</w:t>
            </w:r>
          </w:p>
        </w:tc>
      </w:tr>
      <w:tr w14:paraId="23BBC89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23" w:hRule="atLeast"/>
          <w:jc w:val="center"/>
        </w:trPr>
        <w:tc>
          <w:tcPr>
            <w:tcW w:w="608" w:type="dxa"/>
            <w:tcBorders>
              <w:top w:val="single" w:color="auto" w:sz="4" w:space="0"/>
              <w:left w:val="single" w:color="auto" w:sz="4" w:space="0"/>
              <w:bottom w:val="single" w:color="auto" w:sz="4" w:space="0"/>
              <w:right w:val="single" w:color="auto" w:sz="4" w:space="0"/>
            </w:tcBorders>
            <w:vAlign w:val="center"/>
          </w:tcPr>
          <w:p w14:paraId="0C573920">
            <w:pPr>
              <w:pStyle w:val="8"/>
              <w:keepNext w:val="0"/>
              <w:keepLines w:val="0"/>
              <w:pageBreakBefore w:val="0"/>
              <w:widowControl w:val="0"/>
              <w:numPr>
                <w:ilvl w:val="0"/>
                <w:numId w:val="1"/>
              </w:numPr>
              <w:suppressLineNumbers w:val="0"/>
              <w:kinsoku/>
              <w:wordWrap/>
              <w:overflowPunct/>
              <w:topLinePunct w:val="0"/>
              <w:autoSpaceDE/>
              <w:autoSpaceDN/>
              <w:bidi w:val="0"/>
              <w:adjustRightInd/>
              <w:snapToGrid/>
              <w:spacing w:before="0" w:beforeAutospacing="0" w:after="0" w:afterAutospacing="0" w:line="240" w:lineRule="auto"/>
              <w:ind w:left="425" w:leftChars="0" w:right="0" w:hanging="425" w:firstLineChars="0"/>
              <w:jc w:val="center"/>
              <w:textAlignment w:val="auto"/>
              <w:rPr>
                <w:rFonts w:hint="eastAsia" w:ascii="宋体" w:hAnsi="宋体" w:eastAsia="宋体" w:cs="宋体"/>
                <w:color w:val="auto"/>
                <w:sz w:val="24"/>
                <w:szCs w:val="24"/>
                <w:highlight w:val="none"/>
              </w:rPr>
            </w:pPr>
          </w:p>
        </w:tc>
        <w:tc>
          <w:tcPr>
            <w:tcW w:w="2014" w:type="dxa"/>
            <w:tcBorders>
              <w:top w:val="single" w:color="auto" w:sz="4" w:space="0"/>
              <w:left w:val="single" w:color="auto" w:sz="4" w:space="0"/>
              <w:bottom w:val="single" w:color="auto" w:sz="4" w:space="0"/>
              <w:right w:val="single" w:color="auto" w:sz="4" w:space="0"/>
            </w:tcBorders>
            <w:vAlign w:val="center"/>
          </w:tcPr>
          <w:p w14:paraId="6305C411">
            <w:pPr>
              <w:pStyle w:val="8"/>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项目业主</w:t>
            </w:r>
          </w:p>
        </w:tc>
        <w:tc>
          <w:tcPr>
            <w:tcW w:w="7473" w:type="dxa"/>
            <w:tcBorders>
              <w:top w:val="single" w:color="auto" w:sz="4" w:space="0"/>
              <w:left w:val="single" w:color="auto" w:sz="4" w:space="0"/>
              <w:bottom w:val="single" w:color="auto" w:sz="4" w:space="0"/>
              <w:right w:val="single" w:color="auto" w:sz="4" w:space="0"/>
            </w:tcBorders>
            <w:vAlign w:val="center"/>
          </w:tcPr>
          <w:p w14:paraId="3E7982D7">
            <w:pPr>
              <w:pStyle w:val="8"/>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48" w:rightChars="20"/>
              <w:textAlignment w:val="auto"/>
              <w:rPr>
                <w:rFonts w:hint="eastAsia" w:ascii="宋体" w:hAnsi="宋体" w:eastAsia="宋体" w:cs="宋体"/>
                <w:color w:val="auto"/>
                <w:sz w:val="24"/>
                <w:szCs w:val="24"/>
                <w:highlight w:val="none"/>
                <w:lang w:eastAsia="zh-CN"/>
              </w:rPr>
            </w:pPr>
            <w:r>
              <w:rPr>
                <w:rFonts w:hint="eastAsia" w:hAnsi="宋体" w:eastAsia="宋体" w:cs="宋体"/>
                <w:color w:val="auto"/>
                <w:sz w:val="24"/>
                <w:szCs w:val="24"/>
                <w:highlight w:val="none"/>
                <w:lang w:eastAsia="zh-CN"/>
              </w:rPr>
              <w:t>韶关市金沁城市更新投资有限公司</w:t>
            </w:r>
          </w:p>
        </w:tc>
      </w:tr>
      <w:tr w14:paraId="21E4D572">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23" w:hRule="atLeast"/>
          <w:jc w:val="center"/>
        </w:trPr>
        <w:tc>
          <w:tcPr>
            <w:tcW w:w="608" w:type="dxa"/>
            <w:tcBorders>
              <w:top w:val="single" w:color="auto" w:sz="4" w:space="0"/>
              <w:left w:val="single" w:color="auto" w:sz="4" w:space="0"/>
              <w:bottom w:val="single" w:color="auto" w:sz="4" w:space="0"/>
              <w:right w:val="single" w:color="auto" w:sz="4" w:space="0"/>
            </w:tcBorders>
            <w:vAlign w:val="center"/>
          </w:tcPr>
          <w:p w14:paraId="6F50F119">
            <w:pPr>
              <w:pStyle w:val="8"/>
              <w:keepNext w:val="0"/>
              <w:keepLines w:val="0"/>
              <w:pageBreakBefore w:val="0"/>
              <w:widowControl w:val="0"/>
              <w:numPr>
                <w:ilvl w:val="0"/>
                <w:numId w:val="1"/>
              </w:numPr>
              <w:suppressLineNumbers w:val="0"/>
              <w:kinsoku/>
              <w:wordWrap/>
              <w:overflowPunct/>
              <w:topLinePunct w:val="0"/>
              <w:autoSpaceDE/>
              <w:autoSpaceDN/>
              <w:bidi w:val="0"/>
              <w:adjustRightInd/>
              <w:snapToGrid/>
              <w:spacing w:before="0" w:beforeAutospacing="0" w:after="0" w:afterAutospacing="0" w:line="240" w:lineRule="auto"/>
              <w:ind w:left="425" w:leftChars="0" w:right="0" w:hanging="425" w:firstLineChars="0"/>
              <w:jc w:val="center"/>
              <w:textAlignment w:val="auto"/>
              <w:rPr>
                <w:rFonts w:hint="eastAsia" w:ascii="宋体" w:hAnsi="宋体" w:eastAsia="宋体" w:cs="宋体"/>
                <w:color w:val="auto"/>
                <w:sz w:val="24"/>
                <w:szCs w:val="24"/>
                <w:highlight w:val="none"/>
              </w:rPr>
            </w:pPr>
          </w:p>
        </w:tc>
        <w:tc>
          <w:tcPr>
            <w:tcW w:w="2014" w:type="dxa"/>
            <w:tcBorders>
              <w:top w:val="single" w:color="auto" w:sz="4" w:space="0"/>
              <w:left w:val="single" w:color="auto" w:sz="4" w:space="0"/>
              <w:bottom w:val="single" w:color="auto" w:sz="4" w:space="0"/>
              <w:right w:val="single" w:color="auto" w:sz="4" w:space="0"/>
            </w:tcBorders>
            <w:vAlign w:val="center"/>
          </w:tcPr>
          <w:p w14:paraId="5A005230">
            <w:pPr>
              <w:pStyle w:val="8"/>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项目批准部门</w:t>
            </w:r>
          </w:p>
        </w:tc>
        <w:tc>
          <w:tcPr>
            <w:tcW w:w="7473" w:type="dxa"/>
            <w:tcBorders>
              <w:top w:val="single" w:color="auto" w:sz="4" w:space="0"/>
              <w:left w:val="single" w:color="auto" w:sz="4" w:space="0"/>
              <w:bottom w:val="single" w:color="auto" w:sz="4" w:space="0"/>
              <w:right w:val="single" w:color="auto" w:sz="4" w:space="0"/>
            </w:tcBorders>
            <w:vAlign w:val="center"/>
          </w:tcPr>
          <w:p w14:paraId="60B2D838">
            <w:pPr>
              <w:pStyle w:val="8"/>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48" w:rightChars="20"/>
              <w:textAlignment w:val="auto"/>
              <w:rPr>
                <w:rFonts w:hint="eastAsia" w:ascii="宋体" w:hAnsi="宋体" w:eastAsia="宋体" w:cs="宋体"/>
                <w:color w:val="auto"/>
                <w:sz w:val="24"/>
                <w:szCs w:val="24"/>
                <w:highlight w:val="none"/>
                <w:lang w:eastAsia="zh-CN"/>
              </w:rPr>
            </w:pPr>
            <w:r>
              <w:rPr>
                <w:rFonts w:hint="eastAsia" w:hAnsi="宋体" w:eastAsia="宋体" w:cs="宋体"/>
                <w:color w:val="auto"/>
                <w:sz w:val="24"/>
                <w:szCs w:val="24"/>
                <w:highlight w:val="none"/>
                <w:lang w:eastAsia="zh-CN"/>
              </w:rPr>
              <w:t>浈江区发展和改革局</w:t>
            </w:r>
          </w:p>
        </w:tc>
      </w:tr>
      <w:tr w14:paraId="08B00AE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202" w:hRule="atLeast"/>
          <w:jc w:val="center"/>
        </w:trPr>
        <w:tc>
          <w:tcPr>
            <w:tcW w:w="608" w:type="dxa"/>
            <w:tcBorders>
              <w:top w:val="single" w:color="auto" w:sz="4" w:space="0"/>
              <w:left w:val="single" w:color="auto" w:sz="4" w:space="0"/>
              <w:bottom w:val="single" w:color="auto" w:sz="4" w:space="0"/>
              <w:right w:val="single" w:color="auto" w:sz="4" w:space="0"/>
            </w:tcBorders>
            <w:vAlign w:val="center"/>
          </w:tcPr>
          <w:p w14:paraId="33EC2E82">
            <w:pPr>
              <w:pStyle w:val="8"/>
              <w:keepNext w:val="0"/>
              <w:keepLines w:val="0"/>
              <w:pageBreakBefore w:val="0"/>
              <w:widowControl w:val="0"/>
              <w:numPr>
                <w:ilvl w:val="0"/>
                <w:numId w:val="1"/>
              </w:numPr>
              <w:suppressLineNumbers w:val="0"/>
              <w:kinsoku/>
              <w:wordWrap/>
              <w:overflowPunct/>
              <w:topLinePunct w:val="0"/>
              <w:autoSpaceDE/>
              <w:autoSpaceDN/>
              <w:bidi w:val="0"/>
              <w:adjustRightInd/>
              <w:snapToGrid/>
              <w:spacing w:before="0" w:beforeAutospacing="0" w:after="0" w:afterAutospacing="0" w:line="240" w:lineRule="auto"/>
              <w:ind w:left="425" w:leftChars="0" w:right="0" w:hanging="425" w:firstLineChars="0"/>
              <w:jc w:val="center"/>
              <w:textAlignment w:val="auto"/>
              <w:rPr>
                <w:rFonts w:hint="eastAsia" w:ascii="宋体" w:hAnsi="宋体" w:eastAsia="宋体" w:cs="宋体"/>
                <w:color w:val="auto"/>
                <w:sz w:val="24"/>
                <w:szCs w:val="24"/>
                <w:highlight w:val="none"/>
              </w:rPr>
            </w:pPr>
          </w:p>
        </w:tc>
        <w:tc>
          <w:tcPr>
            <w:tcW w:w="2014" w:type="dxa"/>
            <w:tcBorders>
              <w:top w:val="single" w:color="auto" w:sz="4" w:space="0"/>
              <w:left w:val="single" w:color="auto" w:sz="4" w:space="0"/>
              <w:bottom w:val="single" w:color="auto" w:sz="4" w:space="0"/>
              <w:right w:val="single" w:color="auto" w:sz="4" w:space="0"/>
            </w:tcBorders>
            <w:vAlign w:val="center"/>
          </w:tcPr>
          <w:p w14:paraId="06D08132">
            <w:pPr>
              <w:pStyle w:val="8"/>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项目批准文号</w:t>
            </w:r>
          </w:p>
        </w:tc>
        <w:tc>
          <w:tcPr>
            <w:tcW w:w="7473" w:type="dxa"/>
            <w:tcBorders>
              <w:top w:val="single" w:color="auto" w:sz="4" w:space="0"/>
              <w:left w:val="single" w:color="auto" w:sz="4" w:space="0"/>
              <w:bottom w:val="single" w:color="auto" w:sz="4" w:space="0"/>
              <w:right w:val="single" w:color="auto" w:sz="4" w:space="0"/>
            </w:tcBorders>
            <w:vAlign w:val="center"/>
          </w:tcPr>
          <w:p w14:paraId="66114600">
            <w:pPr>
              <w:pStyle w:val="8"/>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48" w:rightChars="20"/>
              <w:textAlignment w:val="auto"/>
              <w:rPr>
                <w:rFonts w:hint="eastAsia" w:ascii="宋体" w:hAnsi="宋体" w:eastAsia="宋体" w:cs="宋体"/>
                <w:color w:val="auto"/>
                <w:sz w:val="24"/>
                <w:szCs w:val="24"/>
                <w:highlight w:val="none"/>
                <w:lang w:eastAsia="zh-CN"/>
              </w:rPr>
            </w:pPr>
            <w:r>
              <w:rPr>
                <w:rFonts w:hint="eastAsia" w:hAnsi="宋体" w:eastAsia="宋体" w:cs="宋体"/>
                <w:color w:val="auto"/>
                <w:sz w:val="24"/>
                <w:szCs w:val="24"/>
                <w:highlight w:val="none"/>
                <w:lang w:val="en-US" w:eastAsia="zh-CN"/>
              </w:rPr>
              <w:t>/</w:t>
            </w:r>
          </w:p>
        </w:tc>
      </w:tr>
      <w:tr w14:paraId="3C09244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375" w:hRule="atLeast"/>
          <w:jc w:val="center"/>
        </w:trPr>
        <w:tc>
          <w:tcPr>
            <w:tcW w:w="608" w:type="dxa"/>
            <w:tcBorders>
              <w:top w:val="single" w:color="auto" w:sz="4" w:space="0"/>
              <w:left w:val="single" w:color="auto" w:sz="4" w:space="0"/>
              <w:bottom w:val="single" w:color="auto" w:sz="4" w:space="0"/>
              <w:right w:val="single" w:color="auto" w:sz="4" w:space="0"/>
            </w:tcBorders>
            <w:vAlign w:val="center"/>
          </w:tcPr>
          <w:p w14:paraId="74F9B7F4">
            <w:pPr>
              <w:pStyle w:val="8"/>
              <w:keepNext w:val="0"/>
              <w:keepLines w:val="0"/>
              <w:pageBreakBefore w:val="0"/>
              <w:widowControl w:val="0"/>
              <w:numPr>
                <w:ilvl w:val="0"/>
                <w:numId w:val="1"/>
              </w:numPr>
              <w:suppressLineNumbers w:val="0"/>
              <w:kinsoku/>
              <w:wordWrap/>
              <w:overflowPunct/>
              <w:topLinePunct w:val="0"/>
              <w:autoSpaceDE/>
              <w:autoSpaceDN/>
              <w:bidi w:val="0"/>
              <w:adjustRightInd/>
              <w:snapToGrid/>
              <w:spacing w:before="0" w:beforeAutospacing="0" w:after="0" w:afterAutospacing="0" w:line="240" w:lineRule="auto"/>
              <w:ind w:left="425" w:leftChars="0" w:right="0" w:hanging="425" w:firstLineChars="0"/>
              <w:jc w:val="center"/>
              <w:textAlignment w:val="auto"/>
              <w:rPr>
                <w:rFonts w:hint="eastAsia" w:ascii="宋体" w:hAnsi="宋体" w:eastAsia="宋体" w:cs="宋体"/>
                <w:color w:val="auto"/>
                <w:sz w:val="24"/>
                <w:szCs w:val="24"/>
                <w:highlight w:val="none"/>
              </w:rPr>
            </w:pPr>
          </w:p>
        </w:tc>
        <w:tc>
          <w:tcPr>
            <w:tcW w:w="2014" w:type="dxa"/>
            <w:tcBorders>
              <w:top w:val="single" w:color="auto" w:sz="4" w:space="0"/>
              <w:left w:val="single" w:color="auto" w:sz="4" w:space="0"/>
              <w:bottom w:val="single" w:color="auto" w:sz="4" w:space="0"/>
              <w:right w:val="single" w:color="auto" w:sz="4" w:space="0"/>
            </w:tcBorders>
            <w:vAlign w:val="center"/>
          </w:tcPr>
          <w:p w14:paraId="1A38A92B">
            <w:pPr>
              <w:pStyle w:val="8"/>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项目代码</w:t>
            </w:r>
          </w:p>
        </w:tc>
        <w:tc>
          <w:tcPr>
            <w:tcW w:w="7473" w:type="dxa"/>
            <w:tcBorders>
              <w:top w:val="single" w:color="auto" w:sz="4" w:space="0"/>
              <w:left w:val="single" w:color="auto" w:sz="4" w:space="0"/>
              <w:bottom w:val="single" w:color="auto" w:sz="4" w:space="0"/>
              <w:right w:val="single" w:color="auto" w:sz="4" w:space="0"/>
            </w:tcBorders>
            <w:vAlign w:val="center"/>
          </w:tcPr>
          <w:p w14:paraId="6CE71D74">
            <w:pPr>
              <w:pStyle w:val="8"/>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48" w:rightChars="20"/>
              <w:textAlignment w:val="auto"/>
              <w:rPr>
                <w:rFonts w:hint="eastAsia" w:ascii="宋体" w:hAnsi="宋体" w:eastAsia="宋体" w:cs="宋体"/>
                <w:color w:val="auto"/>
                <w:sz w:val="24"/>
                <w:szCs w:val="24"/>
                <w:highlight w:val="none"/>
                <w:lang w:eastAsia="zh-CN"/>
              </w:rPr>
            </w:pPr>
            <w:r>
              <w:rPr>
                <w:rFonts w:hint="eastAsia" w:hAnsi="宋体" w:eastAsia="宋体" w:cs="宋体"/>
                <w:color w:val="auto"/>
                <w:sz w:val="24"/>
                <w:szCs w:val="24"/>
                <w:highlight w:val="none"/>
                <w:lang w:eastAsia="zh-CN"/>
              </w:rPr>
              <w:t>2604-440204-04-01-901150</w:t>
            </w:r>
          </w:p>
        </w:tc>
      </w:tr>
      <w:tr w14:paraId="2C992BA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635" w:hRule="atLeast"/>
          <w:jc w:val="center"/>
        </w:trPr>
        <w:tc>
          <w:tcPr>
            <w:tcW w:w="608" w:type="dxa"/>
            <w:tcBorders>
              <w:top w:val="single" w:color="auto" w:sz="4" w:space="0"/>
              <w:left w:val="single" w:color="auto" w:sz="4" w:space="0"/>
              <w:bottom w:val="single" w:color="auto" w:sz="4" w:space="0"/>
              <w:right w:val="single" w:color="auto" w:sz="4" w:space="0"/>
            </w:tcBorders>
            <w:vAlign w:val="center"/>
          </w:tcPr>
          <w:p w14:paraId="59F77899">
            <w:pPr>
              <w:pStyle w:val="8"/>
              <w:keepNext w:val="0"/>
              <w:keepLines w:val="0"/>
              <w:pageBreakBefore w:val="0"/>
              <w:widowControl w:val="0"/>
              <w:numPr>
                <w:ilvl w:val="0"/>
                <w:numId w:val="1"/>
              </w:numPr>
              <w:suppressLineNumbers w:val="0"/>
              <w:kinsoku/>
              <w:wordWrap/>
              <w:overflowPunct/>
              <w:topLinePunct w:val="0"/>
              <w:autoSpaceDE/>
              <w:autoSpaceDN/>
              <w:bidi w:val="0"/>
              <w:adjustRightInd/>
              <w:snapToGrid/>
              <w:spacing w:before="0" w:beforeAutospacing="0" w:after="0" w:afterAutospacing="0" w:line="240" w:lineRule="auto"/>
              <w:ind w:left="425" w:leftChars="0" w:right="0" w:hanging="425" w:firstLineChars="0"/>
              <w:jc w:val="center"/>
              <w:textAlignment w:val="auto"/>
              <w:rPr>
                <w:rFonts w:hint="eastAsia" w:ascii="宋体" w:hAnsi="宋体" w:eastAsia="宋体" w:cs="宋体"/>
                <w:color w:val="auto"/>
                <w:sz w:val="24"/>
                <w:szCs w:val="24"/>
                <w:highlight w:val="none"/>
              </w:rPr>
            </w:pPr>
          </w:p>
        </w:tc>
        <w:tc>
          <w:tcPr>
            <w:tcW w:w="2014" w:type="dxa"/>
            <w:tcBorders>
              <w:top w:val="single" w:color="auto" w:sz="4" w:space="0"/>
              <w:left w:val="single" w:color="auto" w:sz="4" w:space="0"/>
              <w:bottom w:val="single" w:color="auto" w:sz="4" w:space="0"/>
              <w:right w:val="single" w:color="auto" w:sz="4" w:space="0"/>
            </w:tcBorders>
            <w:vAlign w:val="center"/>
          </w:tcPr>
          <w:p w14:paraId="27F4C612">
            <w:pPr>
              <w:pStyle w:val="8"/>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资金来源</w:t>
            </w:r>
          </w:p>
          <w:p w14:paraId="75B0EF2B">
            <w:pPr>
              <w:pStyle w:val="8"/>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及出资比例</w:t>
            </w:r>
          </w:p>
        </w:tc>
        <w:tc>
          <w:tcPr>
            <w:tcW w:w="7473" w:type="dxa"/>
            <w:tcBorders>
              <w:top w:val="single" w:color="auto" w:sz="4" w:space="0"/>
              <w:left w:val="single" w:color="auto" w:sz="4" w:space="0"/>
              <w:bottom w:val="single" w:color="auto" w:sz="4" w:space="0"/>
              <w:right w:val="single" w:color="auto" w:sz="4" w:space="0"/>
            </w:tcBorders>
            <w:vAlign w:val="center"/>
          </w:tcPr>
          <w:p w14:paraId="2D950F54">
            <w:pPr>
              <w:pStyle w:val="8"/>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48" w:rightChars="20"/>
              <w:textAlignment w:val="auto"/>
              <w:rPr>
                <w:rFonts w:hint="eastAsia" w:ascii="宋体" w:hAnsi="宋体" w:eastAsia="宋体" w:cs="宋体"/>
                <w:color w:val="auto"/>
                <w:sz w:val="24"/>
                <w:szCs w:val="24"/>
                <w:highlight w:val="none"/>
                <w:lang w:eastAsia="zh-CN"/>
              </w:rPr>
            </w:pPr>
            <w:r>
              <w:rPr>
                <w:rFonts w:hint="eastAsia" w:hAnsi="宋体" w:eastAsia="宋体" w:cs="宋体"/>
                <w:color w:val="auto"/>
                <w:sz w:val="24"/>
                <w:szCs w:val="24"/>
                <w:highlight w:val="none"/>
                <w:lang w:eastAsia="zh-CN"/>
              </w:rPr>
              <w:t>资金拟通过新型政策性金融工具、专项资金、股东注资、银行融资等方式筹集，</w:t>
            </w:r>
            <w:r>
              <w:rPr>
                <w:rFonts w:hint="eastAsia" w:ascii="宋体" w:hAnsi="宋体" w:eastAsia="宋体" w:cs="宋体"/>
                <w:color w:val="auto"/>
                <w:sz w:val="24"/>
                <w:szCs w:val="24"/>
                <w:highlight w:val="none"/>
                <w:lang w:eastAsia="zh-CN"/>
              </w:rPr>
              <w:t>100%</w:t>
            </w:r>
          </w:p>
        </w:tc>
      </w:tr>
      <w:tr w14:paraId="0C70568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248" w:hRule="atLeast"/>
          <w:jc w:val="center"/>
        </w:trPr>
        <w:tc>
          <w:tcPr>
            <w:tcW w:w="608" w:type="dxa"/>
            <w:tcBorders>
              <w:top w:val="single" w:color="auto" w:sz="4" w:space="0"/>
              <w:left w:val="single" w:color="auto" w:sz="4" w:space="0"/>
              <w:bottom w:val="single" w:color="auto" w:sz="4" w:space="0"/>
              <w:right w:val="single" w:color="auto" w:sz="4" w:space="0"/>
            </w:tcBorders>
            <w:vAlign w:val="center"/>
          </w:tcPr>
          <w:p w14:paraId="14CF9A8C">
            <w:pPr>
              <w:pStyle w:val="8"/>
              <w:keepNext w:val="0"/>
              <w:keepLines w:val="0"/>
              <w:pageBreakBefore w:val="0"/>
              <w:widowControl w:val="0"/>
              <w:numPr>
                <w:ilvl w:val="0"/>
                <w:numId w:val="1"/>
              </w:numPr>
              <w:suppressLineNumbers w:val="0"/>
              <w:kinsoku/>
              <w:wordWrap/>
              <w:overflowPunct/>
              <w:topLinePunct w:val="0"/>
              <w:autoSpaceDE/>
              <w:autoSpaceDN/>
              <w:bidi w:val="0"/>
              <w:adjustRightInd/>
              <w:snapToGrid/>
              <w:spacing w:before="0" w:beforeAutospacing="0" w:after="0" w:afterAutospacing="0" w:line="240" w:lineRule="auto"/>
              <w:ind w:left="425" w:leftChars="0" w:right="0" w:hanging="425" w:firstLineChars="0"/>
              <w:jc w:val="center"/>
              <w:textAlignment w:val="auto"/>
              <w:rPr>
                <w:rFonts w:hint="eastAsia" w:ascii="宋体" w:hAnsi="宋体" w:eastAsia="宋体" w:cs="宋体"/>
                <w:color w:val="auto"/>
                <w:sz w:val="24"/>
                <w:szCs w:val="24"/>
                <w:highlight w:val="none"/>
              </w:rPr>
            </w:pPr>
          </w:p>
        </w:tc>
        <w:tc>
          <w:tcPr>
            <w:tcW w:w="2014" w:type="dxa"/>
            <w:tcBorders>
              <w:top w:val="single" w:color="auto" w:sz="4" w:space="0"/>
              <w:left w:val="single" w:color="auto" w:sz="4" w:space="0"/>
              <w:bottom w:val="single" w:color="auto" w:sz="4" w:space="0"/>
              <w:right w:val="single" w:color="auto" w:sz="4" w:space="0"/>
            </w:tcBorders>
            <w:vAlign w:val="center"/>
          </w:tcPr>
          <w:p w14:paraId="083278A7">
            <w:pPr>
              <w:pStyle w:val="8"/>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招标人</w:t>
            </w:r>
          </w:p>
        </w:tc>
        <w:tc>
          <w:tcPr>
            <w:tcW w:w="7473" w:type="dxa"/>
            <w:tcBorders>
              <w:top w:val="single" w:color="auto" w:sz="4" w:space="0"/>
              <w:left w:val="single" w:color="auto" w:sz="4" w:space="0"/>
              <w:bottom w:val="single" w:color="auto" w:sz="4" w:space="0"/>
              <w:right w:val="single" w:color="auto" w:sz="4" w:space="0"/>
            </w:tcBorders>
            <w:vAlign w:val="center"/>
          </w:tcPr>
          <w:p w14:paraId="7373B3AF">
            <w:pPr>
              <w:pStyle w:val="8"/>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48" w:rightChars="20"/>
              <w:textAlignment w:val="auto"/>
              <w:rPr>
                <w:rFonts w:hint="eastAsia" w:ascii="宋体" w:hAnsi="宋体" w:eastAsia="宋体" w:cs="宋体"/>
                <w:color w:val="auto"/>
                <w:sz w:val="24"/>
                <w:szCs w:val="24"/>
                <w:highlight w:val="none"/>
                <w:lang w:eastAsia="zh-CN"/>
              </w:rPr>
            </w:pPr>
            <w:r>
              <w:rPr>
                <w:rFonts w:hint="eastAsia" w:hAnsi="宋体" w:eastAsia="宋体" w:cs="宋体"/>
                <w:color w:val="auto"/>
                <w:sz w:val="24"/>
                <w:szCs w:val="24"/>
                <w:highlight w:val="none"/>
                <w:lang w:eastAsia="zh-CN"/>
              </w:rPr>
              <w:t>韶关市金沁城市更新投资有限公司</w:t>
            </w:r>
          </w:p>
        </w:tc>
      </w:tr>
      <w:tr w14:paraId="7574BB3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368" w:hRule="atLeast"/>
          <w:jc w:val="center"/>
        </w:trPr>
        <w:tc>
          <w:tcPr>
            <w:tcW w:w="608" w:type="dxa"/>
            <w:tcBorders>
              <w:top w:val="single" w:color="auto" w:sz="4" w:space="0"/>
              <w:left w:val="single" w:color="auto" w:sz="4" w:space="0"/>
              <w:bottom w:val="single" w:color="auto" w:sz="4" w:space="0"/>
              <w:right w:val="single" w:color="auto" w:sz="4" w:space="0"/>
            </w:tcBorders>
            <w:vAlign w:val="center"/>
          </w:tcPr>
          <w:p w14:paraId="75220C72">
            <w:pPr>
              <w:pStyle w:val="8"/>
              <w:keepNext w:val="0"/>
              <w:keepLines w:val="0"/>
              <w:pageBreakBefore w:val="0"/>
              <w:widowControl w:val="0"/>
              <w:numPr>
                <w:ilvl w:val="0"/>
                <w:numId w:val="1"/>
              </w:numPr>
              <w:suppressLineNumbers w:val="0"/>
              <w:kinsoku/>
              <w:wordWrap/>
              <w:overflowPunct/>
              <w:topLinePunct w:val="0"/>
              <w:autoSpaceDE/>
              <w:autoSpaceDN/>
              <w:bidi w:val="0"/>
              <w:adjustRightInd/>
              <w:snapToGrid/>
              <w:spacing w:before="0" w:beforeAutospacing="0" w:after="0" w:afterAutospacing="0" w:line="240" w:lineRule="auto"/>
              <w:ind w:left="425" w:leftChars="0" w:right="0" w:hanging="425" w:firstLineChars="0"/>
              <w:jc w:val="center"/>
              <w:textAlignment w:val="auto"/>
              <w:rPr>
                <w:rFonts w:hint="eastAsia" w:ascii="宋体" w:hAnsi="宋体" w:eastAsia="宋体" w:cs="宋体"/>
                <w:color w:val="auto"/>
                <w:sz w:val="24"/>
                <w:szCs w:val="24"/>
                <w:highlight w:val="none"/>
              </w:rPr>
            </w:pPr>
          </w:p>
        </w:tc>
        <w:tc>
          <w:tcPr>
            <w:tcW w:w="2014" w:type="dxa"/>
            <w:tcBorders>
              <w:top w:val="single" w:color="auto" w:sz="4" w:space="0"/>
              <w:left w:val="single" w:color="auto" w:sz="4" w:space="0"/>
              <w:bottom w:val="single" w:color="auto" w:sz="4" w:space="0"/>
              <w:right w:val="single" w:color="auto" w:sz="4" w:space="0"/>
            </w:tcBorders>
            <w:vAlign w:val="center"/>
          </w:tcPr>
          <w:p w14:paraId="5C845588">
            <w:pPr>
              <w:pStyle w:val="8"/>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招标代理机构</w:t>
            </w:r>
          </w:p>
        </w:tc>
        <w:tc>
          <w:tcPr>
            <w:tcW w:w="7473" w:type="dxa"/>
            <w:tcBorders>
              <w:top w:val="single" w:color="auto" w:sz="4" w:space="0"/>
              <w:left w:val="single" w:color="auto" w:sz="4" w:space="0"/>
              <w:bottom w:val="single" w:color="auto" w:sz="4" w:space="0"/>
              <w:right w:val="single" w:color="auto" w:sz="4" w:space="0"/>
            </w:tcBorders>
            <w:vAlign w:val="center"/>
          </w:tcPr>
          <w:p w14:paraId="68B40611">
            <w:pPr>
              <w:pStyle w:val="8"/>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48" w:rightChars="20"/>
              <w:textAlignment w:val="auto"/>
              <w:rPr>
                <w:rFonts w:hint="eastAsia" w:ascii="宋体" w:hAnsi="宋体" w:eastAsia="宋体" w:cs="宋体"/>
                <w:color w:val="auto"/>
                <w:sz w:val="24"/>
                <w:szCs w:val="24"/>
                <w:highlight w:val="none"/>
                <w:lang w:eastAsia="zh-CN"/>
              </w:rPr>
            </w:pPr>
            <w:r>
              <w:rPr>
                <w:rFonts w:hint="eastAsia" w:hAnsi="宋体" w:eastAsia="宋体" w:cs="宋体"/>
                <w:color w:val="auto"/>
                <w:sz w:val="24"/>
                <w:szCs w:val="24"/>
                <w:highlight w:val="none"/>
                <w:lang w:eastAsia="zh-CN"/>
              </w:rPr>
              <w:t>韶关市建韶工程造价咨询有限公司</w:t>
            </w:r>
          </w:p>
        </w:tc>
      </w:tr>
      <w:tr w14:paraId="48EF7EE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252" w:hRule="atLeast"/>
          <w:jc w:val="center"/>
        </w:trPr>
        <w:tc>
          <w:tcPr>
            <w:tcW w:w="608" w:type="dxa"/>
            <w:tcBorders>
              <w:top w:val="single" w:color="auto" w:sz="4" w:space="0"/>
              <w:left w:val="single" w:color="auto" w:sz="4" w:space="0"/>
              <w:bottom w:val="single" w:color="auto" w:sz="4" w:space="0"/>
              <w:right w:val="single" w:color="auto" w:sz="4" w:space="0"/>
            </w:tcBorders>
            <w:vAlign w:val="center"/>
          </w:tcPr>
          <w:p w14:paraId="632CDD17">
            <w:pPr>
              <w:pStyle w:val="8"/>
              <w:keepNext w:val="0"/>
              <w:keepLines w:val="0"/>
              <w:pageBreakBefore w:val="0"/>
              <w:widowControl w:val="0"/>
              <w:numPr>
                <w:ilvl w:val="0"/>
                <w:numId w:val="1"/>
              </w:numPr>
              <w:suppressLineNumbers w:val="0"/>
              <w:kinsoku/>
              <w:wordWrap/>
              <w:overflowPunct/>
              <w:topLinePunct w:val="0"/>
              <w:autoSpaceDE/>
              <w:autoSpaceDN/>
              <w:bidi w:val="0"/>
              <w:adjustRightInd/>
              <w:snapToGrid/>
              <w:spacing w:before="0" w:beforeAutospacing="0" w:after="0" w:afterAutospacing="0" w:line="240" w:lineRule="auto"/>
              <w:ind w:left="425" w:leftChars="0" w:right="0" w:hanging="425" w:firstLineChars="0"/>
              <w:jc w:val="center"/>
              <w:textAlignment w:val="auto"/>
              <w:rPr>
                <w:rFonts w:hint="eastAsia" w:ascii="宋体" w:hAnsi="宋体" w:eastAsia="宋体" w:cs="宋体"/>
                <w:color w:val="auto"/>
                <w:sz w:val="24"/>
                <w:szCs w:val="24"/>
                <w:highlight w:val="none"/>
              </w:rPr>
            </w:pPr>
          </w:p>
        </w:tc>
        <w:tc>
          <w:tcPr>
            <w:tcW w:w="2014" w:type="dxa"/>
            <w:tcBorders>
              <w:top w:val="single" w:color="auto" w:sz="4" w:space="0"/>
              <w:left w:val="single" w:color="auto" w:sz="4" w:space="0"/>
              <w:bottom w:val="single" w:color="auto" w:sz="4" w:space="0"/>
              <w:right w:val="single" w:color="auto" w:sz="4" w:space="0"/>
            </w:tcBorders>
            <w:vAlign w:val="center"/>
          </w:tcPr>
          <w:p w14:paraId="61DDB290">
            <w:pPr>
              <w:pStyle w:val="8"/>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项目总投资</w:t>
            </w:r>
          </w:p>
        </w:tc>
        <w:tc>
          <w:tcPr>
            <w:tcW w:w="7473" w:type="dxa"/>
            <w:tcBorders>
              <w:top w:val="single" w:color="auto" w:sz="4" w:space="0"/>
              <w:left w:val="single" w:color="auto" w:sz="4" w:space="0"/>
              <w:bottom w:val="single" w:color="auto" w:sz="4" w:space="0"/>
              <w:right w:val="single" w:color="auto" w:sz="4" w:space="0"/>
            </w:tcBorders>
            <w:vAlign w:val="center"/>
          </w:tcPr>
          <w:p w14:paraId="7192C078">
            <w:pPr>
              <w:pStyle w:val="8"/>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48" w:rightChars="20"/>
              <w:textAlignment w:val="auto"/>
              <w:rPr>
                <w:rFonts w:hint="eastAsia" w:ascii="宋体" w:hAnsi="宋体" w:eastAsia="宋体" w:cs="宋体"/>
                <w:color w:val="auto"/>
                <w:sz w:val="24"/>
                <w:szCs w:val="24"/>
                <w:highlight w:val="none"/>
                <w:lang w:eastAsia="zh-CN"/>
              </w:rPr>
            </w:pPr>
            <w:r>
              <w:rPr>
                <w:rFonts w:hint="eastAsia" w:hAnsi="宋体" w:eastAsia="宋体" w:cs="宋体"/>
                <w:color w:val="auto"/>
                <w:sz w:val="24"/>
                <w:szCs w:val="24"/>
                <w:highlight w:val="none"/>
                <w:lang w:eastAsia="zh-CN"/>
              </w:rPr>
              <w:t>项目总投资额约12024万元，其中本次招标建安费投资额约10838万元。</w:t>
            </w:r>
          </w:p>
        </w:tc>
      </w:tr>
      <w:tr w14:paraId="7A7D5A6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90" w:hRule="atLeast"/>
          <w:jc w:val="center"/>
        </w:trPr>
        <w:tc>
          <w:tcPr>
            <w:tcW w:w="608" w:type="dxa"/>
            <w:tcBorders>
              <w:top w:val="single" w:color="auto" w:sz="4" w:space="0"/>
              <w:left w:val="single" w:color="auto" w:sz="4" w:space="0"/>
              <w:bottom w:val="single" w:color="auto" w:sz="4" w:space="0"/>
              <w:right w:val="single" w:color="auto" w:sz="4" w:space="0"/>
            </w:tcBorders>
            <w:vAlign w:val="center"/>
          </w:tcPr>
          <w:p w14:paraId="02FD866E">
            <w:pPr>
              <w:pStyle w:val="8"/>
              <w:keepNext w:val="0"/>
              <w:keepLines w:val="0"/>
              <w:pageBreakBefore w:val="0"/>
              <w:widowControl w:val="0"/>
              <w:numPr>
                <w:ilvl w:val="0"/>
                <w:numId w:val="1"/>
              </w:numPr>
              <w:suppressLineNumbers w:val="0"/>
              <w:kinsoku/>
              <w:wordWrap/>
              <w:overflowPunct/>
              <w:topLinePunct w:val="0"/>
              <w:autoSpaceDE/>
              <w:autoSpaceDN/>
              <w:bidi w:val="0"/>
              <w:adjustRightInd/>
              <w:snapToGrid/>
              <w:spacing w:before="0" w:beforeAutospacing="0" w:after="0" w:afterAutospacing="0" w:line="240" w:lineRule="auto"/>
              <w:ind w:left="425" w:leftChars="0" w:right="0" w:hanging="425" w:firstLineChars="0"/>
              <w:jc w:val="center"/>
              <w:textAlignment w:val="auto"/>
              <w:rPr>
                <w:rFonts w:hint="eastAsia" w:ascii="宋体" w:hAnsi="宋体" w:eastAsia="宋体" w:cs="宋体"/>
                <w:color w:val="auto"/>
                <w:sz w:val="24"/>
                <w:szCs w:val="24"/>
                <w:highlight w:val="none"/>
              </w:rPr>
            </w:pPr>
          </w:p>
        </w:tc>
        <w:tc>
          <w:tcPr>
            <w:tcW w:w="2014" w:type="dxa"/>
            <w:tcBorders>
              <w:top w:val="single" w:color="auto" w:sz="4" w:space="0"/>
              <w:left w:val="single" w:color="auto" w:sz="4" w:space="0"/>
              <w:bottom w:val="single" w:color="auto" w:sz="4" w:space="0"/>
              <w:right w:val="single" w:color="auto" w:sz="4" w:space="0"/>
            </w:tcBorders>
            <w:vAlign w:val="center"/>
          </w:tcPr>
          <w:p w14:paraId="0C4B232E">
            <w:pPr>
              <w:pStyle w:val="8"/>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建设地点</w:t>
            </w:r>
          </w:p>
        </w:tc>
        <w:tc>
          <w:tcPr>
            <w:tcW w:w="7473" w:type="dxa"/>
            <w:tcBorders>
              <w:top w:val="single" w:color="auto" w:sz="4" w:space="0"/>
              <w:left w:val="single" w:color="auto" w:sz="4" w:space="0"/>
              <w:bottom w:val="single" w:color="auto" w:sz="4" w:space="0"/>
              <w:right w:val="single" w:color="auto" w:sz="4" w:space="0"/>
            </w:tcBorders>
            <w:vAlign w:val="center"/>
          </w:tcPr>
          <w:p w14:paraId="55CB865C">
            <w:pPr>
              <w:pStyle w:val="8"/>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48" w:rightChars="20"/>
              <w:textAlignment w:val="auto"/>
              <w:rPr>
                <w:rFonts w:hint="eastAsia" w:ascii="宋体" w:hAnsi="宋体" w:eastAsia="宋体" w:cs="宋体"/>
                <w:color w:val="auto"/>
                <w:sz w:val="24"/>
                <w:szCs w:val="24"/>
                <w:highlight w:val="none"/>
                <w:lang w:eastAsia="zh-CN"/>
              </w:rPr>
            </w:pPr>
            <w:r>
              <w:rPr>
                <w:rFonts w:hint="eastAsia" w:hAnsi="宋体" w:eastAsia="宋体" w:cs="宋体"/>
                <w:color w:val="auto"/>
                <w:sz w:val="24"/>
                <w:szCs w:val="24"/>
                <w:highlight w:val="none"/>
                <w:lang w:eastAsia="zh-CN"/>
              </w:rPr>
              <w:t>韶关市浈江区风采街道百年东街及周边</w:t>
            </w:r>
          </w:p>
        </w:tc>
      </w:tr>
      <w:tr w14:paraId="26526032">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90" w:hRule="atLeast"/>
          <w:jc w:val="center"/>
        </w:trPr>
        <w:tc>
          <w:tcPr>
            <w:tcW w:w="608" w:type="dxa"/>
            <w:tcBorders>
              <w:top w:val="single" w:color="auto" w:sz="4" w:space="0"/>
              <w:left w:val="single" w:color="auto" w:sz="4" w:space="0"/>
              <w:bottom w:val="single" w:color="auto" w:sz="4" w:space="0"/>
              <w:right w:val="single" w:color="auto" w:sz="4" w:space="0"/>
            </w:tcBorders>
            <w:vAlign w:val="center"/>
          </w:tcPr>
          <w:p w14:paraId="0072CF70">
            <w:pPr>
              <w:pStyle w:val="8"/>
              <w:keepNext w:val="0"/>
              <w:keepLines w:val="0"/>
              <w:pageBreakBefore w:val="0"/>
              <w:widowControl w:val="0"/>
              <w:numPr>
                <w:ilvl w:val="0"/>
                <w:numId w:val="1"/>
              </w:numPr>
              <w:suppressLineNumbers w:val="0"/>
              <w:kinsoku/>
              <w:wordWrap/>
              <w:overflowPunct/>
              <w:topLinePunct w:val="0"/>
              <w:autoSpaceDE/>
              <w:autoSpaceDN/>
              <w:bidi w:val="0"/>
              <w:adjustRightInd/>
              <w:snapToGrid/>
              <w:spacing w:before="0" w:beforeAutospacing="0" w:after="0" w:afterAutospacing="0" w:line="240" w:lineRule="auto"/>
              <w:ind w:left="425" w:leftChars="0" w:right="0" w:hanging="425" w:firstLineChars="0"/>
              <w:jc w:val="center"/>
              <w:textAlignment w:val="auto"/>
              <w:rPr>
                <w:rFonts w:hint="eastAsia" w:ascii="宋体" w:hAnsi="宋体" w:eastAsia="宋体" w:cs="宋体"/>
                <w:color w:val="auto"/>
                <w:sz w:val="24"/>
                <w:szCs w:val="24"/>
                <w:highlight w:val="none"/>
              </w:rPr>
            </w:pPr>
          </w:p>
        </w:tc>
        <w:tc>
          <w:tcPr>
            <w:tcW w:w="2014" w:type="dxa"/>
            <w:tcBorders>
              <w:top w:val="single" w:color="auto" w:sz="4" w:space="0"/>
              <w:left w:val="single" w:color="auto" w:sz="4" w:space="0"/>
              <w:bottom w:val="single" w:color="auto" w:sz="4" w:space="0"/>
              <w:right w:val="single" w:color="auto" w:sz="4" w:space="0"/>
            </w:tcBorders>
            <w:vAlign w:val="center"/>
          </w:tcPr>
          <w:p w14:paraId="4DF3D26E">
            <w:pPr>
              <w:pStyle w:val="8"/>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eastAsia" w:ascii="宋体" w:hAnsi="宋体" w:eastAsia="宋体" w:cs="宋体"/>
                <w:color w:val="auto"/>
                <w:sz w:val="24"/>
                <w:szCs w:val="20"/>
                <w:highlight w:val="none"/>
              </w:rPr>
            </w:pPr>
            <w:r>
              <w:rPr>
                <w:rFonts w:hint="eastAsia" w:ascii="宋体" w:hAnsi="宋体" w:eastAsia="宋体" w:cs="宋体"/>
                <w:color w:val="auto"/>
                <w:sz w:val="24"/>
                <w:szCs w:val="24"/>
                <w:highlight w:val="none"/>
              </w:rPr>
              <w:t>项目建设内容</w:t>
            </w:r>
          </w:p>
          <w:p w14:paraId="55F0A244">
            <w:pPr>
              <w:pStyle w:val="8"/>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eastAsia" w:ascii="宋体" w:hAnsi="宋体" w:eastAsia="宋体" w:cs="宋体"/>
                <w:color w:val="auto"/>
                <w:sz w:val="24"/>
                <w:szCs w:val="20"/>
                <w:highlight w:val="none"/>
              </w:rPr>
            </w:pPr>
            <w:r>
              <w:rPr>
                <w:rFonts w:hint="eastAsia" w:ascii="宋体" w:hAnsi="宋体" w:eastAsia="宋体" w:cs="宋体"/>
                <w:color w:val="auto"/>
                <w:sz w:val="24"/>
                <w:szCs w:val="24"/>
                <w:highlight w:val="none"/>
              </w:rPr>
              <w:t>和规模</w:t>
            </w:r>
          </w:p>
        </w:tc>
        <w:tc>
          <w:tcPr>
            <w:tcW w:w="7473" w:type="dxa"/>
            <w:tcBorders>
              <w:top w:val="single" w:color="auto" w:sz="4" w:space="0"/>
              <w:left w:val="single" w:color="auto" w:sz="4" w:space="0"/>
              <w:bottom w:val="single" w:color="auto" w:sz="4" w:space="0"/>
              <w:right w:val="single" w:color="auto" w:sz="4" w:space="0"/>
            </w:tcBorders>
            <w:vAlign w:val="center"/>
          </w:tcPr>
          <w:p w14:paraId="134CB143">
            <w:pPr>
              <w:pStyle w:val="8"/>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48" w:rightChars="20"/>
              <w:textAlignment w:val="auto"/>
              <w:rPr>
                <w:rFonts w:hint="eastAsia" w:ascii="宋体" w:hAnsi="宋体" w:eastAsia="宋体" w:cs="宋体"/>
                <w:color w:val="auto"/>
                <w:sz w:val="24"/>
                <w:szCs w:val="20"/>
                <w:highlight w:val="none"/>
                <w:lang w:eastAsia="zh-CN"/>
              </w:rPr>
            </w:pPr>
            <w:r>
              <w:rPr>
                <w:rFonts w:hint="eastAsia" w:hAnsi="宋体" w:eastAsia="宋体" w:cs="宋体"/>
                <w:color w:val="auto"/>
                <w:sz w:val="24"/>
                <w:szCs w:val="24"/>
                <w:highlight w:val="none"/>
                <w:lang w:val="en-US" w:eastAsia="zh-CN"/>
              </w:rPr>
              <w:t>本项目总改造建筑面积约80000㎡。主要改造内容包括：对百年东街的主体结构、外立面、室外广场、滨河步道等进行改造升级；对公共室外走道、电梯厅、卫生间、B区室内等公共区域进行更新改造；对机电工程、弱电智能化工程、水电、给排水、排油烟工程、室外灯光造型和地下停车场进行改造提升。</w:t>
            </w:r>
          </w:p>
        </w:tc>
      </w:tr>
      <w:tr w14:paraId="3DBB118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620" w:hRule="atLeast"/>
          <w:jc w:val="center"/>
        </w:trPr>
        <w:tc>
          <w:tcPr>
            <w:tcW w:w="608" w:type="dxa"/>
            <w:tcBorders>
              <w:top w:val="single" w:color="auto" w:sz="4" w:space="0"/>
              <w:left w:val="single" w:color="auto" w:sz="4" w:space="0"/>
              <w:bottom w:val="single" w:color="auto" w:sz="4" w:space="0"/>
              <w:right w:val="single" w:color="auto" w:sz="4" w:space="0"/>
            </w:tcBorders>
            <w:vAlign w:val="center"/>
          </w:tcPr>
          <w:p w14:paraId="64A40541">
            <w:pPr>
              <w:pStyle w:val="8"/>
              <w:keepNext w:val="0"/>
              <w:keepLines w:val="0"/>
              <w:pageBreakBefore w:val="0"/>
              <w:widowControl w:val="0"/>
              <w:numPr>
                <w:ilvl w:val="0"/>
                <w:numId w:val="1"/>
              </w:numPr>
              <w:suppressLineNumbers w:val="0"/>
              <w:kinsoku/>
              <w:wordWrap/>
              <w:overflowPunct/>
              <w:topLinePunct w:val="0"/>
              <w:autoSpaceDE/>
              <w:autoSpaceDN/>
              <w:bidi w:val="0"/>
              <w:adjustRightInd/>
              <w:snapToGrid/>
              <w:spacing w:before="0" w:beforeAutospacing="0" w:after="0" w:afterAutospacing="0" w:line="240" w:lineRule="auto"/>
              <w:ind w:left="425" w:leftChars="0" w:right="0" w:hanging="425" w:firstLineChars="0"/>
              <w:jc w:val="center"/>
              <w:textAlignment w:val="auto"/>
              <w:rPr>
                <w:rFonts w:hint="eastAsia" w:ascii="宋体" w:hAnsi="宋体" w:eastAsia="宋体" w:cs="宋体"/>
                <w:color w:val="auto"/>
                <w:sz w:val="24"/>
                <w:szCs w:val="24"/>
                <w:highlight w:val="none"/>
              </w:rPr>
            </w:pPr>
          </w:p>
        </w:tc>
        <w:tc>
          <w:tcPr>
            <w:tcW w:w="2014" w:type="dxa"/>
            <w:tcBorders>
              <w:top w:val="single" w:color="auto" w:sz="4" w:space="0"/>
              <w:left w:val="single" w:color="auto" w:sz="4" w:space="0"/>
              <w:bottom w:val="single" w:color="auto" w:sz="4" w:space="0"/>
              <w:right w:val="single" w:color="auto" w:sz="4" w:space="0"/>
            </w:tcBorders>
            <w:vAlign w:val="center"/>
          </w:tcPr>
          <w:p w14:paraId="66154300">
            <w:pPr>
              <w:pStyle w:val="8"/>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eastAsia" w:ascii="宋体" w:hAnsi="宋体" w:eastAsia="宋体" w:cs="宋体"/>
                <w:color w:val="auto"/>
                <w:sz w:val="24"/>
                <w:szCs w:val="20"/>
                <w:highlight w:val="none"/>
              </w:rPr>
            </w:pPr>
            <w:r>
              <w:rPr>
                <w:rFonts w:hint="eastAsia" w:ascii="宋体" w:hAnsi="宋体" w:eastAsia="宋体" w:cs="宋体"/>
                <w:color w:val="auto"/>
                <w:sz w:val="24"/>
                <w:szCs w:val="24"/>
                <w:highlight w:val="none"/>
              </w:rPr>
              <w:t>招标范围</w:t>
            </w:r>
          </w:p>
        </w:tc>
        <w:tc>
          <w:tcPr>
            <w:tcW w:w="7473" w:type="dxa"/>
            <w:tcBorders>
              <w:top w:val="single" w:color="auto" w:sz="4" w:space="0"/>
              <w:left w:val="single" w:color="auto" w:sz="4" w:space="0"/>
              <w:bottom w:val="single" w:color="auto" w:sz="4" w:space="0"/>
              <w:right w:val="single" w:color="auto" w:sz="4" w:space="0"/>
            </w:tcBorders>
            <w:vAlign w:val="center"/>
          </w:tcPr>
          <w:p w14:paraId="0F9AEF8E">
            <w:pPr>
              <w:pStyle w:val="8"/>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48" w:rightChars="20"/>
              <w:textAlignment w:val="auto"/>
              <w:rPr>
                <w:rFonts w:hint="eastAsia" w:ascii="宋体" w:hAnsi="宋体" w:eastAsia="宋体" w:cs="宋体"/>
                <w:color w:val="auto"/>
                <w:sz w:val="24"/>
                <w:szCs w:val="20"/>
                <w:highlight w:val="none"/>
              </w:rPr>
            </w:pPr>
            <w:bookmarkStart w:id="5" w:name="OLE_LINK1"/>
            <w:r>
              <w:rPr>
                <w:rFonts w:hint="eastAsia" w:ascii="宋体" w:hAnsi="宋体" w:eastAsia="宋体" w:cs="宋体"/>
                <w:color w:val="auto"/>
                <w:kern w:val="0"/>
                <w:sz w:val="24"/>
                <w:szCs w:val="24"/>
                <w:highlight w:val="none"/>
                <w:lang w:val="en-US" w:eastAsia="zh-CN" w:bidi="ar-SA"/>
              </w:rPr>
              <w:t>本次招标确定设计采购施工总承包的承担主体，中标后负责本项目的设计、采购、施工及保修期</w:t>
            </w:r>
            <w:r>
              <w:rPr>
                <w:rFonts w:hint="eastAsia" w:hAnsi="宋体" w:eastAsia="宋体" w:cs="宋体"/>
                <w:color w:val="auto"/>
                <w:kern w:val="0"/>
                <w:sz w:val="24"/>
                <w:szCs w:val="24"/>
                <w:highlight w:val="none"/>
                <w:lang w:val="en-US" w:eastAsia="zh-CN" w:bidi="ar-SA"/>
              </w:rPr>
              <w:t>修复</w:t>
            </w:r>
            <w:r>
              <w:rPr>
                <w:rFonts w:hint="eastAsia" w:ascii="宋体" w:hAnsi="宋体" w:eastAsia="宋体" w:cs="宋体"/>
                <w:color w:val="auto"/>
                <w:kern w:val="0"/>
                <w:sz w:val="24"/>
                <w:szCs w:val="24"/>
                <w:highlight w:val="none"/>
                <w:lang w:val="en-US" w:eastAsia="zh-CN" w:bidi="ar-SA"/>
              </w:rPr>
              <w:t>等工作。</w:t>
            </w:r>
            <w:r>
              <w:rPr>
                <w:rFonts w:hint="eastAsia" w:hAnsi="宋体" w:eastAsia="宋体" w:cs="宋体"/>
                <w:color w:val="auto"/>
                <w:kern w:val="0"/>
                <w:sz w:val="24"/>
                <w:szCs w:val="24"/>
                <w:highlight w:val="none"/>
                <w:lang w:val="en-US" w:eastAsia="zh-CN" w:bidi="ar-SA"/>
              </w:rPr>
              <w:t>包括但不限于</w:t>
            </w:r>
            <w:r>
              <w:rPr>
                <w:rFonts w:hint="eastAsia" w:ascii="宋体" w:hAnsi="宋体" w:eastAsia="宋体" w:cs="宋体"/>
                <w:color w:val="auto"/>
                <w:kern w:val="0"/>
                <w:sz w:val="24"/>
                <w:szCs w:val="24"/>
                <w:highlight w:val="none"/>
                <w:lang w:val="en-US" w:eastAsia="zh-CN" w:bidi="ar-SA"/>
              </w:rPr>
              <w:t>下列内容</w:t>
            </w:r>
            <w:r>
              <w:rPr>
                <w:rFonts w:hint="eastAsia" w:ascii="宋体" w:hAnsi="宋体" w:eastAsia="宋体" w:cs="宋体"/>
                <w:color w:val="auto"/>
                <w:sz w:val="24"/>
                <w:szCs w:val="24"/>
                <w:highlight w:val="none"/>
              </w:rPr>
              <w:t>：</w:t>
            </w:r>
          </w:p>
          <w:p w14:paraId="235DB630">
            <w:pPr>
              <w:pStyle w:val="8"/>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48" w:rightChars="20"/>
              <w:textAlignment w:val="auto"/>
              <w:rPr>
                <w:rFonts w:hint="eastAsia" w:ascii="宋体" w:hAnsi="宋体" w:eastAsia="宋体" w:cs="宋体"/>
                <w:color w:val="auto"/>
                <w:sz w:val="24"/>
                <w:szCs w:val="20"/>
                <w:highlight w:val="none"/>
              </w:rPr>
            </w:pPr>
            <w:r>
              <w:rPr>
                <w:rFonts w:hint="eastAsia" w:ascii="宋体" w:hAnsi="宋体" w:eastAsia="宋体" w:cs="宋体"/>
                <w:b/>
                <w:bCs/>
                <w:color w:val="auto"/>
                <w:sz w:val="24"/>
                <w:szCs w:val="24"/>
                <w:highlight w:val="none"/>
                <w:lang w:val="en-US" w:eastAsia="zh-CN"/>
              </w:rPr>
              <w:t>（1）</w:t>
            </w:r>
            <w:r>
              <w:rPr>
                <w:rFonts w:hint="eastAsia" w:ascii="宋体" w:hAnsi="宋体" w:eastAsia="宋体" w:cs="宋体"/>
                <w:b/>
                <w:bCs/>
                <w:color w:val="auto"/>
                <w:sz w:val="24"/>
                <w:szCs w:val="24"/>
                <w:highlight w:val="none"/>
              </w:rPr>
              <w:t>设计部分：</w:t>
            </w:r>
            <w:r>
              <w:rPr>
                <w:rFonts w:hint="eastAsia" w:ascii="宋体" w:hAnsi="宋体" w:eastAsia="宋体" w:cs="宋体"/>
                <w:color w:val="auto"/>
                <w:sz w:val="24"/>
                <w:szCs w:val="24"/>
                <w:highlight w:val="none"/>
              </w:rPr>
              <w:t>确保项目顺利实施的报建、报批、施工等所需的所有建安</w:t>
            </w:r>
            <w:r>
              <w:rPr>
                <w:rFonts w:hint="eastAsia" w:hAnsi="宋体" w:eastAsia="宋体" w:cs="宋体"/>
                <w:color w:val="auto"/>
                <w:sz w:val="24"/>
                <w:szCs w:val="24"/>
                <w:highlight w:val="none"/>
                <w:lang w:eastAsia="zh-CN"/>
              </w:rPr>
              <w:t>工程</w:t>
            </w:r>
            <w:r>
              <w:rPr>
                <w:rFonts w:hint="eastAsia" w:ascii="宋体" w:hAnsi="宋体" w:eastAsia="宋体" w:cs="宋体"/>
                <w:color w:val="auto"/>
                <w:sz w:val="24"/>
                <w:szCs w:val="24"/>
                <w:highlight w:val="none"/>
              </w:rPr>
              <w:t>的设计文件（具体详见设计任务书、初步设计文件），包括但不限于：</w:t>
            </w:r>
          </w:p>
          <w:p w14:paraId="7EE29AB3">
            <w:pPr>
              <w:pStyle w:val="8"/>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48" w:leftChars="20" w:right="48" w:rightChars="20" w:firstLine="480" w:firstLineChars="200"/>
              <w:textAlignment w:val="auto"/>
              <w:rPr>
                <w:rFonts w:hint="eastAsia" w:ascii="宋体" w:hAnsi="宋体" w:eastAsia="宋体" w:cs="宋体"/>
                <w:color w:val="auto"/>
                <w:sz w:val="24"/>
                <w:szCs w:val="20"/>
                <w:highlight w:val="none"/>
              </w:rPr>
            </w:pPr>
            <w:r>
              <w:rPr>
                <w:rFonts w:hint="eastAsia" w:ascii="宋体" w:hAnsi="宋体" w:eastAsia="宋体" w:cs="宋体"/>
                <w:color w:val="auto"/>
                <w:sz w:val="24"/>
                <w:szCs w:val="24"/>
                <w:highlight w:val="none"/>
              </w:rPr>
              <w:t>①</w:t>
            </w:r>
            <w:r>
              <w:rPr>
                <w:rFonts w:hint="eastAsia" w:ascii="宋体" w:hAnsi="宋体" w:eastAsia="宋体" w:cs="宋体"/>
                <w:color w:val="auto"/>
                <w:sz w:val="24"/>
                <w:szCs w:val="24"/>
                <w:highlight w:val="none"/>
                <w:lang w:eastAsia="zh-CN"/>
              </w:rPr>
              <w:t>施工图设计</w:t>
            </w:r>
            <w:r>
              <w:rPr>
                <w:rFonts w:hint="eastAsia" w:hAnsi="宋体" w:eastAsia="宋体" w:cs="宋体"/>
                <w:color w:val="auto"/>
                <w:sz w:val="24"/>
                <w:szCs w:val="24"/>
                <w:highlight w:val="none"/>
                <w:lang w:eastAsia="zh-CN"/>
              </w:rPr>
              <w:t>：含</w:t>
            </w:r>
            <w:r>
              <w:rPr>
                <w:rFonts w:hint="eastAsia" w:ascii="宋体" w:hAnsi="宋体" w:eastAsia="宋体" w:cs="宋体"/>
                <w:color w:val="auto"/>
                <w:sz w:val="24"/>
                <w:szCs w:val="24"/>
                <w:highlight w:val="none"/>
                <w:lang w:eastAsia="zh-CN"/>
              </w:rPr>
              <w:t>总平面及设计说明书、主要设备及材料</w:t>
            </w:r>
            <w:r>
              <w:rPr>
                <w:rFonts w:hint="eastAsia" w:hAnsi="宋体" w:eastAsia="宋体" w:cs="宋体"/>
                <w:color w:val="auto"/>
                <w:sz w:val="24"/>
                <w:szCs w:val="24"/>
                <w:highlight w:val="none"/>
                <w:lang w:eastAsia="zh-CN"/>
              </w:rPr>
              <w:t>，以及</w:t>
            </w:r>
            <w:r>
              <w:rPr>
                <w:rFonts w:hint="eastAsia" w:ascii="宋体" w:hAnsi="宋体" w:eastAsia="宋体" w:cs="宋体"/>
                <w:color w:val="auto"/>
                <w:sz w:val="24"/>
                <w:szCs w:val="24"/>
                <w:highlight w:val="none"/>
                <w:lang w:eastAsia="zh-CN"/>
              </w:rPr>
              <w:t>建筑、结构、建筑装饰装修、给排水、电气、照明、消防、节能、安防及智能系统等所有专项设计</w:t>
            </w:r>
            <w:r>
              <w:rPr>
                <w:rFonts w:hint="eastAsia" w:hAnsi="宋体" w:eastAsia="宋体" w:cs="宋体"/>
                <w:color w:val="auto"/>
                <w:sz w:val="24"/>
                <w:szCs w:val="24"/>
                <w:highlight w:val="none"/>
                <w:lang w:eastAsia="zh-CN"/>
              </w:rPr>
              <w:t>，以及</w:t>
            </w:r>
            <w:r>
              <w:rPr>
                <w:rFonts w:hint="eastAsia" w:ascii="宋体" w:hAnsi="宋体" w:eastAsia="宋体" w:cs="宋体"/>
                <w:color w:val="auto"/>
                <w:sz w:val="24"/>
                <w:szCs w:val="24"/>
                <w:highlight w:val="none"/>
                <w:lang w:eastAsia="zh-CN"/>
              </w:rPr>
              <w:t>红线范围内的所有工程及相关附属工程、设施等本项目涉及的所有建安工程的设计</w:t>
            </w:r>
            <w:r>
              <w:rPr>
                <w:rFonts w:hint="eastAsia" w:ascii="宋体" w:hAnsi="宋体" w:eastAsia="宋体" w:cs="宋体"/>
                <w:color w:val="auto"/>
                <w:sz w:val="24"/>
                <w:szCs w:val="24"/>
                <w:highlight w:val="none"/>
              </w:rPr>
              <w:t>；</w:t>
            </w:r>
          </w:p>
          <w:p w14:paraId="79E98D61">
            <w:pPr>
              <w:pStyle w:val="8"/>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48" w:leftChars="20" w:right="48" w:rightChars="20" w:firstLine="456" w:firstLineChars="200"/>
              <w:textAlignment w:val="auto"/>
              <w:rPr>
                <w:rFonts w:hint="eastAsia" w:ascii="宋体" w:hAnsi="宋体" w:eastAsia="宋体" w:cs="宋体"/>
                <w:color w:val="auto"/>
                <w:spacing w:val="-6"/>
                <w:sz w:val="24"/>
                <w:szCs w:val="20"/>
                <w:highlight w:val="none"/>
              </w:rPr>
            </w:pPr>
            <w:r>
              <w:rPr>
                <w:rFonts w:hint="eastAsia" w:ascii="宋体" w:hAnsi="宋体" w:eastAsia="宋体" w:cs="宋体"/>
                <w:color w:val="auto"/>
                <w:spacing w:val="-6"/>
                <w:sz w:val="24"/>
                <w:szCs w:val="24"/>
                <w:highlight w:val="none"/>
              </w:rPr>
              <w:t>注：</w:t>
            </w:r>
            <w:r>
              <w:rPr>
                <w:rFonts w:hint="eastAsia" w:ascii="宋体" w:hAnsi="宋体" w:eastAsia="宋体" w:cs="宋体"/>
                <w:color w:val="auto"/>
                <w:spacing w:val="-6"/>
                <w:sz w:val="24"/>
                <w:szCs w:val="24"/>
                <w:highlight w:val="none"/>
                <w:lang w:eastAsia="zh-CN"/>
              </w:rPr>
              <w:t>设计文件深度要求必须满足住建部《建筑工程设计文件编制深度规定（2016版）》和</w:t>
            </w:r>
            <w:r>
              <w:rPr>
                <w:rFonts w:hint="eastAsia" w:hAnsi="宋体" w:eastAsia="宋体" w:cs="宋体"/>
                <w:color w:val="auto"/>
                <w:sz w:val="24"/>
                <w:szCs w:val="24"/>
                <w:highlight w:val="none"/>
                <w:lang w:eastAsia="zh-CN"/>
              </w:rPr>
              <w:t>《市政公用工程设计文件编制深度规定（2025年版）》</w:t>
            </w:r>
            <w:r>
              <w:rPr>
                <w:rFonts w:hint="eastAsia" w:ascii="宋体" w:hAnsi="宋体" w:eastAsia="宋体" w:cs="宋体"/>
                <w:color w:val="auto"/>
                <w:spacing w:val="-6"/>
                <w:sz w:val="24"/>
                <w:szCs w:val="24"/>
                <w:highlight w:val="none"/>
                <w:lang w:eastAsia="zh-CN"/>
              </w:rPr>
              <w:t>的要求，各专业还应该满足各专业工程设计文件编制深度规范或规定的要求</w:t>
            </w:r>
            <w:r>
              <w:rPr>
                <w:rFonts w:hint="eastAsia" w:ascii="宋体" w:hAnsi="宋体" w:eastAsia="宋体" w:cs="宋体"/>
                <w:color w:val="auto"/>
                <w:spacing w:val="-6"/>
                <w:sz w:val="24"/>
                <w:szCs w:val="24"/>
                <w:highlight w:val="none"/>
              </w:rPr>
              <w:t>。</w:t>
            </w:r>
          </w:p>
          <w:p w14:paraId="7B30486E">
            <w:pPr>
              <w:pStyle w:val="8"/>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48" w:leftChars="20" w:right="48" w:rightChars="20" w:firstLine="480" w:firstLineChars="200"/>
              <w:textAlignment w:val="auto"/>
              <w:rPr>
                <w:rFonts w:hint="eastAsia" w:ascii="宋体" w:hAnsi="宋体" w:eastAsia="宋体" w:cs="宋体"/>
                <w:color w:val="auto"/>
                <w:sz w:val="24"/>
                <w:szCs w:val="20"/>
                <w:highlight w:val="none"/>
              </w:rPr>
            </w:pPr>
            <w:r>
              <w:rPr>
                <w:rFonts w:hint="eastAsia" w:ascii="宋体" w:hAnsi="宋体" w:eastAsia="宋体" w:cs="宋体"/>
                <w:color w:val="auto"/>
                <w:sz w:val="24"/>
                <w:szCs w:val="24"/>
                <w:highlight w:val="none"/>
              </w:rPr>
              <w:t>②施工图预算（含工程量清单）；</w:t>
            </w:r>
          </w:p>
          <w:p w14:paraId="7AFAFCB9">
            <w:pPr>
              <w:pStyle w:val="8"/>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48" w:leftChars="20" w:right="48" w:rightChars="20" w:firstLine="480" w:firstLineChars="200"/>
              <w:textAlignment w:val="auto"/>
              <w:rPr>
                <w:rFonts w:hint="eastAsia" w:ascii="宋体" w:hAnsi="宋体" w:eastAsia="宋体" w:cs="宋体"/>
                <w:color w:val="auto"/>
                <w:sz w:val="24"/>
                <w:szCs w:val="20"/>
                <w:highlight w:val="none"/>
              </w:rPr>
            </w:pPr>
            <w:r>
              <w:rPr>
                <w:rFonts w:hint="eastAsia" w:ascii="宋体" w:hAnsi="宋体" w:eastAsia="宋体" w:cs="宋体"/>
                <w:color w:val="auto"/>
                <w:sz w:val="24"/>
                <w:szCs w:val="24"/>
                <w:highlight w:val="none"/>
              </w:rPr>
              <w:t>③提供项目所需相关检测项的明细表和危险性较大的分部分项工程清单；</w:t>
            </w:r>
          </w:p>
          <w:p w14:paraId="5A52A853">
            <w:pPr>
              <w:pStyle w:val="8"/>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48" w:leftChars="20" w:right="48" w:rightChars="20" w:firstLine="480" w:firstLineChars="200"/>
              <w:textAlignment w:val="auto"/>
              <w:rPr>
                <w:rFonts w:hint="default"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rPr>
              <w:t>④</w:t>
            </w:r>
            <w:r>
              <w:rPr>
                <w:rFonts w:hint="eastAsia" w:hAnsi="宋体" w:eastAsia="宋体" w:cs="宋体"/>
                <w:color w:val="auto"/>
                <w:sz w:val="24"/>
                <w:szCs w:val="24"/>
                <w:highlight w:val="none"/>
                <w:lang w:val="en-US" w:eastAsia="zh-CN"/>
              </w:rPr>
              <w:t>施工图设计技术审查；</w:t>
            </w:r>
          </w:p>
          <w:p w14:paraId="03E246F0">
            <w:pPr>
              <w:pStyle w:val="8"/>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48" w:leftChars="20" w:right="48" w:rightChars="20" w:firstLine="480" w:firstLineChars="200"/>
              <w:textAlignment w:val="auto"/>
              <w:rPr>
                <w:rFonts w:hint="eastAsia" w:ascii="宋体" w:hAnsi="宋体" w:eastAsia="宋体" w:cs="宋体"/>
                <w:color w:val="auto"/>
                <w:sz w:val="24"/>
                <w:szCs w:val="20"/>
                <w:highlight w:val="none"/>
              </w:rPr>
            </w:pPr>
            <w:r>
              <w:rPr>
                <w:rFonts w:hint="eastAsia" w:hAnsi="宋体" w:eastAsia="宋体" w:cs="宋体"/>
                <w:color w:val="auto"/>
                <w:sz w:val="24"/>
                <w:szCs w:val="24"/>
                <w:highlight w:val="none"/>
                <w:lang w:val="en-US" w:eastAsia="zh-CN"/>
              </w:rPr>
              <w:t>⑤</w:t>
            </w:r>
            <w:r>
              <w:rPr>
                <w:rFonts w:hint="eastAsia" w:ascii="宋体" w:hAnsi="宋体" w:eastAsia="宋体" w:cs="宋体"/>
                <w:color w:val="auto"/>
                <w:sz w:val="24"/>
                <w:szCs w:val="24"/>
                <w:highlight w:val="none"/>
              </w:rPr>
              <w:t>后续设计服务工作</w:t>
            </w:r>
            <w:r>
              <w:rPr>
                <w:rFonts w:hint="eastAsia" w:hAnsi="宋体" w:eastAsia="宋体" w:cs="宋体"/>
                <w:color w:val="auto"/>
                <w:sz w:val="24"/>
                <w:szCs w:val="24"/>
                <w:highlight w:val="none"/>
                <w:lang w:eastAsia="zh-CN"/>
              </w:rPr>
              <w:t>，</w:t>
            </w:r>
            <w:r>
              <w:rPr>
                <w:rFonts w:hint="eastAsia" w:ascii="宋体" w:hAnsi="宋体" w:eastAsia="宋体" w:cs="宋体"/>
                <w:color w:val="auto"/>
                <w:kern w:val="0"/>
                <w:sz w:val="24"/>
                <w:szCs w:val="24"/>
                <w:highlight w:val="none"/>
                <w:lang w:val="zh-CN" w:eastAsia="zh-CN" w:bidi="ar-SA"/>
              </w:rPr>
              <w:t>施工过程中的方案优化及设计变更等</w:t>
            </w:r>
            <w:r>
              <w:rPr>
                <w:rFonts w:hint="eastAsia" w:ascii="宋体" w:hAnsi="宋体" w:eastAsia="宋体" w:cs="宋体"/>
                <w:color w:val="auto"/>
                <w:sz w:val="24"/>
                <w:szCs w:val="24"/>
                <w:highlight w:val="none"/>
              </w:rPr>
              <w:t>。</w:t>
            </w:r>
          </w:p>
          <w:p w14:paraId="3CA86875">
            <w:pPr>
              <w:pStyle w:val="8"/>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48" w:rightChars="20"/>
              <w:textAlignment w:val="auto"/>
              <w:rPr>
                <w:rFonts w:hint="eastAsia" w:ascii="宋体" w:hAnsi="宋体" w:eastAsia="宋体" w:cs="宋体"/>
                <w:color w:val="auto"/>
                <w:sz w:val="24"/>
                <w:szCs w:val="20"/>
                <w:highlight w:val="none"/>
              </w:rPr>
            </w:pPr>
            <w:r>
              <w:rPr>
                <w:rFonts w:hint="eastAsia" w:ascii="宋体" w:hAnsi="宋体" w:eastAsia="宋体" w:cs="宋体"/>
                <w:b/>
                <w:bCs/>
                <w:color w:val="auto"/>
                <w:sz w:val="24"/>
                <w:szCs w:val="24"/>
                <w:highlight w:val="none"/>
              </w:rPr>
              <w:t>（2）施工部分：</w:t>
            </w:r>
            <w:r>
              <w:rPr>
                <w:rFonts w:hint="eastAsia" w:ascii="宋体" w:hAnsi="宋体" w:eastAsia="宋体" w:cs="宋体"/>
                <w:color w:val="auto"/>
                <w:sz w:val="24"/>
                <w:szCs w:val="24"/>
                <w:highlight w:val="none"/>
              </w:rPr>
              <w:t>设计文件及工程量清单范围内的所有工程及配套工程、设施等的施工</w:t>
            </w:r>
            <w:r>
              <w:rPr>
                <w:rFonts w:hint="eastAsia" w:ascii="宋体" w:hAnsi="宋体" w:eastAsia="宋体" w:cs="宋体"/>
                <w:color w:val="auto"/>
                <w:kern w:val="0"/>
                <w:sz w:val="24"/>
                <w:szCs w:val="24"/>
                <w:highlight w:val="none"/>
                <w:lang w:val="zh-CN" w:eastAsia="zh-CN" w:bidi="ar-SA"/>
              </w:rPr>
              <w:t>（包工、包料、包质量、</w:t>
            </w:r>
            <w:r>
              <w:rPr>
                <w:rFonts w:hint="eastAsia" w:hAnsi="宋体" w:eastAsia="宋体" w:cs="宋体"/>
                <w:color w:val="auto"/>
                <w:kern w:val="0"/>
                <w:sz w:val="24"/>
                <w:szCs w:val="24"/>
                <w:highlight w:val="none"/>
                <w:lang w:val="zh-CN" w:eastAsia="zh-CN" w:bidi="ar-SA"/>
              </w:rPr>
              <w:t>包检测</w:t>
            </w:r>
            <w:r>
              <w:rPr>
                <w:rFonts w:hint="eastAsia" w:hAnsi="宋体" w:cs="宋体"/>
                <w:color w:val="auto"/>
                <w:kern w:val="0"/>
                <w:sz w:val="24"/>
                <w:szCs w:val="24"/>
                <w:highlight w:val="none"/>
                <w:lang w:val="zh-CN" w:eastAsia="zh-CN" w:bidi="ar-SA"/>
              </w:rPr>
              <w:t>、</w:t>
            </w:r>
            <w:r>
              <w:rPr>
                <w:rFonts w:hint="eastAsia" w:ascii="宋体" w:hAnsi="宋体" w:eastAsia="宋体" w:cs="宋体"/>
                <w:color w:val="auto"/>
                <w:kern w:val="0"/>
                <w:sz w:val="24"/>
                <w:szCs w:val="24"/>
                <w:highlight w:val="none"/>
                <w:lang w:val="zh-CN" w:eastAsia="zh-CN" w:bidi="ar-SA"/>
              </w:rPr>
              <w:t>包安全生产、包文明施工、包工期、包承包范围内工程验收通过、包移交、包结算、包资料整理、包施工承包管理和现场整体组织、包专业协调及配合等）、设备购置及安装、竣工图及结算编制</w:t>
            </w:r>
            <w:r>
              <w:rPr>
                <w:rFonts w:hint="eastAsia" w:hAnsi="宋体" w:eastAsia="宋体" w:cs="宋体"/>
                <w:color w:val="auto"/>
                <w:kern w:val="0"/>
                <w:sz w:val="24"/>
                <w:szCs w:val="24"/>
                <w:highlight w:val="none"/>
                <w:lang w:val="zh-CN" w:eastAsia="zh-CN" w:bidi="ar-SA"/>
              </w:rPr>
              <w:t>等</w:t>
            </w:r>
            <w:r>
              <w:rPr>
                <w:rFonts w:hint="eastAsia" w:ascii="宋体" w:hAnsi="宋体" w:eastAsia="宋体" w:cs="宋体"/>
                <w:color w:val="auto"/>
                <w:sz w:val="24"/>
                <w:szCs w:val="24"/>
                <w:highlight w:val="none"/>
              </w:rPr>
              <w:t>。</w:t>
            </w:r>
            <w:bookmarkEnd w:id="5"/>
          </w:p>
        </w:tc>
      </w:tr>
      <w:tr w14:paraId="31679AF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90" w:hRule="atLeast"/>
          <w:jc w:val="center"/>
        </w:trPr>
        <w:tc>
          <w:tcPr>
            <w:tcW w:w="608" w:type="dxa"/>
            <w:tcBorders>
              <w:top w:val="single" w:color="auto" w:sz="4" w:space="0"/>
              <w:left w:val="single" w:color="auto" w:sz="4" w:space="0"/>
              <w:bottom w:val="single" w:color="auto" w:sz="4" w:space="0"/>
              <w:right w:val="single" w:color="auto" w:sz="4" w:space="0"/>
            </w:tcBorders>
            <w:vAlign w:val="center"/>
          </w:tcPr>
          <w:p w14:paraId="0F4B8A31">
            <w:pPr>
              <w:pStyle w:val="8"/>
              <w:keepNext w:val="0"/>
              <w:keepLines w:val="0"/>
              <w:pageBreakBefore w:val="0"/>
              <w:widowControl w:val="0"/>
              <w:numPr>
                <w:ilvl w:val="0"/>
                <w:numId w:val="1"/>
              </w:numPr>
              <w:suppressLineNumbers w:val="0"/>
              <w:kinsoku/>
              <w:wordWrap/>
              <w:overflowPunct/>
              <w:topLinePunct w:val="0"/>
              <w:autoSpaceDE/>
              <w:autoSpaceDN/>
              <w:bidi w:val="0"/>
              <w:adjustRightInd/>
              <w:snapToGrid/>
              <w:spacing w:before="0" w:beforeAutospacing="0" w:after="0" w:afterAutospacing="0" w:line="240" w:lineRule="auto"/>
              <w:ind w:left="425" w:leftChars="0" w:right="0" w:hanging="425" w:firstLineChars="0"/>
              <w:jc w:val="center"/>
              <w:textAlignment w:val="auto"/>
              <w:rPr>
                <w:rFonts w:hint="eastAsia" w:ascii="宋体" w:hAnsi="宋体" w:eastAsia="宋体" w:cs="宋体"/>
                <w:color w:val="auto"/>
                <w:sz w:val="24"/>
                <w:szCs w:val="24"/>
                <w:highlight w:val="none"/>
              </w:rPr>
            </w:pPr>
          </w:p>
        </w:tc>
        <w:tc>
          <w:tcPr>
            <w:tcW w:w="2014" w:type="dxa"/>
            <w:tcBorders>
              <w:top w:val="single" w:color="auto" w:sz="4" w:space="0"/>
              <w:left w:val="single" w:color="auto" w:sz="4" w:space="0"/>
              <w:bottom w:val="single" w:color="auto" w:sz="4" w:space="0"/>
              <w:right w:val="single" w:color="auto" w:sz="4" w:space="0"/>
            </w:tcBorders>
            <w:vAlign w:val="center"/>
          </w:tcPr>
          <w:p w14:paraId="523ECD23">
            <w:pPr>
              <w:pStyle w:val="8"/>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标段划分</w:t>
            </w:r>
          </w:p>
        </w:tc>
        <w:tc>
          <w:tcPr>
            <w:tcW w:w="7473" w:type="dxa"/>
            <w:tcBorders>
              <w:top w:val="single" w:color="auto" w:sz="4" w:space="0"/>
              <w:left w:val="single" w:color="auto" w:sz="4" w:space="0"/>
              <w:bottom w:val="single" w:color="auto" w:sz="4" w:space="0"/>
              <w:right w:val="single" w:color="auto" w:sz="4" w:space="0"/>
            </w:tcBorders>
            <w:vAlign w:val="center"/>
          </w:tcPr>
          <w:p w14:paraId="7A950C69">
            <w:pPr>
              <w:pStyle w:val="8"/>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48" w:rightChars="2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本招标项目不划分标段。</w:t>
            </w:r>
          </w:p>
        </w:tc>
      </w:tr>
      <w:tr w14:paraId="005CCFB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368" w:hRule="atLeast"/>
          <w:jc w:val="center"/>
        </w:trPr>
        <w:tc>
          <w:tcPr>
            <w:tcW w:w="608" w:type="dxa"/>
            <w:tcBorders>
              <w:top w:val="single" w:color="auto" w:sz="4" w:space="0"/>
              <w:left w:val="single" w:color="auto" w:sz="4" w:space="0"/>
              <w:bottom w:val="single" w:color="auto" w:sz="4" w:space="0"/>
              <w:right w:val="single" w:color="auto" w:sz="4" w:space="0"/>
            </w:tcBorders>
            <w:vAlign w:val="center"/>
          </w:tcPr>
          <w:p w14:paraId="0C4AEDFE">
            <w:pPr>
              <w:pStyle w:val="8"/>
              <w:keepNext w:val="0"/>
              <w:keepLines w:val="0"/>
              <w:pageBreakBefore w:val="0"/>
              <w:widowControl w:val="0"/>
              <w:numPr>
                <w:ilvl w:val="0"/>
                <w:numId w:val="1"/>
              </w:numPr>
              <w:suppressLineNumbers w:val="0"/>
              <w:kinsoku/>
              <w:wordWrap/>
              <w:overflowPunct/>
              <w:topLinePunct w:val="0"/>
              <w:autoSpaceDE/>
              <w:autoSpaceDN/>
              <w:bidi w:val="0"/>
              <w:adjustRightInd/>
              <w:snapToGrid/>
              <w:spacing w:before="0" w:beforeAutospacing="0" w:after="0" w:afterAutospacing="0" w:line="240" w:lineRule="auto"/>
              <w:ind w:left="425" w:leftChars="0" w:right="0" w:hanging="425" w:firstLineChars="0"/>
              <w:jc w:val="center"/>
              <w:textAlignment w:val="auto"/>
              <w:rPr>
                <w:rFonts w:hint="eastAsia" w:ascii="宋体" w:hAnsi="宋体" w:eastAsia="宋体" w:cs="宋体"/>
                <w:color w:val="auto"/>
                <w:sz w:val="24"/>
                <w:szCs w:val="24"/>
                <w:highlight w:val="none"/>
              </w:rPr>
            </w:pPr>
          </w:p>
        </w:tc>
        <w:tc>
          <w:tcPr>
            <w:tcW w:w="2014" w:type="dxa"/>
            <w:tcBorders>
              <w:top w:val="single" w:color="auto" w:sz="4" w:space="0"/>
              <w:left w:val="single" w:color="auto" w:sz="4" w:space="0"/>
              <w:bottom w:val="single" w:color="auto" w:sz="4" w:space="0"/>
              <w:right w:val="single" w:color="auto" w:sz="4" w:space="0"/>
            </w:tcBorders>
            <w:vAlign w:val="center"/>
          </w:tcPr>
          <w:p w14:paraId="7328350D">
            <w:pPr>
              <w:pStyle w:val="8"/>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工期</w:t>
            </w:r>
          </w:p>
        </w:tc>
        <w:tc>
          <w:tcPr>
            <w:tcW w:w="7473" w:type="dxa"/>
            <w:tcBorders>
              <w:top w:val="single" w:color="auto" w:sz="4" w:space="0"/>
              <w:left w:val="single" w:color="auto" w:sz="4" w:space="0"/>
              <w:bottom w:val="single" w:color="auto" w:sz="4" w:space="0"/>
              <w:right w:val="single" w:color="auto" w:sz="4" w:space="0"/>
            </w:tcBorders>
            <w:vAlign w:val="center"/>
          </w:tcPr>
          <w:p w14:paraId="0A500801">
            <w:pPr>
              <w:pStyle w:val="8"/>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48" w:rightChars="20"/>
              <w:textAlignment w:val="auto"/>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设计、施工总工期</w:t>
            </w:r>
            <w:r>
              <w:rPr>
                <w:rFonts w:hint="eastAsia" w:hAnsi="宋体" w:eastAsia="宋体" w:cs="宋体"/>
                <w:color w:val="auto"/>
                <w:sz w:val="24"/>
                <w:szCs w:val="24"/>
                <w:highlight w:val="none"/>
                <w:lang w:val="en-US" w:eastAsia="zh-CN"/>
              </w:rPr>
              <w:t>270</w:t>
            </w:r>
            <w:r>
              <w:rPr>
                <w:rFonts w:hint="eastAsia" w:ascii="宋体" w:hAnsi="宋体" w:eastAsia="宋体" w:cs="宋体"/>
                <w:color w:val="auto"/>
                <w:sz w:val="24"/>
                <w:szCs w:val="24"/>
                <w:highlight w:val="none"/>
                <w:lang w:eastAsia="zh-CN"/>
              </w:rPr>
              <w:t>日历天，其中：设计工期为</w:t>
            </w:r>
            <w:r>
              <w:rPr>
                <w:rFonts w:hint="eastAsia" w:hAnsi="宋体" w:eastAsia="宋体" w:cs="宋体"/>
                <w:color w:val="auto"/>
                <w:sz w:val="24"/>
                <w:szCs w:val="24"/>
                <w:highlight w:val="none"/>
                <w:lang w:val="en-US" w:eastAsia="zh-CN"/>
              </w:rPr>
              <w:t>40</w:t>
            </w:r>
            <w:r>
              <w:rPr>
                <w:rFonts w:hint="eastAsia" w:ascii="宋体" w:hAnsi="宋体" w:eastAsia="宋体" w:cs="宋体"/>
                <w:color w:val="auto"/>
                <w:sz w:val="24"/>
                <w:szCs w:val="24"/>
                <w:highlight w:val="none"/>
                <w:lang w:eastAsia="zh-CN"/>
              </w:rPr>
              <w:t>日历天；施工工期为</w:t>
            </w:r>
            <w:r>
              <w:rPr>
                <w:rFonts w:hint="eastAsia" w:hAnsi="宋体" w:eastAsia="宋体" w:cs="宋体"/>
                <w:color w:val="auto"/>
                <w:sz w:val="24"/>
                <w:szCs w:val="24"/>
                <w:highlight w:val="none"/>
                <w:lang w:val="en-US" w:eastAsia="zh-CN"/>
              </w:rPr>
              <w:t>230</w:t>
            </w:r>
            <w:r>
              <w:rPr>
                <w:rFonts w:hint="eastAsia" w:hAnsi="宋体" w:eastAsia="宋体" w:cs="宋体"/>
                <w:color w:val="auto"/>
                <w:sz w:val="24"/>
                <w:szCs w:val="24"/>
                <w:highlight w:val="none"/>
                <w:lang w:eastAsia="zh-CN"/>
              </w:rPr>
              <w:t>日历天</w:t>
            </w:r>
            <w:r>
              <w:rPr>
                <w:rFonts w:hint="eastAsia" w:ascii="宋体" w:hAnsi="宋体" w:eastAsia="宋体" w:cs="宋体"/>
                <w:color w:val="auto"/>
                <w:sz w:val="24"/>
                <w:szCs w:val="24"/>
                <w:highlight w:val="none"/>
                <w:lang w:eastAsia="zh-CN"/>
              </w:rPr>
              <w:t>。中标人必须在所要求的工期内完成全部招标工程。</w:t>
            </w:r>
          </w:p>
        </w:tc>
      </w:tr>
      <w:tr w14:paraId="69825AA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90" w:hRule="atLeast"/>
          <w:jc w:val="center"/>
        </w:trPr>
        <w:tc>
          <w:tcPr>
            <w:tcW w:w="608" w:type="dxa"/>
            <w:tcBorders>
              <w:top w:val="single" w:color="auto" w:sz="4" w:space="0"/>
              <w:left w:val="single" w:color="auto" w:sz="4" w:space="0"/>
              <w:bottom w:val="single" w:color="auto" w:sz="4" w:space="0"/>
              <w:right w:val="single" w:color="auto" w:sz="4" w:space="0"/>
            </w:tcBorders>
            <w:vAlign w:val="center"/>
          </w:tcPr>
          <w:p w14:paraId="74919857">
            <w:pPr>
              <w:pStyle w:val="8"/>
              <w:keepNext w:val="0"/>
              <w:keepLines w:val="0"/>
              <w:pageBreakBefore w:val="0"/>
              <w:widowControl w:val="0"/>
              <w:numPr>
                <w:ilvl w:val="0"/>
                <w:numId w:val="1"/>
              </w:numPr>
              <w:suppressLineNumbers w:val="0"/>
              <w:kinsoku/>
              <w:wordWrap/>
              <w:overflowPunct/>
              <w:topLinePunct w:val="0"/>
              <w:autoSpaceDE/>
              <w:autoSpaceDN/>
              <w:bidi w:val="0"/>
              <w:adjustRightInd/>
              <w:snapToGrid/>
              <w:spacing w:before="0" w:beforeAutospacing="0" w:after="0" w:afterAutospacing="0" w:line="240" w:lineRule="auto"/>
              <w:ind w:left="425" w:leftChars="0" w:right="0" w:hanging="425" w:firstLineChars="0"/>
              <w:jc w:val="center"/>
              <w:textAlignment w:val="auto"/>
              <w:rPr>
                <w:rFonts w:hint="eastAsia" w:ascii="宋体" w:hAnsi="宋体" w:eastAsia="宋体" w:cs="宋体"/>
                <w:color w:val="auto"/>
                <w:sz w:val="24"/>
                <w:szCs w:val="24"/>
                <w:highlight w:val="none"/>
              </w:rPr>
            </w:pPr>
          </w:p>
        </w:tc>
        <w:tc>
          <w:tcPr>
            <w:tcW w:w="2014" w:type="dxa"/>
            <w:tcBorders>
              <w:top w:val="single" w:color="auto" w:sz="4" w:space="0"/>
              <w:left w:val="single" w:color="auto" w:sz="4" w:space="0"/>
              <w:bottom w:val="single" w:color="auto" w:sz="4" w:space="0"/>
              <w:right w:val="single" w:color="auto" w:sz="4" w:space="0"/>
            </w:tcBorders>
            <w:vAlign w:val="center"/>
          </w:tcPr>
          <w:p w14:paraId="33EEEEE7">
            <w:pPr>
              <w:pStyle w:val="8"/>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质量标准</w:t>
            </w:r>
          </w:p>
        </w:tc>
        <w:tc>
          <w:tcPr>
            <w:tcW w:w="7473" w:type="dxa"/>
            <w:tcBorders>
              <w:top w:val="single" w:color="auto" w:sz="4" w:space="0"/>
              <w:left w:val="single" w:color="auto" w:sz="4" w:space="0"/>
              <w:bottom w:val="single" w:color="auto" w:sz="4" w:space="0"/>
              <w:right w:val="single" w:color="auto" w:sz="4" w:space="0"/>
            </w:tcBorders>
            <w:vAlign w:val="center"/>
          </w:tcPr>
          <w:p w14:paraId="06D943DA">
            <w:pPr>
              <w:pStyle w:val="8"/>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48" w:rightChars="20"/>
              <w:textAlignment w:val="auto"/>
              <w:rPr>
                <w:rFonts w:hint="eastAsia" w:ascii="宋体" w:hAnsi="宋体" w:eastAsia="宋体" w:cs="宋体"/>
                <w:color w:val="auto"/>
                <w:sz w:val="24"/>
                <w:szCs w:val="24"/>
                <w:highlight w:val="none"/>
              </w:rPr>
            </w:pPr>
            <w:bookmarkStart w:id="6" w:name="OLE_LINK2"/>
            <w:r>
              <w:rPr>
                <w:rFonts w:hint="eastAsia" w:ascii="宋体" w:hAnsi="宋体" w:eastAsia="宋体" w:cs="宋体"/>
                <w:color w:val="auto"/>
                <w:sz w:val="24"/>
                <w:szCs w:val="24"/>
                <w:highlight w:val="none"/>
              </w:rPr>
              <w:t>设计要求：符合国家或行业颁布的现行有效的有关设计的规范要求，符合设计任务书的相关要求，且必须通过有关部门的审查及经有资质的审图机构审查合格。</w:t>
            </w:r>
          </w:p>
          <w:p w14:paraId="6C968032">
            <w:pPr>
              <w:pStyle w:val="8"/>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48" w:rightChars="2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施工要求：施工质量必须</w:t>
            </w:r>
            <w:bookmarkEnd w:id="6"/>
            <w:r>
              <w:rPr>
                <w:rFonts w:hint="eastAsia" w:ascii="宋体" w:hAnsi="宋体" w:eastAsia="宋体" w:cs="宋体"/>
                <w:color w:val="auto"/>
                <w:sz w:val="24"/>
                <w:szCs w:val="24"/>
                <w:highlight w:val="none"/>
              </w:rPr>
              <w:t>达到《建筑工程施工质量验收统一标准》（GB50300-2013）、《建筑与市政工程施工质量控制通用规范》（GB55032-2022）</w:t>
            </w:r>
            <w:r>
              <w:rPr>
                <w:rFonts w:hint="eastAsia" w:hAnsi="宋体" w:eastAsia="宋体" w:cs="宋体"/>
                <w:color w:val="auto"/>
                <w:sz w:val="24"/>
                <w:szCs w:val="24"/>
                <w:highlight w:val="none"/>
                <w:lang w:eastAsia="zh-CN"/>
              </w:rPr>
              <w:t>等</w:t>
            </w:r>
            <w:r>
              <w:rPr>
                <w:rFonts w:hint="eastAsia" w:ascii="宋体" w:hAnsi="宋体" w:eastAsia="宋体" w:cs="宋体"/>
                <w:color w:val="auto"/>
                <w:sz w:val="24"/>
                <w:szCs w:val="24"/>
                <w:highlight w:val="none"/>
              </w:rPr>
              <w:t>合格标准。</w:t>
            </w:r>
          </w:p>
        </w:tc>
      </w:tr>
      <w:tr w14:paraId="7323D02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23" w:hRule="atLeast"/>
          <w:jc w:val="center"/>
        </w:trPr>
        <w:tc>
          <w:tcPr>
            <w:tcW w:w="608" w:type="dxa"/>
            <w:tcBorders>
              <w:top w:val="single" w:color="auto" w:sz="4" w:space="0"/>
              <w:left w:val="single" w:color="auto" w:sz="4" w:space="0"/>
              <w:bottom w:val="single" w:color="auto" w:sz="4" w:space="0"/>
              <w:right w:val="single" w:color="auto" w:sz="4" w:space="0"/>
            </w:tcBorders>
            <w:vAlign w:val="center"/>
          </w:tcPr>
          <w:p w14:paraId="6DEEFC43">
            <w:pPr>
              <w:pStyle w:val="8"/>
              <w:keepNext w:val="0"/>
              <w:keepLines w:val="0"/>
              <w:pageBreakBefore w:val="0"/>
              <w:widowControl w:val="0"/>
              <w:numPr>
                <w:ilvl w:val="0"/>
                <w:numId w:val="1"/>
              </w:numPr>
              <w:suppressLineNumbers w:val="0"/>
              <w:kinsoku/>
              <w:wordWrap/>
              <w:overflowPunct/>
              <w:topLinePunct w:val="0"/>
              <w:autoSpaceDE/>
              <w:autoSpaceDN/>
              <w:bidi w:val="0"/>
              <w:adjustRightInd/>
              <w:snapToGrid/>
              <w:spacing w:before="0" w:beforeAutospacing="0" w:after="0" w:afterAutospacing="0" w:line="240" w:lineRule="auto"/>
              <w:ind w:left="425" w:leftChars="0" w:right="0" w:hanging="425" w:firstLineChars="0"/>
              <w:jc w:val="center"/>
              <w:textAlignment w:val="auto"/>
              <w:rPr>
                <w:rFonts w:hint="eastAsia" w:ascii="宋体" w:hAnsi="宋体" w:eastAsia="宋体" w:cs="宋体"/>
                <w:color w:val="auto"/>
                <w:sz w:val="24"/>
                <w:szCs w:val="24"/>
                <w:highlight w:val="none"/>
              </w:rPr>
            </w:pPr>
          </w:p>
        </w:tc>
        <w:tc>
          <w:tcPr>
            <w:tcW w:w="2014" w:type="dxa"/>
            <w:tcBorders>
              <w:top w:val="single" w:color="auto" w:sz="4" w:space="0"/>
              <w:left w:val="single" w:color="auto" w:sz="4" w:space="0"/>
              <w:bottom w:val="single" w:color="auto" w:sz="4" w:space="0"/>
              <w:right w:val="single" w:color="auto" w:sz="4" w:space="0"/>
            </w:tcBorders>
            <w:vAlign w:val="center"/>
          </w:tcPr>
          <w:p w14:paraId="20B67FE3">
            <w:pPr>
              <w:pStyle w:val="8"/>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工程最高投标限价</w:t>
            </w:r>
          </w:p>
        </w:tc>
        <w:tc>
          <w:tcPr>
            <w:tcW w:w="7473" w:type="dxa"/>
            <w:tcBorders>
              <w:top w:val="single" w:color="auto" w:sz="4" w:space="0"/>
              <w:left w:val="single" w:color="auto" w:sz="4" w:space="0"/>
              <w:bottom w:val="single" w:color="auto" w:sz="4" w:space="0"/>
              <w:right w:val="single" w:color="auto" w:sz="4" w:space="0"/>
            </w:tcBorders>
            <w:vAlign w:val="center"/>
          </w:tcPr>
          <w:p w14:paraId="3D3F6C77">
            <w:pPr>
              <w:pStyle w:val="8"/>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240" w:lineRule="auto"/>
              <w:ind w:left="0" w:right="48" w:rightChars="20"/>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本项目最高投标限价在投标截止时间15天前以补充公告的形式在广东省招标投标监管网http://zbtb.gd.gov.cn、全国公共资源交易平台(广东省·韶关市)https://ygp.gdzwfw.gov.cn/ggzy-portal/#/440200/index公布，各投标人应自行下载。</w:t>
            </w:r>
          </w:p>
        </w:tc>
      </w:tr>
      <w:tr w14:paraId="5F9CA7F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90" w:hRule="atLeast"/>
          <w:jc w:val="center"/>
        </w:trPr>
        <w:tc>
          <w:tcPr>
            <w:tcW w:w="608" w:type="dxa"/>
            <w:tcBorders>
              <w:top w:val="single" w:color="auto" w:sz="4" w:space="0"/>
              <w:left w:val="single" w:color="auto" w:sz="4" w:space="0"/>
              <w:bottom w:val="single" w:color="auto" w:sz="4" w:space="0"/>
              <w:right w:val="single" w:color="auto" w:sz="4" w:space="0"/>
            </w:tcBorders>
            <w:vAlign w:val="center"/>
          </w:tcPr>
          <w:p w14:paraId="79F4A256">
            <w:pPr>
              <w:pStyle w:val="8"/>
              <w:keepNext w:val="0"/>
              <w:keepLines w:val="0"/>
              <w:pageBreakBefore w:val="0"/>
              <w:widowControl w:val="0"/>
              <w:numPr>
                <w:ilvl w:val="0"/>
                <w:numId w:val="1"/>
              </w:numPr>
              <w:suppressLineNumbers w:val="0"/>
              <w:kinsoku/>
              <w:wordWrap/>
              <w:overflowPunct/>
              <w:topLinePunct w:val="0"/>
              <w:autoSpaceDE/>
              <w:autoSpaceDN/>
              <w:bidi w:val="0"/>
              <w:adjustRightInd/>
              <w:snapToGrid/>
              <w:spacing w:before="0" w:beforeAutospacing="0" w:after="0" w:afterAutospacing="0" w:line="240" w:lineRule="auto"/>
              <w:ind w:left="425" w:leftChars="0" w:right="0" w:hanging="425" w:firstLineChars="0"/>
              <w:jc w:val="center"/>
              <w:textAlignment w:val="auto"/>
              <w:rPr>
                <w:rFonts w:hint="eastAsia" w:ascii="宋体" w:hAnsi="宋体" w:eastAsia="宋体" w:cs="宋体"/>
                <w:color w:val="auto"/>
                <w:sz w:val="24"/>
                <w:szCs w:val="24"/>
                <w:highlight w:val="none"/>
              </w:rPr>
            </w:pPr>
          </w:p>
        </w:tc>
        <w:tc>
          <w:tcPr>
            <w:tcW w:w="2014" w:type="dxa"/>
            <w:tcBorders>
              <w:top w:val="single" w:color="auto" w:sz="4" w:space="0"/>
              <w:left w:val="single" w:color="auto" w:sz="4" w:space="0"/>
              <w:bottom w:val="single" w:color="auto" w:sz="4" w:space="0"/>
              <w:right w:val="single" w:color="auto" w:sz="4" w:space="0"/>
            </w:tcBorders>
            <w:vAlign w:val="center"/>
          </w:tcPr>
          <w:p w14:paraId="4C1AA629">
            <w:pPr>
              <w:pStyle w:val="8"/>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投标人资格要求</w:t>
            </w:r>
          </w:p>
        </w:tc>
        <w:tc>
          <w:tcPr>
            <w:tcW w:w="7473" w:type="dxa"/>
            <w:tcBorders>
              <w:top w:val="single" w:color="auto" w:sz="4" w:space="0"/>
              <w:left w:val="single" w:color="auto" w:sz="4" w:space="0"/>
              <w:bottom w:val="single" w:color="auto" w:sz="4" w:space="0"/>
              <w:right w:val="single" w:color="auto" w:sz="4" w:space="0"/>
            </w:tcBorders>
            <w:vAlign w:val="center"/>
          </w:tcPr>
          <w:p w14:paraId="3FF35D5F">
            <w:pPr>
              <w:pStyle w:val="8"/>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48" w:leftChars="20" w:right="48" w:rightChars="20" w:firstLine="192" w:firstLineChars="80"/>
              <w:textAlignment w:val="auto"/>
              <w:rPr>
                <w:rFonts w:hint="eastAsia" w:ascii="宋体" w:hAnsi="宋体" w:eastAsia="宋体" w:cs="宋体"/>
                <w:color w:val="auto"/>
                <w:sz w:val="24"/>
                <w:szCs w:val="24"/>
                <w:highlight w:val="none"/>
              </w:rPr>
            </w:pPr>
            <w:r>
              <w:rPr>
                <w:rFonts w:hint="eastAsia" w:hAnsi="宋体" w:eastAsia="宋体" w:cs="宋体"/>
                <w:color w:val="auto"/>
                <w:sz w:val="24"/>
                <w:szCs w:val="24"/>
                <w:highlight w:val="none"/>
                <w:lang w:eastAsia="zh-CN"/>
              </w:rPr>
              <w:t>1.</w:t>
            </w:r>
            <w:r>
              <w:rPr>
                <w:rFonts w:hint="eastAsia" w:ascii="宋体" w:hAnsi="宋体" w:eastAsia="宋体" w:cs="宋体"/>
                <w:color w:val="auto"/>
                <w:sz w:val="24"/>
                <w:szCs w:val="24"/>
                <w:highlight w:val="none"/>
              </w:rPr>
              <w:t>本次招标接受联合体投标，联合体以一个投标人的身份共同投标。</w:t>
            </w:r>
          </w:p>
          <w:p w14:paraId="56AE42D4">
            <w:pPr>
              <w:pStyle w:val="8"/>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48" w:leftChars="20" w:right="48" w:rightChars="20"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1.1联合体成员数量不超过</w:t>
            </w:r>
            <w:r>
              <w:rPr>
                <w:rFonts w:hint="eastAsia" w:hAnsi="宋体" w:eastAsia="宋体" w:cs="宋体"/>
                <w:color w:val="auto"/>
                <w:sz w:val="24"/>
                <w:szCs w:val="24"/>
                <w:highlight w:val="none"/>
                <w:lang w:val="en-US" w:eastAsia="zh-CN"/>
              </w:rPr>
              <w:t>3</w:t>
            </w:r>
            <w:r>
              <w:rPr>
                <w:rFonts w:hint="eastAsia" w:ascii="宋体" w:hAnsi="宋体" w:eastAsia="宋体" w:cs="宋体"/>
                <w:color w:val="auto"/>
                <w:sz w:val="24"/>
                <w:szCs w:val="24"/>
                <w:highlight w:val="none"/>
              </w:rPr>
              <w:t>个。</w:t>
            </w:r>
          </w:p>
          <w:p w14:paraId="247D4D0C">
            <w:pPr>
              <w:pStyle w:val="8"/>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48" w:leftChars="20" w:right="48" w:rightChars="20"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1.2联合体各方应按招标文件提供的格式签订联合体协议书，明确联合体牵头人和各方权利义务，并承诺就中标项目向招标人承担连带责任。《联合体协议书》作为投标文件的组成部分向招标人提交。</w:t>
            </w:r>
          </w:p>
          <w:p w14:paraId="2162A41A">
            <w:pPr>
              <w:pStyle w:val="8"/>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48" w:leftChars="20" w:right="48" w:rightChars="20"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1.3联合体成员单位均应具备拟承担的工作内容（以《联合体协议书》的约定为准）所规定的资格条件。若同一工作内容由两个或两个以上单位共同承担，该项工作内容按照资质等级较低的单位确定联合体资质等级。</w:t>
            </w:r>
          </w:p>
          <w:p w14:paraId="1E7D86BF">
            <w:pPr>
              <w:pStyle w:val="8"/>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48" w:leftChars="20" w:right="48" w:rightChars="20"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1.4联合体各方不得再以自己名义单独或参加其他联合体在本招标项目中投标，否则各相关投标均无效。</w:t>
            </w:r>
          </w:p>
          <w:p w14:paraId="7A13492B">
            <w:pPr>
              <w:pStyle w:val="8"/>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48" w:leftChars="20" w:right="48" w:rightChars="20" w:firstLine="193" w:firstLineChars="80"/>
              <w:textAlignment w:val="auto"/>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2.资质要求</w:t>
            </w:r>
          </w:p>
          <w:p w14:paraId="33D1704D">
            <w:pPr>
              <w:pStyle w:val="8"/>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48" w:leftChars="20" w:right="48" w:rightChars="20"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2.1投标人须具备独立法人资格，按国家法律经营。</w:t>
            </w:r>
          </w:p>
          <w:p w14:paraId="01430BEC">
            <w:pPr>
              <w:pStyle w:val="8"/>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48" w:leftChars="20" w:right="48" w:rightChars="20"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2.2投标人须持有行政主管部门颁发的企业资质证书。</w:t>
            </w:r>
          </w:p>
          <w:p w14:paraId="66D8D499">
            <w:pPr>
              <w:pStyle w:val="8"/>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48" w:leftChars="20" w:right="48" w:rightChars="20"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2.3参加投标的投标人可以是单一独立法人或由不超过</w:t>
            </w:r>
            <w:r>
              <w:rPr>
                <w:rFonts w:hint="eastAsia" w:hAnsi="宋体" w:eastAsia="宋体" w:cs="宋体"/>
                <w:color w:val="auto"/>
                <w:sz w:val="24"/>
                <w:szCs w:val="24"/>
                <w:highlight w:val="none"/>
                <w:lang w:val="en-US" w:eastAsia="zh-CN"/>
              </w:rPr>
              <w:t>3</w:t>
            </w:r>
            <w:r>
              <w:rPr>
                <w:rFonts w:hint="eastAsia" w:ascii="宋体" w:hAnsi="宋体" w:eastAsia="宋体" w:cs="宋体"/>
                <w:color w:val="auto"/>
                <w:sz w:val="24"/>
                <w:szCs w:val="24"/>
                <w:highlight w:val="none"/>
              </w:rPr>
              <w:t>家独立法人组成的联合体</w:t>
            </w:r>
            <w:r>
              <w:rPr>
                <w:rFonts w:hint="eastAsia" w:ascii="宋体" w:hAnsi="宋体" w:eastAsia="宋体" w:cs="宋体"/>
                <w:b/>
                <w:bCs/>
                <w:color w:val="auto"/>
                <w:sz w:val="24"/>
                <w:szCs w:val="24"/>
                <w:highlight w:val="none"/>
                <w:lang w:eastAsia="zh-CN"/>
              </w:rPr>
              <w:t>（</w:t>
            </w:r>
            <w:r>
              <w:rPr>
                <w:rFonts w:hint="eastAsia" w:ascii="宋体" w:hAnsi="宋体" w:eastAsia="宋体" w:cs="宋体"/>
                <w:b/>
                <w:bCs/>
                <w:color w:val="auto"/>
                <w:sz w:val="24"/>
                <w:szCs w:val="24"/>
                <w:highlight w:val="none"/>
              </w:rPr>
              <w:t>必须注明其中一家为牵头人</w:t>
            </w:r>
            <w:r>
              <w:rPr>
                <w:rFonts w:hint="eastAsia" w:ascii="宋体" w:hAnsi="宋体" w:eastAsia="宋体" w:cs="宋体"/>
                <w:b/>
                <w:bCs/>
                <w:color w:val="auto"/>
                <w:sz w:val="24"/>
                <w:szCs w:val="24"/>
                <w:highlight w:val="none"/>
                <w:lang w:eastAsia="zh-CN"/>
              </w:rPr>
              <w:t>，</w:t>
            </w:r>
            <w:r>
              <w:rPr>
                <w:rFonts w:hint="eastAsia" w:ascii="宋体" w:hAnsi="宋体" w:eastAsia="宋体" w:cs="宋体"/>
                <w:b/>
                <w:bCs/>
                <w:color w:val="auto"/>
                <w:sz w:val="24"/>
                <w:szCs w:val="24"/>
                <w:highlight w:val="none"/>
              </w:rPr>
              <w:t>牵头人必须为施工单位</w:t>
            </w:r>
            <w:r>
              <w:rPr>
                <w:rFonts w:hint="eastAsia" w:ascii="宋体" w:hAnsi="宋体" w:eastAsia="宋体" w:cs="宋体"/>
                <w:b/>
                <w:bCs/>
                <w:color w:val="auto"/>
                <w:sz w:val="24"/>
                <w:szCs w:val="24"/>
                <w:highlight w:val="none"/>
                <w:lang w:val="en-US" w:eastAsia="zh-CN"/>
              </w:rPr>
              <w:t>）</w:t>
            </w:r>
            <w:r>
              <w:rPr>
                <w:rFonts w:hint="eastAsia" w:ascii="宋体" w:hAnsi="宋体" w:eastAsia="宋体" w:cs="宋体"/>
                <w:color w:val="auto"/>
                <w:sz w:val="24"/>
                <w:szCs w:val="24"/>
                <w:highlight w:val="none"/>
              </w:rPr>
              <w:t>，联合体各方不得再以自己的名义单独申请，也不得同时参加两个或两个以上的联合体进行本项目的投标。单一独立法人必须至少同时具备以下</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lang w:val="en-US" w:eastAsia="zh-CN"/>
              </w:rPr>
              <w:t>1）</w:t>
            </w:r>
            <w:r>
              <w:rPr>
                <w:rFonts w:hint="eastAsia" w:ascii="宋体" w:hAnsi="宋体" w:eastAsia="宋体" w:cs="宋体"/>
                <w:color w:val="auto"/>
                <w:sz w:val="24"/>
                <w:szCs w:val="24"/>
                <w:highlight w:val="none"/>
              </w:rPr>
              <w:t>～</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lang w:val="en-US" w:eastAsia="zh-CN"/>
              </w:rPr>
              <w:t>2）</w:t>
            </w:r>
            <w:r>
              <w:rPr>
                <w:rFonts w:hint="eastAsia" w:ascii="宋体" w:hAnsi="宋体" w:eastAsia="宋体" w:cs="宋体"/>
                <w:color w:val="auto"/>
                <w:sz w:val="24"/>
                <w:szCs w:val="24"/>
                <w:highlight w:val="none"/>
              </w:rPr>
              <w:t>资质，组成联合体投标的，联合后必须至少具备以下</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lang w:val="en-US" w:eastAsia="zh-CN"/>
              </w:rPr>
              <w:t>1）</w:t>
            </w:r>
            <w:r>
              <w:rPr>
                <w:rFonts w:hint="eastAsia" w:ascii="宋体" w:hAnsi="宋体" w:eastAsia="宋体" w:cs="宋体"/>
                <w:color w:val="auto"/>
                <w:sz w:val="24"/>
                <w:szCs w:val="24"/>
                <w:highlight w:val="none"/>
              </w:rPr>
              <w:t>～</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lang w:val="en-US" w:eastAsia="zh-CN"/>
              </w:rPr>
              <w:t>2）</w:t>
            </w:r>
            <w:r>
              <w:rPr>
                <w:rFonts w:hint="eastAsia" w:ascii="宋体" w:hAnsi="宋体" w:eastAsia="宋体" w:cs="宋体"/>
                <w:color w:val="auto"/>
                <w:sz w:val="24"/>
                <w:szCs w:val="24"/>
                <w:highlight w:val="none"/>
              </w:rPr>
              <w:t>资质，由同一专业的单位组成的联合体，按照资质等级较低的单位确定资质等级：</w:t>
            </w:r>
          </w:p>
          <w:p w14:paraId="7DDA97CA">
            <w:pPr>
              <w:pStyle w:val="8"/>
              <w:keepNext w:val="0"/>
              <w:keepLines w:val="0"/>
              <w:pageBreakBefore w:val="0"/>
              <w:widowControl w:val="0"/>
              <w:numPr>
                <w:ilvl w:val="-1"/>
                <w:numId w:val="0"/>
              </w:numPr>
              <w:suppressLineNumbers w:val="0"/>
              <w:kinsoku/>
              <w:wordWrap/>
              <w:overflowPunct/>
              <w:topLinePunct w:val="0"/>
              <w:autoSpaceDE/>
              <w:autoSpaceDN/>
              <w:bidi w:val="0"/>
              <w:adjustRightInd/>
              <w:snapToGrid/>
              <w:spacing w:before="0" w:beforeAutospacing="0" w:after="0" w:afterAutospacing="0" w:line="240" w:lineRule="auto"/>
              <w:ind w:left="48" w:leftChars="20" w:right="48" w:rightChars="20" w:firstLine="480" w:firstLineChars="200"/>
              <w:textAlignment w:val="auto"/>
              <w:rPr>
                <w:rFonts w:hint="eastAsia" w:ascii="宋体" w:hAnsi="宋体" w:eastAsia="宋体" w:cs="宋体"/>
                <w:color w:val="auto"/>
                <w:sz w:val="24"/>
                <w:szCs w:val="24"/>
                <w:highlight w:val="none"/>
                <w:lang w:val="zh-CN" w:eastAsia="zh-CN"/>
              </w:rPr>
            </w:pP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lang w:val="en-US" w:eastAsia="zh-CN"/>
              </w:rPr>
              <w:t>1）</w:t>
            </w:r>
            <w:r>
              <w:rPr>
                <w:rFonts w:hint="eastAsia" w:ascii="宋体" w:hAnsi="宋体" w:eastAsia="宋体" w:cs="宋体"/>
                <w:color w:val="auto"/>
                <w:sz w:val="24"/>
                <w:szCs w:val="24"/>
                <w:highlight w:val="none"/>
                <w:lang w:val="zh-CN"/>
              </w:rPr>
              <w:t>施工资质：</w:t>
            </w:r>
            <w:r>
              <w:rPr>
                <w:rFonts w:hint="eastAsia" w:ascii="宋体" w:hAnsi="宋体" w:eastAsia="宋体" w:cs="宋体"/>
                <w:color w:val="auto"/>
                <w:sz w:val="24"/>
                <w:szCs w:val="24"/>
                <w:highlight w:val="none"/>
                <w:lang w:val="en-US" w:eastAsia="zh-CN"/>
              </w:rPr>
              <w:t>必须具备建设行政主管部门颁发的建筑工程施工总承包</w:t>
            </w:r>
            <w:r>
              <w:rPr>
                <w:rFonts w:hint="eastAsia" w:hAnsi="宋体" w:eastAsia="宋体" w:cs="宋体"/>
                <w:color w:val="auto"/>
                <w:sz w:val="24"/>
                <w:szCs w:val="24"/>
                <w:highlight w:val="none"/>
                <w:lang w:val="en-US" w:eastAsia="zh-CN"/>
              </w:rPr>
              <w:t>二</w:t>
            </w:r>
            <w:r>
              <w:rPr>
                <w:rFonts w:hint="eastAsia" w:ascii="宋体" w:hAnsi="宋体" w:eastAsia="宋体" w:cs="宋体"/>
                <w:color w:val="auto"/>
                <w:sz w:val="24"/>
                <w:szCs w:val="24"/>
                <w:highlight w:val="none"/>
                <w:lang w:val="en-US" w:eastAsia="zh-CN"/>
              </w:rPr>
              <w:t>级以上（含</w:t>
            </w:r>
            <w:r>
              <w:rPr>
                <w:rFonts w:hint="eastAsia" w:hAnsi="宋体" w:eastAsia="宋体" w:cs="宋体"/>
                <w:color w:val="auto"/>
                <w:sz w:val="24"/>
                <w:szCs w:val="24"/>
                <w:highlight w:val="none"/>
                <w:lang w:val="en-US" w:eastAsia="zh-CN"/>
              </w:rPr>
              <w:t>二</w:t>
            </w:r>
            <w:r>
              <w:rPr>
                <w:rFonts w:hint="eastAsia" w:ascii="宋体" w:hAnsi="宋体" w:eastAsia="宋体" w:cs="宋体"/>
                <w:color w:val="auto"/>
                <w:sz w:val="24"/>
                <w:szCs w:val="24"/>
                <w:highlight w:val="none"/>
                <w:lang w:val="en-US" w:eastAsia="zh-CN"/>
              </w:rPr>
              <w:t>级）资质，并持有有效期内安全生产许可证</w:t>
            </w:r>
            <w:r>
              <w:rPr>
                <w:rFonts w:hint="eastAsia" w:ascii="宋体" w:hAnsi="宋体" w:eastAsia="宋体" w:cs="宋体"/>
                <w:color w:val="auto"/>
                <w:sz w:val="24"/>
                <w:szCs w:val="24"/>
                <w:highlight w:val="none"/>
                <w:lang w:val="zh-CN" w:eastAsia="zh-CN"/>
              </w:rPr>
              <w:t>。</w:t>
            </w:r>
          </w:p>
          <w:p w14:paraId="109BD3E1">
            <w:pPr>
              <w:pStyle w:val="8"/>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48" w:leftChars="20" w:right="48" w:rightChars="20" w:firstLine="480" w:firstLineChars="200"/>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zh-CN"/>
              </w:rPr>
              <w:t>（</w:t>
            </w:r>
            <w:r>
              <w:rPr>
                <w:rFonts w:hint="eastAsia" w:ascii="宋体" w:hAnsi="宋体" w:eastAsia="宋体" w:cs="宋体"/>
                <w:color w:val="auto"/>
                <w:sz w:val="24"/>
                <w:szCs w:val="24"/>
                <w:highlight w:val="none"/>
                <w:lang w:val="en-US" w:eastAsia="zh-CN"/>
              </w:rPr>
              <w:t>2）</w:t>
            </w:r>
            <w:r>
              <w:rPr>
                <w:rFonts w:hint="eastAsia" w:ascii="宋体" w:hAnsi="宋体" w:eastAsia="宋体" w:cs="宋体"/>
                <w:color w:val="auto"/>
                <w:sz w:val="24"/>
                <w:szCs w:val="24"/>
                <w:highlight w:val="none"/>
              </w:rPr>
              <w:t>设计资质</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lang w:val="en-US" w:eastAsia="zh-CN"/>
              </w:rPr>
              <w:t>必须具备建设行政主管部门颁发的以下资质</w:t>
            </w:r>
            <w:r>
              <w:rPr>
                <w:rFonts w:hint="eastAsia" w:hAnsi="宋体" w:eastAsia="宋体" w:cs="宋体"/>
                <w:color w:val="auto"/>
                <w:sz w:val="24"/>
                <w:szCs w:val="24"/>
                <w:highlight w:val="none"/>
                <w:lang w:val="en-US" w:eastAsia="zh-CN"/>
              </w:rPr>
              <w:t>之一</w:t>
            </w:r>
            <w:r>
              <w:rPr>
                <w:rFonts w:hint="eastAsia" w:ascii="宋体" w:hAnsi="宋体" w:eastAsia="宋体" w:cs="宋体"/>
                <w:color w:val="auto"/>
                <w:sz w:val="24"/>
                <w:szCs w:val="24"/>
                <w:highlight w:val="none"/>
                <w:lang w:val="en-US" w:eastAsia="zh-CN"/>
              </w:rPr>
              <w:t>：</w:t>
            </w:r>
          </w:p>
          <w:p w14:paraId="7C822AA9">
            <w:pPr>
              <w:pStyle w:val="8"/>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48" w:leftChars="20" w:right="48" w:rightChars="20" w:firstLine="480" w:firstLineChars="200"/>
              <w:textAlignment w:val="auto"/>
              <w:rPr>
                <w:rFonts w:hint="eastAsia" w:ascii="宋体" w:hAnsi="宋体" w:eastAsia="宋体" w:cs="宋体"/>
                <w:color w:val="auto"/>
                <w:sz w:val="24"/>
                <w:szCs w:val="20"/>
                <w:highlight w:val="none"/>
              </w:rPr>
            </w:pPr>
            <w:r>
              <w:rPr>
                <w:rFonts w:hint="eastAsia" w:ascii="宋体" w:hAnsi="宋体" w:eastAsia="宋体" w:cs="宋体"/>
                <w:color w:val="auto"/>
                <w:sz w:val="24"/>
                <w:szCs w:val="24"/>
                <w:highlight w:val="none"/>
              </w:rPr>
              <w:t>a</w:t>
            </w:r>
            <w:r>
              <w:rPr>
                <w:rFonts w:hint="eastAsia" w:hAnsi="宋体" w:eastAsia="宋体" w:cs="宋体"/>
                <w:color w:val="auto"/>
                <w:sz w:val="24"/>
                <w:szCs w:val="24"/>
                <w:highlight w:val="none"/>
                <w:lang w:val="en-US" w:eastAsia="zh-CN"/>
              </w:rPr>
              <w:t>.</w:t>
            </w:r>
            <w:r>
              <w:rPr>
                <w:rFonts w:hint="eastAsia" w:ascii="宋体" w:hAnsi="宋体" w:eastAsia="宋体" w:cs="宋体"/>
                <w:color w:val="auto"/>
                <w:sz w:val="24"/>
                <w:szCs w:val="24"/>
                <w:highlight w:val="none"/>
              </w:rPr>
              <w:t>工程设计建筑行业甲级资质；</w:t>
            </w:r>
          </w:p>
          <w:p w14:paraId="3356FE28">
            <w:pPr>
              <w:pStyle w:val="8"/>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48" w:leftChars="20" w:right="48" w:rightChars="20" w:firstLine="480" w:firstLineChars="200"/>
              <w:textAlignment w:val="auto"/>
              <w:rPr>
                <w:rFonts w:hint="eastAsia" w:ascii="宋体" w:hAnsi="宋体" w:eastAsia="宋体" w:cs="宋体"/>
                <w:color w:val="auto"/>
                <w:sz w:val="24"/>
                <w:szCs w:val="20"/>
                <w:highlight w:val="none"/>
              </w:rPr>
            </w:pPr>
            <w:r>
              <w:rPr>
                <w:rFonts w:hint="eastAsia" w:hAnsi="宋体" w:eastAsia="宋体" w:cs="宋体"/>
                <w:color w:val="auto"/>
                <w:sz w:val="24"/>
                <w:szCs w:val="24"/>
                <w:highlight w:val="none"/>
                <w:lang w:val="en-US" w:eastAsia="zh-CN"/>
              </w:rPr>
              <w:t>b.</w:t>
            </w:r>
            <w:r>
              <w:rPr>
                <w:rFonts w:hint="eastAsia" w:ascii="宋体" w:hAnsi="宋体" w:eastAsia="宋体" w:cs="宋体"/>
                <w:color w:val="auto"/>
                <w:sz w:val="24"/>
                <w:szCs w:val="24"/>
                <w:highlight w:val="none"/>
              </w:rPr>
              <w:t>工程设计建筑行业</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rPr>
              <w:t>建筑工程</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rPr>
              <w:t>专业甲级资质。</w:t>
            </w:r>
          </w:p>
          <w:p w14:paraId="1B53D9AC">
            <w:pPr>
              <w:pStyle w:val="8"/>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48" w:leftChars="20" w:right="48" w:rightChars="20"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2.4</w:t>
            </w:r>
            <w:r>
              <w:rPr>
                <w:rFonts w:hint="eastAsia" w:hAnsi="宋体" w:eastAsia="宋体" w:cs="宋体"/>
                <w:color w:val="auto"/>
                <w:sz w:val="24"/>
                <w:szCs w:val="24"/>
                <w:highlight w:val="none"/>
                <w:lang w:eastAsia="zh-CN"/>
              </w:rPr>
              <w:t xml:space="preserve"> </w:t>
            </w:r>
            <w:r>
              <w:rPr>
                <w:rFonts w:hint="eastAsia" w:ascii="宋体" w:hAnsi="宋体" w:eastAsia="宋体" w:cs="宋体"/>
                <w:color w:val="auto"/>
                <w:sz w:val="24"/>
                <w:szCs w:val="24"/>
                <w:highlight w:val="none"/>
              </w:rPr>
              <w:t>根据有关文件精神，投标人的企业相关证书到期的，均按该证书的发证机构相关行业主管部门最新文件执行（如自动顺延或推迟办理延期业务的通知），投标人必须将相关文件附在该证书</w:t>
            </w:r>
            <w:r>
              <w:rPr>
                <w:rFonts w:hint="eastAsia" w:hAnsi="宋体" w:eastAsia="宋体" w:cs="宋体"/>
                <w:color w:val="auto"/>
                <w:sz w:val="24"/>
                <w:szCs w:val="24"/>
                <w:highlight w:val="none"/>
                <w:lang w:eastAsia="zh-CN"/>
              </w:rPr>
              <w:t>后面</w:t>
            </w:r>
            <w:r>
              <w:rPr>
                <w:rFonts w:hint="eastAsia" w:ascii="宋体" w:hAnsi="宋体" w:eastAsia="宋体" w:cs="宋体"/>
                <w:color w:val="auto"/>
                <w:sz w:val="24"/>
                <w:szCs w:val="24"/>
                <w:highlight w:val="none"/>
              </w:rPr>
              <w:t>，证明在开标日继续有效。</w:t>
            </w:r>
          </w:p>
          <w:p w14:paraId="7EEFB4C9">
            <w:pPr>
              <w:pStyle w:val="8"/>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48" w:leftChars="20" w:right="48" w:rightChars="20" w:firstLine="193" w:firstLineChars="80"/>
              <w:textAlignment w:val="auto"/>
              <w:rPr>
                <w:rFonts w:hint="eastAsia" w:ascii="宋体" w:hAnsi="宋体" w:eastAsia="宋体" w:cs="宋体"/>
                <w:b/>
                <w:bCs/>
                <w:color w:val="auto"/>
                <w:sz w:val="24"/>
                <w:szCs w:val="24"/>
                <w:highlight w:val="none"/>
              </w:rPr>
            </w:pPr>
            <w:r>
              <w:rPr>
                <w:rFonts w:hint="eastAsia" w:hAnsi="宋体" w:eastAsia="宋体" w:cs="宋体"/>
                <w:b/>
                <w:bCs/>
                <w:color w:val="auto"/>
                <w:sz w:val="24"/>
                <w:szCs w:val="24"/>
                <w:highlight w:val="none"/>
                <w:lang w:eastAsia="zh-CN"/>
              </w:rPr>
              <w:t>3.</w:t>
            </w:r>
            <w:r>
              <w:rPr>
                <w:rFonts w:hint="eastAsia" w:ascii="宋体" w:hAnsi="宋体" w:eastAsia="宋体" w:cs="宋体"/>
                <w:b/>
                <w:bCs/>
                <w:color w:val="auto"/>
                <w:sz w:val="24"/>
                <w:szCs w:val="24"/>
                <w:highlight w:val="none"/>
              </w:rPr>
              <w:t>相关人员要求</w:t>
            </w:r>
          </w:p>
          <w:p w14:paraId="716EF0ED">
            <w:pPr>
              <w:pStyle w:val="8"/>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48" w:leftChars="20" w:right="48" w:rightChars="20"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3.1</w:t>
            </w:r>
            <w:r>
              <w:rPr>
                <w:rFonts w:hint="eastAsia" w:hAnsi="宋体" w:eastAsia="宋体" w:cs="宋体"/>
                <w:color w:val="auto"/>
                <w:sz w:val="24"/>
                <w:szCs w:val="24"/>
                <w:highlight w:val="none"/>
                <w:lang w:eastAsia="zh-CN"/>
              </w:rPr>
              <w:t xml:space="preserve"> 拟</w:t>
            </w:r>
            <w:r>
              <w:rPr>
                <w:rFonts w:hint="eastAsia" w:ascii="宋体" w:hAnsi="宋体" w:eastAsia="宋体" w:cs="宋体"/>
                <w:color w:val="auto"/>
                <w:sz w:val="24"/>
                <w:szCs w:val="24"/>
                <w:highlight w:val="none"/>
              </w:rPr>
              <w:t>派项目经理为具有</w:t>
            </w:r>
            <w:r>
              <w:rPr>
                <w:rFonts w:hint="eastAsia" w:ascii="宋体" w:hAnsi="宋体" w:eastAsia="宋体" w:cs="宋体"/>
                <w:color w:val="auto"/>
                <w:sz w:val="24"/>
                <w:szCs w:val="24"/>
                <w:highlight w:val="none"/>
                <w:lang w:val="zh-CN"/>
              </w:rPr>
              <w:t>建筑工程专业一级注册</w:t>
            </w:r>
            <w:r>
              <w:rPr>
                <w:rFonts w:hint="eastAsia" w:hAnsi="宋体" w:eastAsia="宋体" w:cs="宋体"/>
                <w:color w:val="auto"/>
                <w:sz w:val="24"/>
                <w:szCs w:val="24"/>
                <w:highlight w:val="none"/>
                <w:lang w:val="zh-CN"/>
              </w:rPr>
              <w:t>建造师资格的人员</w:t>
            </w:r>
            <w:r>
              <w:rPr>
                <w:rFonts w:hint="eastAsia" w:ascii="宋体" w:hAnsi="宋体" w:eastAsia="宋体" w:cs="宋体"/>
                <w:color w:val="auto"/>
                <w:sz w:val="24"/>
                <w:szCs w:val="24"/>
                <w:highlight w:val="none"/>
                <w:lang w:val="zh-CN"/>
              </w:rPr>
              <w:t>，</w:t>
            </w:r>
            <w:r>
              <w:rPr>
                <w:rFonts w:ascii="宋体" w:hAnsi="宋体" w:eastAsia="宋体" w:cs="宋体"/>
                <w:color w:val="auto"/>
                <w:spacing w:val="-1"/>
                <w:sz w:val="24"/>
                <w:szCs w:val="24"/>
                <w:highlight w:val="none"/>
              </w:rPr>
              <w:t>应持有国家住建</w:t>
            </w:r>
            <w:r>
              <w:rPr>
                <w:rFonts w:ascii="宋体" w:hAnsi="宋体" w:eastAsia="宋体" w:cs="宋体"/>
                <w:color w:val="auto"/>
                <w:spacing w:val="-2"/>
                <w:sz w:val="24"/>
                <w:szCs w:val="24"/>
                <w:highlight w:val="none"/>
              </w:rPr>
              <w:t>部印</w:t>
            </w:r>
            <w:r>
              <w:rPr>
                <w:rFonts w:ascii="宋体" w:hAnsi="宋体" w:eastAsia="宋体" w:cs="宋体"/>
                <w:color w:val="auto"/>
                <w:spacing w:val="-1"/>
                <w:sz w:val="24"/>
                <w:szCs w:val="24"/>
                <w:highlight w:val="none"/>
              </w:rPr>
              <w:t>发的有效注册证书和有效安全生产考核合格证明（</w:t>
            </w:r>
            <w:r>
              <w:rPr>
                <w:rFonts w:ascii="Times New Roman" w:hAnsi="Times New Roman" w:eastAsia="Times New Roman" w:cs="Times New Roman"/>
                <w:color w:val="auto"/>
                <w:spacing w:val="-1"/>
                <w:sz w:val="24"/>
                <w:szCs w:val="24"/>
                <w:highlight w:val="none"/>
              </w:rPr>
              <w:t>B</w:t>
            </w:r>
            <w:r>
              <w:rPr>
                <w:rFonts w:ascii="宋体" w:hAnsi="宋体" w:eastAsia="宋体" w:cs="宋体"/>
                <w:color w:val="auto"/>
                <w:spacing w:val="-1"/>
                <w:sz w:val="24"/>
                <w:szCs w:val="24"/>
                <w:highlight w:val="none"/>
              </w:rPr>
              <w:t>证，安全生产考</w:t>
            </w:r>
            <w:r>
              <w:rPr>
                <w:rFonts w:ascii="宋体" w:hAnsi="宋体" w:eastAsia="宋体" w:cs="宋体"/>
                <w:color w:val="auto"/>
                <w:spacing w:val="5"/>
                <w:sz w:val="24"/>
                <w:szCs w:val="24"/>
                <w:highlight w:val="none"/>
              </w:rPr>
              <w:t>核合格证书或广东省建筑施工企业管理人员安全生产考核系统考核</w:t>
            </w:r>
            <w:r>
              <w:rPr>
                <w:rFonts w:ascii="宋体" w:hAnsi="宋体" w:eastAsia="宋体" w:cs="宋体"/>
                <w:color w:val="auto"/>
                <w:spacing w:val="-3"/>
                <w:sz w:val="24"/>
                <w:szCs w:val="24"/>
                <w:highlight w:val="none"/>
              </w:rPr>
              <w:t>合格信息打印页</w:t>
            </w:r>
            <w:r>
              <w:rPr>
                <w:rFonts w:ascii="宋体" w:hAnsi="宋体" w:eastAsia="宋体" w:cs="宋体"/>
                <w:color w:val="auto"/>
                <w:spacing w:val="-5"/>
                <w:sz w:val="24"/>
                <w:szCs w:val="24"/>
                <w:highlight w:val="none"/>
              </w:rPr>
              <w:t>）</w:t>
            </w:r>
            <w:r>
              <w:rPr>
                <w:rFonts w:hint="eastAsia" w:ascii="宋体" w:hAnsi="宋体" w:eastAsia="宋体" w:cs="宋体"/>
                <w:color w:val="auto"/>
                <w:sz w:val="24"/>
                <w:szCs w:val="24"/>
                <w:highlight w:val="none"/>
                <w:lang w:val="zh-CN"/>
              </w:rPr>
              <w:t>，且未担任其他在施（包括已中标未开工、已开工未竣工）建设工程项目的项目经理</w:t>
            </w:r>
            <w:r>
              <w:rPr>
                <w:rFonts w:hint="eastAsia" w:ascii="宋体" w:hAnsi="宋体" w:eastAsia="宋体" w:cs="宋体"/>
                <w:b/>
                <w:bCs/>
                <w:color w:val="auto"/>
                <w:sz w:val="24"/>
                <w:szCs w:val="24"/>
                <w:highlight w:val="none"/>
                <w:lang w:val="zh-CN"/>
              </w:rPr>
              <w:t>（若组成联合体时，由联合体</w:t>
            </w:r>
            <w:r>
              <w:rPr>
                <w:rFonts w:hint="eastAsia" w:ascii="宋体" w:hAnsi="宋体" w:eastAsia="宋体" w:cs="宋体"/>
                <w:b/>
                <w:bCs/>
                <w:color w:val="auto"/>
                <w:sz w:val="24"/>
                <w:szCs w:val="24"/>
                <w:highlight w:val="none"/>
                <w:lang w:val="en-US" w:eastAsia="zh-CN"/>
              </w:rPr>
              <w:t>施工方</w:t>
            </w:r>
            <w:r>
              <w:rPr>
                <w:rFonts w:hint="eastAsia" w:ascii="宋体" w:hAnsi="宋体" w:eastAsia="宋体" w:cs="宋体"/>
                <w:b/>
                <w:bCs/>
                <w:color w:val="auto"/>
                <w:sz w:val="24"/>
                <w:szCs w:val="24"/>
                <w:highlight w:val="none"/>
                <w:lang w:val="zh-CN"/>
              </w:rPr>
              <w:t>提供）</w:t>
            </w:r>
            <w:r>
              <w:rPr>
                <w:rFonts w:hint="eastAsia" w:ascii="宋体" w:hAnsi="宋体" w:eastAsia="宋体" w:cs="宋体"/>
                <w:b/>
                <w:bCs/>
                <w:color w:val="auto"/>
                <w:sz w:val="24"/>
                <w:szCs w:val="24"/>
                <w:highlight w:val="none"/>
              </w:rPr>
              <w:t>。</w:t>
            </w:r>
          </w:p>
          <w:p w14:paraId="6B47C7DC">
            <w:pPr>
              <w:pStyle w:val="8"/>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48" w:leftChars="20" w:right="48" w:rightChars="20"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3.2</w:t>
            </w:r>
            <w:r>
              <w:rPr>
                <w:rFonts w:hint="eastAsia" w:hAnsi="宋体" w:eastAsia="宋体" w:cs="宋体"/>
                <w:color w:val="auto"/>
                <w:sz w:val="24"/>
                <w:szCs w:val="24"/>
                <w:highlight w:val="none"/>
                <w:lang w:eastAsia="zh-CN"/>
              </w:rPr>
              <w:t xml:space="preserve"> </w:t>
            </w:r>
            <w:r>
              <w:rPr>
                <w:rFonts w:hint="eastAsia" w:ascii="宋体" w:hAnsi="宋体" w:eastAsia="宋体" w:cs="宋体"/>
                <w:color w:val="auto"/>
                <w:sz w:val="24"/>
                <w:szCs w:val="24"/>
                <w:highlight w:val="none"/>
              </w:rPr>
              <w:t>拟派项目技术负责人须具备</w:t>
            </w:r>
            <w:r>
              <w:rPr>
                <w:rFonts w:hint="eastAsia" w:ascii="宋体" w:hAnsi="宋体" w:eastAsia="宋体" w:cs="宋体"/>
                <w:color w:val="auto"/>
                <w:sz w:val="24"/>
                <w:szCs w:val="24"/>
                <w:highlight w:val="none"/>
                <w:lang w:eastAsia="zh-CN"/>
              </w:rPr>
              <w:t>建筑工程</w:t>
            </w:r>
            <w:r>
              <w:rPr>
                <w:rFonts w:hint="eastAsia" w:ascii="宋体" w:hAnsi="宋体" w:eastAsia="宋体" w:cs="宋体"/>
                <w:color w:val="auto"/>
                <w:sz w:val="24"/>
                <w:szCs w:val="24"/>
                <w:highlight w:val="none"/>
              </w:rPr>
              <w:t>相关专业</w:t>
            </w:r>
            <w:r>
              <w:rPr>
                <w:rFonts w:hint="eastAsia" w:hAnsi="宋体" w:eastAsia="宋体" w:cs="宋体"/>
                <w:color w:val="auto"/>
                <w:sz w:val="24"/>
                <w:szCs w:val="24"/>
                <w:highlight w:val="none"/>
                <w:lang w:val="en-US" w:eastAsia="zh-CN"/>
              </w:rPr>
              <w:t>高级工程师</w:t>
            </w:r>
            <w:r>
              <w:rPr>
                <w:rFonts w:hint="eastAsia" w:ascii="宋体" w:hAnsi="宋体" w:eastAsia="宋体" w:cs="宋体"/>
                <w:color w:val="auto"/>
                <w:sz w:val="24"/>
                <w:szCs w:val="24"/>
                <w:highlight w:val="none"/>
              </w:rPr>
              <w:t>或以上技术职称</w:t>
            </w:r>
            <w:r>
              <w:rPr>
                <w:rFonts w:hint="eastAsia" w:ascii="宋体" w:hAnsi="宋体" w:eastAsia="宋体" w:cs="宋体"/>
                <w:b/>
                <w:bCs/>
                <w:color w:val="auto"/>
                <w:sz w:val="24"/>
                <w:szCs w:val="24"/>
                <w:highlight w:val="none"/>
              </w:rPr>
              <w:t>（若组成联合体时，</w:t>
            </w:r>
            <w:r>
              <w:rPr>
                <w:rFonts w:hint="eastAsia" w:ascii="宋体" w:hAnsi="宋体" w:eastAsia="宋体" w:cs="宋体"/>
                <w:b/>
                <w:bCs/>
                <w:color w:val="auto"/>
                <w:sz w:val="24"/>
                <w:szCs w:val="24"/>
                <w:highlight w:val="none"/>
                <w:lang w:val="zh-CN"/>
              </w:rPr>
              <w:t>由联合体</w:t>
            </w:r>
            <w:r>
              <w:rPr>
                <w:rFonts w:hint="eastAsia" w:ascii="宋体" w:hAnsi="宋体" w:eastAsia="宋体" w:cs="宋体"/>
                <w:b/>
                <w:bCs/>
                <w:color w:val="auto"/>
                <w:sz w:val="24"/>
                <w:szCs w:val="24"/>
                <w:highlight w:val="none"/>
                <w:lang w:val="en-US" w:eastAsia="zh-CN"/>
              </w:rPr>
              <w:t>施工方</w:t>
            </w:r>
            <w:r>
              <w:rPr>
                <w:rFonts w:hint="eastAsia" w:ascii="宋体" w:hAnsi="宋体" w:eastAsia="宋体" w:cs="宋体"/>
                <w:b/>
                <w:bCs/>
                <w:color w:val="auto"/>
                <w:sz w:val="24"/>
                <w:szCs w:val="24"/>
                <w:highlight w:val="none"/>
                <w:lang w:val="zh-CN"/>
              </w:rPr>
              <w:t>提供</w:t>
            </w:r>
            <w:r>
              <w:rPr>
                <w:rFonts w:hint="eastAsia" w:ascii="宋体" w:hAnsi="宋体" w:eastAsia="宋体" w:cs="宋体"/>
                <w:b/>
                <w:bCs/>
                <w:color w:val="auto"/>
                <w:sz w:val="24"/>
                <w:szCs w:val="24"/>
                <w:highlight w:val="none"/>
              </w:rPr>
              <w:t>）</w:t>
            </w:r>
            <w:r>
              <w:rPr>
                <w:rFonts w:hint="eastAsia" w:ascii="宋体" w:hAnsi="宋体" w:eastAsia="宋体" w:cs="宋体"/>
                <w:color w:val="auto"/>
                <w:sz w:val="24"/>
                <w:szCs w:val="24"/>
                <w:highlight w:val="none"/>
              </w:rPr>
              <w:t>。</w:t>
            </w:r>
          </w:p>
          <w:p w14:paraId="04D58DE6">
            <w:pPr>
              <w:pStyle w:val="8"/>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48" w:leftChars="20" w:right="48" w:rightChars="20"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3.3</w:t>
            </w:r>
            <w:r>
              <w:rPr>
                <w:rFonts w:hint="eastAsia" w:hAnsi="宋体" w:eastAsia="宋体" w:cs="宋体"/>
                <w:color w:val="auto"/>
                <w:sz w:val="24"/>
                <w:szCs w:val="24"/>
                <w:highlight w:val="none"/>
                <w:lang w:eastAsia="zh-CN"/>
              </w:rPr>
              <w:t xml:space="preserve"> </w:t>
            </w:r>
            <w:r>
              <w:rPr>
                <w:rFonts w:hint="eastAsia" w:ascii="宋体" w:hAnsi="宋体" w:eastAsia="宋体" w:cs="宋体"/>
                <w:color w:val="auto"/>
                <w:sz w:val="24"/>
                <w:szCs w:val="24"/>
                <w:highlight w:val="none"/>
              </w:rPr>
              <w:t>拟派专职安全生产管理人员须具备有效安全生产考核合格证明（C证，安全生产考核合格证书或广东省建筑施工企业管理人员安全生产考核系统考核合格信息打印页），</w:t>
            </w:r>
            <w:r>
              <w:rPr>
                <w:rFonts w:hint="eastAsia" w:ascii="宋体" w:hAnsi="宋体" w:eastAsia="宋体" w:cs="宋体"/>
                <w:color w:val="auto"/>
                <w:sz w:val="24"/>
                <w:szCs w:val="24"/>
                <w:highlight w:val="none"/>
                <w:lang w:eastAsia="zh-CN"/>
              </w:rPr>
              <w:t>且不少于</w:t>
            </w:r>
            <w:r>
              <w:rPr>
                <w:rFonts w:hint="eastAsia" w:ascii="宋体" w:hAnsi="宋体" w:eastAsia="宋体" w:cs="宋体"/>
                <w:color w:val="auto"/>
                <w:sz w:val="24"/>
                <w:szCs w:val="24"/>
                <w:highlight w:val="none"/>
                <w:lang w:val="en-US" w:eastAsia="zh-CN"/>
              </w:rPr>
              <w:t>3</w:t>
            </w:r>
            <w:r>
              <w:rPr>
                <w:rFonts w:hint="eastAsia" w:ascii="宋体" w:hAnsi="宋体" w:eastAsia="宋体" w:cs="宋体"/>
                <w:color w:val="auto"/>
                <w:sz w:val="24"/>
                <w:szCs w:val="24"/>
                <w:highlight w:val="none"/>
                <w:lang w:eastAsia="zh-CN"/>
              </w:rPr>
              <w:t>人</w:t>
            </w:r>
            <w:r>
              <w:rPr>
                <w:rFonts w:hint="eastAsia" w:ascii="宋体" w:hAnsi="宋体" w:eastAsia="宋体" w:cs="宋体"/>
                <w:b/>
                <w:bCs/>
                <w:color w:val="auto"/>
                <w:sz w:val="24"/>
                <w:szCs w:val="24"/>
                <w:highlight w:val="none"/>
              </w:rPr>
              <w:t>（若组成联合体时，</w:t>
            </w:r>
            <w:r>
              <w:rPr>
                <w:rFonts w:hint="eastAsia" w:ascii="宋体" w:hAnsi="宋体" w:eastAsia="宋体" w:cs="宋体"/>
                <w:b/>
                <w:bCs/>
                <w:color w:val="auto"/>
                <w:sz w:val="24"/>
                <w:szCs w:val="24"/>
                <w:highlight w:val="none"/>
                <w:lang w:val="zh-CN"/>
              </w:rPr>
              <w:t>由联合体</w:t>
            </w:r>
            <w:r>
              <w:rPr>
                <w:rFonts w:hint="eastAsia" w:ascii="宋体" w:hAnsi="宋体" w:eastAsia="宋体" w:cs="宋体"/>
                <w:b/>
                <w:bCs/>
                <w:color w:val="auto"/>
                <w:sz w:val="24"/>
                <w:szCs w:val="24"/>
                <w:highlight w:val="none"/>
                <w:lang w:val="en-US" w:eastAsia="zh-CN"/>
              </w:rPr>
              <w:t>施工方</w:t>
            </w:r>
            <w:r>
              <w:rPr>
                <w:rFonts w:hint="eastAsia" w:ascii="宋体" w:hAnsi="宋体" w:eastAsia="宋体" w:cs="宋体"/>
                <w:b/>
                <w:bCs/>
                <w:color w:val="auto"/>
                <w:sz w:val="24"/>
                <w:szCs w:val="24"/>
                <w:highlight w:val="none"/>
                <w:lang w:val="zh-CN"/>
              </w:rPr>
              <w:t>提供</w:t>
            </w:r>
            <w:r>
              <w:rPr>
                <w:rFonts w:hint="eastAsia" w:ascii="宋体" w:hAnsi="宋体" w:eastAsia="宋体" w:cs="宋体"/>
                <w:b/>
                <w:bCs/>
                <w:color w:val="auto"/>
                <w:sz w:val="24"/>
                <w:szCs w:val="24"/>
                <w:highlight w:val="none"/>
              </w:rPr>
              <w:t>）</w:t>
            </w:r>
            <w:r>
              <w:rPr>
                <w:rFonts w:hint="eastAsia" w:ascii="宋体" w:hAnsi="宋体" w:eastAsia="宋体" w:cs="宋体"/>
                <w:color w:val="auto"/>
                <w:sz w:val="24"/>
                <w:szCs w:val="24"/>
                <w:highlight w:val="none"/>
              </w:rPr>
              <w:t>。</w:t>
            </w:r>
          </w:p>
          <w:p w14:paraId="54E18CCD">
            <w:pPr>
              <w:pStyle w:val="8"/>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48" w:leftChars="20" w:right="48" w:rightChars="20" w:firstLine="480" w:firstLineChars="200"/>
              <w:textAlignment w:val="auto"/>
              <w:rPr>
                <w:rFonts w:hint="eastAsia" w:ascii="宋体" w:hAnsi="宋体" w:eastAsia="宋体" w:cs="宋体"/>
                <w:b/>
                <w:bCs/>
                <w:color w:val="auto"/>
                <w:sz w:val="24"/>
                <w:szCs w:val="24"/>
                <w:highlight w:val="none"/>
              </w:rPr>
            </w:pPr>
            <w:r>
              <w:rPr>
                <w:rFonts w:hint="eastAsia" w:ascii="宋体" w:hAnsi="宋体" w:eastAsia="宋体" w:cs="宋体"/>
                <w:color w:val="auto"/>
                <w:sz w:val="24"/>
                <w:szCs w:val="24"/>
                <w:highlight w:val="none"/>
              </w:rPr>
              <w:t>3.4</w:t>
            </w:r>
            <w:r>
              <w:rPr>
                <w:rFonts w:hint="eastAsia" w:hAnsi="宋体" w:eastAsia="宋体" w:cs="宋体"/>
                <w:color w:val="auto"/>
                <w:sz w:val="24"/>
                <w:szCs w:val="24"/>
                <w:highlight w:val="none"/>
                <w:lang w:eastAsia="zh-CN"/>
              </w:rPr>
              <w:t xml:space="preserve"> </w:t>
            </w:r>
            <w:r>
              <w:rPr>
                <w:rFonts w:hint="eastAsia" w:ascii="宋体" w:hAnsi="宋体" w:eastAsia="宋体" w:cs="宋体"/>
                <w:color w:val="auto"/>
                <w:sz w:val="24"/>
                <w:szCs w:val="24"/>
                <w:highlight w:val="none"/>
              </w:rPr>
              <w:t>拟委派担任本工程的设计负责人必须具备一级注册建筑师注册证书</w:t>
            </w:r>
            <w:r>
              <w:rPr>
                <w:rFonts w:hint="eastAsia" w:ascii="宋体" w:hAnsi="宋体" w:eastAsia="宋体" w:cs="宋体"/>
                <w:b/>
                <w:bCs/>
                <w:color w:val="auto"/>
                <w:sz w:val="24"/>
                <w:szCs w:val="24"/>
                <w:highlight w:val="none"/>
              </w:rPr>
              <w:t>（若组成联合体时，由联合体设计方提供）。</w:t>
            </w:r>
          </w:p>
          <w:p w14:paraId="0ED368F0">
            <w:pPr>
              <w:pStyle w:val="8"/>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48" w:leftChars="20" w:right="48" w:rightChars="20"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3.5</w:t>
            </w:r>
            <w:r>
              <w:rPr>
                <w:rFonts w:hint="eastAsia" w:hAnsi="宋体" w:eastAsia="宋体" w:cs="宋体"/>
                <w:color w:val="auto"/>
                <w:sz w:val="24"/>
                <w:szCs w:val="24"/>
                <w:highlight w:val="none"/>
                <w:lang w:eastAsia="zh-CN"/>
              </w:rPr>
              <w:t xml:space="preserve"> </w:t>
            </w:r>
            <w:r>
              <w:rPr>
                <w:rFonts w:hint="eastAsia" w:ascii="宋体" w:hAnsi="宋体" w:eastAsia="宋体" w:cs="宋体"/>
                <w:color w:val="auto"/>
                <w:sz w:val="24"/>
                <w:szCs w:val="24"/>
                <w:highlight w:val="none"/>
              </w:rPr>
              <w:t>投标人（包括组成联合体的所有成员单位）与其拟派往本项目管理机构的所有人员之间必须具备合法、唯一的劳动聘用关系。拟派人员中具备注册执业资格的，其注册单位须与投标人保持一致。</w:t>
            </w:r>
          </w:p>
          <w:p w14:paraId="43D21AE4">
            <w:pPr>
              <w:pStyle w:val="8"/>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48" w:leftChars="20" w:right="48" w:rightChars="20" w:firstLine="480" w:firstLineChars="200"/>
              <w:textAlignment w:val="auto"/>
              <w:rPr>
                <w:rFonts w:hint="eastAsia" w:ascii="宋体" w:hAnsi="宋体" w:eastAsia="宋体" w:cs="宋体"/>
                <w:color w:val="auto"/>
                <w:sz w:val="24"/>
                <w:szCs w:val="24"/>
                <w:highlight w:val="none"/>
              </w:rPr>
            </w:pPr>
            <w:r>
              <w:rPr>
                <w:rFonts w:hint="eastAsia" w:hAnsi="宋体" w:eastAsia="宋体" w:cs="宋体"/>
                <w:color w:val="auto"/>
                <w:sz w:val="24"/>
                <w:szCs w:val="24"/>
                <w:highlight w:val="none"/>
                <w:lang w:eastAsia="zh-CN"/>
              </w:rPr>
              <w:t>4.</w:t>
            </w:r>
            <w:r>
              <w:rPr>
                <w:rFonts w:hint="eastAsia" w:ascii="宋体" w:hAnsi="宋体" w:eastAsia="宋体" w:cs="宋体"/>
                <w:color w:val="auto"/>
                <w:sz w:val="24"/>
                <w:szCs w:val="24"/>
                <w:highlight w:val="none"/>
              </w:rPr>
              <w:t>禁止投标条款：</w:t>
            </w:r>
          </w:p>
          <w:p w14:paraId="6CE6D3A3">
            <w:pPr>
              <w:pStyle w:val="8"/>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48" w:leftChars="20" w:right="48" w:rightChars="20"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4.1</w:t>
            </w:r>
            <w:r>
              <w:rPr>
                <w:rFonts w:hint="eastAsia" w:hAnsi="宋体" w:eastAsia="宋体" w:cs="宋体"/>
                <w:color w:val="auto"/>
                <w:sz w:val="24"/>
                <w:szCs w:val="24"/>
                <w:highlight w:val="none"/>
                <w:lang w:eastAsia="zh-CN"/>
              </w:rPr>
              <w:t xml:space="preserve"> </w:t>
            </w:r>
            <w:r>
              <w:rPr>
                <w:rFonts w:hint="eastAsia" w:ascii="宋体" w:hAnsi="宋体" w:eastAsia="宋体" w:cs="宋体"/>
                <w:color w:val="auto"/>
                <w:sz w:val="24"/>
                <w:szCs w:val="24"/>
                <w:highlight w:val="none"/>
              </w:rPr>
              <w:t>投标人不得存在下列情形之一：</w:t>
            </w:r>
          </w:p>
          <w:p w14:paraId="538E849E">
            <w:pPr>
              <w:pStyle w:val="8"/>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48" w:leftChars="20" w:right="48" w:rightChars="20"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（1）为招标人不具有独立法人资格的附属机构（单位）；</w:t>
            </w:r>
          </w:p>
          <w:p w14:paraId="17E7FF31">
            <w:pPr>
              <w:pStyle w:val="8"/>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48" w:leftChars="20" w:right="48" w:rightChars="20"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（2）为本招标项目前期准备提供咨询服务的；</w:t>
            </w:r>
          </w:p>
          <w:p w14:paraId="6DB19EF5">
            <w:pPr>
              <w:pStyle w:val="8"/>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48" w:leftChars="20" w:right="48" w:rightChars="20"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（3）与本招标项目的其他投标人为同一个单位负责人；</w:t>
            </w:r>
          </w:p>
          <w:p w14:paraId="3EBD5BC5">
            <w:pPr>
              <w:pStyle w:val="8"/>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48" w:leftChars="20" w:right="48" w:rightChars="20"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（4）与本招标项目的其他投标人存在控股、管理关系；</w:t>
            </w:r>
          </w:p>
          <w:p w14:paraId="760432F2">
            <w:pPr>
              <w:pStyle w:val="8"/>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48" w:leftChars="20" w:right="48" w:rightChars="20"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（5）为本招标项目的监理人；</w:t>
            </w:r>
          </w:p>
          <w:p w14:paraId="7C7DA324">
            <w:pPr>
              <w:pStyle w:val="8"/>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48" w:leftChars="20" w:right="48" w:rightChars="20"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（6）为本招标项目的代建人；</w:t>
            </w:r>
          </w:p>
          <w:p w14:paraId="67A0E97A">
            <w:pPr>
              <w:pStyle w:val="8"/>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48" w:leftChars="20" w:right="48" w:rightChars="20"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（7）为本招标项目的招标代理机构；</w:t>
            </w:r>
          </w:p>
          <w:p w14:paraId="0B08A81B">
            <w:pPr>
              <w:pStyle w:val="8"/>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48" w:leftChars="20" w:right="48" w:rightChars="20"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（8）与本招标项目的监理人或代建人或招标代理机构同为一个法定代表人；</w:t>
            </w:r>
          </w:p>
          <w:p w14:paraId="33A11F18">
            <w:pPr>
              <w:pStyle w:val="8"/>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48" w:leftChars="20" w:right="48" w:rightChars="20"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（9）与本招标项目的监理人或代建人或招标代理机构存在控股或参股关系；</w:t>
            </w:r>
          </w:p>
          <w:p w14:paraId="45646360">
            <w:pPr>
              <w:pStyle w:val="8"/>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48" w:leftChars="20" w:right="48" w:rightChars="20"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（10）与本招标项目的监理人或代建人或招标代理机构存在相互任职或工作关系；</w:t>
            </w:r>
          </w:p>
          <w:p w14:paraId="0E4FC4DF">
            <w:pPr>
              <w:pStyle w:val="8"/>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48" w:leftChars="20" w:right="48" w:rightChars="20"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（11）被依法暂停或者取消投标资格；</w:t>
            </w:r>
          </w:p>
          <w:p w14:paraId="123FC2B7">
            <w:pPr>
              <w:pStyle w:val="8"/>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48" w:leftChars="20" w:right="48" w:rightChars="20"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（12）被责令停产停业、暂扣或者吊销许可证、暂扣或者吊销执照；</w:t>
            </w:r>
          </w:p>
          <w:p w14:paraId="555169E8">
            <w:pPr>
              <w:pStyle w:val="8"/>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48" w:leftChars="20" w:right="48" w:rightChars="20"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（13）进入清算程序，或被宣告破产，或其他丧失履约能力的情形；</w:t>
            </w:r>
          </w:p>
          <w:p w14:paraId="3967FC4B">
            <w:pPr>
              <w:pStyle w:val="8"/>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48" w:leftChars="20" w:right="48" w:rightChars="20"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（14）在最近三年内发生重大工程质量或安全问题（以相关行业主管部门的行政处罚决定或司法机关出具的有关法律文书为准）；</w:t>
            </w:r>
          </w:p>
          <w:p w14:paraId="71D4F5B9">
            <w:pPr>
              <w:pStyle w:val="8"/>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48" w:leftChars="20" w:right="48" w:rightChars="20"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（15）被“信用中国”网站（https://www.creditchina.gov.cn）发布的《法人和非法人组织公共信用信息报告》列入严重失信主体名单的。</w:t>
            </w:r>
          </w:p>
          <w:p w14:paraId="1D59BE42">
            <w:pPr>
              <w:pStyle w:val="8"/>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48" w:leftChars="20" w:right="48" w:rightChars="20"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4.2</w:t>
            </w:r>
            <w:r>
              <w:rPr>
                <w:rFonts w:hint="eastAsia" w:hAnsi="宋体" w:eastAsia="宋体" w:cs="宋体"/>
                <w:color w:val="auto"/>
                <w:sz w:val="24"/>
                <w:szCs w:val="24"/>
                <w:highlight w:val="none"/>
                <w:lang w:eastAsia="zh-CN"/>
              </w:rPr>
              <w:t xml:space="preserve"> </w:t>
            </w:r>
            <w:r>
              <w:rPr>
                <w:rFonts w:hint="eastAsia" w:ascii="宋体" w:hAnsi="宋体" w:eastAsia="宋体" w:cs="宋体"/>
                <w:color w:val="auto"/>
                <w:sz w:val="24"/>
                <w:szCs w:val="24"/>
                <w:highlight w:val="none"/>
              </w:rPr>
              <w:t>招标人拒绝以下名单中的单位参加本次投标：</w:t>
            </w:r>
          </w:p>
          <w:tbl>
            <w:tblPr>
              <w:tblStyle w:val="23"/>
              <w:tblW w:w="7421" w:type="dxa"/>
              <w:tblInd w:w="9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06"/>
              <w:gridCol w:w="3531"/>
              <w:gridCol w:w="3184"/>
            </w:tblGrid>
            <w:tr w14:paraId="22E373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7" w:hRule="atLeast"/>
              </w:trPr>
              <w:tc>
                <w:tcPr>
                  <w:tcW w:w="706" w:type="dxa"/>
                  <w:vAlign w:val="center"/>
                </w:tcPr>
                <w:p w14:paraId="6F6F9D00">
                  <w:pPr>
                    <w:pStyle w:val="8"/>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序号</w:t>
                  </w:r>
                </w:p>
              </w:tc>
              <w:tc>
                <w:tcPr>
                  <w:tcW w:w="3531" w:type="dxa"/>
                  <w:vAlign w:val="center"/>
                </w:tcPr>
                <w:p w14:paraId="1F56682C">
                  <w:pPr>
                    <w:pStyle w:val="8"/>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单位名称</w:t>
                  </w:r>
                </w:p>
              </w:tc>
              <w:tc>
                <w:tcPr>
                  <w:tcW w:w="3184" w:type="dxa"/>
                  <w:vAlign w:val="center"/>
                </w:tcPr>
                <w:p w14:paraId="5C987385">
                  <w:pPr>
                    <w:pStyle w:val="8"/>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拒绝原因</w:t>
                  </w:r>
                </w:p>
              </w:tc>
            </w:tr>
            <w:tr w14:paraId="4060E0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706" w:type="dxa"/>
                  <w:vAlign w:val="center"/>
                </w:tcPr>
                <w:p w14:paraId="72952C4C">
                  <w:pPr>
                    <w:pStyle w:val="8"/>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1</w:t>
                  </w:r>
                </w:p>
              </w:tc>
              <w:tc>
                <w:tcPr>
                  <w:tcW w:w="3531" w:type="dxa"/>
                  <w:vAlign w:val="center"/>
                </w:tcPr>
                <w:p w14:paraId="2505FB64">
                  <w:pPr>
                    <w:pStyle w:val="8"/>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left"/>
                    <w:textAlignment w:val="auto"/>
                    <w:rPr>
                      <w:rFonts w:hint="eastAsia" w:ascii="宋体" w:hAnsi="宋体" w:eastAsia="宋体" w:cs="宋体"/>
                      <w:color w:val="auto"/>
                      <w:sz w:val="22"/>
                      <w:szCs w:val="22"/>
                      <w:highlight w:val="none"/>
                      <w:lang w:eastAsia="zh-CN"/>
                    </w:rPr>
                  </w:pPr>
                  <w:r>
                    <w:rPr>
                      <w:rFonts w:hint="eastAsia" w:hAnsi="宋体" w:eastAsia="宋体" w:cs="宋体"/>
                      <w:color w:val="auto"/>
                      <w:sz w:val="22"/>
                      <w:szCs w:val="22"/>
                      <w:highlight w:val="none"/>
                      <w:lang w:eastAsia="zh-CN"/>
                    </w:rPr>
                    <w:t>韶关市金沁城市更新投资有限公司</w:t>
                  </w:r>
                </w:p>
              </w:tc>
              <w:tc>
                <w:tcPr>
                  <w:tcW w:w="3184" w:type="dxa"/>
                  <w:vAlign w:val="center"/>
                </w:tcPr>
                <w:p w14:paraId="7A8ED47A">
                  <w:pPr>
                    <w:pStyle w:val="8"/>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left"/>
                    <w:textAlignment w:val="auto"/>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为本招标项目的招标人</w:t>
                  </w:r>
                </w:p>
              </w:tc>
            </w:tr>
            <w:tr w14:paraId="425A8E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1" w:hRule="atLeast"/>
              </w:trPr>
              <w:tc>
                <w:tcPr>
                  <w:tcW w:w="706" w:type="dxa"/>
                  <w:vAlign w:val="center"/>
                </w:tcPr>
                <w:p w14:paraId="7FFAE85C">
                  <w:pPr>
                    <w:pStyle w:val="8"/>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2</w:t>
                  </w:r>
                </w:p>
              </w:tc>
              <w:tc>
                <w:tcPr>
                  <w:tcW w:w="3531" w:type="dxa"/>
                  <w:vAlign w:val="center"/>
                </w:tcPr>
                <w:p w14:paraId="0E2F7EC5">
                  <w:pPr>
                    <w:pStyle w:val="8"/>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43" w:rightChars="-18" w:firstLine="0" w:firstLineChars="0"/>
                    <w:jc w:val="left"/>
                    <w:textAlignment w:val="auto"/>
                    <w:rPr>
                      <w:rFonts w:hint="eastAsia" w:ascii="宋体" w:hAnsi="宋体" w:eastAsia="宋体" w:cs="宋体"/>
                      <w:color w:val="auto"/>
                      <w:sz w:val="22"/>
                      <w:szCs w:val="22"/>
                      <w:highlight w:val="none"/>
                      <w:lang w:eastAsia="zh-CN"/>
                    </w:rPr>
                  </w:pPr>
                  <w:r>
                    <w:rPr>
                      <w:rFonts w:hint="eastAsia" w:hAnsi="宋体" w:eastAsia="宋体" w:cs="宋体"/>
                      <w:color w:val="auto"/>
                      <w:sz w:val="22"/>
                      <w:szCs w:val="22"/>
                      <w:highlight w:val="none"/>
                      <w:lang w:eastAsia="zh-CN"/>
                    </w:rPr>
                    <w:t>韶关市金沁城市更新投资有限公司</w:t>
                  </w:r>
                </w:p>
              </w:tc>
              <w:tc>
                <w:tcPr>
                  <w:tcW w:w="3184" w:type="dxa"/>
                  <w:vAlign w:val="center"/>
                </w:tcPr>
                <w:p w14:paraId="0E1F8C12">
                  <w:pPr>
                    <w:pStyle w:val="8"/>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left"/>
                    <w:textAlignment w:val="auto"/>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为本招标项目的业主单位</w:t>
                  </w:r>
                </w:p>
              </w:tc>
            </w:tr>
            <w:tr w14:paraId="64496D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706" w:type="dxa"/>
                  <w:vAlign w:val="center"/>
                </w:tcPr>
                <w:p w14:paraId="2528F404">
                  <w:pPr>
                    <w:pStyle w:val="8"/>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lang w:val="en-US" w:eastAsia="zh-CN"/>
                    </w:rPr>
                    <w:t>3</w:t>
                  </w:r>
                </w:p>
              </w:tc>
              <w:tc>
                <w:tcPr>
                  <w:tcW w:w="3531" w:type="dxa"/>
                  <w:vAlign w:val="center"/>
                </w:tcPr>
                <w:p w14:paraId="660B0E23">
                  <w:pPr>
                    <w:pStyle w:val="8"/>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left"/>
                    <w:textAlignment w:val="auto"/>
                    <w:rPr>
                      <w:rFonts w:hint="eastAsia" w:ascii="宋体" w:hAnsi="宋体" w:eastAsia="宋体" w:cs="宋体"/>
                      <w:color w:val="auto"/>
                      <w:sz w:val="22"/>
                      <w:szCs w:val="22"/>
                      <w:highlight w:val="none"/>
                      <w:lang w:eastAsia="zh-CN"/>
                    </w:rPr>
                  </w:pPr>
                  <w:r>
                    <w:rPr>
                      <w:rFonts w:hint="eastAsia" w:hAnsi="宋体" w:eastAsia="宋体" w:cs="宋体"/>
                      <w:color w:val="auto"/>
                      <w:sz w:val="22"/>
                      <w:szCs w:val="22"/>
                      <w:highlight w:val="none"/>
                      <w:lang w:eastAsia="zh-CN"/>
                    </w:rPr>
                    <w:t>韶关市建韶工程造价咨询有限公司</w:t>
                  </w:r>
                </w:p>
              </w:tc>
              <w:tc>
                <w:tcPr>
                  <w:tcW w:w="3184" w:type="dxa"/>
                  <w:vAlign w:val="center"/>
                </w:tcPr>
                <w:p w14:paraId="36EDF1D2">
                  <w:pPr>
                    <w:pStyle w:val="8"/>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left"/>
                    <w:textAlignment w:val="auto"/>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为本招标项目的招标代理机构</w:t>
                  </w:r>
                </w:p>
              </w:tc>
            </w:tr>
            <w:tr w14:paraId="6A37C1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7" w:hRule="atLeast"/>
              </w:trPr>
              <w:tc>
                <w:tcPr>
                  <w:tcW w:w="706" w:type="dxa"/>
                  <w:vAlign w:val="center"/>
                </w:tcPr>
                <w:p w14:paraId="11C0CF65">
                  <w:pPr>
                    <w:pStyle w:val="8"/>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eastAsia" w:ascii="宋体" w:hAnsi="宋体" w:eastAsia="宋体" w:cs="宋体"/>
                      <w:color w:val="auto"/>
                      <w:sz w:val="22"/>
                      <w:szCs w:val="22"/>
                      <w:highlight w:val="none"/>
                      <w:lang w:val="en-US" w:eastAsia="zh-CN"/>
                    </w:rPr>
                  </w:pPr>
                  <w:r>
                    <w:rPr>
                      <w:rFonts w:hint="eastAsia" w:ascii="宋体" w:hAnsi="宋体" w:eastAsia="宋体" w:cs="宋体"/>
                      <w:color w:val="auto"/>
                      <w:sz w:val="22"/>
                      <w:szCs w:val="22"/>
                      <w:highlight w:val="none"/>
                      <w:lang w:val="en-US" w:eastAsia="zh-CN"/>
                    </w:rPr>
                    <w:t>4</w:t>
                  </w:r>
                </w:p>
              </w:tc>
              <w:tc>
                <w:tcPr>
                  <w:tcW w:w="3531" w:type="dxa"/>
                  <w:vAlign w:val="center"/>
                </w:tcPr>
                <w:p w14:paraId="31181C0A">
                  <w:pPr>
                    <w:pStyle w:val="8"/>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left"/>
                    <w:textAlignment w:val="auto"/>
                    <w:rPr>
                      <w:rFonts w:hint="eastAsia" w:ascii="宋体" w:hAnsi="宋体" w:eastAsia="宋体" w:cs="宋体"/>
                      <w:color w:val="auto"/>
                      <w:sz w:val="22"/>
                      <w:szCs w:val="22"/>
                      <w:highlight w:val="none"/>
                      <w:lang w:val="en-US" w:eastAsia="zh-CN"/>
                    </w:rPr>
                  </w:pPr>
                  <w:r>
                    <w:rPr>
                      <w:rFonts w:hint="eastAsia" w:hAnsi="宋体" w:eastAsia="宋体" w:cs="宋体"/>
                      <w:color w:val="auto"/>
                      <w:sz w:val="22"/>
                      <w:szCs w:val="22"/>
                      <w:highlight w:val="none"/>
                      <w:lang w:eastAsia="zh-CN"/>
                    </w:rPr>
                    <w:t>广东粤能工程管理有限公司</w:t>
                  </w:r>
                </w:p>
              </w:tc>
              <w:tc>
                <w:tcPr>
                  <w:tcW w:w="3184" w:type="dxa"/>
                  <w:vAlign w:val="center"/>
                </w:tcPr>
                <w:p w14:paraId="3AAAB924">
                  <w:pPr>
                    <w:pStyle w:val="8"/>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left"/>
                    <w:textAlignment w:val="auto"/>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为本招标项目的</w:t>
                  </w:r>
                  <w:r>
                    <w:rPr>
                      <w:rFonts w:hint="eastAsia" w:hAnsi="宋体" w:eastAsia="宋体" w:cs="宋体"/>
                      <w:color w:val="auto"/>
                      <w:sz w:val="22"/>
                      <w:szCs w:val="22"/>
                      <w:highlight w:val="none"/>
                      <w:lang w:eastAsia="zh-CN"/>
                    </w:rPr>
                    <w:t>可行性研究</w:t>
                  </w:r>
                  <w:r>
                    <w:rPr>
                      <w:rFonts w:hint="eastAsia" w:ascii="宋体" w:hAnsi="宋体" w:eastAsia="宋体" w:cs="宋体"/>
                      <w:color w:val="auto"/>
                      <w:sz w:val="22"/>
                      <w:szCs w:val="22"/>
                      <w:highlight w:val="none"/>
                      <w:lang w:val="en-US" w:eastAsia="zh-CN"/>
                    </w:rPr>
                    <w:t>报告</w:t>
                  </w:r>
                  <w:r>
                    <w:rPr>
                      <w:rFonts w:hint="eastAsia" w:hAnsi="宋体" w:eastAsia="宋体" w:cs="宋体"/>
                      <w:color w:val="auto"/>
                      <w:sz w:val="22"/>
                      <w:szCs w:val="22"/>
                      <w:highlight w:val="none"/>
                      <w:lang w:val="en-US" w:eastAsia="zh-CN"/>
                    </w:rPr>
                    <w:t>编制</w:t>
                  </w:r>
                  <w:r>
                    <w:rPr>
                      <w:rFonts w:hint="eastAsia" w:ascii="宋体" w:hAnsi="宋体" w:eastAsia="宋体" w:cs="宋体"/>
                      <w:color w:val="auto"/>
                      <w:sz w:val="22"/>
                      <w:szCs w:val="22"/>
                      <w:highlight w:val="none"/>
                      <w:lang w:eastAsia="zh-CN"/>
                    </w:rPr>
                    <w:t>单位</w:t>
                  </w:r>
                </w:p>
              </w:tc>
            </w:tr>
            <w:tr w14:paraId="6C741E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7" w:hRule="atLeast"/>
              </w:trPr>
              <w:tc>
                <w:tcPr>
                  <w:tcW w:w="706" w:type="dxa"/>
                  <w:vAlign w:val="center"/>
                </w:tcPr>
                <w:p w14:paraId="3515831D">
                  <w:pPr>
                    <w:pStyle w:val="8"/>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eastAsia" w:ascii="宋体" w:hAnsi="宋体" w:eastAsia="宋体" w:cs="宋体"/>
                      <w:color w:val="auto"/>
                      <w:sz w:val="22"/>
                      <w:szCs w:val="22"/>
                      <w:highlight w:val="none"/>
                      <w:lang w:val="en-US" w:eastAsia="zh-CN"/>
                    </w:rPr>
                  </w:pPr>
                  <w:r>
                    <w:rPr>
                      <w:rFonts w:hint="eastAsia" w:hAnsi="宋体" w:eastAsia="宋体" w:cs="宋体"/>
                      <w:color w:val="auto"/>
                      <w:sz w:val="22"/>
                      <w:szCs w:val="22"/>
                      <w:highlight w:val="none"/>
                      <w:lang w:val="en-US" w:eastAsia="zh-CN"/>
                    </w:rPr>
                    <w:t>5</w:t>
                  </w:r>
                </w:p>
              </w:tc>
              <w:tc>
                <w:tcPr>
                  <w:tcW w:w="3531" w:type="dxa"/>
                  <w:vAlign w:val="center"/>
                </w:tcPr>
                <w:p w14:paraId="009ED372">
                  <w:pPr>
                    <w:pStyle w:val="8"/>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left"/>
                    <w:textAlignment w:val="auto"/>
                    <w:rPr>
                      <w:rFonts w:hint="eastAsia" w:ascii="宋体" w:hAnsi="宋体" w:eastAsia="宋体" w:cs="宋体"/>
                      <w:color w:val="auto"/>
                      <w:sz w:val="22"/>
                      <w:szCs w:val="22"/>
                      <w:highlight w:val="none"/>
                      <w:lang w:eastAsia="zh-CN"/>
                    </w:rPr>
                  </w:pPr>
                  <w:r>
                    <w:rPr>
                      <w:rFonts w:hint="eastAsia" w:ascii="宋体" w:hAnsi="宋体" w:eastAsia="宋体" w:cs="宋体"/>
                      <w:color w:val="auto"/>
                      <w:sz w:val="22"/>
                      <w:szCs w:val="22"/>
                      <w:highlight w:val="none"/>
                      <w:lang w:eastAsia="zh-CN"/>
                    </w:rPr>
                    <w:t>深圳奥雅设计股份有限公司、中凡国际工程设计有限公司</w:t>
                  </w:r>
                </w:p>
              </w:tc>
              <w:tc>
                <w:tcPr>
                  <w:tcW w:w="3184" w:type="dxa"/>
                  <w:vAlign w:val="center"/>
                </w:tcPr>
                <w:p w14:paraId="0E7CCB62">
                  <w:pPr>
                    <w:pStyle w:val="8"/>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left"/>
                    <w:textAlignment w:val="auto"/>
                    <w:rPr>
                      <w:rFonts w:hint="eastAsia" w:ascii="宋体" w:hAnsi="宋体" w:eastAsia="宋体" w:cs="宋体"/>
                      <w:color w:val="auto"/>
                      <w:sz w:val="22"/>
                      <w:szCs w:val="22"/>
                      <w:highlight w:val="none"/>
                      <w:lang w:eastAsia="zh-CN"/>
                    </w:rPr>
                  </w:pPr>
                  <w:r>
                    <w:rPr>
                      <w:rFonts w:hint="eastAsia" w:ascii="宋体" w:hAnsi="宋体" w:eastAsia="宋体" w:cs="宋体"/>
                      <w:color w:val="auto"/>
                      <w:sz w:val="22"/>
                      <w:szCs w:val="22"/>
                      <w:highlight w:val="none"/>
                      <w:lang w:eastAsia="zh-CN"/>
                    </w:rPr>
                    <w:t>为本招标项目的</w:t>
                  </w:r>
                  <w:r>
                    <w:rPr>
                      <w:rFonts w:hint="eastAsia" w:ascii="宋体" w:hAnsi="宋体" w:eastAsia="宋体" w:cs="宋体"/>
                      <w:color w:val="auto"/>
                      <w:sz w:val="22"/>
                      <w:szCs w:val="22"/>
                      <w:highlight w:val="none"/>
                      <w:lang w:val="en-US" w:eastAsia="zh-CN"/>
                    </w:rPr>
                    <w:t>初步设计</w:t>
                  </w:r>
                  <w:r>
                    <w:rPr>
                      <w:rFonts w:hint="eastAsia" w:ascii="宋体" w:hAnsi="宋体" w:eastAsia="宋体" w:cs="宋体"/>
                      <w:color w:val="auto"/>
                      <w:sz w:val="22"/>
                      <w:szCs w:val="22"/>
                      <w:highlight w:val="none"/>
                      <w:lang w:eastAsia="zh-CN"/>
                    </w:rPr>
                    <w:t>单位</w:t>
                  </w:r>
                </w:p>
              </w:tc>
            </w:tr>
          </w:tbl>
          <w:p w14:paraId="6914B6B0">
            <w:pPr>
              <w:pStyle w:val="8"/>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48" w:leftChars="20" w:right="48" w:rightChars="20"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5.省外企业（包括组成联合体的所有成员单位）及其拟派往本项目管理机构的所有人员均须按照《广东省住房和城乡建设厅关于取消省外建筑企业和人员进粤信息备案有关工作的通知》（粤建市</w:t>
            </w:r>
            <w:r>
              <w:rPr>
                <w:rFonts w:hint="eastAsia" w:hAnsi="宋体" w:eastAsia="宋体" w:cs="宋体"/>
                <w:color w:val="auto"/>
                <w:sz w:val="24"/>
                <w:szCs w:val="24"/>
                <w:highlight w:val="none"/>
                <w:lang w:eastAsia="zh-CN"/>
              </w:rPr>
              <w:t>〔2015〕</w:t>
            </w:r>
            <w:r>
              <w:rPr>
                <w:rFonts w:hint="eastAsia" w:ascii="宋体" w:hAnsi="宋体" w:eastAsia="宋体" w:cs="宋体"/>
                <w:color w:val="auto"/>
                <w:sz w:val="24"/>
                <w:szCs w:val="24"/>
                <w:highlight w:val="none"/>
              </w:rPr>
              <w:t>52号）规定在“进粤企业和人员诚信信息登记平台”录入相关信息并通过数据规范检查。</w:t>
            </w:r>
          </w:p>
        </w:tc>
      </w:tr>
      <w:tr w14:paraId="366E186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23" w:hRule="atLeast"/>
          <w:jc w:val="center"/>
        </w:trPr>
        <w:tc>
          <w:tcPr>
            <w:tcW w:w="608" w:type="dxa"/>
            <w:tcBorders>
              <w:top w:val="single" w:color="auto" w:sz="4" w:space="0"/>
              <w:left w:val="single" w:color="auto" w:sz="4" w:space="0"/>
              <w:bottom w:val="single" w:color="auto" w:sz="4" w:space="0"/>
              <w:right w:val="single" w:color="auto" w:sz="4" w:space="0"/>
            </w:tcBorders>
            <w:vAlign w:val="center"/>
          </w:tcPr>
          <w:p w14:paraId="10BDBCAE">
            <w:pPr>
              <w:pStyle w:val="8"/>
              <w:keepNext w:val="0"/>
              <w:keepLines w:val="0"/>
              <w:pageBreakBefore w:val="0"/>
              <w:widowControl w:val="0"/>
              <w:numPr>
                <w:ilvl w:val="0"/>
                <w:numId w:val="1"/>
              </w:numPr>
              <w:suppressLineNumbers w:val="0"/>
              <w:kinsoku/>
              <w:wordWrap/>
              <w:overflowPunct/>
              <w:topLinePunct w:val="0"/>
              <w:autoSpaceDE/>
              <w:autoSpaceDN/>
              <w:bidi w:val="0"/>
              <w:adjustRightInd/>
              <w:snapToGrid/>
              <w:spacing w:before="0" w:beforeAutospacing="0" w:after="0" w:afterAutospacing="0" w:line="240" w:lineRule="auto"/>
              <w:ind w:left="425" w:leftChars="0" w:right="0" w:hanging="425" w:firstLineChars="0"/>
              <w:jc w:val="center"/>
              <w:textAlignment w:val="auto"/>
              <w:rPr>
                <w:rFonts w:hint="eastAsia" w:ascii="宋体" w:hAnsi="宋体" w:eastAsia="宋体" w:cs="宋体"/>
                <w:color w:val="auto"/>
                <w:sz w:val="24"/>
                <w:szCs w:val="24"/>
                <w:highlight w:val="none"/>
              </w:rPr>
            </w:pPr>
          </w:p>
        </w:tc>
        <w:tc>
          <w:tcPr>
            <w:tcW w:w="2014" w:type="dxa"/>
            <w:tcBorders>
              <w:top w:val="single" w:color="auto" w:sz="4" w:space="0"/>
              <w:left w:val="single" w:color="auto" w:sz="4" w:space="0"/>
              <w:bottom w:val="single" w:color="auto" w:sz="4" w:space="0"/>
              <w:right w:val="single" w:color="auto" w:sz="4" w:space="0"/>
            </w:tcBorders>
            <w:vAlign w:val="center"/>
          </w:tcPr>
          <w:p w14:paraId="6DED2607">
            <w:pPr>
              <w:pStyle w:val="8"/>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rPr>
              <w:t>投标保证</w:t>
            </w:r>
          </w:p>
        </w:tc>
        <w:tc>
          <w:tcPr>
            <w:tcW w:w="7473" w:type="dxa"/>
            <w:tcBorders>
              <w:top w:val="single" w:color="auto" w:sz="4" w:space="0"/>
              <w:left w:val="single" w:color="auto" w:sz="4" w:space="0"/>
              <w:bottom w:val="single" w:color="auto" w:sz="4" w:space="0"/>
              <w:right w:val="single" w:color="auto" w:sz="4" w:space="0"/>
            </w:tcBorders>
            <w:vAlign w:val="center"/>
          </w:tcPr>
          <w:p w14:paraId="7576EECB">
            <w:pPr>
              <w:pStyle w:val="8"/>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48" w:leftChars="20" w:right="48" w:rightChars="20" w:firstLine="480" w:firstLineChars="200"/>
              <w:textAlignment w:val="auto"/>
              <w:rPr>
                <w:rFonts w:hint="eastAsia" w:ascii="宋体" w:hAnsi="宋体" w:eastAsia="宋体" w:cs="宋体"/>
                <w:b/>
                <w:bCs/>
                <w:color w:val="auto"/>
                <w:sz w:val="24"/>
                <w:szCs w:val="24"/>
                <w:highlight w:val="none"/>
              </w:rPr>
            </w:pPr>
            <w:r>
              <w:rPr>
                <w:rFonts w:hint="eastAsia" w:hAnsi="宋体" w:eastAsia="宋体" w:cs="宋体"/>
                <w:color w:val="auto"/>
                <w:sz w:val="24"/>
                <w:szCs w:val="24"/>
                <w:highlight w:val="none"/>
                <w:lang w:eastAsia="zh-CN"/>
              </w:rPr>
              <w:t>1.</w:t>
            </w:r>
            <w:r>
              <w:rPr>
                <w:rFonts w:hint="eastAsia" w:ascii="宋体" w:hAnsi="宋体" w:eastAsia="宋体" w:cs="宋体"/>
                <w:color w:val="auto"/>
                <w:sz w:val="24"/>
                <w:szCs w:val="24"/>
                <w:highlight w:val="none"/>
              </w:rPr>
              <w:t>投标人须缴纳金额为人民币</w:t>
            </w:r>
            <w:r>
              <w:rPr>
                <w:rFonts w:hint="eastAsia" w:hAnsi="宋体" w:eastAsia="宋体" w:cs="宋体"/>
                <w:b/>
                <w:bCs/>
                <w:color w:val="auto"/>
                <w:sz w:val="24"/>
                <w:szCs w:val="24"/>
                <w:highlight w:val="none"/>
                <w:u w:val="single"/>
                <w:lang w:val="en-US" w:eastAsia="zh-CN"/>
              </w:rPr>
              <w:t>伍</w:t>
            </w:r>
            <w:r>
              <w:rPr>
                <w:rFonts w:hint="eastAsia" w:ascii="宋体" w:hAnsi="宋体" w:eastAsia="宋体" w:cs="宋体"/>
                <w:b/>
                <w:bCs/>
                <w:color w:val="auto"/>
                <w:sz w:val="24"/>
                <w:szCs w:val="24"/>
                <w:highlight w:val="none"/>
                <w:u w:val="single"/>
                <w:lang w:eastAsia="zh-CN"/>
              </w:rPr>
              <w:t>拾万元整</w:t>
            </w:r>
            <w:r>
              <w:rPr>
                <w:rFonts w:hint="eastAsia" w:ascii="宋体" w:hAnsi="宋体" w:eastAsia="宋体" w:cs="宋体"/>
                <w:color w:val="auto"/>
                <w:sz w:val="24"/>
                <w:szCs w:val="24"/>
                <w:highlight w:val="none"/>
              </w:rPr>
              <w:t>的投标保</w:t>
            </w:r>
            <w:r>
              <w:rPr>
                <w:rFonts w:hint="eastAsia" w:hAnsi="宋体" w:eastAsia="宋体" w:cs="宋体"/>
                <w:color w:val="auto"/>
                <w:sz w:val="24"/>
                <w:szCs w:val="24"/>
                <w:highlight w:val="none"/>
                <w:lang w:eastAsia="zh-CN"/>
              </w:rPr>
              <w:t>证</w:t>
            </w:r>
            <w:r>
              <w:rPr>
                <w:rFonts w:hint="eastAsia" w:ascii="宋体" w:hAnsi="宋体" w:eastAsia="宋体" w:cs="宋体"/>
                <w:color w:val="auto"/>
                <w:sz w:val="24"/>
                <w:szCs w:val="24"/>
                <w:highlight w:val="none"/>
              </w:rPr>
              <w:t>。</w:t>
            </w:r>
            <w:r>
              <w:rPr>
                <w:rFonts w:hint="eastAsia" w:ascii="宋体" w:hAnsi="宋体" w:eastAsia="宋体" w:cs="宋体"/>
                <w:b/>
                <w:bCs/>
                <w:color w:val="auto"/>
                <w:sz w:val="24"/>
                <w:szCs w:val="24"/>
                <w:highlight w:val="none"/>
              </w:rPr>
              <w:t>联合体投标的，由联合体牵头人缴纳。</w:t>
            </w:r>
          </w:p>
          <w:p w14:paraId="4F925C86">
            <w:pPr>
              <w:pStyle w:val="8"/>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48" w:leftChars="20" w:right="48" w:rightChars="20" w:firstLine="480" w:firstLineChars="200"/>
              <w:textAlignment w:val="auto"/>
              <w:rPr>
                <w:rFonts w:hint="eastAsia" w:ascii="宋体" w:hAnsi="宋体" w:eastAsia="宋体" w:cs="宋体"/>
                <w:color w:val="auto"/>
                <w:sz w:val="24"/>
                <w:szCs w:val="24"/>
                <w:highlight w:val="none"/>
              </w:rPr>
            </w:pPr>
            <w:r>
              <w:rPr>
                <w:rFonts w:hint="eastAsia" w:hAnsi="宋体" w:eastAsia="宋体" w:cs="宋体"/>
                <w:color w:val="auto"/>
                <w:sz w:val="24"/>
                <w:szCs w:val="24"/>
                <w:highlight w:val="none"/>
                <w:lang w:eastAsia="zh-CN"/>
              </w:rPr>
              <w:t>2.</w:t>
            </w:r>
            <w:r>
              <w:rPr>
                <w:rFonts w:hint="eastAsia" w:ascii="宋体" w:hAnsi="宋体" w:eastAsia="宋体" w:cs="宋体"/>
                <w:color w:val="auto"/>
                <w:sz w:val="24"/>
                <w:szCs w:val="24"/>
                <w:highlight w:val="none"/>
              </w:rPr>
              <w:t>投标保证的形式包括投标保证金、投标保证担保、投标保证保险三种，由投标人自主选择。</w:t>
            </w:r>
          </w:p>
          <w:p w14:paraId="631EC94C">
            <w:pPr>
              <w:pStyle w:val="8"/>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48" w:leftChars="20" w:right="48" w:rightChars="20"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采用投标保证金的，投标人在建设工程交易系统获取招标文件完毕后，即可在系统申请缴纳投标保证金，获取本次招标投标保证金缴纳账号。投标人必须于投标保证金到账截止时间（见本章“重要事项时间地点一览表”）前，从其基本账户将投标保证金转账到指定的缴纳账号。逾期到账的、从非投标人基本账户转出的，其投标无效。</w:t>
            </w:r>
          </w:p>
          <w:p w14:paraId="59F7CF5D">
            <w:pPr>
              <w:pStyle w:val="8"/>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48" w:leftChars="20" w:right="48" w:rightChars="20"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（2）采用投标保证担保的，投标人应提交有效的银行保函，银行保函的有效期不得短于投标有效期。投标人必须在投标保证担保截止时间（见本章“重要事项时间地点一览表”）前，使用</w:t>
            </w:r>
            <w:r>
              <w:rPr>
                <w:rFonts w:hint="eastAsia" w:hAnsi="宋体" w:eastAsia="宋体" w:cs="宋体"/>
                <w:color w:val="auto"/>
                <w:sz w:val="24"/>
                <w:szCs w:val="24"/>
                <w:highlight w:val="none"/>
                <w:lang w:eastAsia="zh-CN"/>
              </w:rPr>
              <w:t>建设工程</w:t>
            </w:r>
            <w:r>
              <w:rPr>
                <w:rFonts w:hint="eastAsia" w:ascii="宋体" w:hAnsi="宋体" w:eastAsia="宋体" w:cs="宋体"/>
                <w:color w:val="auto"/>
                <w:sz w:val="24"/>
                <w:szCs w:val="24"/>
                <w:highlight w:val="none"/>
              </w:rPr>
              <w:t>交易系统完成网上办理电子保函。</w:t>
            </w:r>
          </w:p>
          <w:p w14:paraId="7C029088">
            <w:pPr>
              <w:pStyle w:val="8"/>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48" w:leftChars="20" w:right="48" w:rightChars="20"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采用投标保证保险的，投标人须在投标保证保险投保截止时间（见本章“重要事项时间地点一览表”）前，使用建设工程交易系统完成网上投保。投标人可在系统选择保险机构、录入投保信息、支付保费、打印电子保单，电子保单的有效期不得短于投标有效期。投标人可登录全国公共资源交易平台（广东省·韶关市）（https://ygp.gdzwfw.gov.cn/ggzy-portal/#/440200/index），在【服务指南】栏目中下载《韶关市公共资源建设工程交易系统-投标人操作指南》，了解网上投保具体操作流程。逾期投保的，其投标无效。</w:t>
            </w:r>
          </w:p>
          <w:p w14:paraId="7C35BDC4">
            <w:pPr>
              <w:pStyle w:val="8"/>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48" w:leftChars="20" w:right="48" w:rightChars="20"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温馨提醒：投标人采用投标保证担保或投标保证保险的，为避免在评标过程中因有效期发生争议，建议投标人将银行保函或电子保单有效期设置为较招标文件规定的投标有效期延长不少于20个日历天。</w:t>
            </w:r>
          </w:p>
        </w:tc>
      </w:tr>
      <w:tr w14:paraId="24FEFFD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23" w:hRule="atLeast"/>
          <w:jc w:val="center"/>
        </w:trPr>
        <w:tc>
          <w:tcPr>
            <w:tcW w:w="608" w:type="dxa"/>
            <w:tcBorders>
              <w:top w:val="single" w:color="auto" w:sz="4" w:space="0"/>
              <w:left w:val="single" w:color="auto" w:sz="4" w:space="0"/>
              <w:bottom w:val="single" w:color="auto" w:sz="4" w:space="0"/>
              <w:right w:val="single" w:color="auto" w:sz="4" w:space="0"/>
            </w:tcBorders>
            <w:vAlign w:val="center"/>
          </w:tcPr>
          <w:p w14:paraId="4D7E7670">
            <w:pPr>
              <w:pStyle w:val="8"/>
              <w:keepNext w:val="0"/>
              <w:keepLines w:val="0"/>
              <w:pageBreakBefore w:val="0"/>
              <w:widowControl w:val="0"/>
              <w:numPr>
                <w:ilvl w:val="0"/>
                <w:numId w:val="1"/>
              </w:numPr>
              <w:suppressLineNumbers w:val="0"/>
              <w:kinsoku/>
              <w:wordWrap/>
              <w:overflowPunct/>
              <w:topLinePunct w:val="0"/>
              <w:autoSpaceDE/>
              <w:autoSpaceDN/>
              <w:bidi w:val="0"/>
              <w:adjustRightInd/>
              <w:snapToGrid/>
              <w:spacing w:before="0" w:beforeAutospacing="0" w:after="0" w:afterAutospacing="0" w:line="240" w:lineRule="auto"/>
              <w:ind w:left="425" w:leftChars="0" w:right="0" w:hanging="425" w:firstLineChars="0"/>
              <w:jc w:val="center"/>
              <w:textAlignment w:val="auto"/>
              <w:rPr>
                <w:rFonts w:hint="eastAsia" w:ascii="宋体" w:hAnsi="宋体" w:eastAsia="宋体" w:cs="宋体"/>
                <w:color w:val="auto"/>
                <w:sz w:val="24"/>
                <w:szCs w:val="24"/>
                <w:highlight w:val="none"/>
              </w:rPr>
            </w:pPr>
          </w:p>
        </w:tc>
        <w:tc>
          <w:tcPr>
            <w:tcW w:w="2014" w:type="dxa"/>
            <w:tcBorders>
              <w:top w:val="single" w:color="auto" w:sz="4" w:space="0"/>
              <w:left w:val="single" w:color="auto" w:sz="4" w:space="0"/>
              <w:bottom w:val="single" w:color="auto" w:sz="4" w:space="0"/>
              <w:right w:val="single" w:color="auto" w:sz="4" w:space="0"/>
            </w:tcBorders>
            <w:vAlign w:val="center"/>
          </w:tcPr>
          <w:p w14:paraId="412F01A2">
            <w:pPr>
              <w:pStyle w:val="8"/>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投标有效期</w:t>
            </w:r>
          </w:p>
        </w:tc>
        <w:tc>
          <w:tcPr>
            <w:tcW w:w="7473" w:type="dxa"/>
            <w:tcBorders>
              <w:top w:val="single" w:color="auto" w:sz="4" w:space="0"/>
              <w:left w:val="single" w:color="auto" w:sz="4" w:space="0"/>
              <w:bottom w:val="single" w:color="auto" w:sz="4" w:space="0"/>
              <w:right w:val="single" w:color="auto" w:sz="4" w:space="0"/>
            </w:tcBorders>
            <w:vAlign w:val="center"/>
          </w:tcPr>
          <w:p w14:paraId="12EAC2DB">
            <w:pPr>
              <w:pStyle w:val="8"/>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48" w:leftChars="20" w:right="48" w:rightChars="20"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本次招标的投标有效期为120个日历天。</w:t>
            </w:r>
          </w:p>
        </w:tc>
      </w:tr>
      <w:tr w14:paraId="5C95EFF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171" w:hRule="atLeast"/>
          <w:jc w:val="center"/>
        </w:trPr>
        <w:tc>
          <w:tcPr>
            <w:tcW w:w="608" w:type="dxa"/>
            <w:tcBorders>
              <w:top w:val="single" w:color="auto" w:sz="4" w:space="0"/>
              <w:left w:val="single" w:color="auto" w:sz="4" w:space="0"/>
              <w:bottom w:val="single" w:color="auto" w:sz="4" w:space="0"/>
              <w:right w:val="single" w:color="auto" w:sz="4" w:space="0"/>
            </w:tcBorders>
            <w:vAlign w:val="center"/>
          </w:tcPr>
          <w:p w14:paraId="773E9DB7">
            <w:pPr>
              <w:pStyle w:val="8"/>
              <w:keepNext w:val="0"/>
              <w:keepLines w:val="0"/>
              <w:pageBreakBefore w:val="0"/>
              <w:widowControl w:val="0"/>
              <w:numPr>
                <w:ilvl w:val="0"/>
                <w:numId w:val="1"/>
              </w:numPr>
              <w:suppressLineNumbers w:val="0"/>
              <w:kinsoku/>
              <w:wordWrap/>
              <w:overflowPunct/>
              <w:topLinePunct w:val="0"/>
              <w:autoSpaceDE/>
              <w:autoSpaceDN/>
              <w:bidi w:val="0"/>
              <w:adjustRightInd/>
              <w:snapToGrid/>
              <w:spacing w:before="0" w:beforeAutospacing="0" w:after="0" w:afterAutospacing="0" w:line="240" w:lineRule="auto"/>
              <w:ind w:left="425" w:leftChars="0" w:right="0" w:hanging="425" w:firstLineChars="0"/>
              <w:jc w:val="center"/>
              <w:textAlignment w:val="auto"/>
              <w:rPr>
                <w:rFonts w:hint="eastAsia" w:ascii="宋体" w:hAnsi="宋体" w:eastAsia="宋体" w:cs="宋体"/>
                <w:color w:val="auto"/>
                <w:sz w:val="24"/>
                <w:szCs w:val="24"/>
                <w:highlight w:val="none"/>
              </w:rPr>
            </w:pPr>
          </w:p>
        </w:tc>
        <w:tc>
          <w:tcPr>
            <w:tcW w:w="2014" w:type="dxa"/>
            <w:tcBorders>
              <w:top w:val="single" w:color="auto" w:sz="4" w:space="0"/>
              <w:left w:val="single" w:color="auto" w:sz="4" w:space="0"/>
              <w:bottom w:val="single" w:color="auto" w:sz="4" w:space="0"/>
              <w:right w:val="single" w:color="auto" w:sz="4" w:space="0"/>
            </w:tcBorders>
            <w:vAlign w:val="center"/>
          </w:tcPr>
          <w:p w14:paraId="02F25583">
            <w:pPr>
              <w:pStyle w:val="6"/>
              <w:keepNext w:val="0"/>
              <w:keepLines w:val="0"/>
              <w:pageBreakBefore w:val="0"/>
              <w:widowControl w:val="0"/>
              <w:suppressLineNumbers w:val="0"/>
              <w:shd w:val="clear" w:color="auto" w:fill="auto"/>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eastAsia" w:ascii="宋体" w:hAnsi="宋体" w:eastAsia="宋体" w:cs="宋体"/>
                <w:color w:val="auto"/>
                <w:sz w:val="24"/>
                <w:szCs w:val="24"/>
                <w:highlight w:val="none"/>
              </w:rPr>
            </w:pPr>
            <w:r>
              <w:rPr>
                <w:rFonts w:hint="eastAsia" w:ascii="宋体" w:hAnsi="宋体" w:eastAsia="宋体" w:cs="宋体"/>
                <w:b w:val="0"/>
                <w:bCs w:val="0"/>
                <w:color w:val="auto"/>
                <w:sz w:val="24"/>
                <w:szCs w:val="24"/>
                <w:highlight w:val="none"/>
              </w:rPr>
              <w:t>投标文件编制</w:t>
            </w:r>
            <w:r>
              <w:rPr>
                <w:rFonts w:hint="eastAsia" w:ascii="宋体" w:hAnsi="宋体" w:eastAsia="宋体" w:cs="宋体"/>
                <w:b w:val="0"/>
                <w:bCs w:val="0"/>
                <w:color w:val="auto"/>
                <w:sz w:val="24"/>
                <w:szCs w:val="24"/>
                <w:highlight w:val="none"/>
                <w:lang w:eastAsia="zh-CN"/>
              </w:rPr>
              <w:t>及</w:t>
            </w:r>
            <w:r>
              <w:rPr>
                <w:rFonts w:hint="eastAsia" w:ascii="宋体" w:hAnsi="宋体" w:eastAsia="宋体" w:cs="宋体"/>
                <w:b w:val="0"/>
                <w:bCs w:val="0"/>
                <w:color w:val="auto"/>
                <w:sz w:val="24"/>
                <w:szCs w:val="24"/>
                <w:highlight w:val="none"/>
              </w:rPr>
              <w:t>份数要求</w:t>
            </w:r>
          </w:p>
        </w:tc>
        <w:tc>
          <w:tcPr>
            <w:tcW w:w="7473" w:type="dxa"/>
            <w:tcBorders>
              <w:top w:val="single" w:color="auto" w:sz="4" w:space="0"/>
              <w:left w:val="single" w:color="auto" w:sz="4" w:space="0"/>
              <w:bottom w:val="single" w:color="auto" w:sz="4" w:space="0"/>
              <w:right w:val="single" w:color="auto" w:sz="4" w:space="0"/>
            </w:tcBorders>
            <w:vAlign w:val="center"/>
          </w:tcPr>
          <w:p w14:paraId="6BB7D334">
            <w:pPr>
              <w:keepNext w:val="0"/>
              <w:keepLines w:val="0"/>
              <w:widowControl w:val="0"/>
              <w:suppressLineNumbers w:val="0"/>
              <w:shd w:val="clear" w:color="auto" w:fill="auto"/>
              <w:spacing w:before="0" w:beforeAutospacing="0" w:after="0" w:afterAutospacing="0" w:line="240" w:lineRule="auto"/>
              <w:ind w:left="0" w:right="0"/>
              <w:jc w:val="left"/>
              <w:textAlignment w:val="center"/>
              <w:rPr>
                <w:rFonts w:hint="eastAsia" w:ascii="宋体" w:hAnsi="宋体" w:eastAsia="宋体" w:cs="宋体"/>
                <w:bCs/>
                <w:snapToGrid w:val="0"/>
                <w:color w:val="auto"/>
                <w:kern w:val="0"/>
                <w:sz w:val="24"/>
                <w:szCs w:val="24"/>
                <w:highlight w:val="none"/>
                <w:lang w:val="en-US" w:eastAsia="zh-CN"/>
              </w:rPr>
            </w:pPr>
            <w:r>
              <w:rPr>
                <w:rFonts w:hint="eastAsia" w:ascii="宋体" w:hAnsi="宋体" w:eastAsia="宋体" w:cs="宋体"/>
                <w:bCs/>
                <w:snapToGrid w:val="0"/>
                <w:color w:val="auto"/>
                <w:kern w:val="0"/>
                <w:sz w:val="24"/>
                <w:szCs w:val="24"/>
                <w:highlight w:val="none"/>
                <w:lang w:val="en-US" w:eastAsia="zh-CN"/>
              </w:rPr>
              <w:t>投标人须上传（递交）投标文件：</w:t>
            </w:r>
          </w:p>
          <w:p w14:paraId="6AA0AD71">
            <w:pPr>
              <w:keepNext w:val="0"/>
              <w:keepLines w:val="0"/>
              <w:widowControl w:val="0"/>
              <w:suppressLineNumbers w:val="0"/>
              <w:shd w:val="clear" w:color="auto" w:fill="auto"/>
              <w:spacing w:before="0" w:beforeAutospacing="0" w:after="0" w:afterAutospacing="0" w:line="240" w:lineRule="auto"/>
              <w:ind w:left="0" w:right="0"/>
              <w:jc w:val="left"/>
              <w:textAlignment w:val="center"/>
              <w:rPr>
                <w:rFonts w:hint="eastAsia" w:ascii="宋体" w:hAnsi="宋体" w:eastAsia="宋体" w:cs="宋体"/>
                <w:bCs/>
                <w:snapToGrid w:val="0"/>
                <w:color w:val="auto"/>
                <w:kern w:val="0"/>
                <w:sz w:val="24"/>
                <w:szCs w:val="24"/>
                <w:highlight w:val="none"/>
                <w:lang w:val="en-US" w:eastAsia="zh-CN"/>
              </w:rPr>
            </w:pPr>
            <w:r>
              <w:rPr>
                <w:rFonts w:hint="eastAsia" w:hAnsi="宋体" w:eastAsia="宋体" w:cs="宋体"/>
                <w:bCs/>
                <w:snapToGrid w:val="0"/>
                <w:color w:val="auto"/>
                <w:kern w:val="0"/>
                <w:sz w:val="24"/>
                <w:szCs w:val="24"/>
                <w:highlight w:val="none"/>
                <w:lang w:val="en-US" w:eastAsia="zh-CN"/>
              </w:rPr>
              <w:t>1.</w:t>
            </w:r>
            <w:r>
              <w:rPr>
                <w:rFonts w:hint="eastAsia" w:ascii="宋体" w:hAnsi="宋体" w:eastAsia="宋体" w:cs="宋体"/>
                <w:bCs/>
                <w:snapToGrid w:val="0"/>
                <w:color w:val="auto"/>
                <w:kern w:val="0"/>
                <w:sz w:val="24"/>
                <w:szCs w:val="24"/>
                <w:highlight w:val="none"/>
                <w:lang w:val="en-US" w:eastAsia="zh-CN"/>
              </w:rPr>
              <w:t>电子投标文件一套：</w:t>
            </w:r>
          </w:p>
          <w:p w14:paraId="1D89F77C">
            <w:pPr>
              <w:keepNext w:val="0"/>
              <w:keepLines w:val="0"/>
              <w:widowControl w:val="0"/>
              <w:suppressLineNumbers w:val="0"/>
              <w:shd w:val="clear" w:color="auto" w:fill="auto"/>
              <w:spacing w:before="0" w:beforeAutospacing="0" w:after="0" w:afterAutospacing="0" w:line="240" w:lineRule="auto"/>
              <w:ind w:left="0" w:right="0"/>
              <w:jc w:val="left"/>
              <w:textAlignment w:val="center"/>
              <w:rPr>
                <w:rFonts w:hint="eastAsia" w:ascii="宋体" w:hAnsi="宋体" w:eastAsia="宋体" w:cs="宋体"/>
                <w:bCs/>
                <w:snapToGrid w:val="0"/>
                <w:color w:val="auto"/>
                <w:kern w:val="0"/>
                <w:sz w:val="24"/>
                <w:szCs w:val="24"/>
                <w:highlight w:val="none"/>
                <w:lang w:val="en-US" w:eastAsia="zh-CN"/>
              </w:rPr>
            </w:pPr>
            <w:r>
              <w:rPr>
                <w:rFonts w:hint="eastAsia" w:ascii="宋体" w:hAnsi="宋体" w:eastAsia="宋体" w:cs="宋体"/>
                <w:bCs/>
                <w:snapToGrid w:val="0"/>
                <w:color w:val="auto"/>
                <w:kern w:val="0"/>
                <w:sz w:val="24"/>
                <w:szCs w:val="24"/>
                <w:highlight w:val="none"/>
                <w:lang w:val="en-US" w:eastAsia="zh-CN"/>
              </w:rPr>
              <w:t>（1）商务经济标书1份；</w:t>
            </w:r>
          </w:p>
          <w:p w14:paraId="171AE6CF">
            <w:pPr>
              <w:keepNext w:val="0"/>
              <w:keepLines w:val="0"/>
              <w:widowControl w:val="0"/>
              <w:suppressLineNumbers w:val="0"/>
              <w:shd w:val="clear" w:color="auto" w:fill="auto"/>
              <w:spacing w:before="0" w:beforeAutospacing="0" w:after="0" w:afterAutospacing="0" w:line="240" w:lineRule="auto"/>
              <w:ind w:left="0" w:right="0"/>
              <w:jc w:val="left"/>
              <w:textAlignment w:val="center"/>
              <w:rPr>
                <w:rFonts w:hint="eastAsia" w:ascii="宋体" w:hAnsi="宋体" w:eastAsia="宋体" w:cs="宋体"/>
                <w:bCs/>
                <w:snapToGrid w:val="0"/>
                <w:color w:val="auto"/>
                <w:kern w:val="0"/>
                <w:sz w:val="24"/>
                <w:szCs w:val="24"/>
                <w:highlight w:val="none"/>
                <w:lang w:val="en-US" w:eastAsia="zh-CN"/>
              </w:rPr>
            </w:pPr>
            <w:r>
              <w:rPr>
                <w:rFonts w:hint="eastAsia" w:ascii="宋体" w:hAnsi="宋体" w:eastAsia="宋体" w:cs="宋体"/>
                <w:bCs/>
                <w:snapToGrid w:val="0"/>
                <w:color w:val="auto"/>
                <w:kern w:val="0"/>
                <w:sz w:val="24"/>
                <w:szCs w:val="24"/>
                <w:highlight w:val="none"/>
                <w:lang w:val="en-US" w:eastAsia="zh-CN"/>
              </w:rPr>
              <w:t xml:space="preserve">（2）技术标书1份； </w:t>
            </w:r>
          </w:p>
          <w:p w14:paraId="0A957BDC">
            <w:pPr>
              <w:keepNext w:val="0"/>
              <w:keepLines w:val="0"/>
              <w:widowControl w:val="0"/>
              <w:suppressLineNumbers w:val="0"/>
              <w:shd w:val="clear" w:color="auto" w:fill="auto"/>
              <w:spacing w:before="0" w:beforeAutospacing="0" w:after="0" w:afterAutospacing="0" w:line="240" w:lineRule="auto"/>
              <w:ind w:left="0" w:right="0"/>
              <w:jc w:val="left"/>
              <w:textAlignment w:val="center"/>
              <w:rPr>
                <w:rFonts w:hint="eastAsia" w:ascii="宋体" w:hAnsi="宋体" w:eastAsia="宋体" w:cs="宋体"/>
                <w:bCs/>
                <w:snapToGrid w:val="0"/>
                <w:color w:val="auto"/>
                <w:kern w:val="0"/>
                <w:sz w:val="24"/>
                <w:szCs w:val="24"/>
                <w:highlight w:val="none"/>
                <w:lang w:val="en-US" w:eastAsia="zh-CN"/>
              </w:rPr>
            </w:pPr>
            <w:r>
              <w:rPr>
                <w:rFonts w:hint="eastAsia" w:ascii="宋体" w:hAnsi="宋体" w:eastAsia="宋体" w:cs="宋体"/>
                <w:bCs/>
                <w:snapToGrid w:val="0"/>
                <w:color w:val="auto"/>
                <w:kern w:val="0"/>
                <w:sz w:val="24"/>
                <w:szCs w:val="24"/>
                <w:highlight w:val="none"/>
                <w:lang w:val="en-US" w:eastAsia="zh-CN"/>
              </w:rPr>
              <w:t>（3）定标文件1份；</w:t>
            </w:r>
          </w:p>
          <w:p w14:paraId="4DD55A31">
            <w:pPr>
              <w:keepNext w:val="0"/>
              <w:keepLines w:val="0"/>
              <w:widowControl w:val="0"/>
              <w:suppressLineNumbers w:val="0"/>
              <w:shd w:val="clear" w:color="auto" w:fill="auto"/>
              <w:spacing w:before="0" w:beforeAutospacing="0" w:after="0" w:afterAutospacing="0" w:line="240" w:lineRule="auto"/>
              <w:ind w:left="0" w:right="0"/>
              <w:jc w:val="left"/>
              <w:textAlignment w:val="center"/>
              <w:rPr>
                <w:rFonts w:hint="eastAsia" w:ascii="宋体" w:hAnsi="宋体" w:eastAsia="宋体" w:cs="宋体"/>
                <w:bCs/>
                <w:snapToGrid w:val="0"/>
                <w:color w:val="auto"/>
                <w:kern w:val="0"/>
                <w:sz w:val="24"/>
                <w:szCs w:val="24"/>
                <w:highlight w:val="none"/>
                <w:lang w:val="en-US" w:eastAsia="zh-CN"/>
              </w:rPr>
            </w:pPr>
            <w:r>
              <w:rPr>
                <w:rFonts w:hint="eastAsia" w:hAnsi="宋体" w:eastAsia="宋体" w:cs="宋体"/>
                <w:bCs/>
                <w:snapToGrid w:val="0"/>
                <w:color w:val="auto"/>
                <w:kern w:val="0"/>
                <w:sz w:val="24"/>
                <w:szCs w:val="24"/>
                <w:highlight w:val="none"/>
                <w:lang w:val="en-US" w:eastAsia="zh-CN"/>
              </w:rPr>
              <w:t>2.</w:t>
            </w:r>
            <w:r>
              <w:rPr>
                <w:rFonts w:hint="eastAsia" w:ascii="宋体" w:hAnsi="宋体" w:eastAsia="宋体" w:cs="宋体"/>
                <w:bCs/>
                <w:snapToGrid w:val="0"/>
                <w:color w:val="auto"/>
                <w:kern w:val="0"/>
                <w:sz w:val="24"/>
                <w:szCs w:val="24"/>
                <w:highlight w:val="none"/>
                <w:lang w:val="en-US" w:eastAsia="zh-CN"/>
              </w:rPr>
              <w:t>对应评审要求的分项响应文件（如有）。</w:t>
            </w:r>
          </w:p>
          <w:p w14:paraId="606AD799">
            <w:pPr>
              <w:keepNext w:val="0"/>
              <w:keepLines w:val="0"/>
              <w:pageBreakBefore w:val="0"/>
              <w:widowControl w:val="0"/>
              <w:suppressLineNumbers w:val="0"/>
              <w:shd w:val="clear" w:color="auto" w:fill="auto"/>
              <w:kinsoku/>
              <w:wordWrap w:val="0"/>
              <w:overflowPunct/>
              <w:topLinePunct/>
              <w:autoSpaceDE/>
              <w:autoSpaceDN/>
              <w:bidi w:val="0"/>
              <w:adjustRightInd/>
              <w:snapToGrid/>
              <w:spacing w:before="0" w:beforeAutospacing="0" w:after="0" w:afterAutospacing="0" w:line="240" w:lineRule="auto"/>
              <w:ind w:left="0" w:right="0"/>
              <w:jc w:val="left"/>
              <w:textAlignment w:val="center"/>
              <w:rPr>
                <w:rFonts w:hint="eastAsia" w:ascii="宋体" w:hAnsi="宋体" w:eastAsia="宋体" w:cs="宋体"/>
                <w:bCs/>
                <w:snapToGrid w:val="0"/>
                <w:color w:val="auto"/>
                <w:kern w:val="0"/>
                <w:sz w:val="24"/>
                <w:szCs w:val="24"/>
                <w:highlight w:val="none"/>
                <w:lang w:val="en-US" w:eastAsia="zh-CN"/>
              </w:rPr>
            </w:pPr>
            <w:r>
              <w:rPr>
                <w:rFonts w:hint="eastAsia" w:ascii="宋体" w:hAnsi="宋体" w:eastAsia="宋体" w:cs="宋体"/>
                <w:bCs/>
                <w:snapToGrid w:val="0"/>
                <w:color w:val="auto"/>
                <w:kern w:val="0"/>
                <w:sz w:val="24"/>
                <w:szCs w:val="24"/>
                <w:highlight w:val="none"/>
                <w:lang w:val="en-US" w:eastAsia="zh-CN"/>
              </w:rPr>
              <w:t>投标文件全部采用电子文档，投标文件所附证书证件均为原件扫描件，并采用单位数字证书，按招标文件要求在相应位置加盖电子印章。投标文件中需个人签字或盖章的，应加盖个人电子印章或在线下完成后扫描上传。按照交易平台关于全流程电子化项目的相关指南进行操作。详见全国公共资源交易平台（广东省·韶关市）（https://ygp.gdzwfw.gov.cn/ggzy-portal/#/440200/index）交易指引。</w:t>
            </w:r>
          </w:p>
          <w:p w14:paraId="5F441317">
            <w:pPr>
              <w:keepNext w:val="0"/>
              <w:keepLines w:val="0"/>
              <w:widowControl w:val="0"/>
              <w:suppressLineNumbers w:val="0"/>
              <w:shd w:val="clear" w:color="auto" w:fill="auto"/>
              <w:spacing w:before="0" w:beforeAutospacing="0" w:after="0" w:afterAutospacing="0" w:line="240" w:lineRule="auto"/>
              <w:ind w:left="0" w:right="0"/>
              <w:jc w:val="left"/>
              <w:textAlignment w:val="center"/>
              <w:rPr>
                <w:rFonts w:hint="eastAsia" w:ascii="宋体" w:hAnsi="宋体" w:eastAsia="宋体" w:cs="宋体"/>
                <w:color w:val="auto"/>
                <w:sz w:val="24"/>
                <w:szCs w:val="24"/>
                <w:highlight w:val="none"/>
              </w:rPr>
            </w:pPr>
            <w:r>
              <w:rPr>
                <w:rFonts w:hint="eastAsia" w:ascii="宋体" w:hAnsi="宋体" w:eastAsia="宋体" w:cs="宋体"/>
                <w:bCs/>
                <w:snapToGrid w:val="0"/>
                <w:color w:val="auto"/>
                <w:kern w:val="0"/>
                <w:sz w:val="24"/>
                <w:szCs w:val="24"/>
                <w:highlight w:val="none"/>
                <w:lang w:val="en-US" w:eastAsia="zh-CN"/>
              </w:rPr>
              <w:t>注：投标人被确定为中标人后，应从交易系统打印</w:t>
            </w:r>
            <w:r>
              <w:rPr>
                <w:rFonts w:hint="eastAsia" w:hAnsi="宋体" w:eastAsia="宋体" w:cs="宋体"/>
                <w:bCs/>
                <w:snapToGrid w:val="0"/>
                <w:color w:val="auto"/>
                <w:kern w:val="0"/>
                <w:sz w:val="24"/>
                <w:szCs w:val="24"/>
                <w:highlight w:val="none"/>
                <w:lang w:val="en-US" w:eastAsia="zh-CN"/>
              </w:rPr>
              <w:t>两套</w:t>
            </w:r>
            <w:r>
              <w:rPr>
                <w:rFonts w:hint="eastAsia" w:ascii="宋体" w:hAnsi="宋体" w:eastAsia="宋体" w:cs="宋体"/>
                <w:bCs/>
                <w:snapToGrid w:val="0"/>
                <w:color w:val="auto"/>
                <w:kern w:val="0"/>
                <w:sz w:val="24"/>
                <w:szCs w:val="24"/>
                <w:highlight w:val="none"/>
                <w:lang w:val="en-US" w:eastAsia="zh-CN"/>
              </w:rPr>
              <w:t>纸质投标文件（含签名盖章页），内容同电子投标文件，在签订本招标项目承包合同前分别提交给招标人和招标管理部门（除招标文件约定外，纸质标书须与电子标书一致，不一致的以电子标书为准）。</w:t>
            </w:r>
          </w:p>
        </w:tc>
      </w:tr>
      <w:tr w14:paraId="25FE0182">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967" w:hRule="atLeast"/>
          <w:jc w:val="center"/>
        </w:trPr>
        <w:tc>
          <w:tcPr>
            <w:tcW w:w="608" w:type="dxa"/>
            <w:tcBorders>
              <w:top w:val="single" w:color="auto" w:sz="4" w:space="0"/>
              <w:left w:val="single" w:color="auto" w:sz="4" w:space="0"/>
              <w:bottom w:val="single" w:color="auto" w:sz="4" w:space="0"/>
              <w:right w:val="single" w:color="auto" w:sz="4" w:space="0"/>
            </w:tcBorders>
            <w:vAlign w:val="center"/>
          </w:tcPr>
          <w:p w14:paraId="6D562910">
            <w:pPr>
              <w:pStyle w:val="8"/>
              <w:keepNext w:val="0"/>
              <w:keepLines w:val="0"/>
              <w:pageBreakBefore w:val="0"/>
              <w:widowControl w:val="0"/>
              <w:numPr>
                <w:ilvl w:val="0"/>
                <w:numId w:val="1"/>
              </w:numPr>
              <w:suppressLineNumbers w:val="0"/>
              <w:kinsoku/>
              <w:wordWrap/>
              <w:overflowPunct/>
              <w:topLinePunct w:val="0"/>
              <w:autoSpaceDE/>
              <w:autoSpaceDN/>
              <w:bidi w:val="0"/>
              <w:adjustRightInd/>
              <w:snapToGrid/>
              <w:spacing w:before="0" w:beforeAutospacing="0" w:after="0" w:afterAutospacing="0" w:line="240" w:lineRule="auto"/>
              <w:ind w:left="425" w:leftChars="0" w:right="0" w:hanging="425" w:firstLineChars="0"/>
              <w:jc w:val="center"/>
              <w:textAlignment w:val="auto"/>
              <w:rPr>
                <w:rFonts w:hint="eastAsia" w:ascii="宋体" w:hAnsi="宋体" w:eastAsia="宋体" w:cs="宋体"/>
                <w:color w:val="auto"/>
                <w:sz w:val="24"/>
                <w:szCs w:val="24"/>
                <w:highlight w:val="none"/>
                <w:lang w:eastAsia="zh-CN"/>
              </w:rPr>
            </w:pPr>
          </w:p>
        </w:tc>
        <w:tc>
          <w:tcPr>
            <w:tcW w:w="2014" w:type="dxa"/>
            <w:tcBorders>
              <w:top w:val="single" w:color="auto" w:sz="4" w:space="0"/>
              <w:left w:val="single" w:color="auto" w:sz="4" w:space="0"/>
              <w:bottom w:val="single" w:color="auto" w:sz="4" w:space="0"/>
              <w:right w:val="single" w:color="auto" w:sz="4" w:space="0"/>
            </w:tcBorders>
            <w:vAlign w:val="center"/>
          </w:tcPr>
          <w:p w14:paraId="3D1667D7">
            <w:pPr>
              <w:pStyle w:val="8"/>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评标委员会</w:t>
            </w:r>
          </w:p>
        </w:tc>
        <w:tc>
          <w:tcPr>
            <w:tcW w:w="7473" w:type="dxa"/>
            <w:tcBorders>
              <w:top w:val="single" w:color="auto" w:sz="4" w:space="0"/>
              <w:left w:val="single" w:color="auto" w:sz="4" w:space="0"/>
              <w:bottom w:val="single" w:color="auto" w:sz="4" w:space="0"/>
              <w:right w:val="single" w:color="auto" w:sz="4" w:space="0"/>
            </w:tcBorders>
            <w:vAlign w:val="center"/>
          </w:tcPr>
          <w:p w14:paraId="06CEE3ED">
            <w:pPr>
              <w:pStyle w:val="8"/>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48" w:leftChars="20" w:right="48" w:rightChars="20" w:firstLine="480" w:firstLineChars="200"/>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eastAsia="zh-CN"/>
              </w:rPr>
              <w:t>根据《</w:t>
            </w:r>
            <w:r>
              <w:rPr>
                <w:rFonts w:hint="eastAsia" w:ascii="宋体" w:hAnsi="宋体" w:eastAsia="宋体" w:cs="宋体"/>
                <w:color w:val="auto"/>
                <w:sz w:val="24"/>
                <w:szCs w:val="24"/>
                <w:highlight w:val="none"/>
                <w:lang w:val="en-US" w:eastAsia="zh-CN"/>
              </w:rPr>
              <w:t>广东省发展和改革委员会等部门关于印发广东省远程异地评标招标项目范围规定（试行）的通知</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lang w:val="en-US" w:eastAsia="zh-CN"/>
              </w:rPr>
              <w:t>粤发改规〔2026〕8号</w:t>
            </w:r>
            <w:r>
              <w:rPr>
                <w:rFonts w:hint="eastAsia" w:ascii="宋体" w:hAnsi="宋体" w:eastAsia="宋体" w:cs="宋体"/>
                <w:color w:val="auto"/>
                <w:sz w:val="24"/>
                <w:szCs w:val="24"/>
                <w:highlight w:val="none"/>
                <w:lang w:eastAsia="zh-CN"/>
              </w:rPr>
              <w:t>）文件要求，</w:t>
            </w:r>
            <w:r>
              <w:rPr>
                <w:rFonts w:hint="eastAsia" w:ascii="宋体" w:hAnsi="宋体" w:eastAsia="宋体" w:cs="宋体"/>
                <w:color w:val="auto"/>
                <w:sz w:val="24"/>
                <w:szCs w:val="24"/>
                <w:highlight w:val="none"/>
              </w:rPr>
              <w:t>采用异地评审方式</w:t>
            </w:r>
            <w:r>
              <w:rPr>
                <w:rFonts w:hint="eastAsia" w:ascii="宋体" w:hAnsi="宋体" w:eastAsia="宋体" w:cs="宋体"/>
                <w:color w:val="auto"/>
                <w:sz w:val="24"/>
                <w:szCs w:val="24"/>
                <w:highlight w:val="none"/>
                <w:lang w:eastAsia="zh-CN"/>
              </w:rPr>
              <w:t>（注：远程异地评标的项目，主场、副场评标专家抽取</w:t>
            </w:r>
            <w:r>
              <w:rPr>
                <w:rFonts w:hint="eastAsia" w:ascii="宋体" w:hAnsi="宋体" w:eastAsia="宋体" w:cs="宋体"/>
                <w:color w:val="auto"/>
                <w:sz w:val="24"/>
                <w:szCs w:val="24"/>
                <w:highlight w:val="none"/>
                <w:lang w:val="en-US" w:eastAsia="zh-CN"/>
              </w:rPr>
              <w:t>按相关文件规定）。</w:t>
            </w:r>
          </w:p>
          <w:p w14:paraId="7E90BB78">
            <w:pPr>
              <w:pStyle w:val="8"/>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48" w:leftChars="20" w:right="48" w:rightChars="20"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评标委员会由 </w:t>
            </w:r>
            <w:r>
              <w:rPr>
                <w:rFonts w:hint="eastAsia" w:ascii="宋体" w:hAnsi="宋体" w:eastAsia="宋体" w:cs="宋体"/>
                <w:color w:val="auto"/>
                <w:sz w:val="24"/>
                <w:szCs w:val="24"/>
                <w:highlight w:val="none"/>
                <w:lang w:val="en-US" w:eastAsia="zh-CN"/>
              </w:rPr>
              <w:t>5</w:t>
            </w:r>
            <w:r>
              <w:rPr>
                <w:rFonts w:hint="eastAsia" w:ascii="宋体" w:hAnsi="宋体" w:eastAsia="宋体" w:cs="宋体"/>
                <w:color w:val="auto"/>
                <w:sz w:val="24"/>
                <w:szCs w:val="24"/>
                <w:highlight w:val="none"/>
              </w:rPr>
              <w:t>人组成，其中招标人代表</w:t>
            </w:r>
            <w:r>
              <w:rPr>
                <w:rFonts w:hint="eastAsia" w:ascii="宋体" w:hAnsi="宋体" w:eastAsia="宋体" w:cs="宋体"/>
                <w:color w:val="auto"/>
                <w:sz w:val="24"/>
                <w:szCs w:val="24"/>
                <w:highlight w:val="none"/>
                <w:lang w:val="en-US" w:eastAsia="zh-CN"/>
              </w:rPr>
              <w:t xml:space="preserve"> </w:t>
            </w:r>
            <w:r>
              <w:rPr>
                <w:rFonts w:hint="eastAsia" w:ascii="宋体" w:hAnsi="宋体" w:eastAsia="宋体" w:cs="宋体"/>
                <w:color w:val="auto"/>
                <w:sz w:val="24"/>
                <w:szCs w:val="24"/>
                <w:highlight w:val="none"/>
              </w:rPr>
              <w:t>0人，专家</w:t>
            </w:r>
            <w:r>
              <w:rPr>
                <w:rFonts w:hint="eastAsia" w:ascii="宋体" w:hAnsi="宋体" w:eastAsia="宋体" w:cs="宋体"/>
                <w:color w:val="auto"/>
                <w:sz w:val="24"/>
                <w:szCs w:val="24"/>
                <w:highlight w:val="none"/>
                <w:lang w:val="en-US" w:eastAsia="zh-CN"/>
              </w:rPr>
              <w:t xml:space="preserve"> 5</w:t>
            </w:r>
            <w:r>
              <w:rPr>
                <w:rFonts w:hint="eastAsia" w:ascii="宋体" w:hAnsi="宋体" w:eastAsia="宋体" w:cs="宋体"/>
                <w:color w:val="auto"/>
                <w:sz w:val="24"/>
                <w:szCs w:val="24"/>
                <w:highlight w:val="none"/>
              </w:rPr>
              <w:t>人。专家依法从广东省综合评标评审专家库-韶关</w:t>
            </w:r>
            <w:r>
              <w:rPr>
                <w:rFonts w:hint="eastAsia" w:ascii="宋体" w:hAnsi="宋体" w:eastAsia="宋体" w:cs="宋体"/>
                <w:color w:val="auto"/>
                <w:sz w:val="24"/>
                <w:szCs w:val="24"/>
                <w:highlight w:val="none"/>
                <w:lang w:val="en-US" w:eastAsia="zh-CN"/>
              </w:rPr>
              <w:t>区域</w:t>
            </w:r>
            <w:r>
              <w:rPr>
                <w:rFonts w:hint="eastAsia" w:ascii="宋体" w:hAnsi="宋体" w:eastAsia="宋体" w:cs="宋体"/>
                <w:color w:val="auto"/>
                <w:sz w:val="24"/>
                <w:szCs w:val="24"/>
                <w:highlight w:val="none"/>
              </w:rPr>
              <w:t>及</w:t>
            </w:r>
            <w:r>
              <w:rPr>
                <w:rFonts w:hint="eastAsia" w:hAnsi="宋体" w:eastAsia="宋体" w:cs="宋体"/>
                <w:color w:val="auto"/>
                <w:sz w:val="24"/>
                <w:szCs w:val="24"/>
                <w:highlight w:val="none"/>
                <w:u w:val="single"/>
                <w:lang w:val="en-US" w:eastAsia="zh-CN"/>
              </w:rPr>
              <w:t>某</w:t>
            </w:r>
            <w:r>
              <w:rPr>
                <w:rFonts w:hint="eastAsia" w:ascii="宋体" w:hAnsi="宋体" w:eastAsia="宋体" w:cs="宋体"/>
                <w:color w:val="auto"/>
                <w:sz w:val="24"/>
                <w:szCs w:val="24"/>
                <w:highlight w:val="none"/>
                <w:u w:val="single"/>
              </w:rPr>
              <w:t>区域</w:t>
            </w:r>
            <w:r>
              <w:rPr>
                <w:rFonts w:hint="eastAsia" w:ascii="宋体" w:hAnsi="宋体" w:eastAsia="宋体" w:cs="宋体"/>
                <w:color w:val="auto"/>
                <w:sz w:val="24"/>
                <w:szCs w:val="24"/>
                <w:highlight w:val="none"/>
              </w:rPr>
              <w:t>随机抽取，其中技术类专家</w:t>
            </w:r>
            <w:r>
              <w:rPr>
                <w:rFonts w:hint="eastAsia" w:ascii="宋体" w:hAnsi="宋体" w:eastAsia="宋体" w:cs="宋体"/>
                <w:color w:val="auto"/>
                <w:sz w:val="24"/>
                <w:szCs w:val="24"/>
                <w:highlight w:val="none"/>
                <w:lang w:val="en-US" w:eastAsia="zh-CN"/>
              </w:rPr>
              <w:t>3</w:t>
            </w:r>
            <w:r>
              <w:rPr>
                <w:rFonts w:hint="eastAsia" w:ascii="宋体" w:hAnsi="宋体" w:eastAsia="宋体" w:cs="宋体"/>
                <w:color w:val="auto"/>
                <w:sz w:val="24"/>
                <w:szCs w:val="24"/>
                <w:highlight w:val="none"/>
              </w:rPr>
              <w:t>人，经济类专家 2人。</w:t>
            </w:r>
          </w:p>
        </w:tc>
      </w:tr>
      <w:tr w14:paraId="21E7FC7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456" w:hRule="atLeast"/>
          <w:jc w:val="center"/>
        </w:trPr>
        <w:tc>
          <w:tcPr>
            <w:tcW w:w="608" w:type="dxa"/>
            <w:tcBorders>
              <w:top w:val="single" w:color="auto" w:sz="4" w:space="0"/>
              <w:left w:val="single" w:color="auto" w:sz="4" w:space="0"/>
              <w:bottom w:val="single" w:color="auto" w:sz="4" w:space="0"/>
              <w:right w:val="single" w:color="auto" w:sz="4" w:space="0"/>
            </w:tcBorders>
            <w:vAlign w:val="center"/>
          </w:tcPr>
          <w:p w14:paraId="60B7FB8D">
            <w:pPr>
              <w:pStyle w:val="8"/>
              <w:keepNext w:val="0"/>
              <w:keepLines w:val="0"/>
              <w:pageBreakBefore w:val="0"/>
              <w:widowControl w:val="0"/>
              <w:numPr>
                <w:ilvl w:val="0"/>
                <w:numId w:val="1"/>
              </w:numPr>
              <w:suppressLineNumbers w:val="0"/>
              <w:kinsoku/>
              <w:wordWrap/>
              <w:overflowPunct/>
              <w:topLinePunct w:val="0"/>
              <w:autoSpaceDE/>
              <w:autoSpaceDN/>
              <w:bidi w:val="0"/>
              <w:adjustRightInd/>
              <w:snapToGrid/>
              <w:spacing w:before="0" w:beforeAutospacing="0" w:after="0" w:afterAutospacing="0" w:line="240" w:lineRule="auto"/>
              <w:ind w:left="425" w:leftChars="0" w:right="0" w:hanging="425" w:firstLineChars="0"/>
              <w:jc w:val="center"/>
              <w:textAlignment w:val="auto"/>
              <w:rPr>
                <w:rFonts w:hint="eastAsia" w:ascii="宋体" w:hAnsi="宋体" w:eastAsia="宋体" w:cs="宋体"/>
                <w:color w:val="auto"/>
                <w:sz w:val="24"/>
                <w:szCs w:val="24"/>
                <w:highlight w:val="none"/>
              </w:rPr>
            </w:pPr>
          </w:p>
        </w:tc>
        <w:tc>
          <w:tcPr>
            <w:tcW w:w="2014" w:type="dxa"/>
            <w:tcBorders>
              <w:top w:val="single" w:color="auto" w:sz="4" w:space="0"/>
              <w:left w:val="single" w:color="auto" w:sz="4" w:space="0"/>
              <w:bottom w:val="single" w:color="auto" w:sz="4" w:space="0"/>
              <w:right w:val="single" w:color="auto" w:sz="4" w:space="0"/>
            </w:tcBorders>
            <w:vAlign w:val="center"/>
          </w:tcPr>
          <w:p w14:paraId="1570D2AD">
            <w:pPr>
              <w:pStyle w:val="8"/>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评标方法</w:t>
            </w:r>
          </w:p>
        </w:tc>
        <w:tc>
          <w:tcPr>
            <w:tcW w:w="7473" w:type="dxa"/>
            <w:tcBorders>
              <w:top w:val="single" w:color="auto" w:sz="4" w:space="0"/>
              <w:left w:val="single" w:color="auto" w:sz="4" w:space="0"/>
              <w:bottom w:val="single" w:color="auto" w:sz="4" w:space="0"/>
              <w:right w:val="single" w:color="auto" w:sz="4" w:space="0"/>
            </w:tcBorders>
            <w:vAlign w:val="center"/>
          </w:tcPr>
          <w:p w14:paraId="274D6717">
            <w:pPr>
              <w:pStyle w:val="8"/>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48" w:leftChars="20" w:right="48" w:rightChars="20"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综合评估法</w:t>
            </w:r>
          </w:p>
        </w:tc>
      </w:tr>
      <w:tr w14:paraId="57BA733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456" w:hRule="atLeast"/>
          <w:jc w:val="center"/>
        </w:trPr>
        <w:tc>
          <w:tcPr>
            <w:tcW w:w="608" w:type="dxa"/>
            <w:tcBorders>
              <w:top w:val="single" w:color="auto" w:sz="4" w:space="0"/>
              <w:left w:val="single" w:color="auto" w:sz="4" w:space="0"/>
              <w:bottom w:val="single" w:color="auto" w:sz="4" w:space="0"/>
              <w:right w:val="single" w:color="auto" w:sz="4" w:space="0"/>
            </w:tcBorders>
            <w:vAlign w:val="center"/>
          </w:tcPr>
          <w:p w14:paraId="326E1CBF">
            <w:pPr>
              <w:pStyle w:val="8"/>
              <w:keepNext w:val="0"/>
              <w:keepLines w:val="0"/>
              <w:pageBreakBefore w:val="0"/>
              <w:widowControl w:val="0"/>
              <w:numPr>
                <w:ilvl w:val="0"/>
                <w:numId w:val="1"/>
              </w:numPr>
              <w:suppressLineNumbers w:val="0"/>
              <w:kinsoku/>
              <w:wordWrap/>
              <w:overflowPunct/>
              <w:topLinePunct w:val="0"/>
              <w:autoSpaceDE/>
              <w:autoSpaceDN/>
              <w:bidi w:val="0"/>
              <w:adjustRightInd/>
              <w:snapToGrid/>
              <w:spacing w:before="0" w:beforeAutospacing="0" w:after="0" w:afterAutospacing="0" w:line="240" w:lineRule="auto"/>
              <w:ind w:left="425" w:leftChars="0" w:right="0" w:hanging="425" w:firstLineChars="0"/>
              <w:jc w:val="center"/>
              <w:textAlignment w:val="auto"/>
              <w:rPr>
                <w:rFonts w:hint="eastAsia" w:ascii="宋体" w:hAnsi="宋体" w:eastAsia="宋体" w:cs="宋体"/>
                <w:color w:val="auto"/>
                <w:sz w:val="24"/>
                <w:szCs w:val="24"/>
                <w:highlight w:val="none"/>
              </w:rPr>
            </w:pPr>
          </w:p>
        </w:tc>
        <w:tc>
          <w:tcPr>
            <w:tcW w:w="2014" w:type="dxa"/>
            <w:tcBorders>
              <w:top w:val="single" w:color="auto" w:sz="4" w:space="0"/>
              <w:left w:val="single" w:color="auto" w:sz="4" w:space="0"/>
              <w:bottom w:val="single" w:color="auto" w:sz="4" w:space="0"/>
              <w:right w:val="single" w:color="auto" w:sz="4" w:space="0"/>
            </w:tcBorders>
            <w:vAlign w:val="center"/>
          </w:tcPr>
          <w:p w14:paraId="485E8E3A">
            <w:pPr>
              <w:pStyle w:val="8"/>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eastAsia="zh-CN"/>
              </w:rPr>
              <w:t>定</w:t>
            </w:r>
            <w:r>
              <w:rPr>
                <w:rFonts w:hint="eastAsia" w:ascii="宋体" w:hAnsi="宋体" w:eastAsia="宋体" w:cs="宋体"/>
                <w:color w:val="auto"/>
                <w:sz w:val="24"/>
                <w:szCs w:val="24"/>
                <w:highlight w:val="none"/>
              </w:rPr>
              <w:t>标委员会</w:t>
            </w:r>
          </w:p>
        </w:tc>
        <w:tc>
          <w:tcPr>
            <w:tcW w:w="7473" w:type="dxa"/>
            <w:tcBorders>
              <w:top w:val="single" w:color="auto" w:sz="4" w:space="0"/>
              <w:left w:val="single" w:color="auto" w:sz="4" w:space="0"/>
              <w:bottom w:val="single" w:color="auto" w:sz="4" w:space="0"/>
              <w:right w:val="single" w:color="auto" w:sz="4" w:space="0"/>
            </w:tcBorders>
            <w:vAlign w:val="center"/>
          </w:tcPr>
          <w:p w14:paraId="1EE201C6">
            <w:pPr>
              <w:pStyle w:val="8"/>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48" w:leftChars="20" w:right="48" w:rightChars="20"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本</w:t>
            </w:r>
            <w:r>
              <w:rPr>
                <w:rFonts w:hint="eastAsia" w:ascii="宋体" w:hAnsi="宋体" w:eastAsia="宋体" w:cs="宋体"/>
                <w:color w:val="auto"/>
                <w:sz w:val="24"/>
                <w:szCs w:val="24"/>
                <w:highlight w:val="none"/>
                <w:lang w:eastAsia="zh-CN"/>
              </w:rPr>
              <w:t>项目</w:t>
            </w:r>
            <w:r>
              <w:rPr>
                <w:rFonts w:hint="eastAsia" w:ascii="宋体" w:hAnsi="宋体" w:eastAsia="宋体" w:cs="宋体"/>
                <w:color w:val="auto"/>
                <w:sz w:val="24"/>
                <w:szCs w:val="24"/>
                <w:highlight w:val="none"/>
              </w:rPr>
              <w:t>定标委员会</w:t>
            </w:r>
            <w:r>
              <w:rPr>
                <w:rFonts w:hint="eastAsia" w:ascii="宋体" w:hAnsi="宋体" w:eastAsia="宋体" w:cs="宋体"/>
                <w:color w:val="auto"/>
                <w:sz w:val="24"/>
                <w:szCs w:val="24"/>
                <w:highlight w:val="none"/>
                <w:lang w:eastAsia="zh-CN"/>
              </w:rPr>
              <w:t>组成人</w:t>
            </w:r>
            <w:r>
              <w:rPr>
                <w:rFonts w:hint="eastAsia" w:ascii="宋体" w:hAnsi="宋体" w:eastAsia="宋体" w:cs="宋体"/>
                <w:color w:val="auto"/>
                <w:sz w:val="24"/>
                <w:szCs w:val="24"/>
                <w:highlight w:val="none"/>
              </w:rPr>
              <w:t xml:space="preserve">员为 </w:t>
            </w:r>
            <w:r>
              <w:rPr>
                <w:rFonts w:hint="eastAsia" w:ascii="宋体" w:hAnsi="宋体" w:eastAsia="宋体" w:cs="宋体"/>
                <w:color w:val="auto"/>
                <w:sz w:val="24"/>
                <w:szCs w:val="24"/>
                <w:highlight w:val="none"/>
                <w:lang w:val="en-US" w:eastAsia="zh-CN"/>
              </w:rPr>
              <w:t xml:space="preserve">7 </w:t>
            </w:r>
            <w:r>
              <w:rPr>
                <w:rFonts w:hint="eastAsia" w:ascii="宋体" w:hAnsi="宋体" w:eastAsia="宋体" w:cs="宋体"/>
                <w:color w:val="auto"/>
                <w:sz w:val="24"/>
                <w:szCs w:val="24"/>
                <w:highlight w:val="none"/>
              </w:rPr>
              <w:t>人</w:t>
            </w:r>
            <w:r>
              <w:rPr>
                <w:rFonts w:hint="eastAsia" w:ascii="宋体" w:hAnsi="宋体" w:eastAsia="宋体" w:cs="宋体"/>
                <w:color w:val="auto"/>
                <w:sz w:val="24"/>
                <w:szCs w:val="24"/>
                <w:highlight w:val="none"/>
                <w:lang w:eastAsia="zh-CN"/>
              </w:rPr>
              <w:t>。</w:t>
            </w:r>
          </w:p>
        </w:tc>
      </w:tr>
      <w:tr w14:paraId="115FC7A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456" w:hRule="atLeast"/>
          <w:jc w:val="center"/>
        </w:trPr>
        <w:tc>
          <w:tcPr>
            <w:tcW w:w="608" w:type="dxa"/>
            <w:tcBorders>
              <w:top w:val="single" w:color="auto" w:sz="4" w:space="0"/>
              <w:left w:val="single" w:color="auto" w:sz="4" w:space="0"/>
              <w:bottom w:val="single" w:color="auto" w:sz="4" w:space="0"/>
              <w:right w:val="single" w:color="auto" w:sz="4" w:space="0"/>
            </w:tcBorders>
            <w:vAlign w:val="center"/>
          </w:tcPr>
          <w:p w14:paraId="65DAA3AD">
            <w:pPr>
              <w:pStyle w:val="8"/>
              <w:keepNext w:val="0"/>
              <w:keepLines w:val="0"/>
              <w:pageBreakBefore w:val="0"/>
              <w:widowControl w:val="0"/>
              <w:numPr>
                <w:ilvl w:val="0"/>
                <w:numId w:val="1"/>
              </w:numPr>
              <w:suppressLineNumbers w:val="0"/>
              <w:kinsoku/>
              <w:wordWrap/>
              <w:overflowPunct/>
              <w:topLinePunct w:val="0"/>
              <w:autoSpaceDE/>
              <w:autoSpaceDN/>
              <w:bidi w:val="0"/>
              <w:adjustRightInd/>
              <w:snapToGrid/>
              <w:spacing w:before="0" w:beforeAutospacing="0" w:after="0" w:afterAutospacing="0" w:line="240" w:lineRule="auto"/>
              <w:ind w:left="425" w:leftChars="0" w:right="0" w:hanging="425" w:firstLineChars="0"/>
              <w:jc w:val="center"/>
              <w:textAlignment w:val="auto"/>
              <w:rPr>
                <w:rFonts w:hint="eastAsia" w:ascii="宋体" w:hAnsi="宋体" w:eastAsia="宋体" w:cs="宋体"/>
                <w:color w:val="auto"/>
                <w:sz w:val="24"/>
                <w:szCs w:val="24"/>
                <w:highlight w:val="none"/>
              </w:rPr>
            </w:pPr>
          </w:p>
        </w:tc>
        <w:tc>
          <w:tcPr>
            <w:tcW w:w="2014" w:type="dxa"/>
            <w:tcBorders>
              <w:top w:val="single" w:color="auto" w:sz="4" w:space="0"/>
              <w:left w:val="single" w:color="auto" w:sz="4" w:space="0"/>
              <w:bottom w:val="single" w:color="auto" w:sz="4" w:space="0"/>
              <w:right w:val="single" w:color="auto" w:sz="4" w:space="0"/>
            </w:tcBorders>
            <w:vAlign w:val="center"/>
          </w:tcPr>
          <w:p w14:paraId="51630BD2">
            <w:pPr>
              <w:pStyle w:val="8"/>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定标办法</w:t>
            </w:r>
          </w:p>
        </w:tc>
        <w:tc>
          <w:tcPr>
            <w:tcW w:w="7473" w:type="dxa"/>
            <w:tcBorders>
              <w:top w:val="single" w:color="auto" w:sz="4" w:space="0"/>
              <w:left w:val="single" w:color="auto" w:sz="4" w:space="0"/>
              <w:bottom w:val="single" w:color="auto" w:sz="4" w:space="0"/>
              <w:right w:val="single" w:color="auto" w:sz="4" w:space="0"/>
            </w:tcBorders>
            <w:vAlign w:val="center"/>
          </w:tcPr>
          <w:p w14:paraId="53A50EE4">
            <w:pPr>
              <w:pStyle w:val="8"/>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48" w:leftChars="20" w:right="48" w:rightChars="20" w:firstLine="429" w:firstLineChars="179"/>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采用评定</w:t>
            </w:r>
            <w:r>
              <w:rPr>
                <w:rFonts w:hint="eastAsia" w:hAnsi="宋体" w:eastAsia="宋体" w:cs="宋体"/>
                <w:color w:val="auto"/>
                <w:sz w:val="24"/>
                <w:szCs w:val="24"/>
                <w:highlight w:val="none"/>
                <w:lang w:val="en-US" w:eastAsia="zh-CN"/>
              </w:rPr>
              <w:t>分离法</w:t>
            </w:r>
            <w:r>
              <w:rPr>
                <w:rFonts w:hint="eastAsia" w:ascii="宋体" w:hAnsi="宋体" w:eastAsia="宋体" w:cs="宋体"/>
                <w:color w:val="auto"/>
                <w:sz w:val="24"/>
                <w:szCs w:val="24"/>
                <w:highlight w:val="none"/>
                <w:lang w:val="en-US" w:eastAsia="zh-CN"/>
              </w:rPr>
              <w:t>的项目，应选定下列定标办法：</w:t>
            </w:r>
          </w:p>
          <w:p w14:paraId="2E91360B">
            <w:pPr>
              <w:pStyle w:val="8"/>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48" w:leftChars="20" w:right="48" w:rightChars="20" w:firstLine="429" w:firstLineChars="179"/>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☑票决数量法</w:t>
            </w:r>
          </w:p>
          <w:p w14:paraId="53F64B51">
            <w:pPr>
              <w:pStyle w:val="8"/>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48" w:leftChars="20" w:right="48" w:rightChars="20" w:firstLine="429" w:firstLineChars="179"/>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□票决计分法</w:t>
            </w:r>
          </w:p>
          <w:p w14:paraId="401F16BF">
            <w:pPr>
              <w:pStyle w:val="8"/>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48" w:leftChars="20" w:right="48" w:rightChars="20" w:firstLine="429" w:firstLineChars="179"/>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□集体议事法</w:t>
            </w:r>
          </w:p>
          <w:p w14:paraId="53FB6512">
            <w:pPr>
              <w:pStyle w:val="8"/>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48" w:leftChars="20" w:right="48" w:rightChars="20" w:firstLine="429" w:firstLineChars="179"/>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□其他方法：</w:t>
            </w:r>
          </w:p>
        </w:tc>
      </w:tr>
      <w:tr w14:paraId="06D386C0">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416" w:hRule="atLeast"/>
          <w:jc w:val="center"/>
        </w:trPr>
        <w:tc>
          <w:tcPr>
            <w:tcW w:w="608" w:type="dxa"/>
            <w:tcBorders>
              <w:top w:val="single" w:color="auto" w:sz="4" w:space="0"/>
              <w:left w:val="single" w:color="auto" w:sz="4" w:space="0"/>
              <w:bottom w:val="single" w:color="auto" w:sz="4" w:space="0"/>
              <w:right w:val="single" w:color="auto" w:sz="4" w:space="0"/>
            </w:tcBorders>
            <w:vAlign w:val="center"/>
          </w:tcPr>
          <w:p w14:paraId="1828576F">
            <w:pPr>
              <w:pStyle w:val="8"/>
              <w:keepNext w:val="0"/>
              <w:keepLines w:val="0"/>
              <w:pageBreakBefore w:val="0"/>
              <w:widowControl w:val="0"/>
              <w:numPr>
                <w:ilvl w:val="0"/>
                <w:numId w:val="1"/>
              </w:numPr>
              <w:suppressLineNumbers w:val="0"/>
              <w:kinsoku/>
              <w:wordWrap/>
              <w:overflowPunct/>
              <w:topLinePunct w:val="0"/>
              <w:autoSpaceDE/>
              <w:autoSpaceDN/>
              <w:bidi w:val="0"/>
              <w:adjustRightInd/>
              <w:snapToGrid/>
              <w:spacing w:before="0" w:beforeAutospacing="0" w:after="0" w:afterAutospacing="0" w:line="240" w:lineRule="auto"/>
              <w:ind w:left="425" w:leftChars="0" w:right="0" w:hanging="425" w:firstLineChars="0"/>
              <w:jc w:val="center"/>
              <w:textAlignment w:val="auto"/>
              <w:rPr>
                <w:rFonts w:hint="eastAsia" w:ascii="宋体" w:hAnsi="宋体" w:eastAsia="宋体" w:cs="宋体"/>
                <w:color w:val="auto"/>
                <w:sz w:val="24"/>
                <w:szCs w:val="24"/>
                <w:highlight w:val="none"/>
              </w:rPr>
            </w:pPr>
          </w:p>
        </w:tc>
        <w:tc>
          <w:tcPr>
            <w:tcW w:w="2014" w:type="dxa"/>
            <w:tcBorders>
              <w:top w:val="single" w:color="auto" w:sz="4" w:space="0"/>
              <w:left w:val="single" w:color="auto" w:sz="4" w:space="0"/>
              <w:bottom w:val="single" w:color="auto" w:sz="4" w:space="0"/>
              <w:right w:val="single" w:color="auto" w:sz="4" w:space="0"/>
            </w:tcBorders>
            <w:vAlign w:val="center"/>
          </w:tcPr>
          <w:p w14:paraId="1F4A9AB6">
            <w:pPr>
              <w:pStyle w:val="8"/>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安全文明施工</w:t>
            </w:r>
          </w:p>
        </w:tc>
        <w:tc>
          <w:tcPr>
            <w:tcW w:w="7473" w:type="dxa"/>
            <w:tcBorders>
              <w:top w:val="single" w:color="auto" w:sz="4" w:space="0"/>
              <w:left w:val="single" w:color="auto" w:sz="4" w:space="0"/>
              <w:bottom w:val="single" w:color="auto" w:sz="4" w:space="0"/>
              <w:right w:val="single" w:color="auto" w:sz="4" w:space="0"/>
            </w:tcBorders>
            <w:vAlign w:val="center"/>
          </w:tcPr>
          <w:p w14:paraId="043FE47D">
            <w:pPr>
              <w:pStyle w:val="8"/>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48" w:leftChars="20" w:right="48" w:rightChars="20"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达到国家、省、市有关标准</w:t>
            </w:r>
          </w:p>
        </w:tc>
      </w:tr>
      <w:tr w14:paraId="57BE3B3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800" w:hRule="atLeast"/>
          <w:jc w:val="center"/>
        </w:trPr>
        <w:tc>
          <w:tcPr>
            <w:tcW w:w="608" w:type="dxa"/>
            <w:tcBorders>
              <w:top w:val="single" w:color="auto" w:sz="4" w:space="0"/>
              <w:left w:val="single" w:color="auto" w:sz="4" w:space="0"/>
              <w:bottom w:val="single" w:color="auto" w:sz="4" w:space="0"/>
              <w:right w:val="single" w:color="auto" w:sz="4" w:space="0"/>
            </w:tcBorders>
            <w:vAlign w:val="center"/>
          </w:tcPr>
          <w:p w14:paraId="280761F2">
            <w:pPr>
              <w:pStyle w:val="8"/>
              <w:keepNext w:val="0"/>
              <w:keepLines w:val="0"/>
              <w:pageBreakBefore w:val="0"/>
              <w:widowControl w:val="0"/>
              <w:numPr>
                <w:ilvl w:val="0"/>
                <w:numId w:val="1"/>
              </w:numPr>
              <w:suppressLineNumbers w:val="0"/>
              <w:kinsoku/>
              <w:wordWrap/>
              <w:overflowPunct/>
              <w:topLinePunct w:val="0"/>
              <w:autoSpaceDE/>
              <w:autoSpaceDN/>
              <w:bidi w:val="0"/>
              <w:adjustRightInd/>
              <w:snapToGrid/>
              <w:spacing w:before="0" w:beforeAutospacing="0" w:after="0" w:afterAutospacing="0" w:line="240" w:lineRule="auto"/>
              <w:ind w:left="425" w:leftChars="0" w:right="0" w:hanging="425" w:firstLineChars="0"/>
              <w:jc w:val="center"/>
              <w:textAlignment w:val="auto"/>
              <w:rPr>
                <w:rFonts w:hint="eastAsia" w:ascii="宋体" w:hAnsi="宋体" w:eastAsia="宋体" w:cs="宋体"/>
                <w:color w:val="auto"/>
                <w:sz w:val="24"/>
                <w:szCs w:val="24"/>
                <w:highlight w:val="none"/>
              </w:rPr>
            </w:pPr>
          </w:p>
        </w:tc>
        <w:tc>
          <w:tcPr>
            <w:tcW w:w="2014" w:type="dxa"/>
            <w:tcBorders>
              <w:top w:val="single" w:color="auto" w:sz="4" w:space="0"/>
              <w:left w:val="single" w:color="auto" w:sz="4" w:space="0"/>
              <w:bottom w:val="single" w:color="auto" w:sz="4" w:space="0"/>
              <w:right w:val="single" w:color="auto" w:sz="4" w:space="0"/>
            </w:tcBorders>
            <w:vAlign w:val="center"/>
          </w:tcPr>
          <w:p w14:paraId="4A40059C">
            <w:pPr>
              <w:pStyle w:val="8"/>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房屋建筑工程</w:t>
            </w:r>
          </w:p>
          <w:p w14:paraId="15B384F2">
            <w:pPr>
              <w:pStyle w:val="8"/>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绿色建筑标准</w:t>
            </w:r>
          </w:p>
        </w:tc>
        <w:tc>
          <w:tcPr>
            <w:tcW w:w="7473" w:type="dxa"/>
            <w:tcBorders>
              <w:top w:val="single" w:color="auto" w:sz="4" w:space="0"/>
              <w:left w:val="single" w:color="auto" w:sz="4" w:space="0"/>
              <w:bottom w:val="single" w:color="auto" w:sz="4" w:space="0"/>
              <w:right w:val="single" w:color="auto" w:sz="4" w:space="0"/>
            </w:tcBorders>
            <w:vAlign w:val="center"/>
          </w:tcPr>
          <w:p w14:paraId="198F4C77">
            <w:pPr>
              <w:pStyle w:val="8"/>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48" w:leftChars="20" w:right="48" w:rightChars="20"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本招标项目纳入绿色建设实施范围，要求达到《绿色建筑评价标准》</w:t>
            </w:r>
            <w:r>
              <w:rPr>
                <w:rFonts w:hint="eastAsia" w:ascii="宋体" w:hAnsi="宋体" w:eastAsia="宋体" w:cs="宋体"/>
                <w:color w:val="auto"/>
                <w:sz w:val="24"/>
                <w:szCs w:val="24"/>
                <w:highlight w:val="none"/>
                <w:lang w:eastAsia="zh-CN"/>
              </w:rPr>
              <w:t>（GB/T 50378-2019[2024年局部修订]</w:t>
            </w:r>
            <w:r>
              <w:rPr>
                <w:rFonts w:hint="eastAsia" w:ascii="宋体" w:hAnsi="宋体" w:eastAsia="宋体" w:cs="宋体"/>
                <w:color w:val="auto"/>
                <w:sz w:val="24"/>
                <w:szCs w:val="24"/>
                <w:highlight w:val="none"/>
              </w:rPr>
              <w:t>）规定的二星级标准。</w:t>
            </w:r>
          </w:p>
        </w:tc>
      </w:tr>
      <w:tr w14:paraId="6EE43A0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23" w:hRule="atLeast"/>
          <w:jc w:val="center"/>
        </w:trPr>
        <w:tc>
          <w:tcPr>
            <w:tcW w:w="608" w:type="dxa"/>
            <w:tcBorders>
              <w:top w:val="single" w:color="auto" w:sz="4" w:space="0"/>
              <w:left w:val="single" w:color="auto" w:sz="4" w:space="0"/>
              <w:bottom w:val="single" w:color="auto" w:sz="4" w:space="0"/>
              <w:right w:val="single" w:color="auto" w:sz="4" w:space="0"/>
            </w:tcBorders>
            <w:vAlign w:val="center"/>
          </w:tcPr>
          <w:p w14:paraId="40EFD6A5">
            <w:pPr>
              <w:pStyle w:val="8"/>
              <w:keepNext w:val="0"/>
              <w:keepLines w:val="0"/>
              <w:pageBreakBefore w:val="0"/>
              <w:widowControl w:val="0"/>
              <w:numPr>
                <w:ilvl w:val="0"/>
                <w:numId w:val="1"/>
              </w:numPr>
              <w:suppressLineNumbers w:val="0"/>
              <w:kinsoku/>
              <w:wordWrap/>
              <w:overflowPunct/>
              <w:topLinePunct w:val="0"/>
              <w:autoSpaceDE/>
              <w:autoSpaceDN/>
              <w:bidi w:val="0"/>
              <w:adjustRightInd/>
              <w:snapToGrid/>
              <w:spacing w:before="0" w:beforeAutospacing="0" w:after="0" w:afterAutospacing="0" w:line="240" w:lineRule="auto"/>
              <w:ind w:left="425" w:leftChars="0" w:right="0" w:hanging="425" w:firstLineChars="0"/>
              <w:jc w:val="center"/>
              <w:textAlignment w:val="auto"/>
              <w:rPr>
                <w:rFonts w:hint="eastAsia" w:ascii="宋体" w:hAnsi="宋体" w:eastAsia="宋体" w:cs="宋体"/>
                <w:color w:val="auto"/>
                <w:sz w:val="24"/>
                <w:szCs w:val="24"/>
                <w:highlight w:val="none"/>
              </w:rPr>
            </w:pPr>
          </w:p>
        </w:tc>
        <w:tc>
          <w:tcPr>
            <w:tcW w:w="2014" w:type="dxa"/>
            <w:tcBorders>
              <w:top w:val="single" w:color="auto" w:sz="4" w:space="0"/>
              <w:left w:val="single" w:color="auto" w:sz="4" w:space="0"/>
              <w:bottom w:val="single" w:color="auto" w:sz="4" w:space="0"/>
              <w:right w:val="single" w:color="auto" w:sz="4" w:space="0"/>
            </w:tcBorders>
            <w:vAlign w:val="center"/>
          </w:tcPr>
          <w:p w14:paraId="433A1080">
            <w:pPr>
              <w:pStyle w:val="8"/>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工程款支付</w:t>
            </w:r>
          </w:p>
        </w:tc>
        <w:tc>
          <w:tcPr>
            <w:tcW w:w="7473" w:type="dxa"/>
            <w:tcBorders>
              <w:top w:val="single" w:color="auto" w:sz="4" w:space="0"/>
              <w:left w:val="single" w:color="auto" w:sz="4" w:space="0"/>
              <w:bottom w:val="single" w:color="auto" w:sz="4" w:space="0"/>
              <w:right w:val="single" w:color="auto" w:sz="4" w:space="0"/>
            </w:tcBorders>
            <w:vAlign w:val="center"/>
          </w:tcPr>
          <w:p w14:paraId="18708455">
            <w:pPr>
              <w:pStyle w:val="8"/>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48" w:leftChars="20" w:right="48" w:rightChars="20"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详见本招标文件“2-4、工程付款办法”</w:t>
            </w:r>
          </w:p>
        </w:tc>
      </w:tr>
      <w:tr w14:paraId="769B2610">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23" w:hRule="atLeast"/>
          <w:jc w:val="center"/>
        </w:trPr>
        <w:tc>
          <w:tcPr>
            <w:tcW w:w="608" w:type="dxa"/>
            <w:tcBorders>
              <w:top w:val="single" w:color="auto" w:sz="4" w:space="0"/>
              <w:left w:val="single" w:color="auto" w:sz="4" w:space="0"/>
              <w:bottom w:val="single" w:color="auto" w:sz="4" w:space="0"/>
              <w:right w:val="single" w:color="auto" w:sz="4" w:space="0"/>
            </w:tcBorders>
            <w:vAlign w:val="center"/>
          </w:tcPr>
          <w:p w14:paraId="07C91F76">
            <w:pPr>
              <w:pStyle w:val="8"/>
              <w:keepNext w:val="0"/>
              <w:keepLines w:val="0"/>
              <w:pageBreakBefore w:val="0"/>
              <w:widowControl w:val="0"/>
              <w:numPr>
                <w:ilvl w:val="0"/>
                <w:numId w:val="1"/>
              </w:numPr>
              <w:suppressLineNumbers w:val="0"/>
              <w:kinsoku/>
              <w:wordWrap/>
              <w:overflowPunct/>
              <w:topLinePunct w:val="0"/>
              <w:autoSpaceDE/>
              <w:autoSpaceDN/>
              <w:bidi w:val="0"/>
              <w:adjustRightInd/>
              <w:snapToGrid/>
              <w:spacing w:before="0" w:beforeAutospacing="0" w:after="0" w:afterAutospacing="0" w:line="240" w:lineRule="auto"/>
              <w:ind w:left="425" w:leftChars="0" w:right="0" w:hanging="425" w:firstLineChars="0"/>
              <w:jc w:val="center"/>
              <w:textAlignment w:val="auto"/>
              <w:rPr>
                <w:rFonts w:hint="eastAsia" w:ascii="宋体" w:hAnsi="宋体" w:eastAsia="宋体" w:cs="宋体"/>
                <w:color w:val="auto"/>
                <w:sz w:val="24"/>
                <w:szCs w:val="24"/>
                <w:highlight w:val="none"/>
              </w:rPr>
            </w:pPr>
          </w:p>
        </w:tc>
        <w:tc>
          <w:tcPr>
            <w:tcW w:w="2014" w:type="dxa"/>
            <w:tcBorders>
              <w:top w:val="single" w:color="auto" w:sz="4" w:space="0"/>
              <w:left w:val="single" w:color="auto" w:sz="4" w:space="0"/>
              <w:bottom w:val="single" w:color="auto" w:sz="4" w:space="0"/>
              <w:right w:val="single" w:color="auto" w:sz="4" w:space="0"/>
            </w:tcBorders>
            <w:vAlign w:val="center"/>
          </w:tcPr>
          <w:p w14:paraId="0256C6E3">
            <w:pPr>
              <w:keepNext w:val="0"/>
              <w:keepLines w:val="0"/>
              <w:pageBreakBefore w:val="0"/>
              <w:widowControl w:val="0"/>
              <w:suppressLineNumbers w:val="0"/>
              <w:shd w:val="clear" w:color="auto" w:fill="auto"/>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履约担保</w:t>
            </w:r>
          </w:p>
        </w:tc>
        <w:tc>
          <w:tcPr>
            <w:tcW w:w="7473" w:type="dxa"/>
            <w:tcBorders>
              <w:top w:val="single" w:color="auto" w:sz="4" w:space="0"/>
              <w:left w:val="single" w:color="auto" w:sz="4" w:space="0"/>
              <w:bottom w:val="single" w:color="auto" w:sz="4" w:space="0"/>
              <w:right w:val="single" w:color="auto" w:sz="4" w:space="0"/>
            </w:tcBorders>
            <w:vAlign w:val="center"/>
          </w:tcPr>
          <w:p w14:paraId="3D414662">
            <w:pPr>
              <w:keepNext w:val="0"/>
              <w:keepLines w:val="0"/>
              <w:suppressLineNumbers w:val="0"/>
              <w:wordWrap w:val="0"/>
              <w:adjustRightInd w:val="0"/>
              <w:snapToGrid w:val="0"/>
              <w:spacing w:before="0" w:beforeAutospacing="0" w:after="0" w:afterAutospacing="0" w:line="240" w:lineRule="auto"/>
              <w:ind w:left="0" w:leftChars="0" w:right="0" w:firstLine="0" w:firstLineChars="0"/>
              <w:rPr>
                <w:rFonts w:hint="eastAsia" w:ascii="宋体" w:hAnsi="宋体" w:eastAsia="宋体" w:cs="宋体"/>
                <w:snapToGrid w:val="0"/>
                <w:color w:val="auto"/>
                <w:kern w:val="0"/>
                <w:sz w:val="24"/>
                <w:szCs w:val="24"/>
                <w:highlight w:val="none"/>
              </w:rPr>
            </w:pPr>
            <w:r>
              <w:rPr>
                <w:rFonts w:hint="eastAsia" w:ascii="宋体" w:hAnsi="宋体" w:eastAsia="宋体" w:cs="宋体"/>
                <w:b/>
                <w:bCs/>
                <w:snapToGrid w:val="0"/>
                <w:color w:val="auto"/>
                <w:kern w:val="0"/>
                <w:sz w:val="24"/>
                <w:szCs w:val="24"/>
                <w:highlight w:val="none"/>
                <w:lang w:val="en-US" w:eastAsia="zh-CN"/>
              </w:rPr>
              <w:t>1.</w:t>
            </w:r>
            <w:r>
              <w:rPr>
                <w:rFonts w:hint="eastAsia" w:ascii="宋体" w:hAnsi="宋体" w:eastAsia="宋体" w:cs="宋体"/>
                <w:snapToGrid w:val="0"/>
                <w:color w:val="auto"/>
                <w:kern w:val="0"/>
                <w:sz w:val="24"/>
                <w:szCs w:val="24"/>
                <w:highlight w:val="none"/>
              </w:rPr>
              <w:t>中标人须在领取中标通知书之日起</w:t>
            </w:r>
            <w:r>
              <w:rPr>
                <w:rFonts w:hint="eastAsia" w:ascii="宋体" w:hAnsi="宋体" w:eastAsia="宋体" w:cs="宋体"/>
                <w:snapToGrid w:val="0"/>
                <w:color w:val="auto"/>
                <w:kern w:val="0"/>
                <w:sz w:val="24"/>
                <w:szCs w:val="24"/>
                <w:highlight w:val="none"/>
                <w:u w:val="single"/>
              </w:rPr>
              <w:t>10</w:t>
            </w:r>
            <w:r>
              <w:rPr>
                <w:rFonts w:hint="eastAsia" w:ascii="宋体" w:hAnsi="宋体" w:eastAsia="宋体" w:cs="宋体"/>
                <w:snapToGrid w:val="0"/>
                <w:color w:val="auto"/>
                <w:kern w:val="0"/>
                <w:sz w:val="24"/>
                <w:szCs w:val="24"/>
                <w:highlight w:val="none"/>
              </w:rPr>
              <w:t>个工作日内、签订合同前提交金额为中标价</w:t>
            </w:r>
            <w:r>
              <w:rPr>
                <w:rFonts w:hint="eastAsia" w:ascii="宋体" w:hAnsi="宋体" w:eastAsia="宋体" w:cs="宋体"/>
                <w:snapToGrid w:val="0"/>
                <w:color w:val="auto"/>
                <w:kern w:val="0"/>
                <w:sz w:val="24"/>
                <w:szCs w:val="24"/>
                <w:highlight w:val="none"/>
                <w:u w:val="single"/>
              </w:rPr>
              <w:t xml:space="preserve"> </w:t>
            </w:r>
            <w:r>
              <w:rPr>
                <w:rFonts w:hint="eastAsia" w:hAnsi="宋体" w:eastAsia="宋体" w:cs="宋体"/>
                <w:snapToGrid w:val="0"/>
                <w:color w:val="auto"/>
                <w:kern w:val="0"/>
                <w:sz w:val="24"/>
                <w:szCs w:val="24"/>
                <w:highlight w:val="none"/>
                <w:u w:val="single"/>
                <w:lang w:val="en-US" w:eastAsia="zh-CN"/>
              </w:rPr>
              <w:t>5</w:t>
            </w:r>
            <w:r>
              <w:rPr>
                <w:rFonts w:hint="eastAsia" w:ascii="宋体" w:hAnsi="宋体" w:eastAsia="宋体" w:cs="宋体"/>
                <w:snapToGrid w:val="0"/>
                <w:color w:val="auto"/>
                <w:kern w:val="0"/>
                <w:sz w:val="24"/>
                <w:szCs w:val="24"/>
                <w:highlight w:val="none"/>
                <w:u w:val="single"/>
              </w:rPr>
              <w:t xml:space="preserve"> </w:t>
            </w:r>
            <w:r>
              <w:rPr>
                <w:rFonts w:hint="eastAsia" w:ascii="宋体" w:hAnsi="宋体" w:eastAsia="宋体" w:cs="宋体"/>
                <w:snapToGrid w:val="0"/>
                <w:color w:val="auto"/>
                <w:kern w:val="0"/>
                <w:sz w:val="24"/>
                <w:szCs w:val="24"/>
                <w:highlight w:val="none"/>
              </w:rPr>
              <w:t>% 的履约保证。</w:t>
            </w:r>
          </w:p>
          <w:p w14:paraId="6D96F9CE">
            <w:pPr>
              <w:keepNext w:val="0"/>
              <w:keepLines w:val="0"/>
              <w:suppressLineNumbers w:val="0"/>
              <w:wordWrap w:val="0"/>
              <w:adjustRightInd w:val="0"/>
              <w:snapToGrid w:val="0"/>
              <w:spacing w:before="0" w:beforeAutospacing="0" w:after="0" w:afterAutospacing="0" w:line="240" w:lineRule="auto"/>
              <w:ind w:left="0" w:leftChars="0" w:right="0" w:firstLine="0" w:firstLineChars="0"/>
              <w:rPr>
                <w:rFonts w:hint="eastAsia" w:ascii="宋体" w:hAnsi="宋体" w:eastAsia="宋体" w:cs="宋体"/>
                <w:snapToGrid w:val="0"/>
                <w:color w:val="auto"/>
                <w:kern w:val="0"/>
                <w:sz w:val="24"/>
                <w:szCs w:val="20"/>
                <w:highlight w:val="none"/>
              </w:rPr>
            </w:pPr>
            <w:r>
              <w:rPr>
                <w:rFonts w:hint="eastAsia" w:ascii="宋体" w:hAnsi="宋体" w:eastAsia="宋体" w:cs="宋体"/>
                <w:b/>
                <w:bCs/>
                <w:snapToGrid w:val="0"/>
                <w:color w:val="auto"/>
                <w:kern w:val="0"/>
                <w:sz w:val="24"/>
                <w:szCs w:val="24"/>
                <w:highlight w:val="none"/>
                <w:lang w:val="en-US" w:eastAsia="zh-CN"/>
              </w:rPr>
              <w:t>2.</w:t>
            </w:r>
            <w:r>
              <w:rPr>
                <w:rFonts w:hint="eastAsia" w:ascii="宋体" w:hAnsi="宋体" w:eastAsia="宋体" w:cs="宋体"/>
                <w:snapToGrid w:val="0"/>
                <w:color w:val="auto"/>
                <w:kern w:val="0"/>
                <w:sz w:val="24"/>
                <w:szCs w:val="24"/>
                <w:highlight w:val="none"/>
              </w:rPr>
              <w:t>中标人根据《关于统一在市公共资源交易一体化服务平台缴退工程建设项目履约保证金的通知》办理相关手续，履约保证的形式包括履约保证金、履约保证担保、履约保证保险</w:t>
            </w:r>
            <w:r>
              <w:rPr>
                <w:rFonts w:hint="eastAsia" w:ascii="宋体" w:hAnsi="宋体" w:eastAsia="宋体" w:cs="宋体"/>
                <w:snapToGrid w:val="0"/>
                <w:color w:val="auto"/>
                <w:kern w:val="0"/>
                <w:sz w:val="24"/>
                <w:szCs w:val="24"/>
                <w:highlight w:val="none"/>
                <w:lang w:eastAsia="zh-CN"/>
              </w:rPr>
              <w:t>等</w:t>
            </w:r>
            <w:r>
              <w:rPr>
                <w:rFonts w:hint="eastAsia" w:ascii="宋体" w:hAnsi="宋体" w:eastAsia="宋体" w:cs="宋体"/>
                <w:snapToGrid w:val="0"/>
                <w:color w:val="auto"/>
                <w:kern w:val="0"/>
                <w:sz w:val="24"/>
                <w:szCs w:val="24"/>
                <w:highlight w:val="none"/>
              </w:rPr>
              <w:t>，由中标人自主选择。商业保函、银行保函或保险合同（或保险单）的有效期应当自合同生效之日起至项目通过竣工验收</w:t>
            </w:r>
            <w:r>
              <w:rPr>
                <w:rFonts w:hint="eastAsia" w:hAnsi="宋体" w:eastAsia="宋体" w:cs="宋体"/>
                <w:snapToGrid w:val="0"/>
                <w:color w:val="auto"/>
                <w:kern w:val="0"/>
                <w:sz w:val="24"/>
                <w:szCs w:val="24"/>
                <w:highlight w:val="none"/>
                <w:lang w:eastAsia="zh-CN"/>
              </w:rPr>
              <w:t>后</w:t>
            </w:r>
            <w:r>
              <w:rPr>
                <w:rFonts w:hint="eastAsia" w:ascii="宋体" w:hAnsi="宋体" w:eastAsia="宋体" w:cs="宋体"/>
                <w:snapToGrid w:val="0"/>
                <w:color w:val="auto"/>
                <w:kern w:val="0"/>
                <w:sz w:val="24"/>
                <w:szCs w:val="24"/>
                <w:highlight w:val="none"/>
                <w:u w:val="single"/>
              </w:rPr>
              <w:t>28</w:t>
            </w:r>
            <w:r>
              <w:rPr>
                <w:rFonts w:hint="eastAsia" w:ascii="宋体" w:hAnsi="宋体" w:eastAsia="宋体" w:cs="宋体"/>
                <w:snapToGrid w:val="0"/>
                <w:color w:val="auto"/>
                <w:kern w:val="0"/>
                <w:sz w:val="24"/>
                <w:szCs w:val="24"/>
                <w:highlight w:val="none"/>
              </w:rPr>
              <w:t>天止。</w:t>
            </w:r>
          </w:p>
          <w:p w14:paraId="21F35704">
            <w:pPr>
              <w:keepNext w:val="0"/>
              <w:keepLines w:val="0"/>
              <w:suppressLineNumbers w:val="0"/>
              <w:wordWrap w:val="0"/>
              <w:adjustRightInd w:val="0"/>
              <w:snapToGrid w:val="0"/>
              <w:spacing w:before="0" w:beforeAutospacing="0" w:after="0" w:afterAutospacing="0" w:line="240" w:lineRule="auto"/>
              <w:ind w:left="0" w:leftChars="0" w:right="0" w:firstLine="0" w:firstLineChars="0"/>
              <w:rPr>
                <w:rFonts w:hint="eastAsia" w:ascii="宋体" w:hAnsi="宋体" w:eastAsia="宋体" w:cs="宋体"/>
                <w:snapToGrid w:val="0"/>
                <w:color w:val="auto"/>
                <w:kern w:val="0"/>
                <w:sz w:val="24"/>
                <w:szCs w:val="24"/>
                <w:highlight w:val="none"/>
              </w:rPr>
            </w:pPr>
            <w:r>
              <w:rPr>
                <w:rFonts w:hint="eastAsia" w:ascii="宋体" w:hAnsi="宋体" w:eastAsia="宋体" w:cs="宋体"/>
                <w:b/>
                <w:bCs/>
                <w:snapToGrid w:val="0"/>
                <w:color w:val="auto"/>
                <w:kern w:val="0"/>
                <w:sz w:val="24"/>
                <w:szCs w:val="24"/>
                <w:highlight w:val="none"/>
                <w:lang w:val="en-US" w:eastAsia="zh-CN"/>
              </w:rPr>
              <w:t>3.</w:t>
            </w:r>
            <w:r>
              <w:rPr>
                <w:rFonts w:hint="eastAsia" w:ascii="宋体" w:hAnsi="宋体" w:eastAsia="宋体" w:cs="宋体"/>
                <w:snapToGrid w:val="0"/>
                <w:color w:val="auto"/>
                <w:kern w:val="0"/>
                <w:sz w:val="24"/>
                <w:szCs w:val="24"/>
                <w:highlight w:val="none"/>
              </w:rPr>
              <w:t>中标人在领取中标通知书之日起10个工作日内仍未提交履约保证的，招标人发出第一次提醒函；在领取中标通知书之日起15个工作日内仍未提交的，招标人发出第二次提醒函；在领取中标通知书之日起20个工作日内仍未提交的，视其放弃中标</w:t>
            </w:r>
            <w:r>
              <w:rPr>
                <w:rFonts w:hint="eastAsia" w:hAnsi="宋体" w:eastAsia="宋体" w:cs="宋体"/>
                <w:snapToGrid w:val="0"/>
                <w:color w:val="auto"/>
                <w:kern w:val="0"/>
                <w:sz w:val="24"/>
                <w:szCs w:val="24"/>
                <w:highlight w:val="none"/>
                <w:lang w:eastAsia="zh-CN"/>
              </w:rPr>
              <w:t>，</w:t>
            </w:r>
            <w:r>
              <w:rPr>
                <w:rFonts w:hint="eastAsia" w:ascii="宋体" w:hAnsi="宋体" w:eastAsia="宋体" w:cs="宋体"/>
                <w:snapToGrid w:val="0"/>
                <w:color w:val="auto"/>
                <w:kern w:val="0"/>
                <w:sz w:val="24"/>
                <w:szCs w:val="24"/>
                <w:highlight w:val="none"/>
              </w:rPr>
              <w:t>由招标人通报建设行政管理部门。如采用商业保函、银行保函或保险合同方式缴纳履约保证金，在保函或保险合同到期前一个月，中标人须主动办理续期手续或提交新的商业保函、银行保函或保险合同。如中标人未及时主动办理续期手续或提交新的银行保函或保险合同，招标人有权扣留与履约保证金等额的施工进度款，直至中标人完成续期手续或提交新的银行保函或保险合同止。</w:t>
            </w:r>
          </w:p>
          <w:p w14:paraId="15D19FC3">
            <w:pPr>
              <w:keepNext w:val="0"/>
              <w:keepLines w:val="0"/>
              <w:suppressLineNumbers w:val="0"/>
              <w:wordWrap w:val="0"/>
              <w:adjustRightInd w:val="0"/>
              <w:snapToGrid w:val="0"/>
              <w:spacing w:before="0" w:beforeAutospacing="0" w:after="0" w:afterAutospacing="0" w:line="240" w:lineRule="auto"/>
              <w:ind w:left="0" w:leftChars="0" w:right="0" w:firstLine="0" w:firstLineChars="0"/>
              <w:rPr>
                <w:rFonts w:hint="eastAsia" w:ascii="宋体" w:hAnsi="宋体" w:eastAsia="宋体" w:cs="宋体"/>
                <w:snapToGrid w:val="0"/>
                <w:color w:val="auto"/>
                <w:kern w:val="0"/>
                <w:sz w:val="24"/>
                <w:szCs w:val="24"/>
                <w:highlight w:val="none"/>
              </w:rPr>
            </w:pPr>
            <w:r>
              <w:rPr>
                <w:rFonts w:hint="eastAsia" w:ascii="宋体" w:hAnsi="宋体" w:eastAsia="宋体" w:cs="宋体"/>
                <w:b/>
                <w:bCs/>
                <w:snapToGrid w:val="0"/>
                <w:color w:val="auto"/>
                <w:kern w:val="0"/>
                <w:sz w:val="24"/>
                <w:szCs w:val="24"/>
                <w:highlight w:val="none"/>
                <w:lang w:val="en-US" w:eastAsia="zh-CN"/>
              </w:rPr>
              <w:t>4.</w:t>
            </w:r>
            <w:r>
              <w:rPr>
                <w:rFonts w:hint="eastAsia" w:ascii="宋体" w:hAnsi="宋体" w:eastAsia="宋体" w:cs="宋体"/>
                <w:snapToGrid w:val="0"/>
                <w:color w:val="auto"/>
                <w:kern w:val="0"/>
                <w:sz w:val="24"/>
                <w:szCs w:val="24"/>
                <w:highlight w:val="none"/>
              </w:rPr>
              <w:t>在工程实施过程中，如果承包人（即招标阶段的中标人，下同）由于自身的资金、技术、质量、非不可抗力等原因给发包人（即招标阶段的招标人，下同）造成经济损失，发包人有权扣划相应金额的履约保证。</w:t>
            </w:r>
          </w:p>
          <w:p w14:paraId="27D0394A">
            <w:pPr>
              <w:pStyle w:val="20"/>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Lines="0" w:beforeAutospacing="0" w:after="0" w:afterLines="0" w:afterAutospacing="0" w:line="240" w:lineRule="auto"/>
              <w:ind w:left="0" w:leftChars="0" w:right="0" w:rightChars="0" w:firstLine="0" w:firstLineChars="0"/>
              <w:jc w:val="both"/>
              <w:textAlignment w:val="auto"/>
              <w:rPr>
                <w:rFonts w:hint="eastAsia" w:ascii="宋体" w:hAnsi="宋体" w:eastAsia="宋体" w:cs="宋体"/>
                <w:color w:val="auto"/>
                <w:sz w:val="24"/>
                <w:szCs w:val="24"/>
                <w:highlight w:val="none"/>
              </w:rPr>
            </w:pPr>
            <w:r>
              <w:rPr>
                <w:rFonts w:hint="eastAsia" w:ascii="宋体" w:hAnsi="宋体" w:eastAsia="宋体" w:cs="宋体"/>
                <w:b/>
                <w:bCs/>
                <w:snapToGrid w:val="0"/>
                <w:color w:val="auto"/>
                <w:kern w:val="0"/>
                <w:sz w:val="24"/>
                <w:szCs w:val="24"/>
                <w:highlight w:val="none"/>
                <w:lang w:val="en-US" w:eastAsia="zh-CN"/>
              </w:rPr>
              <w:t>5.</w:t>
            </w:r>
            <w:r>
              <w:rPr>
                <w:rFonts w:hint="eastAsia" w:ascii="宋体" w:hAnsi="宋体" w:eastAsia="宋体" w:cs="宋体"/>
                <w:snapToGrid w:val="0"/>
                <w:color w:val="auto"/>
                <w:kern w:val="0"/>
                <w:sz w:val="24"/>
                <w:szCs w:val="24"/>
                <w:highlight w:val="none"/>
              </w:rPr>
              <w:t>项目通过竣工验收之日后28天内，发包人将履约保</w:t>
            </w:r>
            <w:r>
              <w:rPr>
                <w:rFonts w:hint="eastAsia" w:eastAsia="宋体" w:cs="宋体"/>
                <w:snapToGrid w:val="0"/>
                <w:color w:val="auto"/>
                <w:kern w:val="0"/>
                <w:sz w:val="24"/>
                <w:szCs w:val="24"/>
                <w:highlight w:val="none"/>
                <w:lang w:eastAsia="zh-CN"/>
              </w:rPr>
              <w:t>证金</w:t>
            </w:r>
            <w:r>
              <w:rPr>
                <w:rFonts w:hint="eastAsia" w:ascii="宋体" w:hAnsi="宋体" w:eastAsia="宋体" w:cs="宋体"/>
                <w:snapToGrid w:val="0"/>
                <w:color w:val="auto"/>
                <w:kern w:val="0"/>
                <w:sz w:val="24"/>
                <w:szCs w:val="24"/>
                <w:highlight w:val="none"/>
              </w:rPr>
              <w:t>（履约保证金不计利息）退还给承包人。</w:t>
            </w:r>
          </w:p>
        </w:tc>
      </w:tr>
      <w:tr w14:paraId="3B2A2AF6">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2554" w:hRule="atLeast"/>
          <w:jc w:val="center"/>
        </w:trPr>
        <w:tc>
          <w:tcPr>
            <w:tcW w:w="608" w:type="dxa"/>
            <w:tcBorders>
              <w:top w:val="single" w:color="auto" w:sz="4" w:space="0"/>
              <w:left w:val="single" w:color="auto" w:sz="4" w:space="0"/>
              <w:bottom w:val="single" w:color="auto" w:sz="4" w:space="0"/>
              <w:right w:val="single" w:color="auto" w:sz="4" w:space="0"/>
            </w:tcBorders>
            <w:vAlign w:val="center"/>
          </w:tcPr>
          <w:p w14:paraId="5F9B2C74">
            <w:pPr>
              <w:pStyle w:val="8"/>
              <w:keepNext w:val="0"/>
              <w:keepLines w:val="0"/>
              <w:pageBreakBefore w:val="0"/>
              <w:widowControl w:val="0"/>
              <w:numPr>
                <w:ilvl w:val="0"/>
                <w:numId w:val="1"/>
              </w:numPr>
              <w:suppressLineNumbers w:val="0"/>
              <w:kinsoku/>
              <w:wordWrap/>
              <w:overflowPunct/>
              <w:topLinePunct w:val="0"/>
              <w:autoSpaceDE/>
              <w:autoSpaceDN/>
              <w:bidi w:val="0"/>
              <w:adjustRightInd/>
              <w:snapToGrid/>
              <w:spacing w:before="0" w:beforeAutospacing="0" w:after="0" w:afterAutospacing="0" w:line="240" w:lineRule="auto"/>
              <w:ind w:left="425" w:leftChars="0" w:right="0" w:hanging="425" w:firstLineChars="0"/>
              <w:jc w:val="center"/>
              <w:textAlignment w:val="auto"/>
              <w:rPr>
                <w:rFonts w:hint="eastAsia" w:ascii="宋体" w:hAnsi="宋体" w:eastAsia="宋体" w:cs="宋体"/>
                <w:color w:val="auto"/>
                <w:sz w:val="24"/>
                <w:szCs w:val="24"/>
                <w:highlight w:val="none"/>
                <w:lang w:val="en-US" w:eastAsia="zh-CN"/>
              </w:rPr>
            </w:pPr>
          </w:p>
        </w:tc>
        <w:tc>
          <w:tcPr>
            <w:tcW w:w="2014" w:type="dxa"/>
            <w:tcBorders>
              <w:top w:val="single" w:color="auto" w:sz="4" w:space="0"/>
              <w:left w:val="single" w:color="auto" w:sz="4" w:space="0"/>
              <w:bottom w:val="single" w:color="auto" w:sz="4" w:space="0"/>
              <w:right w:val="single" w:color="auto" w:sz="4" w:space="0"/>
            </w:tcBorders>
            <w:vAlign w:val="center"/>
          </w:tcPr>
          <w:p w14:paraId="528B2EDC">
            <w:pPr>
              <w:pStyle w:val="8"/>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rPr>
              <w:t>招标文件要求提交的用于评审的证书、证件、凭证原件</w:t>
            </w:r>
            <w:r>
              <w:rPr>
                <w:rFonts w:hint="eastAsia" w:hAnsi="宋体" w:eastAsia="宋体" w:cs="宋体"/>
                <w:color w:val="auto"/>
                <w:sz w:val="24"/>
                <w:szCs w:val="24"/>
                <w:highlight w:val="none"/>
                <w:lang w:eastAsia="zh-CN"/>
              </w:rPr>
              <w:t>（如有）</w:t>
            </w:r>
          </w:p>
        </w:tc>
        <w:tc>
          <w:tcPr>
            <w:tcW w:w="7473" w:type="dxa"/>
            <w:tcBorders>
              <w:top w:val="single" w:color="auto" w:sz="4" w:space="0"/>
              <w:left w:val="single" w:color="auto" w:sz="4" w:space="0"/>
              <w:bottom w:val="single" w:color="auto" w:sz="4" w:space="0"/>
              <w:right w:val="single" w:color="auto" w:sz="4" w:space="0"/>
            </w:tcBorders>
            <w:vAlign w:val="center"/>
          </w:tcPr>
          <w:p w14:paraId="09B1D044">
            <w:pPr>
              <w:pStyle w:val="8"/>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48" w:leftChars="20" w:right="48" w:rightChars="20"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若招标文件要求提交的</w:t>
            </w:r>
            <w:r>
              <w:rPr>
                <w:rFonts w:hint="eastAsia" w:ascii="宋体" w:hAnsi="宋体" w:eastAsia="宋体" w:cs="宋体"/>
                <w:color w:val="auto"/>
                <w:sz w:val="24"/>
                <w:szCs w:val="24"/>
                <w:highlight w:val="none"/>
              </w:rPr>
              <w:t>用于评审的证书、证件、证明原件的，投标人应自行将所需原件密封于文件袋（箱）中，并自行准备两张“原件一览表”（详见格式十</w:t>
            </w:r>
            <w:r>
              <w:rPr>
                <w:rFonts w:hint="eastAsia" w:ascii="宋体" w:hAnsi="宋体" w:eastAsia="宋体" w:cs="宋体"/>
                <w:color w:val="auto"/>
                <w:sz w:val="24"/>
                <w:szCs w:val="24"/>
                <w:highlight w:val="none"/>
                <w:lang w:eastAsia="zh-CN"/>
              </w:rPr>
              <w:t>三</w:t>
            </w:r>
            <w:r>
              <w:rPr>
                <w:rFonts w:hint="eastAsia" w:ascii="宋体" w:hAnsi="宋体" w:eastAsia="宋体" w:cs="宋体"/>
                <w:color w:val="auto"/>
                <w:sz w:val="24"/>
                <w:szCs w:val="24"/>
                <w:highlight w:val="none"/>
              </w:rPr>
              <w:t>，投标人须自行填写，表格可扩展），一张贴于文件袋（箱），一张在递交时由投标人、招标代理人签字。招标代理机构仅代签收，不对文件袋（箱）中资料的数量、内容及真实性负责。评标结束后，招标代理人将退回投标人的原件。若投标人未按要求提交相应证明材料原件或投标文件中证明材料的彩色扫描件与原件不一致，评审时相应证明材料不予认可。</w:t>
            </w:r>
          </w:p>
        </w:tc>
      </w:tr>
      <w:tr w14:paraId="56DB907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664" w:hRule="atLeast"/>
          <w:jc w:val="center"/>
        </w:trPr>
        <w:tc>
          <w:tcPr>
            <w:tcW w:w="608" w:type="dxa"/>
            <w:tcBorders>
              <w:top w:val="single" w:color="auto" w:sz="4" w:space="0"/>
              <w:left w:val="single" w:color="auto" w:sz="4" w:space="0"/>
              <w:bottom w:val="single" w:color="auto" w:sz="4" w:space="0"/>
              <w:right w:val="single" w:color="auto" w:sz="4" w:space="0"/>
            </w:tcBorders>
            <w:vAlign w:val="center"/>
          </w:tcPr>
          <w:p w14:paraId="1EE9DEB7">
            <w:pPr>
              <w:pStyle w:val="8"/>
              <w:keepNext w:val="0"/>
              <w:keepLines w:val="0"/>
              <w:pageBreakBefore w:val="0"/>
              <w:widowControl w:val="0"/>
              <w:numPr>
                <w:ilvl w:val="0"/>
                <w:numId w:val="1"/>
              </w:numPr>
              <w:suppressLineNumbers w:val="0"/>
              <w:kinsoku/>
              <w:wordWrap/>
              <w:overflowPunct/>
              <w:topLinePunct w:val="0"/>
              <w:autoSpaceDE/>
              <w:autoSpaceDN/>
              <w:bidi w:val="0"/>
              <w:adjustRightInd/>
              <w:snapToGrid/>
              <w:spacing w:before="0" w:beforeAutospacing="0" w:after="0" w:afterAutospacing="0" w:line="240" w:lineRule="auto"/>
              <w:ind w:left="425" w:leftChars="0" w:right="0" w:hanging="425" w:firstLineChars="0"/>
              <w:jc w:val="center"/>
              <w:textAlignment w:val="auto"/>
              <w:rPr>
                <w:rFonts w:hint="eastAsia" w:ascii="宋体" w:hAnsi="宋体" w:eastAsia="宋体" w:cs="宋体"/>
                <w:color w:val="auto"/>
                <w:sz w:val="24"/>
                <w:szCs w:val="24"/>
                <w:highlight w:val="none"/>
                <w:lang w:eastAsia="zh-CN"/>
              </w:rPr>
            </w:pPr>
          </w:p>
        </w:tc>
        <w:tc>
          <w:tcPr>
            <w:tcW w:w="2014" w:type="dxa"/>
            <w:tcBorders>
              <w:top w:val="single" w:color="auto" w:sz="4" w:space="0"/>
              <w:left w:val="single" w:color="auto" w:sz="4" w:space="0"/>
              <w:bottom w:val="single" w:color="auto" w:sz="4" w:space="0"/>
              <w:right w:val="single" w:color="auto" w:sz="4" w:space="0"/>
            </w:tcBorders>
            <w:vAlign w:val="center"/>
          </w:tcPr>
          <w:p w14:paraId="47C51855">
            <w:pPr>
              <w:pStyle w:val="8"/>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招标代理服务费</w:t>
            </w:r>
          </w:p>
        </w:tc>
        <w:tc>
          <w:tcPr>
            <w:tcW w:w="7473" w:type="dxa"/>
            <w:tcBorders>
              <w:top w:val="single" w:color="auto" w:sz="4" w:space="0"/>
              <w:left w:val="single" w:color="auto" w:sz="4" w:space="0"/>
              <w:bottom w:val="single" w:color="auto" w:sz="4" w:space="0"/>
              <w:right w:val="single" w:color="auto" w:sz="4" w:space="0"/>
            </w:tcBorders>
            <w:vAlign w:val="center"/>
          </w:tcPr>
          <w:p w14:paraId="2BADB5F5">
            <w:pPr>
              <w:pStyle w:val="8"/>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48" w:leftChars="20" w:right="48" w:rightChars="20"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本工程的招标代理费由中标人支付，该费用不再另行报价，由投标人在投标报价时综合考虑在内。中标人在领取中标通知书</w:t>
            </w:r>
            <w:r>
              <w:rPr>
                <w:rFonts w:hint="eastAsia" w:hAnsi="宋体" w:eastAsia="宋体" w:cs="宋体"/>
                <w:color w:val="auto"/>
                <w:sz w:val="24"/>
                <w:szCs w:val="24"/>
                <w:highlight w:val="none"/>
                <w:lang w:eastAsia="zh-CN"/>
              </w:rPr>
              <w:t>时</w:t>
            </w:r>
            <w:r>
              <w:rPr>
                <w:rFonts w:hint="eastAsia" w:ascii="宋体" w:hAnsi="宋体" w:eastAsia="宋体" w:cs="宋体"/>
                <w:color w:val="auto"/>
                <w:sz w:val="24"/>
                <w:szCs w:val="24"/>
                <w:highlight w:val="none"/>
              </w:rPr>
              <w:t>向招标代理机构一次性支付</w:t>
            </w:r>
            <w:r>
              <w:rPr>
                <w:rFonts w:hint="eastAsia" w:hAnsi="宋体" w:eastAsia="宋体" w:cs="宋体"/>
                <w:color w:val="auto"/>
                <w:sz w:val="24"/>
                <w:szCs w:val="24"/>
                <w:highlight w:val="none"/>
                <w:lang w:eastAsia="zh-CN"/>
              </w:rPr>
              <w:t>。</w:t>
            </w:r>
            <w:r>
              <w:rPr>
                <w:rFonts w:hint="eastAsia" w:ascii="宋体" w:hAnsi="宋体" w:eastAsia="宋体" w:cs="宋体"/>
                <w:color w:val="auto"/>
                <w:sz w:val="24"/>
                <w:szCs w:val="24"/>
                <w:highlight w:val="none"/>
              </w:rPr>
              <w:t>本项目招标代理服务费按含税包干价9万元</w:t>
            </w:r>
            <w:r>
              <w:rPr>
                <w:rFonts w:hint="eastAsia" w:hAnsi="宋体" w:eastAsia="宋体" w:cs="宋体"/>
                <w:color w:val="auto"/>
                <w:sz w:val="24"/>
                <w:szCs w:val="24"/>
                <w:highlight w:val="none"/>
                <w:lang w:eastAsia="zh-CN"/>
              </w:rPr>
              <w:t>计收（</w:t>
            </w:r>
            <w:r>
              <w:rPr>
                <w:rFonts w:hint="eastAsia" w:ascii="宋体" w:hAnsi="宋体" w:eastAsia="宋体" w:cs="宋体"/>
                <w:color w:val="auto"/>
                <w:sz w:val="24"/>
                <w:szCs w:val="24"/>
                <w:highlight w:val="none"/>
              </w:rPr>
              <w:t>含招标代理工作人员的食宿、交通、办公费用及招标过程的评标会务费、评标专家费等相关费用</w:t>
            </w:r>
            <w:r>
              <w:rPr>
                <w:rFonts w:hint="eastAsia" w:hAnsi="宋体" w:eastAsia="宋体" w:cs="宋体"/>
                <w:color w:val="auto"/>
                <w:sz w:val="24"/>
                <w:szCs w:val="24"/>
                <w:highlight w:val="none"/>
                <w:lang w:eastAsia="zh-CN"/>
              </w:rPr>
              <w:t>）</w:t>
            </w:r>
            <w:r>
              <w:rPr>
                <w:rFonts w:hint="eastAsia" w:ascii="宋体" w:hAnsi="宋体" w:eastAsia="宋体" w:cs="宋体"/>
                <w:color w:val="auto"/>
                <w:sz w:val="24"/>
                <w:szCs w:val="24"/>
                <w:highlight w:val="none"/>
              </w:rPr>
              <w:t>。</w:t>
            </w:r>
          </w:p>
        </w:tc>
      </w:tr>
      <w:tr w14:paraId="4478AE9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23" w:hRule="atLeast"/>
          <w:jc w:val="center"/>
        </w:trPr>
        <w:tc>
          <w:tcPr>
            <w:tcW w:w="608" w:type="dxa"/>
            <w:tcBorders>
              <w:top w:val="single" w:color="auto" w:sz="4" w:space="0"/>
              <w:left w:val="single" w:color="auto" w:sz="4" w:space="0"/>
              <w:bottom w:val="single" w:color="auto" w:sz="4" w:space="0"/>
              <w:right w:val="single" w:color="auto" w:sz="4" w:space="0"/>
            </w:tcBorders>
            <w:vAlign w:val="center"/>
          </w:tcPr>
          <w:p w14:paraId="74B5F05C">
            <w:pPr>
              <w:pStyle w:val="8"/>
              <w:keepNext w:val="0"/>
              <w:keepLines w:val="0"/>
              <w:pageBreakBefore w:val="0"/>
              <w:widowControl w:val="0"/>
              <w:numPr>
                <w:ilvl w:val="0"/>
                <w:numId w:val="1"/>
              </w:numPr>
              <w:suppressLineNumbers w:val="0"/>
              <w:kinsoku/>
              <w:wordWrap/>
              <w:overflowPunct/>
              <w:topLinePunct w:val="0"/>
              <w:autoSpaceDE/>
              <w:autoSpaceDN/>
              <w:bidi w:val="0"/>
              <w:adjustRightInd/>
              <w:snapToGrid/>
              <w:spacing w:before="0" w:beforeAutospacing="0" w:after="0" w:afterAutospacing="0" w:line="240" w:lineRule="auto"/>
              <w:ind w:left="425" w:leftChars="0" w:right="0" w:hanging="425" w:firstLineChars="0"/>
              <w:jc w:val="center"/>
              <w:textAlignment w:val="auto"/>
              <w:rPr>
                <w:rFonts w:hint="eastAsia" w:ascii="宋体" w:hAnsi="宋体" w:eastAsia="宋体" w:cs="宋体"/>
                <w:color w:val="auto"/>
                <w:sz w:val="24"/>
                <w:szCs w:val="24"/>
                <w:highlight w:val="none"/>
                <w:lang w:eastAsia="zh-CN"/>
              </w:rPr>
            </w:pPr>
          </w:p>
        </w:tc>
        <w:tc>
          <w:tcPr>
            <w:tcW w:w="2014" w:type="dxa"/>
            <w:tcBorders>
              <w:top w:val="single" w:color="auto" w:sz="4" w:space="0"/>
              <w:left w:val="single" w:color="auto" w:sz="4" w:space="0"/>
              <w:bottom w:val="single" w:color="auto" w:sz="4" w:space="0"/>
              <w:right w:val="single" w:color="auto" w:sz="4" w:space="0"/>
            </w:tcBorders>
            <w:vAlign w:val="center"/>
          </w:tcPr>
          <w:p w14:paraId="0062D209">
            <w:pPr>
              <w:pStyle w:val="8"/>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招标人</w:t>
            </w:r>
          </w:p>
          <w:p w14:paraId="666D3F03">
            <w:pPr>
              <w:pStyle w:val="8"/>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联系方式</w:t>
            </w:r>
          </w:p>
        </w:tc>
        <w:tc>
          <w:tcPr>
            <w:tcW w:w="7473" w:type="dxa"/>
            <w:tcBorders>
              <w:top w:val="single" w:color="auto" w:sz="4" w:space="0"/>
              <w:left w:val="single" w:color="auto" w:sz="4" w:space="0"/>
              <w:bottom w:val="single" w:color="auto" w:sz="4" w:space="0"/>
              <w:right w:val="single" w:color="auto" w:sz="4" w:space="0"/>
            </w:tcBorders>
            <w:vAlign w:val="center"/>
          </w:tcPr>
          <w:p w14:paraId="75F65547">
            <w:pPr>
              <w:pStyle w:val="8"/>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120" w:leftChars="50" w:right="120" w:rightChars="50" w:firstLine="120" w:firstLineChars="50"/>
              <w:textAlignment w:val="auto"/>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rPr>
              <w:t>单位名称：</w:t>
            </w:r>
            <w:r>
              <w:rPr>
                <w:rFonts w:hint="eastAsia" w:hAnsi="宋体" w:eastAsia="宋体" w:cs="宋体"/>
                <w:color w:val="auto"/>
                <w:sz w:val="24"/>
                <w:szCs w:val="24"/>
                <w:highlight w:val="none"/>
                <w:lang w:eastAsia="zh-CN"/>
              </w:rPr>
              <w:t>韶关市金沁城市更新投资有限公司</w:t>
            </w:r>
          </w:p>
          <w:p w14:paraId="22969DA5">
            <w:pPr>
              <w:pStyle w:val="8"/>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120" w:leftChars="50" w:right="120" w:rightChars="50" w:firstLine="120" w:firstLineChars="5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办公地址：韶关市武江区惠民北路68号A6铺</w:t>
            </w:r>
          </w:p>
          <w:p w14:paraId="7056D676">
            <w:pPr>
              <w:pStyle w:val="8"/>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120" w:leftChars="50" w:right="120" w:rightChars="50" w:firstLine="120" w:firstLineChars="50"/>
              <w:textAlignment w:val="auto"/>
              <w:rPr>
                <w:rFonts w:hint="eastAsia" w:ascii="宋体" w:hAnsi="宋体" w:eastAsia="宋体" w:cs="宋体"/>
                <w:color w:val="auto"/>
                <w:sz w:val="24"/>
                <w:szCs w:val="24"/>
                <w:highlight w:val="none"/>
                <w:lang w:val="en-US" w:eastAsia="zh-CN"/>
              </w:rPr>
            </w:pPr>
            <w:r>
              <w:rPr>
                <w:rFonts w:hint="eastAsia" w:hAnsi="宋体" w:eastAsia="宋体" w:cs="宋体"/>
                <w:color w:val="auto"/>
                <w:sz w:val="24"/>
                <w:szCs w:val="24"/>
                <w:highlight w:val="none"/>
                <w:lang w:eastAsia="zh-CN"/>
              </w:rPr>
              <w:t>联系人</w:t>
            </w:r>
            <w:r>
              <w:rPr>
                <w:rFonts w:hint="eastAsia" w:ascii="宋体" w:hAnsi="宋体" w:eastAsia="宋体" w:cs="宋体"/>
                <w:color w:val="auto"/>
                <w:sz w:val="24"/>
                <w:szCs w:val="24"/>
                <w:highlight w:val="none"/>
              </w:rPr>
              <w:t>（部门）：</w:t>
            </w:r>
            <w:r>
              <w:rPr>
                <w:rFonts w:hint="eastAsia" w:hAnsi="宋体" w:eastAsia="宋体" w:cs="宋体"/>
                <w:color w:val="auto"/>
                <w:sz w:val="24"/>
                <w:szCs w:val="24"/>
                <w:highlight w:val="none"/>
                <w:lang w:val="en-US" w:eastAsia="zh-CN"/>
              </w:rPr>
              <w:t>何</w:t>
            </w:r>
            <w:r>
              <w:rPr>
                <w:rFonts w:hint="eastAsia" w:ascii="宋体" w:hAnsi="宋体" w:eastAsia="宋体" w:cs="宋体"/>
                <w:color w:val="auto"/>
                <w:sz w:val="24"/>
                <w:szCs w:val="24"/>
                <w:highlight w:val="none"/>
                <w:lang w:val="en-US" w:eastAsia="zh-CN"/>
              </w:rPr>
              <w:t>工</w:t>
            </w:r>
          </w:p>
          <w:p w14:paraId="0F2BE850">
            <w:pPr>
              <w:pStyle w:val="8"/>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120" w:leftChars="50" w:right="120" w:rightChars="50" w:firstLine="120" w:firstLineChars="50"/>
              <w:textAlignment w:val="auto"/>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rPr>
              <w:t>联系电话：</w:t>
            </w:r>
            <w:r>
              <w:rPr>
                <w:rFonts w:hint="eastAsia" w:ascii="宋体" w:hAnsi="宋体" w:eastAsia="宋体" w:cs="宋体"/>
                <w:color w:val="auto"/>
                <w:sz w:val="24"/>
                <w:szCs w:val="24"/>
                <w:highlight w:val="none"/>
                <w:lang w:val="en-US" w:eastAsia="zh-CN"/>
              </w:rPr>
              <w:t>0751-8706365</w:t>
            </w:r>
          </w:p>
        </w:tc>
      </w:tr>
      <w:tr w14:paraId="49BB24B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23" w:hRule="atLeast"/>
          <w:jc w:val="center"/>
        </w:trPr>
        <w:tc>
          <w:tcPr>
            <w:tcW w:w="608" w:type="dxa"/>
            <w:tcBorders>
              <w:top w:val="single" w:color="auto" w:sz="4" w:space="0"/>
              <w:left w:val="single" w:color="auto" w:sz="4" w:space="0"/>
              <w:bottom w:val="single" w:color="auto" w:sz="4" w:space="0"/>
              <w:right w:val="single" w:color="auto" w:sz="4" w:space="0"/>
            </w:tcBorders>
            <w:vAlign w:val="center"/>
          </w:tcPr>
          <w:p w14:paraId="6D5B7840">
            <w:pPr>
              <w:pStyle w:val="8"/>
              <w:keepNext w:val="0"/>
              <w:keepLines w:val="0"/>
              <w:pageBreakBefore w:val="0"/>
              <w:widowControl w:val="0"/>
              <w:numPr>
                <w:ilvl w:val="0"/>
                <w:numId w:val="1"/>
              </w:numPr>
              <w:suppressLineNumbers w:val="0"/>
              <w:kinsoku/>
              <w:wordWrap/>
              <w:overflowPunct/>
              <w:topLinePunct w:val="0"/>
              <w:autoSpaceDE/>
              <w:autoSpaceDN/>
              <w:bidi w:val="0"/>
              <w:adjustRightInd/>
              <w:snapToGrid/>
              <w:spacing w:before="0" w:beforeAutospacing="0" w:after="0" w:afterAutospacing="0" w:line="240" w:lineRule="auto"/>
              <w:ind w:left="425" w:leftChars="0" w:right="0" w:hanging="425" w:firstLineChars="0"/>
              <w:jc w:val="center"/>
              <w:textAlignment w:val="auto"/>
              <w:rPr>
                <w:rFonts w:hint="eastAsia" w:ascii="宋体" w:hAnsi="宋体" w:eastAsia="宋体" w:cs="宋体"/>
                <w:color w:val="auto"/>
                <w:sz w:val="24"/>
                <w:szCs w:val="24"/>
                <w:highlight w:val="none"/>
                <w:lang w:eastAsia="zh-CN"/>
              </w:rPr>
            </w:pPr>
          </w:p>
        </w:tc>
        <w:tc>
          <w:tcPr>
            <w:tcW w:w="2014" w:type="dxa"/>
            <w:tcBorders>
              <w:top w:val="single" w:color="auto" w:sz="4" w:space="0"/>
              <w:left w:val="single" w:color="auto" w:sz="4" w:space="0"/>
              <w:bottom w:val="single" w:color="auto" w:sz="4" w:space="0"/>
              <w:right w:val="single" w:color="auto" w:sz="4" w:space="0"/>
            </w:tcBorders>
            <w:vAlign w:val="center"/>
          </w:tcPr>
          <w:p w14:paraId="4F2457CD">
            <w:pPr>
              <w:pStyle w:val="8"/>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120" w:leftChars="50" w:right="120" w:rightChars="50" w:firstLine="120" w:firstLineChars="5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招标代理机构</w:t>
            </w:r>
          </w:p>
          <w:p w14:paraId="632D97E4">
            <w:pPr>
              <w:pStyle w:val="8"/>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120" w:leftChars="50" w:right="120" w:rightChars="50" w:firstLine="120" w:firstLineChars="5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联系方式</w:t>
            </w:r>
          </w:p>
        </w:tc>
        <w:tc>
          <w:tcPr>
            <w:tcW w:w="7473" w:type="dxa"/>
            <w:tcBorders>
              <w:top w:val="single" w:color="auto" w:sz="4" w:space="0"/>
              <w:left w:val="single" w:color="auto" w:sz="4" w:space="0"/>
              <w:bottom w:val="single" w:color="auto" w:sz="4" w:space="0"/>
              <w:right w:val="single" w:color="auto" w:sz="4" w:space="0"/>
            </w:tcBorders>
            <w:vAlign w:val="center"/>
          </w:tcPr>
          <w:p w14:paraId="0E4E60D4">
            <w:pPr>
              <w:pStyle w:val="8"/>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120" w:leftChars="50" w:right="120" w:rightChars="50" w:firstLine="120" w:firstLineChars="5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单位名称：韶关市建韶工程造价咨询有限公司</w:t>
            </w:r>
          </w:p>
          <w:p w14:paraId="094C11F6">
            <w:pPr>
              <w:pStyle w:val="8"/>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120" w:leftChars="50" w:right="120" w:rightChars="50" w:firstLine="120" w:firstLineChars="5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办公地址：韶关市武江区工业东路24号阳光康地A幢第二层商铺</w:t>
            </w:r>
          </w:p>
          <w:p w14:paraId="2BEE6439">
            <w:pPr>
              <w:pStyle w:val="8"/>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120" w:leftChars="50" w:right="120" w:rightChars="50" w:firstLine="120" w:firstLineChars="5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联系人：</w:t>
            </w:r>
          </w:p>
          <w:p w14:paraId="5E00274D">
            <w:pPr>
              <w:pStyle w:val="8"/>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120" w:leftChars="50" w:right="120" w:rightChars="50" w:firstLine="120" w:firstLineChars="50"/>
              <w:textAlignment w:val="auto"/>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项目负责人：郑小青</w:t>
            </w:r>
          </w:p>
          <w:p w14:paraId="2C3CAAEF">
            <w:pPr>
              <w:pStyle w:val="8"/>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120" w:leftChars="50" w:right="120" w:rightChars="50" w:firstLine="120" w:firstLineChars="50"/>
              <w:textAlignment w:val="auto"/>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经办人：杨丽仪</w:t>
            </w:r>
          </w:p>
          <w:p w14:paraId="53C36DBF">
            <w:pPr>
              <w:pStyle w:val="8"/>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120" w:leftChars="50" w:right="120" w:rightChars="50" w:firstLine="120" w:firstLineChars="50"/>
              <w:textAlignment w:val="auto"/>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rPr>
              <w:t>联系电话：0751-8616600</w:t>
            </w:r>
          </w:p>
        </w:tc>
      </w:tr>
      <w:tr w14:paraId="27A1A3A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1344" w:hRule="atLeast"/>
          <w:jc w:val="center"/>
        </w:trPr>
        <w:tc>
          <w:tcPr>
            <w:tcW w:w="608" w:type="dxa"/>
            <w:tcBorders>
              <w:top w:val="single" w:color="auto" w:sz="4" w:space="0"/>
              <w:left w:val="single" w:color="auto" w:sz="4" w:space="0"/>
              <w:bottom w:val="single" w:color="auto" w:sz="4" w:space="0"/>
              <w:right w:val="single" w:color="auto" w:sz="4" w:space="0"/>
            </w:tcBorders>
            <w:vAlign w:val="center"/>
          </w:tcPr>
          <w:p w14:paraId="1FD75E1B">
            <w:pPr>
              <w:pStyle w:val="8"/>
              <w:keepNext w:val="0"/>
              <w:keepLines w:val="0"/>
              <w:pageBreakBefore w:val="0"/>
              <w:widowControl w:val="0"/>
              <w:numPr>
                <w:ilvl w:val="0"/>
                <w:numId w:val="1"/>
              </w:numPr>
              <w:suppressLineNumbers w:val="0"/>
              <w:kinsoku/>
              <w:wordWrap/>
              <w:overflowPunct/>
              <w:topLinePunct w:val="0"/>
              <w:autoSpaceDE/>
              <w:autoSpaceDN/>
              <w:bidi w:val="0"/>
              <w:adjustRightInd/>
              <w:snapToGrid/>
              <w:spacing w:before="0" w:beforeAutospacing="0" w:after="0" w:afterAutospacing="0" w:line="240" w:lineRule="auto"/>
              <w:ind w:left="425" w:leftChars="0" w:right="0" w:hanging="425" w:firstLineChars="0"/>
              <w:jc w:val="center"/>
              <w:textAlignment w:val="auto"/>
              <w:rPr>
                <w:rFonts w:hint="eastAsia" w:ascii="宋体" w:hAnsi="宋体" w:eastAsia="宋体" w:cs="宋体"/>
                <w:color w:val="auto"/>
                <w:sz w:val="24"/>
                <w:szCs w:val="24"/>
                <w:highlight w:val="none"/>
                <w:lang w:eastAsia="zh-CN"/>
              </w:rPr>
            </w:pPr>
          </w:p>
        </w:tc>
        <w:tc>
          <w:tcPr>
            <w:tcW w:w="2014" w:type="dxa"/>
            <w:tcBorders>
              <w:top w:val="single" w:color="auto" w:sz="4" w:space="0"/>
              <w:left w:val="single" w:color="auto" w:sz="4" w:space="0"/>
              <w:bottom w:val="single" w:color="auto" w:sz="4" w:space="0"/>
              <w:right w:val="single" w:color="auto" w:sz="4" w:space="0"/>
            </w:tcBorders>
            <w:vAlign w:val="center"/>
          </w:tcPr>
          <w:p w14:paraId="79BD601E">
            <w:pPr>
              <w:pStyle w:val="8"/>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120" w:leftChars="50" w:right="120" w:rightChars="50" w:firstLine="120" w:firstLineChars="50"/>
              <w:textAlignment w:val="auto"/>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交易场所</w:t>
            </w:r>
          </w:p>
          <w:p w14:paraId="38FFDCCD">
            <w:pPr>
              <w:pStyle w:val="8"/>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120" w:leftChars="50" w:right="120" w:rightChars="50" w:firstLine="120" w:firstLineChars="50"/>
              <w:textAlignment w:val="auto"/>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联系方式</w:t>
            </w:r>
          </w:p>
        </w:tc>
        <w:tc>
          <w:tcPr>
            <w:tcW w:w="7473" w:type="dxa"/>
            <w:tcBorders>
              <w:top w:val="single" w:color="auto" w:sz="4" w:space="0"/>
              <w:left w:val="single" w:color="auto" w:sz="4" w:space="0"/>
              <w:bottom w:val="single" w:color="auto" w:sz="4" w:space="0"/>
              <w:right w:val="single" w:color="auto" w:sz="4" w:space="0"/>
            </w:tcBorders>
            <w:vAlign w:val="center"/>
          </w:tcPr>
          <w:p w14:paraId="40B73DE2">
            <w:pPr>
              <w:pStyle w:val="8"/>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120" w:leftChars="50" w:right="120" w:rightChars="50" w:firstLine="120" w:firstLineChars="50"/>
              <w:textAlignment w:val="auto"/>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单位名称：韶关市公共资源交易中心</w:t>
            </w:r>
          </w:p>
          <w:p w14:paraId="3CD161BF">
            <w:pPr>
              <w:pStyle w:val="8"/>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120" w:leftChars="50" w:right="120" w:rightChars="50" w:firstLine="120" w:firstLineChars="50"/>
              <w:textAlignment w:val="auto"/>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办公地址：广东省韶关市武江区西联镇</w:t>
            </w:r>
          </w:p>
          <w:p w14:paraId="7AD3B659">
            <w:pPr>
              <w:pStyle w:val="8"/>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120" w:leftChars="50" w:right="120" w:rightChars="50" w:firstLine="120" w:firstLineChars="50"/>
              <w:textAlignment w:val="auto"/>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联系人（部门）：工程交易部</w:t>
            </w:r>
          </w:p>
          <w:p w14:paraId="5EDA1AB4">
            <w:pPr>
              <w:pStyle w:val="8"/>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120" w:leftChars="50" w:right="120" w:rightChars="50" w:firstLine="120" w:firstLineChars="50"/>
              <w:textAlignment w:val="auto"/>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联系电话：0751-8633211</w:t>
            </w:r>
          </w:p>
        </w:tc>
      </w:tr>
      <w:tr w14:paraId="3061F01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1117" w:hRule="atLeast"/>
          <w:jc w:val="center"/>
        </w:trPr>
        <w:tc>
          <w:tcPr>
            <w:tcW w:w="608" w:type="dxa"/>
            <w:tcBorders>
              <w:top w:val="single" w:color="auto" w:sz="4" w:space="0"/>
              <w:left w:val="single" w:color="auto" w:sz="4" w:space="0"/>
              <w:bottom w:val="single" w:color="auto" w:sz="4" w:space="0"/>
              <w:right w:val="single" w:color="auto" w:sz="4" w:space="0"/>
            </w:tcBorders>
            <w:vAlign w:val="center"/>
          </w:tcPr>
          <w:p w14:paraId="7B6ED187">
            <w:pPr>
              <w:pStyle w:val="8"/>
              <w:keepNext w:val="0"/>
              <w:keepLines w:val="0"/>
              <w:pageBreakBefore w:val="0"/>
              <w:widowControl w:val="0"/>
              <w:numPr>
                <w:ilvl w:val="0"/>
                <w:numId w:val="1"/>
              </w:numPr>
              <w:suppressLineNumbers w:val="0"/>
              <w:kinsoku/>
              <w:wordWrap/>
              <w:overflowPunct/>
              <w:topLinePunct w:val="0"/>
              <w:autoSpaceDE/>
              <w:autoSpaceDN/>
              <w:bidi w:val="0"/>
              <w:adjustRightInd/>
              <w:snapToGrid/>
              <w:spacing w:before="0" w:beforeAutospacing="0" w:after="0" w:afterAutospacing="0" w:line="240" w:lineRule="auto"/>
              <w:ind w:left="425" w:leftChars="0" w:right="0" w:hanging="425" w:firstLineChars="0"/>
              <w:jc w:val="center"/>
              <w:textAlignment w:val="auto"/>
              <w:rPr>
                <w:rFonts w:hint="eastAsia" w:ascii="宋体" w:hAnsi="宋体" w:eastAsia="宋体" w:cs="宋体"/>
                <w:color w:val="auto"/>
                <w:sz w:val="24"/>
                <w:szCs w:val="24"/>
                <w:highlight w:val="none"/>
                <w:lang w:eastAsia="zh-CN"/>
              </w:rPr>
            </w:pPr>
          </w:p>
        </w:tc>
        <w:tc>
          <w:tcPr>
            <w:tcW w:w="2014" w:type="dxa"/>
            <w:tcBorders>
              <w:top w:val="single" w:color="auto" w:sz="4" w:space="0"/>
              <w:left w:val="single" w:color="auto" w:sz="4" w:space="0"/>
              <w:bottom w:val="single" w:color="auto" w:sz="4" w:space="0"/>
              <w:right w:val="single" w:color="auto" w:sz="4" w:space="0"/>
            </w:tcBorders>
            <w:vAlign w:val="center"/>
          </w:tcPr>
          <w:p w14:paraId="51C0B93F">
            <w:pPr>
              <w:pStyle w:val="8"/>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120" w:leftChars="50" w:right="120" w:rightChars="50" w:firstLine="120" w:firstLineChars="50"/>
              <w:textAlignment w:val="auto"/>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行政监督部门</w:t>
            </w:r>
          </w:p>
          <w:p w14:paraId="13830431">
            <w:pPr>
              <w:pStyle w:val="8"/>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120" w:leftChars="50" w:right="120" w:rightChars="50" w:firstLine="120" w:firstLineChars="50"/>
              <w:textAlignment w:val="auto"/>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联系方式</w:t>
            </w:r>
          </w:p>
        </w:tc>
        <w:tc>
          <w:tcPr>
            <w:tcW w:w="7473" w:type="dxa"/>
            <w:tcBorders>
              <w:top w:val="single" w:color="auto" w:sz="4" w:space="0"/>
              <w:left w:val="single" w:color="auto" w:sz="4" w:space="0"/>
              <w:bottom w:val="single" w:color="auto" w:sz="4" w:space="0"/>
              <w:right w:val="single" w:color="auto" w:sz="4" w:space="0"/>
            </w:tcBorders>
            <w:vAlign w:val="center"/>
          </w:tcPr>
          <w:p w14:paraId="004CCF2B">
            <w:pPr>
              <w:pStyle w:val="8"/>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120" w:leftChars="50" w:right="120" w:rightChars="50" w:firstLine="120" w:firstLineChars="50"/>
              <w:textAlignment w:val="auto"/>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单位名称：韶关市住房和城乡建设管理局</w:t>
            </w:r>
          </w:p>
          <w:p w14:paraId="6F4858A9">
            <w:pPr>
              <w:pStyle w:val="8"/>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120" w:leftChars="50" w:right="120" w:rightChars="50" w:firstLine="120" w:firstLineChars="50"/>
              <w:textAlignment w:val="auto"/>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办公地址： 广东省韶关市武江区芙蓉东路5号</w:t>
            </w:r>
          </w:p>
          <w:p w14:paraId="52224995">
            <w:pPr>
              <w:pStyle w:val="8"/>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120" w:leftChars="50" w:right="120" w:rightChars="50" w:firstLine="120" w:firstLineChars="50"/>
              <w:textAlignment w:val="auto"/>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联系人（部门）：建筑业市场管理科</w:t>
            </w:r>
          </w:p>
          <w:p w14:paraId="7736F752">
            <w:pPr>
              <w:pStyle w:val="8"/>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120" w:leftChars="50" w:right="120" w:rightChars="50" w:firstLine="120" w:firstLineChars="50"/>
              <w:textAlignment w:val="auto"/>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联系电话：0751-8892601</w:t>
            </w:r>
          </w:p>
        </w:tc>
      </w:tr>
      <w:bookmarkEnd w:id="4"/>
    </w:tbl>
    <w:p w14:paraId="50C24DAB">
      <w:pPr>
        <w:pStyle w:val="4"/>
        <w:wordWrap w:val="0"/>
        <w:autoSpaceDE/>
        <w:autoSpaceDN/>
        <w:snapToGrid w:val="0"/>
        <w:spacing w:after="260" w:line="440" w:lineRule="exact"/>
        <w:jc w:val="both"/>
        <w:rPr>
          <w:rFonts w:hint="default" w:asciiTheme="minorEastAsia" w:hAnsiTheme="minorEastAsia" w:eastAsiaTheme="minorEastAsia" w:cstheme="minorEastAsia"/>
          <w:b/>
          <w:color w:val="auto"/>
          <w:kern w:val="2"/>
          <w:highlight w:val="none"/>
        </w:rPr>
      </w:pPr>
      <w:bookmarkStart w:id="7" w:name="_Toc122671103"/>
      <w:bookmarkStart w:id="8" w:name="_Toc122769943"/>
      <w:bookmarkStart w:id="9" w:name="_Toc122859103"/>
      <w:r>
        <w:rPr>
          <w:rFonts w:asciiTheme="minorEastAsia" w:hAnsiTheme="minorEastAsia" w:eastAsiaTheme="minorEastAsia" w:cstheme="minorEastAsia"/>
          <w:b/>
          <w:color w:val="auto"/>
          <w:kern w:val="2"/>
          <w:highlight w:val="none"/>
        </w:rPr>
        <w:br w:type="page"/>
      </w:r>
      <w:bookmarkEnd w:id="7"/>
      <w:bookmarkEnd w:id="8"/>
      <w:bookmarkEnd w:id="9"/>
      <w:bookmarkStart w:id="10" w:name="_Toc26160"/>
      <w:r>
        <w:rPr>
          <w:rFonts w:asciiTheme="minorEastAsia" w:hAnsiTheme="minorEastAsia" w:eastAsiaTheme="minorEastAsia" w:cstheme="minorEastAsia"/>
          <w:b/>
          <w:color w:val="auto"/>
          <w:kern w:val="2"/>
          <w:szCs w:val="24"/>
          <w:highlight w:val="none"/>
        </w:rPr>
        <w:t>第二节</w:t>
      </w:r>
      <w:r>
        <w:rPr>
          <w:rFonts w:hint="eastAsia" w:asciiTheme="minorEastAsia" w:hAnsiTheme="minorEastAsia" w:eastAsiaTheme="minorEastAsia" w:cstheme="minorEastAsia"/>
          <w:b/>
          <w:color w:val="auto"/>
          <w:kern w:val="2"/>
          <w:szCs w:val="24"/>
          <w:highlight w:val="none"/>
          <w:lang w:eastAsia="zh-CN"/>
        </w:rPr>
        <w:t xml:space="preserve"> </w:t>
      </w:r>
      <w:r>
        <w:rPr>
          <w:rFonts w:asciiTheme="minorEastAsia" w:hAnsiTheme="minorEastAsia" w:eastAsiaTheme="minorEastAsia" w:cstheme="minorEastAsia"/>
          <w:b/>
          <w:color w:val="auto"/>
          <w:kern w:val="2"/>
          <w:szCs w:val="24"/>
          <w:highlight w:val="none"/>
        </w:rPr>
        <w:t>重要事项时间地点一览表</w:t>
      </w:r>
      <w:bookmarkEnd w:id="10"/>
    </w:p>
    <w:tbl>
      <w:tblPr>
        <w:tblStyle w:val="23"/>
        <w:tblW w:w="10179" w:type="dxa"/>
        <w:tblInd w:w="-147" w:type="dxa"/>
        <w:tblBorders>
          <w:top w:val="outset" w:color="auto" w:sz="6" w:space="0"/>
          <w:left w:val="outset" w:color="auto" w:sz="6" w:space="0"/>
          <w:bottom w:val="outset" w:color="auto" w:sz="6" w:space="0"/>
          <w:right w:val="outset" w:color="auto" w:sz="6" w:space="0"/>
          <w:insideH w:val="none" w:color="auto" w:sz="0" w:space="0"/>
          <w:insideV w:val="none" w:color="auto" w:sz="0" w:space="0"/>
        </w:tblBorders>
        <w:tblLayout w:type="fixed"/>
        <w:tblCellMar>
          <w:top w:w="0" w:type="dxa"/>
          <w:left w:w="57" w:type="dxa"/>
          <w:bottom w:w="0" w:type="dxa"/>
          <w:right w:w="57" w:type="dxa"/>
        </w:tblCellMar>
      </w:tblPr>
      <w:tblGrid>
        <w:gridCol w:w="491"/>
        <w:gridCol w:w="1756"/>
        <w:gridCol w:w="7932"/>
      </w:tblGrid>
      <w:tr w14:paraId="4A32150A">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57" w:type="dxa"/>
            <w:bottom w:w="0" w:type="dxa"/>
            <w:right w:w="57" w:type="dxa"/>
          </w:tblCellMar>
        </w:tblPrEx>
        <w:trPr>
          <w:trHeight w:val="940" w:hRule="atLeast"/>
        </w:trPr>
        <w:tc>
          <w:tcPr>
            <w:tcW w:w="491" w:type="dxa"/>
            <w:tcBorders>
              <w:top w:val="single" w:color="080000" w:sz="4" w:space="0"/>
              <w:left w:val="single" w:color="080000" w:sz="4" w:space="0"/>
              <w:bottom w:val="single" w:color="080000" w:sz="4" w:space="0"/>
              <w:right w:val="single" w:color="080000" w:sz="4" w:space="0"/>
            </w:tcBorders>
            <w:noWrap w:val="0"/>
            <w:vAlign w:val="center"/>
          </w:tcPr>
          <w:p w14:paraId="4644F4AA">
            <w:pPr>
              <w:pStyle w:val="40"/>
              <w:keepNext w:val="0"/>
              <w:keepLines w:val="0"/>
              <w:pageBreakBefore w:val="0"/>
              <w:widowControl w:val="0"/>
              <w:suppressLineNumbers w:val="0"/>
              <w:kinsoku/>
              <w:wordWrap w:val="0"/>
              <w:overflowPunct/>
              <w:topLinePunct/>
              <w:autoSpaceDE/>
              <w:autoSpaceDN/>
              <w:bidi w:val="0"/>
              <w:adjustRightInd w:val="0"/>
              <w:snapToGrid w:val="0"/>
              <w:spacing w:before="0" w:beforeAutospacing="0" w:after="0" w:afterAutospacing="0" w:line="360" w:lineRule="exact"/>
              <w:ind w:left="0" w:right="96" w:rightChars="40"/>
              <w:jc w:val="center"/>
              <w:rPr>
                <w:rFonts w:hint="eastAsia" w:ascii="宋体" w:hAnsi="宋体" w:eastAsia="宋体" w:cs="宋体"/>
                <w:b w:val="0"/>
                <w:bCs w:val="0"/>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1</w:t>
            </w:r>
          </w:p>
        </w:tc>
        <w:tc>
          <w:tcPr>
            <w:tcW w:w="1756" w:type="dxa"/>
            <w:tcBorders>
              <w:top w:val="single" w:color="080000" w:sz="4" w:space="0"/>
              <w:left w:val="single" w:color="080000" w:sz="4" w:space="0"/>
              <w:bottom w:val="single" w:color="080000" w:sz="4" w:space="0"/>
              <w:right w:val="single" w:color="080000" w:sz="4" w:space="0"/>
            </w:tcBorders>
            <w:noWrap w:val="0"/>
            <w:vAlign w:val="center"/>
          </w:tcPr>
          <w:p w14:paraId="2FEC4024">
            <w:pPr>
              <w:keepNext w:val="0"/>
              <w:keepLines w:val="0"/>
              <w:pageBreakBefore w:val="0"/>
              <w:widowControl w:val="0"/>
              <w:suppressLineNumbers w:val="0"/>
              <w:kinsoku/>
              <w:wordWrap w:val="0"/>
              <w:overflowPunct/>
              <w:topLinePunct/>
              <w:autoSpaceDE/>
              <w:autoSpaceDN/>
              <w:bidi w:val="0"/>
              <w:adjustRightInd w:val="0"/>
              <w:snapToGrid w:val="0"/>
              <w:spacing w:before="0" w:beforeAutospacing="0" w:after="0" w:afterAutospacing="0" w:line="360" w:lineRule="exact"/>
              <w:ind w:left="0" w:right="96" w:rightChars="40"/>
              <w:jc w:val="center"/>
              <w:rPr>
                <w:rFonts w:hint="eastAsia" w:ascii="宋体" w:hAnsi="宋体" w:eastAsia="宋体" w:cs="宋体"/>
                <w:snapToGrid w:val="0"/>
                <w:color w:val="auto"/>
                <w:kern w:val="0"/>
                <w:sz w:val="24"/>
                <w:szCs w:val="24"/>
                <w:highlight w:val="none"/>
                <w:lang w:val="en-US" w:eastAsia="zh-CN" w:bidi="ar-SA"/>
              </w:rPr>
            </w:pPr>
            <w:r>
              <w:rPr>
                <w:rFonts w:hint="eastAsia" w:ascii="宋体" w:hAnsi="宋体" w:eastAsia="宋体" w:cs="宋体"/>
                <w:snapToGrid w:val="0"/>
                <w:color w:val="auto"/>
                <w:kern w:val="0"/>
                <w:sz w:val="24"/>
                <w:szCs w:val="24"/>
                <w:highlight w:val="none"/>
                <w:lang w:val="en-US" w:eastAsia="zh-CN" w:bidi="ar-SA"/>
              </w:rPr>
              <w:t>招标公告</w:t>
            </w:r>
          </w:p>
          <w:p w14:paraId="3D7A311C">
            <w:pPr>
              <w:keepNext w:val="0"/>
              <w:keepLines w:val="0"/>
              <w:pageBreakBefore w:val="0"/>
              <w:widowControl w:val="0"/>
              <w:suppressLineNumbers w:val="0"/>
              <w:kinsoku/>
              <w:wordWrap w:val="0"/>
              <w:overflowPunct/>
              <w:topLinePunct/>
              <w:autoSpaceDE/>
              <w:autoSpaceDN/>
              <w:bidi w:val="0"/>
              <w:adjustRightInd w:val="0"/>
              <w:snapToGrid w:val="0"/>
              <w:spacing w:before="0" w:beforeAutospacing="0" w:after="0" w:afterAutospacing="0" w:line="360" w:lineRule="exact"/>
              <w:ind w:left="0" w:right="96" w:rightChars="40"/>
              <w:jc w:val="center"/>
              <w:rPr>
                <w:rFonts w:hint="eastAsia" w:ascii="宋体" w:hAnsi="宋体" w:eastAsia="宋体" w:cs="宋体"/>
                <w:b w:val="0"/>
                <w:bCs w:val="0"/>
                <w:snapToGrid w:val="0"/>
                <w:color w:val="auto"/>
                <w:kern w:val="0"/>
                <w:sz w:val="24"/>
                <w:szCs w:val="24"/>
                <w:highlight w:val="none"/>
              </w:rPr>
            </w:pPr>
            <w:r>
              <w:rPr>
                <w:rFonts w:hint="eastAsia" w:ascii="宋体" w:hAnsi="宋体" w:eastAsia="宋体" w:cs="宋体"/>
                <w:snapToGrid w:val="0"/>
                <w:color w:val="auto"/>
                <w:kern w:val="0"/>
                <w:sz w:val="24"/>
                <w:szCs w:val="24"/>
                <w:highlight w:val="none"/>
                <w:lang w:val="en-US" w:eastAsia="zh-CN" w:bidi="ar-SA"/>
              </w:rPr>
              <w:t xml:space="preserve">发布时间 </w:t>
            </w:r>
          </w:p>
        </w:tc>
        <w:tc>
          <w:tcPr>
            <w:tcW w:w="7932" w:type="dxa"/>
            <w:tcBorders>
              <w:top w:val="single" w:color="080000" w:sz="4" w:space="0"/>
              <w:left w:val="single" w:color="080000" w:sz="4" w:space="0"/>
              <w:bottom w:val="single" w:color="080000" w:sz="4" w:space="0"/>
              <w:right w:val="single" w:color="080000" w:sz="4" w:space="0"/>
            </w:tcBorders>
            <w:noWrap w:val="0"/>
            <w:vAlign w:val="center"/>
          </w:tcPr>
          <w:p w14:paraId="0E63DE9C">
            <w:pPr>
              <w:keepNext w:val="0"/>
              <w:keepLines w:val="0"/>
              <w:pageBreakBefore w:val="0"/>
              <w:widowControl w:val="0"/>
              <w:suppressLineNumbers w:val="0"/>
              <w:kinsoku/>
              <w:wordWrap w:val="0"/>
              <w:overflowPunct/>
              <w:topLinePunct/>
              <w:autoSpaceDE/>
              <w:autoSpaceDN/>
              <w:bidi w:val="0"/>
              <w:adjustRightInd w:val="0"/>
              <w:snapToGrid w:val="0"/>
              <w:spacing w:before="0" w:beforeAutospacing="0" w:after="0" w:afterAutospacing="0"/>
              <w:ind w:left="0" w:right="96" w:rightChars="40"/>
              <w:jc w:val="left"/>
              <w:rPr>
                <w:rFonts w:hint="eastAsia" w:ascii="宋体" w:hAnsi="宋体" w:eastAsia="宋体" w:cs="宋体"/>
                <w:b w:val="0"/>
                <w:bCs w:val="0"/>
                <w:snapToGrid w:val="0"/>
                <w:color w:val="auto"/>
                <w:kern w:val="0"/>
                <w:sz w:val="24"/>
                <w:szCs w:val="24"/>
                <w:highlight w:val="none"/>
              </w:rPr>
            </w:pPr>
            <w:r>
              <w:rPr>
                <w:rFonts w:hint="eastAsia" w:ascii="宋体" w:hAnsi="宋体" w:eastAsia="宋体" w:cs="宋体"/>
                <w:color w:val="auto"/>
                <w:kern w:val="0"/>
                <w:sz w:val="24"/>
                <w:szCs w:val="24"/>
                <w:highlight w:val="none"/>
                <w:u w:val="single"/>
                <w:lang w:val="en-US" w:eastAsia="zh-CN" w:bidi="ar-SA"/>
              </w:rPr>
              <w:t>2026</w:t>
            </w:r>
            <w:r>
              <w:rPr>
                <w:rFonts w:hint="eastAsia" w:ascii="宋体" w:hAnsi="宋体" w:eastAsia="宋体" w:cs="宋体"/>
                <w:color w:val="auto"/>
                <w:kern w:val="0"/>
                <w:sz w:val="24"/>
                <w:szCs w:val="24"/>
                <w:highlight w:val="none"/>
                <w:lang w:val="en-US" w:eastAsia="zh-CN" w:bidi="ar-SA"/>
              </w:rPr>
              <w:t>年</w:t>
            </w:r>
            <w:r>
              <w:rPr>
                <w:rFonts w:hint="eastAsia" w:hAnsi="宋体" w:eastAsia="宋体" w:cs="宋体"/>
                <w:color w:val="auto"/>
                <w:kern w:val="0"/>
                <w:sz w:val="24"/>
                <w:szCs w:val="24"/>
                <w:highlight w:val="none"/>
                <w:u w:val="single"/>
                <w:lang w:val="en-US" w:eastAsia="zh-CN" w:bidi="ar-SA"/>
              </w:rPr>
              <w:t>9</w:t>
            </w:r>
            <w:r>
              <w:rPr>
                <w:rFonts w:hint="eastAsia" w:ascii="宋体" w:hAnsi="宋体" w:eastAsia="宋体" w:cs="宋体"/>
                <w:color w:val="auto"/>
                <w:kern w:val="0"/>
                <w:sz w:val="24"/>
                <w:szCs w:val="24"/>
                <w:highlight w:val="none"/>
                <w:lang w:val="en-US" w:eastAsia="zh-CN" w:bidi="ar-SA"/>
              </w:rPr>
              <w:t>月</w:t>
            </w:r>
            <w:r>
              <w:rPr>
                <w:rFonts w:hint="eastAsia" w:hAnsi="宋体" w:eastAsia="宋体" w:cs="宋体"/>
                <w:color w:val="auto"/>
                <w:kern w:val="0"/>
                <w:sz w:val="24"/>
                <w:szCs w:val="24"/>
                <w:highlight w:val="none"/>
                <w:u w:val="single"/>
                <w:lang w:val="en-US" w:eastAsia="zh-CN" w:bidi="ar-SA"/>
              </w:rPr>
              <w:t>24</w:t>
            </w:r>
            <w:r>
              <w:rPr>
                <w:rFonts w:hint="eastAsia" w:ascii="宋体" w:hAnsi="宋体" w:eastAsia="宋体" w:cs="宋体"/>
                <w:color w:val="auto"/>
                <w:kern w:val="0"/>
                <w:sz w:val="24"/>
                <w:szCs w:val="24"/>
                <w:highlight w:val="none"/>
                <w:lang w:val="en-US" w:eastAsia="zh-CN" w:bidi="ar-SA"/>
              </w:rPr>
              <w:t>日</w:t>
            </w:r>
            <w:r>
              <w:rPr>
                <w:rFonts w:hint="eastAsia" w:ascii="宋体" w:hAnsi="宋体" w:eastAsia="宋体" w:cs="宋体"/>
                <w:color w:val="auto"/>
                <w:kern w:val="0"/>
                <w:sz w:val="24"/>
                <w:szCs w:val="24"/>
                <w:highlight w:val="none"/>
                <w:u w:val="single"/>
                <w:lang w:val="en-US" w:eastAsia="zh-CN" w:bidi="ar-SA"/>
              </w:rPr>
              <w:t xml:space="preserve"> </w:t>
            </w:r>
            <w:r>
              <w:rPr>
                <w:rFonts w:hint="eastAsia" w:hAnsi="宋体" w:eastAsia="宋体" w:cs="宋体"/>
                <w:color w:val="auto"/>
                <w:kern w:val="0"/>
                <w:sz w:val="24"/>
                <w:szCs w:val="24"/>
                <w:highlight w:val="none"/>
                <w:u w:val="single"/>
                <w:lang w:val="en-US" w:eastAsia="zh-CN" w:bidi="ar-SA"/>
              </w:rPr>
              <w:t>18</w:t>
            </w:r>
            <w:r>
              <w:rPr>
                <w:rFonts w:hint="eastAsia" w:ascii="宋体" w:hAnsi="宋体" w:eastAsia="宋体" w:cs="宋体"/>
                <w:color w:val="auto"/>
                <w:kern w:val="0"/>
                <w:sz w:val="24"/>
                <w:szCs w:val="24"/>
                <w:highlight w:val="none"/>
                <w:lang w:val="en-US" w:eastAsia="zh-CN" w:bidi="ar-SA"/>
              </w:rPr>
              <w:t>时</w:t>
            </w:r>
            <w:r>
              <w:rPr>
                <w:rFonts w:hint="eastAsia" w:ascii="宋体" w:hAnsi="宋体" w:eastAsia="宋体" w:cs="宋体"/>
                <w:color w:val="auto"/>
                <w:kern w:val="0"/>
                <w:sz w:val="24"/>
                <w:szCs w:val="24"/>
                <w:highlight w:val="none"/>
                <w:u w:val="single"/>
                <w:lang w:val="en-US" w:eastAsia="zh-CN" w:bidi="ar-SA"/>
              </w:rPr>
              <w:t xml:space="preserve"> </w:t>
            </w:r>
            <w:r>
              <w:rPr>
                <w:rFonts w:hint="eastAsia" w:hAnsi="宋体" w:eastAsia="宋体" w:cs="宋体"/>
                <w:color w:val="auto"/>
                <w:kern w:val="0"/>
                <w:sz w:val="24"/>
                <w:szCs w:val="24"/>
                <w:highlight w:val="none"/>
                <w:u w:val="single"/>
                <w:lang w:val="en-US" w:eastAsia="zh-CN" w:bidi="ar-SA"/>
              </w:rPr>
              <w:t>00</w:t>
            </w:r>
            <w:r>
              <w:rPr>
                <w:rFonts w:hint="eastAsia" w:ascii="宋体" w:hAnsi="宋体" w:eastAsia="宋体" w:cs="宋体"/>
                <w:color w:val="auto"/>
                <w:kern w:val="0"/>
                <w:sz w:val="24"/>
                <w:szCs w:val="24"/>
                <w:highlight w:val="none"/>
                <w:lang w:val="en-US" w:eastAsia="zh-CN" w:bidi="ar-SA"/>
              </w:rPr>
              <w:t>分</w:t>
            </w:r>
          </w:p>
        </w:tc>
      </w:tr>
      <w:tr w14:paraId="55A59B19">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57" w:type="dxa"/>
            <w:bottom w:w="0" w:type="dxa"/>
            <w:right w:w="57" w:type="dxa"/>
          </w:tblCellMar>
        </w:tblPrEx>
        <w:trPr>
          <w:trHeight w:val="952" w:hRule="atLeast"/>
        </w:trPr>
        <w:tc>
          <w:tcPr>
            <w:tcW w:w="491" w:type="dxa"/>
            <w:tcBorders>
              <w:top w:val="single" w:color="080000" w:sz="4" w:space="0"/>
              <w:left w:val="single" w:color="080000" w:sz="4" w:space="0"/>
              <w:bottom w:val="single" w:color="080000" w:sz="4" w:space="0"/>
              <w:right w:val="single" w:color="080000" w:sz="4" w:space="0"/>
            </w:tcBorders>
            <w:noWrap w:val="0"/>
            <w:vAlign w:val="center"/>
          </w:tcPr>
          <w:p w14:paraId="35052718">
            <w:pPr>
              <w:pStyle w:val="40"/>
              <w:keepNext w:val="0"/>
              <w:keepLines w:val="0"/>
              <w:pageBreakBefore w:val="0"/>
              <w:widowControl w:val="0"/>
              <w:suppressLineNumbers w:val="0"/>
              <w:kinsoku/>
              <w:wordWrap w:val="0"/>
              <w:overflowPunct/>
              <w:topLinePunct/>
              <w:autoSpaceDE/>
              <w:autoSpaceDN/>
              <w:bidi w:val="0"/>
              <w:adjustRightInd w:val="0"/>
              <w:snapToGrid w:val="0"/>
              <w:spacing w:before="0" w:beforeAutospacing="0" w:after="0" w:afterAutospacing="0" w:line="360" w:lineRule="exact"/>
              <w:ind w:left="0" w:right="96" w:rightChars="40"/>
              <w:jc w:val="center"/>
              <w:rPr>
                <w:rFonts w:hint="eastAsia" w:ascii="宋体" w:hAnsi="宋体" w:eastAsia="宋体" w:cs="宋体"/>
                <w:b w:val="0"/>
                <w:bCs w:val="0"/>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2</w:t>
            </w:r>
          </w:p>
        </w:tc>
        <w:tc>
          <w:tcPr>
            <w:tcW w:w="1756" w:type="dxa"/>
            <w:tcBorders>
              <w:top w:val="single" w:color="080000" w:sz="4" w:space="0"/>
              <w:left w:val="single" w:color="080000" w:sz="4" w:space="0"/>
              <w:bottom w:val="single" w:color="080000" w:sz="4" w:space="0"/>
              <w:right w:val="single" w:color="080000" w:sz="4" w:space="0"/>
            </w:tcBorders>
            <w:noWrap w:val="0"/>
            <w:vAlign w:val="center"/>
          </w:tcPr>
          <w:p w14:paraId="103223C4">
            <w:pPr>
              <w:keepNext w:val="0"/>
              <w:keepLines w:val="0"/>
              <w:pageBreakBefore w:val="0"/>
              <w:widowControl w:val="0"/>
              <w:suppressLineNumbers w:val="0"/>
              <w:kinsoku/>
              <w:wordWrap w:val="0"/>
              <w:overflowPunct/>
              <w:topLinePunct/>
              <w:autoSpaceDE/>
              <w:autoSpaceDN/>
              <w:bidi w:val="0"/>
              <w:adjustRightInd w:val="0"/>
              <w:snapToGrid w:val="0"/>
              <w:spacing w:before="0" w:beforeAutospacing="0" w:after="0" w:afterAutospacing="0" w:line="360" w:lineRule="exact"/>
              <w:ind w:left="0" w:right="96" w:rightChars="40"/>
              <w:jc w:val="center"/>
              <w:rPr>
                <w:rFonts w:hint="eastAsia" w:ascii="宋体" w:hAnsi="宋体" w:eastAsia="宋体" w:cs="宋体"/>
                <w:b w:val="0"/>
                <w:bCs w:val="0"/>
                <w:snapToGrid w:val="0"/>
                <w:color w:val="auto"/>
                <w:kern w:val="0"/>
                <w:sz w:val="24"/>
                <w:szCs w:val="24"/>
                <w:highlight w:val="none"/>
              </w:rPr>
            </w:pPr>
            <w:r>
              <w:rPr>
                <w:rFonts w:hint="eastAsia" w:ascii="宋体" w:hAnsi="宋体" w:eastAsia="宋体" w:cs="宋体"/>
                <w:snapToGrid w:val="0"/>
                <w:color w:val="auto"/>
                <w:kern w:val="0"/>
                <w:sz w:val="24"/>
                <w:szCs w:val="24"/>
                <w:highlight w:val="none"/>
                <w:lang w:val="en-US" w:eastAsia="zh-CN" w:bidi="ar-SA"/>
              </w:rPr>
              <w:t xml:space="preserve">获取招标文件截止时间 </w:t>
            </w:r>
          </w:p>
        </w:tc>
        <w:tc>
          <w:tcPr>
            <w:tcW w:w="7932" w:type="dxa"/>
            <w:tcBorders>
              <w:top w:val="single" w:color="080000" w:sz="4" w:space="0"/>
              <w:left w:val="single" w:color="080000" w:sz="4" w:space="0"/>
              <w:bottom w:val="single" w:color="080000" w:sz="4" w:space="0"/>
              <w:right w:val="single" w:color="080000" w:sz="4" w:space="0"/>
            </w:tcBorders>
            <w:noWrap w:val="0"/>
            <w:vAlign w:val="center"/>
          </w:tcPr>
          <w:p w14:paraId="0BDAD317">
            <w:pPr>
              <w:keepNext w:val="0"/>
              <w:keepLines w:val="0"/>
              <w:pageBreakBefore w:val="0"/>
              <w:widowControl w:val="0"/>
              <w:suppressLineNumbers w:val="0"/>
              <w:kinsoku/>
              <w:wordWrap w:val="0"/>
              <w:overflowPunct/>
              <w:topLinePunct/>
              <w:autoSpaceDE/>
              <w:autoSpaceDN/>
              <w:bidi w:val="0"/>
              <w:adjustRightInd w:val="0"/>
              <w:snapToGrid w:val="0"/>
              <w:spacing w:before="0" w:beforeAutospacing="0" w:after="0" w:afterAutospacing="0"/>
              <w:ind w:left="0" w:right="96" w:rightChars="40"/>
              <w:jc w:val="left"/>
              <w:rPr>
                <w:rFonts w:hint="eastAsia" w:ascii="宋体" w:hAnsi="宋体" w:eastAsia="宋体" w:cs="宋体"/>
                <w:b w:val="0"/>
                <w:bCs w:val="0"/>
                <w:snapToGrid w:val="0"/>
                <w:color w:val="auto"/>
                <w:kern w:val="0"/>
                <w:sz w:val="24"/>
                <w:szCs w:val="24"/>
                <w:highlight w:val="none"/>
              </w:rPr>
            </w:pPr>
            <w:r>
              <w:rPr>
                <w:rFonts w:hint="eastAsia" w:ascii="宋体" w:hAnsi="宋体" w:eastAsia="宋体" w:cs="宋体"/>
                <w:color w:val="auto"/>
                <w:kern w:val="0"/>
                <w:sz w:val="24"/>
                <w:szCs w:val="24"/>
                <w:highlight w:val="none"/>
                <w:u w:val="single"/>
                <w:lang w:val="en-US" w:eastAsia="zh-CN" w:bidi="ar-SA"/>
              </w:rPr>
              <w:t>2026</w:t>
            </w:r>
            <w:r>
              <w:rPr>
                <w:rFonts w:hint="eastAsia" w:ascii="宋体" w:hAnsi="宋体" w:eastAsia="宋体" w:cs="宋体"/>
                <w:color w:val="auto"/>
                <w:kern w:val="0"/>
                <w:sz w:val="24"/>
                <w:szCs w:val="24"/>
                <w:highlight w:val="none"/>
                <w:lang w:val="en-US" w:eastAsia="zh-CN" w:bidi="ar-SA"/>
              </w:rPr>
              <w:t>年</w:t>
            </w:r>
            <w:r>
              <w:rPr>
                <w:rFonts w:hint="eastAsia" w:hAnsi="宋体" w:eastAsia="宋体" w:cs="宋体"/>
                <w:color w:val="auto"/>
                <w:kern w:val="0"/>
                <w:sz w:val="24"/>
                <w:szCs w:val="24"/>
                <w:highlight w:val="none"/>
                <w:u w:val="single"/>
                <w:lang w:val="en-US" w:eastAsia="zh-CN" w:bidi="ar-SA"/>
              </w:rPr>
              <w:t>10</w:t>
            </w:r>
            <w:r>
              <w:rPr>
                <w:rFonts w:hint="eastAsia" w:ascii="宋体" w:hAnsi="宋体" w:eastAsia="宋体" w:cs="宋体"/>
                <w:color w:val="auto"/>
                <w:kern w:val="0"/>
                <w:sz w:val="24"/>
                <w:szCs w:val="24"/>
                <w:highlight w:val="none"/>
                <w:lang w:val="en-US" w:eastAsia="zh-CN" w:bidi="ar-SA"/>
              </w:rPr>
              <w:t>月</w:t>
            </w:r>
            <w:r>
              <w:rPr>
                <w:rFonts w:hint="eastAsia" w:hAnsi="宋体" w:eastAsia="宋体" w:cs="宋体"/>
                <w:color w:val="auto"/>
                <w:kern w:val="0"/>
                <w:sz w:val="24"/>
                <w:szCs w:val="24"/>
                <w:highlight w:val="none"/>
                <w:u w:val="single"/>
                <w:lang w:val="en-US" w:eastAsia="zh-CN" w:bidi="ar-SA"/>
              </w:rPr>
              <w:t>15</w:t>
            </w:r>
            <w:r>
              <w:rPr>
                <w:rFonts w:hint="eastAsia" w:ascii="宋体" w:hAnsi="宋体" w:eastAsia="宋体" w:cs="宋体"/>
                <w:color w:val="auto"/>
                <w:kern w:val="0"/>
                <w:sz w:val="24"/>
                <w:szCs w:val="24"/>
                <w:highlight w:val="none"/>
                <w:lang w:val="en-US" w:eastAsia="zh-CN" w:bidi="ar-SA"/>
              </w:rPr>
              <w:t>日</w:t>
            </w:r>
            <w:r>
              <w:rPr>
                <w:rFonts w:hint="eastAsia" w:ascii="宋体" w:hAnsi="宋体" w:eastAsia="宋体" w:cs="宋体"/>
                <w:color w:val="auto"/>
                <w:kern w:val="0"/>
                <w:sz w:val="24"/>
                <w:szCs w:val="24"/>
                <w:highlight w:val="none"/>
                <w:u w:val="single"/>
                <w:lang w:val="en-US" w:eastAsia="zh-CN" w:bidi="ar-SA"/>
              </w:rPr>
              <w:t xml:space="preserve"> 9 </w:t>
            </w:r>
            <w:r>
              <w:rPr>
                <w:rFonts w:hint="eastAsia" w:ascii="宋体" w:hAnsi="宋体" w:eastAsia="宋体" w:cs="宋体"/>
                <w:color w:val="auto"/>
                <w:kern w:val="0"/>
                <w:sz w:val="24"/>
                <w:szCs w:val="24"/>
                <w:highlight w:val="none"/>
                <w:lang w:val="en-US" w:eastAsia="zh-CN" w:bidi="ar-SA"/>
              </w:rPr>
              <w:t>时</w:t>
            </w:r>
            <w:r>
              <w:rPr>
                <w:rFonts w:hint="eastAsia" w:ascii="宋体" w:hAnsi="宋体" w:eastAsia="宋体" w:cs="宋体"/>
                <w:color w:val="auto"/>
                <w:kern w:val="0"/>
                <w:sz w:val="24"/>
                <w:szCs w:val="24"/>
                <w:highlight w:val="none"/>
                <w:u w:val="single"/>
                <w:lang w:val="en-US" w:eastAsia="zh-CN" w:bidi="ar-SA"/>
              </w:rPr>
              <w:t xml:space="preserve"> 30  </w:t>
            </w:r>
            <w:r>
              <w:rPr>
                <w:rFonts w:hint="eastAsia" w:ascii="宋体" w:hAnsi="宋体" w:eastAsia="宋体" w:cs="宋体"/>
                <w:color w:val="auto"/>
                <w:kern w:val="0"/>
                <w:sz w:val="24"/>
                <w:szCs w:val="24"/>
                <w:highlight w:val="none"/>
                <w:lang w:val="en-US" w:eastAsia="zh-CN" w:bidi="ar-SA"/>
              </w:rPr>
              <w:t>分</w:t>
            </w:r>
          </w:p>
        </w:tc>
      </w:tr>
      <w:tr w14:paraId="4EB7F29E">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57" w:type="dxa"/>
            <w:bottom w:w="0" w:type="dxa"/>
            <w:right w:w="57" w:type="dxa"/>
          </w:tblCellMar>
        </w:tblPrEx>
        <w:trPr>
          <w:trHeight w:val="986" w:hRule="atLeast"/>
        </w:trPr>
        <w:tc>
          <w:tcPr>
            <w:tcW w:w="491" w:type="dxa"/>
            <w:tcBorders>
              <w:top w:val="single" w:color="080000" w:sz="4" w:space="0"/>
              <w:left w:val="single" w:color="080000" w:sz="4" w:space="0"/>
              <w:bottom w:val="single" w:color="080000" w:sz="4" w:space="0"/>
              <w:right w:val="single" w:color="080000" w:sz="4" w:space="0"/>
            </w:tcBorders>
            <w:noWrap w:val="0"/>
            <w:vAlign w:val="center"/>
          </w:tcPr>
          <w:p w14:paraId="6F9C3D06">
            <w:pPr>
              <w:pStyle w:val="40"/>
              <w:keepNext w:val="0"/>
              <w:keepLines w:val="0"/>
              <w:pageBreakBefore w:val="0"/>
              <w:widowControl w:val="0"/>
              <w:suppressLineNumbers w:val="0"/>
              <w:kinsoku/>
              <w:wordWrap w:val="0"/>
              <w:overflowPunct/>
              <w:topLinePunct/>
              <w:autoSpaceDE/>
              <w:autoSpaceDN/>
              <w:bidi w:val="0"/>
              <w:adjustRightInd w:val="0"/>
              <w:snapToGrid w:val="0"/>
              <w:spacing w:before="0" w:beforeAutospacing="0" w:after="0" w:afterAutospacing="0" w:line="360" w:lineRule="exact"/>
              <w:ind w:left="0" w:right="96" w:rightChars="40"/>
              <w:jc w:val="center"/>
              <w:rPr>
                <w:rFonts w:hint="eastAsia" w:ascii="宋体" w:hAnsi="宋体" w:eastAsia="宋体" w:cs="宋体"/>
                <w:b w:val="0"/>
                <w:bCs w:val="0"/>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3</w:t>
            </w:r>
          </w:p>
        </w:tc>
        <w:tc>
          <w:tcPr>
            <w:tcW w:w="1756" w:type="dxa"/>
            <w:tcBorders>
              <w:top w:val="single" w:color="080000" w:sz="4" w:space="0"/>
              <w:left w:val="single" w:color="080000" w:sz="4" w:space="0"/>
              <w:bottom w:val="single" w:color="080000" w:sz="4" w:space="0"/>
              <w:right w:val="single" w:color="080000" w:sz="4" w:space="0"/>
            </w:tcBorders>
            <w:noWrap w:val="0"/>
            <w:vAlign w:val="center"/>
          </w:tcPr>
          <w:p w14:paraId="78DB967F">
            <w:pPr>
              <w:keepNext w:val="0"/>
              <w:keepLines w:val="0"/>
              <w:pageBreakBefore w:val="0"/>
              <w:widowControl w:val="0"/>
              <w:suppressLineNumbers w:val="0"/>
              <w:kinsoku/>
              <w:wordWrap w:val="0"/>
              <w:overflowPunct/>
              <w:topLinePunct/>
              <w:autoSpaceDE/>
              <w:autoSpaceDN/>
              <w:bidi w:val="0"/>
              <w:adjustRightInd w:val="0"/>
              <w:snapToGrid w:val="0"/>
              <w:spacing w:before="0" w:beforeAutospacing="0" w:after="0" w:afterAutospacing="0" w:line="360" w:lineRule="exact"/>
              <w:ind w:left="0" w:right="96" w:rightChars="40"/>
              <w:jc w:val="center"/>
              <w:rPr>
                <w:rFonts w:hint="eastAsia" w:ascii="宋体" w:hAnsi="宋体" w:eastAsia="宋体" w:cs="宋体"/>
                <w:snapToGrid w:val="0"/>
                <w:color w:val="auto"/>
                <w:kern w:val="0"/>
                <w:sz w:val="24"/>
                <w:szCs w:val="24"/>
                <w:highlight w:val="none"/>
                <w:lang w:val="en-US" w:eastAsia="zh-CN" w:bidi="ar-SA"/>
              </w:rPr>
            </w:pPr>
            <w:r>
              <w:rPr>
                <w:rFonts w:hint="eastAsia" w:ascii="宋体" w:hAnsi="宋体" w:eastAsia="宋体" w:cs="宋体"/>
                <w:snapToGrid w:val="0"/>
                <w:color w:val="auto"/>
                <w:kern w:val="0"/>
                <w:sz w:val="24"/>
                <w:szCs w:val="24"/>
                <w:highlight w:val="none"/>
                <w:lang w:val="en-US" w:eastAsia="zh-CN" w:bidi="ar-SA"/>
              </w:rPr>
              <w:t>网上提问</w:t>
            </w:r>
          </w:p>
          <w:p w14:paraId="6041E6AB">
            <w:pPr>
              <w:keepNext w:val="0"/>
              <w:keepLines w:val="0"/>
              <w:pageBreakBefore w:val="0"/>
              <w:widowControl w:val="0"/>
              <w:suppressLineNumbers w:val="0"/>
              <w:kinsoku/>
              <w:wordWrap w:val="0"/>
              <w:overflowPunct/>
              <w:topLinePunct/>
              <w:autoSpaceDE/>
              <w:autoSpaceDN/>
              <w:bidi w:val="0"/>
              <w:adjustRightInd w:val="0"/>
              <w:snapToGrid w:val="0"/>
              <w:spacing w:before="0" w:beforeAutospacing="0" w:after="0" w:afterAutospacing="0" w:line="360" w:lineRule="exact"/>
              <w:ind w:left="0" w:right="96" w:rightChars="40"/>
              <w:jc w:val="center"/>
              <w:rPr>
                <w:rFonts w:hint="eastAsia" w:ascii="宋体" w:hAnsi="宋体" w:eastAsia="宋体" w:cs="宋体"/>
                <w:b w:val="0"/>
                <w:bCs w:val="0"/>
                <w:snapToGrid w:val="0"/>
                <w:color w:val="auto"/>
                <w:kern w:val="0"/>
                <w:sz w:val="24"/>
                <w:szCs w:val="24"/>
                <w:highlight w:val="none"/>
              </w:rPr>
            </w:pPr>
            <w:r>
              <w:rPr>
                <w:rFonts w:hint="eastAsia" w:ascii="宋体" w:hAnsi="宋体" w:eastAsia="宋体" w:cs="宋体"/>
                <w:snapToGrid w:val="0"/>
                <w:color w:val="auto"/>
                <w:kern w:val="0"/>
                <w:sz w:val="24"/>
                <w:szCs w:val="24"/>
                <w:highlight w:val="none"/>
                <w:lang w:val="en-US" w:eastAsia="zh-CN" w:bidi="ar-SA"/>
              </w:rPr>
              <w:t xml:space="preserve">截止时间 </w:t>
            </w:r>
          </w:p>
        </w:tc>
        <w:tc>
          <w:tcPr>
            <w:tcW w:w="7932" w:type="dxa"/>
            <w:tcBorders>
              <w:top w:val="single" w:color="080000" w:sz="4" w:space="0"/>
              <w:left w:val="single" w:color="080000" w:sz="4" w:space="0"/>
              <w:bottom w:val="single" w:color="080000" w:sz="4" w:space="0"/>
              <w:right w:val="single" w:color="080000" w:sz="4" w:space="0"/>
            </w:tcBorders>
            <w:noWrap w:val="0"/>
            <w:vAlign w:val="center"/>
          </w:tcPr>
          <w:p w14:paraId="5F74E4DB">
            <w:pPr>
              <w:keepNext w:val="0"/>
              <w:keepLines w:val="0"/>
              <w:pageBreakBefore w:val="0"/>
              <w:widowControl w:val="0"/>
              <w:suppressLineNumbers w:val="0"/>
              <w:kinsoku/>
              <w:wordWrap w:val="0"/>
              <w:overflowPunct/>
              <w:topLinePunct/>
              <w:autoSpaceDE/>
              <w:autoSpaceDN/>
              <w:bidi w:val="0"/>
              <w:adjustRightInd w:val="0"/>
              <w:snapToGrid w:val="0"/>
              <w:spacing w:before="0" w:beforeAutospacing="0" w:after="0" w:afterAutospacing="0" w:line="400" w:lineRule="exact"/>
              <w:ind w:left="0" w:right="96" w:rightChars="40"/>
              <w:jc w:val="left"/>
              <w:rPr>
                <w:rFonts w:hint="eastAsia" w:ascii="宋体" w:hAnsi="宋体" w:eastAsia="宋体" w:cs="宋体"/>
                <w:b w:val="0"/>
                <w:bCs w:val="0"/>
                <w:snapToGrid w:val="0"/>
                <w:color w:val="auto"/>
                <w:kern w:val="0"/>
                <w:sz w:val="24"/>
                <w:szCs w:val="24"/>
                <w:highlight w:val="none"/>
              </w:rPr>
            </w:pPr>
            <w:r>
              <w:rPr>
                <w:rFonts w:hint="eastAsia" w:ascii="宋体" w:hAnsi="宋体" w:eastAsia="宋体" w:cs="宋体"/>
                <w:color w:val="auto"/>
                <w:kern w:val="0"/>
                <w:sz w:val="24"/>
                <w:szCs w:val="24"/>
                <w:highlight w:val="none"/>
                <w:u w:val="single"/>
                <w:lang w:val="en-US" w:eastAsia="zh-CN" w:bidi="ar-SA"/>
              </w:rPr>
              <w:t>2026</w:t>
            </w:r>
            <w:r>
              <w:rPr>
                <w:rFonts w:hint="eastAsia" w:ascii="宋体" w:hAnsi="宋体" w:eastAsia="宋体" w:cs="宋体"/>
                <w:color w:val="auto"/>
                <w:kern w:val="0"/>
                <w:sz w:val="24"/>
                <w:szCs w:val="24"/>
                <w:highlight w:val="none"/>
                <w:lang w:val="en-US" w:eastAsia="zh-CN" w:bidi="ar-SA"/>
              </w:rPr>
              <w:t>年</w:t>
            </w:r>
            <w:r>
              <w:rPr>
                <w:rFonts w:hint="eastAsia" w:hAnsi="宋体" w:eastAsia="宋体" w:cs="宋体"/>
                <w:color w:val="auto"/>
                <w:kern w:val="0"/>
                <w:sz w:val="24"/>
                <w:szCs w:val="24"/>
                <w:highlight w:val="none"/>
                <w:u w:val="single"/>
                <w:lang w:val="en-US" w:eastAsia="zh-CN" w:bidi="ar-SA"/>
              </w:rPr>
              <w:t>10</w:t>
            </w:r>
            <w:r>
              <w:rPr>
                <w:rFonts w:hint="eastAsia" w:ascii="宋体" w:hAnsi="宋体" w:eastAsia="宋体" w:cs="宋体"/>
                <w:color w:val="auto"/>
                <w:kern w:val="0"/>
                <w:sz w:val="24"/>
                <w:szCs w:val="24"/>
                <w:highlight w:val="none"/>
                <w:lang w:val="en-US" w:eastAsia="zh-CN" w:bidi="ar-SA"/>
              </w:rPr>
              <w:t>月</w:t>
            </w:r>
            <w:r>
              <w:rPr>
                <w:rFonts w:hint="eastAsia" w:hAnsi="宋体" w:eastAsia="宋体" w:cs="宋体"/>
                <w:color w:val="auto"/>
                <w:kern w:val="0"/>
                <w:sz w:val="24"/>
                <w:szCs w:val="24"/>
                <w:highlight w:val="none"/>
                <w:u w:val="single"/>
                <w:lang w:val="en-US" w:eastAsia="zh-CN" w:bidi="ar-SA"/>
              </w:rPr>
              <w:t>5</w:t>
            </w:r>
            <w:r>
              <w:rPr>
                <w:rFonts w:hint="eastAsia" w:ascii="宋体" w:hAnsi="宋体" w:eastAsia="宋体" w:cs="宋体"/>
                <w:color w:val="auto"/>
                <w:kern w:val="0"/>
                <w:sz w:val="24"/>
                <w:szCs w:val="24"/>
                <w:highlight w:val="none"/>
                <w:lang w:val="en-US" w:eastAsia="zh-CN" w:bidi="ar-SA"/>
              </w:rPr>
              <w:t>日</w:t>
            </w:r>
            <w:r>
              <w:rPr>
                <w:rFonts w:hint="eastAsia" w:ascii="宋体" w:hAnsi="宋体" w:eastAsia="宋体" w:cs="宋体"/>
                <w:color w:val="auto"/>
                <w:kern w:val="0"/>
                <w:sz w:val="24"/>
                <w:szCs w:val="24"/>
                <w:highlight w:val="none"/>
                <w:u w:val="single"/>
                <w:lang w:val="en-US" w:eastAsia="zh-CN" w:bidi="ar-SA"/>
              </w:rPr>
              <w:t xml:space="preserve"> 16 </w:t>
            </w:r>
            <w:r>
              <w:rPr>
                <w:rFonts w:hint="eastAsia" w:ascii="宋体" w:hAnsi="宋体" w:eastAsia="宋体" w:cs="宋体"/>
                <w:color w:val="auto"/>
                <w:kern w:val="0"/>
                <w:sz w:val="24"/>
                <w:szCs w:val="24"/>
                <w:highlight w:val="none"/>
                <w:lang w:val="en-US" w:eastAsia="zh-CN" w:bidi="ar-SA"/>
              </w:rPr>
              <w:t>时</w:t>
            </w:r>
            <w:r>
              <w:rPr>
                <w:rFonts w:hint="eastAsia" w:ascii="宋体" w:hAnsi="宋体" w:eastAsia="宋体" w:cs="宋体"/>
                <w:color w:val="auto"/>
                <w:kern w:val="0"/>
                <w:sz w:val="24"/>
                <w:szCs w:val="24"/>
                <w:highlight w:val="none"/>
                <w:u w:val="single"/>
                <w:lang w:val="en-US" w:eastAsia="zh-CN" w:bidi="ar-SA"/>
              </w:rPr>
              <w:t xml:space="preserve"> 00 </w:t>
            </w:r>
            <w:r>
              <w:rPr>
                <w:rFonts w:hint="eastAsia" w:ascii="宋体" w:hAnsi="宋体" w:eastAsia="宋体" w:cs="宋体"/>
                <w:color w:val="auto"/>
                <w:kern w:val="0"/>
                <w:sz w:val="24"/>
                <w:szCs w:val="24"/>
                <w:highlight w:val="none"/>
                <w:lang w:val="en-US" w:eastAsia="zh-CN" w:bidi="ar-SA"/>
              </w:rPr>
              <w:t>分</w:t>
            </w:r>
          </w:p>
        </w:tc>
      </w:tr>
      <w:tr w14:paraId="6675714B">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57" w:type="dxa"/>
            <w:bottom w:w="0" w:type="dxa"/>
            <w:right w:w="57" w:type="dxa"/>
          </w:tblCellMar>
        </w:tblPrEx>
        <w:trPr>
          <w:trHeight w:val="951" w:hRule="atLeast"/>
        </w:trPr>
        <w:tc>
          <w:tcPr>
            <w:tcW w:w="491" w:type="dxa"/>
            <w:tcBorders>
              <w:top w:val="single" w:color="080000" w:sz="4" w:space="0"/>
              <w:left w:val="single" w:color="080000" w:sz="4" w:space="0"/>
              <w:bottom w:val="single" w:color="080000" w:sz="4" w:space="0"/>
              <w:right w:val="single" w:color="080000" w:sz="4" w:space="0"/>
            </w:tcBorders>
            <w:noWrap w:val="0"/>
            <w:vAlign w:val="center"/>
          </w:tcPr>
          <w:p w14:paraId="787AF6E6">
            <w:pPr>
              <w:pStyle w:val="40"/>
              <w:keepNext w:val="0"/>
              <w:keepLines w:val="0"/>
              <w:pageBreakBefore w:val="0"/>
              <w:widowControl w:val="0"/>
              <w:suppressLineNumbers w:val="0"/>
              <w:kinsoku/>
              <w:wordWrap w:val="0"/>
              <w:overflowPunct/>
              <w:topLinePunct/>
              <w:autoSpaceDE/>
              <w:autoSpaceDN/>
              <w:bidi w:val="0"/>
              <w:adjustRightInd w:val="0"/>
              <w:snapToGrid w:val="0"/>
              <w:spacing w:before="0" w:beforeAutospacing="0" w:after="0" w:afterAutospacing="0" w:line="360" w:lineRule="exact"/>
              <w:ind w:left="0" w:right="96" w:rightChars="40"/>
              <w:jc w:val="center"/>
              <w:rPr>
                <w:rFonts w:hint="eastAsia" w:ascii="宋体" w:hAnsi="宋体" w:eastAsia="宋体" w:cs="宋体"/>
                <w:b w:val="0"/>
                <w:bCs w:val="0"/>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4</w:t>
            </w:r>
          </w:p>
        </w:tc>
        <w:tc>
          <w:tcPr>
            <w:tcW w:w="1756" w:type="dxa"/>
            <w:tcBorders>
              <w:top w:val="single" w:color="080000" w:sz="4" w:space="0"/>
              <w:left w:val="single" w:color="080000" w:sz="4" w:space="0"/>
              <w:bottom w:val="single" w:color="080000" w:sz="4" w:space="0"/>
              <w:right w:val="single" w:color="080000" w:sz="4" w:space="0"/>
            </w:tcBorders>
            <w:noWrap w:val="0"/>
            <w:vAlign w:val="center"/>
          </w:tcPr>
          <w:p w14:paraId="608FE805">
            <w:pPr>
              <w:keepNext w:val="0"/>
              <w:keepLines w:val="0"/>
              <w:pageBreakBefore w:val="0"/>
              <w:widowControl w:val="0"/>
              <w:suppressLineNumbers w:val="0"/>
              <w:kinsoku/>
              <w:wordWrap w:val="0"/>
              <w:overflowPunct/>
              <w:topLinePunct/>
              <w:autoSpaceDE/>
              <w:autoSpaceDN/>
              <w:bidi w:val="0"/>
              <w:adjustRightInd w:val="0"/>
              <w:snapToGrid w:val="0"/>
              <w:spacing w:before="0" w:beforeAutospacing="0" w:after="0" w:afterAutospacing="0" w:line="360" w:lineRule="exact"/>
              <w:ind w:left="0" w:right="96" w:rightChars="40"/>
              <w:jc w:val="center"/>
              <w:rPr>
                <w:rFonts w:hint="eastAsia" w:ascii="宋体" w:hAnsi="宋体" w:eastAsia="宋体" w:cs="宋体"/>
                <w:snapToGrid w:val="0"/>
                <w:color w:val="auto"/>
                <w:kern w:val="0"/>
                <w:sz w:val="24"/>
                <w:szCs w:val="24"/>
                <w:highlight w:val="none"/>
                <w:lang w:val="en-US" w:eastAsia="zh-CN" w:bidi="ar-SA"/>
              </w:rPr>
            </w:pPr>
            <w:r>
              <w:rPr>
                <w:rFonts w:hint="eastAsia" w:ascii="宋体" w:hAnsi="宋体" w:eastAsia="宋体" w:cs="宋体"/>
                <w:snapToGrid w:val="0"/>
                <w:color w:val="auto"/>
                <w:kern w:val="0"/>
                <w:sz w:val="24"/>
                <w:szCs w:val="24"/>
                <w:highlight w:val="none"/>
                <w:lang w:val="en-US" w:eastAsia="zh-CN" w:bidi="ar-SA"/>
              </w:rPr>
              <w:t>网上答疑</w:t>
            </w:r>
          </w:p>
          <w:p w14:paraId="04881B90">
            <w:pPr>
              <w:keepNext w:val="0"/>
              <w:keepLines w:val="0"/>
              <w:pageBreakBefore w:val="0"/>
              <w:widowControl w:val="0"/>
              <w:suppressLineNumbers w:val="0"/>
              <w:kinsoku/>
              <w:wordWrap w:val="0"/>
              <w:overflowPunct/>
              <w:topLinePunct/>
              <w:autoSpaceDE/>
              <w:autoSpaceDN/>
              <w:bidi w:val="0"/>
              <w:adjustRightInd w:val="0"/>
              <w:snapToGrid w:val="0"/>
              <w:spacing w:before="0" w:beforeAutospacing="0" w:after="0" w:afterAutospacing="0" w:line="360" w:lineRule="exact"/>
              <w:ind w:left="0" w:right="96" w:rightChars="40"/>
              <w:jc w:val="center"/>
              <w:rPr>
                <w:rFonts w:hint="eastAsia" w:ascii="宋体" w:hAnsi="宋体" w:eastAsia="宋体" w:cs="宋体"/>
                <w:b w:val="0"/>
                <w:bCs w:val="0"/>
                <w:snapToGrid w:val="0"/>
                <w:color w:val="auto"/>
                <w:kern w:val="0"/>
                <w:sz w:val="24"/>
                <w:szCs w:val="24"/>
                <w:highlight w:val="none"/>
              </w:rPr>
            </w:pPr>
            <w:r>
              <w:rPr>
                <w:rFonts w:hint="eastAsia" w:ascii="宋体" w:hAnsi="宋体" w:eastAsia="宋体" w:cs="宋体"/>
                <w:snapToGrid w:val="0"/>
                <w:color w:val="auto"/>
                <w:kern w:val="0"/>
                <w:sz w:val="24"/>
                <w:szCs w:val="24"/>
                <w:highlight w:val="none"/>
                <w:lang w:val="en-US" w:eastAsia="zh-CN" w:bidi="ar-SA"/>
              </w:rPr>
              <w:t>时间</w:t>
            </w:r>
          </w:p>
        </w:tc>
        <w:tc>
          <w:tcPr>
            <w:tcW w:w="7932" w:type="dxa"/>
            <w:tcBorders>
              <w:top w:val="single" w:color="080000" w:sz="4" w:space="0"/>
              <w:left w:val="single" w:color="080000" w:sz="4" w:space="0"/>
              <w:bottom w:val="single" w:color="080000" w:sz="4" w:space="0"/>
              <w:right w:val="single" w:color="080000" w:sz="4" w:space="0"/>
            </w:tcBorders>
            <w:noWrap w:val="0"/>
            <w:vAlign w:val="center"/>
          </w:tcPr>
          <w:p w14:paraId="6F7DDA64">
            <w:pPr>
              <w:keepNext w:val="0"/>
              <w:keepLines w:val="0"/>
              <w:pageBreakBefore w:val="0"/>
              <w:widowControl w:val="0"/>
              <w:suppressLineNumbers w:val="0"/>
              <w:kinsoku/>
              <w:wordWrap w:val="0"/>
              <w:overflowPunct/>
              <w:topLinePunct/>
              <w:autoSpaceDE/>
              <w:autoSpaceDN/>
              <w:bidi w:val="0"/>
              <w:adjustRightInd w:val="0"/>
              <w:snapToGrid w:val="0"/>
              <w:spacing w:before="0" w:beforeAutospacing="0" w:after="0" w:afterAutospacing="0"/>
              <w:ind w:left="0" w:right="96" w:rightChars="40"/>
              <w:jc w:val="left"/>
              <w:rPr>
                <w:rFonts w:hint="eastAsia" w:ascii="宋体" w:hAnsi="宋体" w:eastAsia="宋体" w:cs="宋体"/>
                <w:b w:val="0"/>
                <w:bCs w:val="0"/>
                <w:snapToGrid w:val="0"/>
                <w:color w:val="auto"/>
                <w:kern w:val="0"/>
                <w:sz w:val="24"/>
                <w:szCs w:val="24"/>
                <w:highlight w:val="none"/>
              </w:rPr>
            </w:pPr>
            <w:r>
              <w:rPr>
                <w:rFonts w:hint="eastAsia" w:ascii="宋体" w:hAnsi="宋体" w:eastAsia="宋体" w:cs="宋体"/>
                <w:color w:val="auto"/>
                <w:kern w:val="0"/>
                <w:sz w:val="24"/>
                <w:szCs w:val="24"/>
                <w:highlight w:val="none"/>
                <w:u w:val="single"/>
                <w:lang w:val="en-US" w:eastAsia="zh-CN" w:bidi="ar-SA"/>
              </w:rPr>
              <w:t xml:space="preserve">2026 </w:t>
            </w:r>
            <w:r>
              <w:rPr>
                <w:rFonts w:hint="eastAsia" w:ascii="宋体" w:hAnsi="宋体" w:eastAsia="宋体" w:cs="宋体"/>
                <w:color w:val="auto"/>
                <w:kern w:val="0"/>
                <w:sz w:val="24"/>
                <w:szCs w:val="24"/>
                <w:highlight w:val="none"/>
                <w:lang w:val="en-US" w:eastAsia="zh-CN" w:bidi="ar-SA"/>
              </w:rPr>
              <w:t>年</w:t>
            </w:r>
            <w:r>
              <w:rPr>
                <w:rFonts w:hint="eastAsia" w:hAnsi="宋体" w:eastAsia="宋体" w:cs="宋体"/>
                <w:color w:val="auto"/>
                <w:kern w:val="0"/>
                <w:sz w:val="24"/>
                <w:szCs w:val="24"/>
                <w:highlight w:val="none"/>
                <w:u w:val="single"/>
                <w:lang w:val="en-US" w:eastAsia="zh-CN" w:bidi="ar-SA"/>
              </w:rPr>
              <w:t>10</w:t>
            </w:r>
            <w:r>
              <w:rPr>
                <w:rFonts w:hint="eastAsia" w:ascii="宋体" w:hAnsi="宋体" w:eastAsia="宋体" w:cs="宋体"/>
                <w:color w:val="auto"/>
                <w:kern w:val="0"/>
                <w:sz w:val="24"/>
                <w:szCs w:val="24"/>
                <w:highlight w:val="none"/>
                <w:lang w:val="en-US" w:eastAsia="zh-CN" w:bidi="ar-SA"/>
              </w:rPr>
              <w:t>月</w:t>
            </w:r>
            <w:r>
              <w:rPr>
                <w:rFonts w:hint="eastAsia" w:hAnsi="宋体" w:eastAsia="宋体" w:cs="宋体"/>
                <w:color w:val="auto"/>
                <w:kern w:val="0"/>
                <w:sz w:val="24"/>
                <w:szCs w:val="24"/>
                <w:highlight w:val="none"/>
                <w:u w:val="single"/>
                <w:lang w:val="en-US" w:eastAsia="zh-CN" w:bidi="ar-SA"/>
              </w:rPr>
              <w:t>5</w:t>
            </w:r>
            <w:r>
              <w:rPr>
                <w:rFonts w:hint="eastAsia" w:ascii="宋体" w:hAnsi="宋体" w:eastAsia="宋体" w:cs="宋体"/>
                <w:color w:val="auto"/>
                <w:kern w:val="0"/>
                <w:sz w:val="24"/>
                <w:szCs w:val="24"/>
                <w:highlight w:val="none"/>
                <w:lang w:val="en-US" w:eastAsia="zh-CN" w:bidi="ar-SA"/>
              </w:rPr>
              <w:t>日</w:t>
            </w:r>
            <w:r>
              <w:rPr>
                <w:rFonts w:hint="eastAsia" w:ascii="宋体" w:hAnsi="宋体" w:eastAsia="宋体" w:cs="宋体"/>
                <w:color w:val="auto"/>
                <w:kern w:val="0"/>
                <w:sz w:val="24"/>
                <w:szCs w:val="24"/>
                <w:highlight w:val="none"/>
                <w:u w:val="single"/>
                <w:lang w:val="en-US" w:eastAsia="zh-CN" w:bidi="ar-SA"/>
              </w:rPr>
              <w:t>16</w:t>
            </w:r>
            <w:r>
              <w:rPr>
                <w:rFonts w:hint="eastAsia" w:ascii="宋体" w:hAnsi="宋体" w:eastAsia="宋体" w:cs="宋体"/>
                <w:color w:val="auto"/>
                <w:kern w:val="0"/>
                <w:sz w:val="24"/>
                <w:szCs w:val="24"/>
                <w:highlight w:val="none"/>
                <w:lang w:val="en-US" w:eastAsia="zh-CN" w:bidi="ar-SA"/>
              </w:rPr>
              <w:t>时</w:t>
            </w:r>
            <w:r>
              <w:rPr>
                <w:rFonts w:hint="eastAsia" w:ascii="宋体" w:hAnsi="宋体" w:eastAsia="宋体" w:cs="宋体"/>
                <w:color w:val="auto"/>
                <w:kern w:val="0"/>
                <w:sz w:val="24"/>
                <w:szCs w:val="24"/>
                <w:highlight w:val="none"/>
                <w:u w:val="single"/>
                <w:lang w:val="en-US" w:eastAsia="zh-CN" w:bidi="ar-SA"/>
              </w:rPr>
              <w:t>30</w:t>
            </w:r>
            <w:r>
              <w:rPr>
                <w:rFonts w:hint="eastAsia" w:ascii="宋体" w:hAnsi="宋体" w:eastAsia="宋体" w:cs="宋体"/>
                <w:color w:val="auto"/>
                <w:kern w:val="0"/>
                <w:sz w:val="24"/>
                <w:szCs w:val="24"/>
                <w:highlight w:val="none"/>
                <w:lang w:val="en-US" w:eastAsia="zh-CN" w:bidi="ar-SA"/>
              </w:rPr>
              <w:t>分至</w:t>
            </w:r>
            <w:r>
              <w:rPr>
                <w:rFonts w:hint="eastAsia" w:ascii="宋体" w:hAnsi="宋体" w:eastAsia="宋体" w:cs="宋体"/>
                <w:color w:val="auto"/>
                <w:kern w:val="0"/>
                <w:sz w:val="24"/>
                <w:szCs w:val="24"/>
                <w:highlight w:val="none"/>
                <w:u w:val="single"/>
                <w:lang w:val="en-US" w:eastAsia="zh-CN" w:bidi="ar-SA"/>
              </w:rPr>
              <w:t>2026</w:t>
            </w:r>
            <w:r>
              <w:rPr>
                <w:rFonts w:hint="eastAsia" w:ascii="宋体" w:hAnsi="宋体" w:eastAsia="宋体" w:cs="宋体"/>
                <w:color w:val="auto"/>
                <w:kern w:val="0"/>
                <w:sz w:val="24"/>
                <w:szCs w:val="24"/>
                <w:highlight w:val="none"/>
                <w:lang w:val="en-US" w:eastAsia="zh-CN" w:bidi="ar-SA"/>
              </w:rPr>
              <w:t>年</w:t>
            </w:r>
            <w:r>
              <w:rPr>
                <w:rFonts w:hint="eastAsia" w:hAnsi="宋体" w:eastAsia="宋体" w:cs="宋体"/>
                <w:color w:val="auto"/>
                <w:kern w:val="0"/>
                <w:sz w:val="24"/>
                <w:szCs w:val="24"/>
                <w:highlight w:val="none"/>
                <w:u w:val="single"/>
                <w:lang w:val="en-US" w:eastAsia="zh-CN" w:bidi="ar-SA"/>
              </w:rPr>
              <w:t>10</w:t>
            </w:r>
            <w:r>
              <w:rPr>
                <w:rFonts w:hint="eastAsia" w:ascii="宋体" w:hAnsi="宋体" w:eastAsia="宋体" w:cs="宋体"/>
                <w:color w:val="auto"/>
                <w:kern w:val="0"/>
                <w:sz w:val="24"/>
                <w:szCs w:val="24"/>
                <w:highlight w:val="none"/>
                <w:lang w:val="en-US" w:eastAsia="zh-CN" w:bidi="ar-SA"/>
              </w:rPr>
              <w:t>月</w:t>
            </w:r>
            <w:r>
              <w:rPr>
                <w:rFonts w:hint="eastAsia" w:hAnsi="宋体" w:eastAsia="宋体" w:cs="宋体"/>
                <w:color w:val="auto"/>
                <w:kern w:val="0"/>
                <w:sz w:val="24"/>
                <w:szCs w:val="24"/>
                <w:highlight w:val="none"/>
                <w:u w:val="single"/>
                <w:lang w:val="en-US" w:eastAsia="zh-CN" w:bidi="ar-SA"/>
              </w:rPr>
              <w:t>8</w:t>
            </w:r>
            <w:r>
              <w:rPr>
                <w:rFonts w:hint="eastAsia" w:ascii="宋体" w:hAnsi="宋体" w:eastAsia="宋体" w:cs="宋体"/>
                <w:color w:val="auto"/>
                <w:kern w:val="0"/>
                <w:sz w:val="24"/>
                <w:szCs w:val="24"/>
                <w:highlight w:val="none"/>
                <w:lang w:val="en-US" w:eastAsia="zh-CN" w:bidi="ar-SA"/>
              </w:rPr>
              <w:t>日</w:t>
            </w:r>
            <w:r>
              <w:rPr>
                <w:rFonts w:hint="eastAsia" w:ascii="宋体" w:hAnsi="宋体" w:eastAsia="宋体" w:cs="宋体"/>
                <w:color w:val="auto"/>
                <w:kern w:val="0"/>
                <w:sz w:val="24"/>
                <w:szCs w:val="24"/>
                <w:highlight w:val="none"/>
                <w:u w:val="single"/>
                <w:lang w:val="en-US" w:eastAsia="zh-CN" w:bidi="ar-SA"/>
              </w:rPr>
              <w:t xml:space="preserve"> 16 </w:t>
            </w:r>
            <w:r>
              <w:rPr>
                <w:rFonts w:hint="eastAsia" w:ascii="宋体" w:hAnsi="宋体" w:eastAsia="宋体" w:cs="宋体"/>
                <w:color w:val="auto"/>
                <w:kern w:val="0"/>
                <w:sz w:val="24"/>
                <w:szCs w:val="24"/>
                <w:highlight w:val="none"/>
                <w:lang w:val="en-US" w:eastAsia="zh-CN" w:bidi="ar-SA"/>
              </w:rPr>
              <w:t>时</w:t>
            </w:r>
            <w:r>
              <w:rPr>
                <w:rFonts w:hint="eastAsia" w:ascii="宋体" w:hAnsi="宋体" w:eastAsia="宋体" w:cs="宋体"/>
                <w:color w:val="auto"/>
                <w:kern w:val="0"/>
                <w:sz w:val="24"/>
                <w:szCs w:val="24"/>
                <w:highlight w:val="none"/>
                <w:u w:val="single"/>
                <w:lang w:val="en-US" w:eastAsia="zh-CN" w:bidi="ar-SA"/>
              </w:rPr>
              <w:t xml:space="preserve"> 00</w:t>
            </w:r>
            <w:r>
              <w:rPr>
                <w:rFonts w:hint="eastAsia" w:ascii="宋体" w:hAnsi="宋体" w:eastAsia="宋体" w:cs="宋体"/>
                <w:color w:val="auto"/>
                <w:kern w:val="0"/>
                <w:sz w:val="24"/>
                <w:szCs w:val="24"/>
                <w:highlight w:val="none"/>
                <w:lang w:val="en-US" w:eastAsia="zh-CN" w:bidi="ar-SA"/>
              </w:rPr>
              <w:t>分</w:t>
            </w:r>
          </w:p>
        </w:tc>
      </w:tr>
      <w:tr w14:paraId="0275F238">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57" w:type="dxa"/>
            <w:bottom w:w="0" w:type="dxa"/>
            <w:right w:w="57" w:type="dxa"/>
          </w:tblCellMar>
        </w:tblPrEx>
        <w:trPr>
          <w:trHeight w:val="1638" w:hRule="atLeast"/>
        </w:trPr>
        <w:tc>
          <w:tcPr>
            <w:tcW w:w="491" w:type="dxa"/>
            <w:tcBorders>
              <w:top w:val="single" w:color="080000" w:sz="4" w:space="0"/>
              <w:left w:val="single" w:color="080000" w:sz="4" w:space="0"/>
              <w:bottom w:val="single" w:color="080000" w:sz="4" w:space="0"/>
              <w:right w:val="single" w:color="080000" w:sz="4" w:space="0"/>
            </w:tcBorders>
            <w:noWrap w:val="0"/>
            <w:vAlign w:val="center"/>
          </w:tcPr>
          <w:p w14:paraId="6F48DB89">
            <w:pPr>
              <w:pStyle w:val="40"/>
              <w:keepNext w:val="0"/>
              <w:keepLines w:val="0"/>
              <w:pageBreakBefore w:val="0"/>
              <w:widowControl w:val="0"/>
              <w:suppressLineNumbers w:val="0"/>
              <w:kinsoku/>
              <w:wordWrap w:val="0"/>
              <w:overflowPunct/>
              <w:topLinePunct/>
              <w:autoSpaceDE/>
              <w:autoSpaceDN/>
              <w:bidi w:val="0"/>
              <w:adjustRightInd w:val="0"/>
              <w:snapToGrid w:val="0"/>
              <w:spacing w:before="0" w:beforeAutospacing="0" w:after="0" w:afterAutospacing="0" w:line="360" w:lineRule="exact"/>
              <w:ind w:left="0" w:right="96" w:rightChars="40"/>
              <w:jc w:val="center"/>
              <w:rPr>
                <w:rFonts w:hint="eastAsia" w:ascii="宋体" w:hAnsi="宋体" w:eastAsia="宋体" w:cs="宋体"/>
                <w:b w:val="0"/>
                <w:bCs w:val="0"/>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5</w:t>
            </w:r>
          </w:p>
        </w:tc>
        <w:tc>
          <w:tcPr>
            <w:tcW w:w="1756" w:type="dxa"/>
            <w:tcBorders>
              <w:top w:val="single" w:color="080000" w:sz="4" w:space="0"/>
              <w:left w:val="single" w:color="080000" w:sz="4" w:space="0"/>
              <w:bottom w:val="single" w:color="080000" w:sz="4" w:space="0"/>
              <w:right w:val="single" w:color="080000" w:sz="4" w:space="0"/>
            </w:tcBorders>
            <w:noWrap w:val="0"/>
            <w:vAlign w:val="center"/>
          </w:tcPr>
          <w:p w14:paraId="4BFDA801">
            <w:pPr>
              <w:keepNext w:val="0"/>
              <w:keepLines w:val="0"/>
              <w:pageBreakBefore w:val="0"/>
              <w:widowControl w:val="0"/>
              <w:suppressLineNumbers w:val="0"/>
              <w:kinsoku/>
              <w:wordWrap w:val="0"/>
              <w:overflowPunct/>
              <w:topLinePunct/>
              <w:autoSpaceDE/>
              <w:autoSpaceDN/>
              <w:bidi w:val="0"/>
              <w:adjustRightInd w:val="0"/>
              <w:snapToGrid w:val="0"/>
              <w:spacing w:before="0" w:beforeAutospacing="0" w:after="0" w:afterAutospacing="0" w:line="360" w:lineRule="exact"/>
              <w:ind w:left="0" w:right="96" w:rightChars="40"/>
              <w:jc w:val="center"/>
              <w:rPr>
                <w:rFonts w:hint="eastAsia" w:ascii="宋体" w:hAnsi="宋体" w:eastAsia="宋体" w:cs="宋体"/>
                <w:snapToGrid w:val="0"/>
                <w:color w:val="auto"/>
                <w:kern w:val="0"/>
                <w:sz w:val="24"/>
                <w:szCs w:val="24"/>
                <w:highlight w:val="none"/>
                <w:lang w:val="en-US" w:eastAsia="zh-CN" w:bidi="ar-SA"/>
              </w:rPr>
            </w:pPr>
            <w:r>
              <w:rPr>
                <w:rFonts w:hint="eastAsia" w:ascii="宋体" w:hAnsi="宋体" w:eastAsia="宋体" w:cs="宋体"/>
                <w:snapToGrid w:val="0"/>
                <w:color w:val="auto"/>
                <w:kern w:val="0"/>
                <w:sz w:val="24"/>
                <w:szCs w:val="24"/>
                <w:highlight w:val="none"/>
                <w:lang w:val="en-US" w:eastAsia="zh-CN" w:bidi="ar-SA"/>
              </w:rPr>
              <w:t>投标保证缴</w:t>
            </w:r>
          </w:p>
          <w:p w14:paraId="257527BB">
            <w:pPr>
              <w:keepNext w:val="0"/>
              <w:keepLines w:val="0"/>
              <w:pageBreakBefore w:val="0"/>
              <w:widowControl w:val="0"/>
              <w:suppressLineNumbers w:val="0"/>
              <w:kinsoku/>
              <w:wordWrap w:val="0"/>
              <w:overflowPunct/>
              <w:topLinePunct/>
              <w:autoSpaceDE/>
              <w:autoSpaceDN/>
              <w:bidi w:val="0"/>
              <w:adjustRightInd w:val="0"/>
              <w:snapToGrid w:val="0"/>
              <w:spacing w:before="0" w:beforeAutospacing="0" w:after="0" w:afterAutospacing="0" w:line="360" w:lineRule="exact"/>
              <w:ind w:left="0" w:right="96" w:rightChars="40"/>
              <w:jc w:val="center"/>
              <w:rPr>
                <w:rFonts w:hint="eastAsia" w:ascii="宋体" w:hAnsi="宋体" w:eastAsia="宋体" w:cs="宋体"/>
                <w:b w:val="0"/>
                <w:bCs w:val="0"/>
                <w:snapToGrid w:val="0"/>
                <w:color w:val="auto"/>
                <w:kern w:val="0"/>
                <w:sz w:val="24"/>
                <w:szCs w:val="24"/>
                <w:highlight w:val="none"/>
              </w:rPr>
            </w:pPr>
            <w:r>
              <w:rPr>
                <w:rFonts w:hint="eastAsia" w:ascii="宋体" w:hAnsi="宋体" w:eastAsia="宋体" w:cs="宋体"/>
                <w:snapToGrid w:val="0"/>
                <w:color w:val="auto"/>
                <w:kern w:val="0"/>
                <w:sz w:val="24"/>
                <w:szCs w:val="24"/>
                <w:highlight w:val="none"/>
                <w:lang w:val="en-US" w:eastAsia="zh-CN" w:bidi="ar-SA"/>
              </w:rPr>
              <w:t>纳截止时间</w:t>
            </w:r>
          </w:p>
        </w:tc>
        <w:tc>
          <w:tcPr>
            <w:tcW w:w="7932" w:type="dxa"/>
            <w:tcBorders>
              <w:top w:val="single" w:color="080000" w:sz="4" w:space="0"/>
              <w:left w:val="single" w:color="080000" w:sz="4" w:space="0"/>
              <w:bottom w:val="single" w:color="080000" w:sz="4" w:space="0"/>
              <w:right w:val="single" w:color="080000" w:sz="4" w:space="0"/>
            </w:tcBorders>
            <w:noWrap w:val="0"/>
            <w:vAlign w:val="center"/>
          </w:tcPr>
          <w:p w14:paraId="2D0E106B">
            <w:pPr>
              <w:keepNext w:val="0"/>
              <w:keepLines w:val="0"/>
              <w:pageBreakBefore w:val="0"/>
              <w:widowControl w:val="0"/>
              <w:suppressLineNumbers w:val="0"/>
              <w:kinsoku/>
              <w:wordWrap w:val="0"/>
              <w:overflowPunct/>
              <w:topLinePunct/>
              <w:autoSpaceDE/>
              <w:autoSpaceDN/>
              <w:bidi w:val="0"/>
              <w:adjustRightInd w:val="0"/>
              <w:snapToGrid w:val="0"/>
              <w:spacing w:before="0" w:beforeAutospacing="0" w:after="0" w:afterAutospacing="0"/>
              <w:ind w:left="0" w:right="96" w:rightChars="40"/>
              <w:jc w:val="left"/>
              <w:rPr>
                <w:rFonts w:hint="eastAsia" w:ascii="宋体" w:hAnsi="宋体" w:eastAsia="宋体" w:cs="宋体"/>
                <w:color w:val="auto"/>
                <w:kern w:val="0"/>
                <w:sz w:val="24"/>
                <w:szCs w:val="24"/>
                <w:highlight w:val="none"/>
                <w:lang w:val="en-US" w:eastAsia="zh-CN" w:bidi="ar-SA"/>
              </w:rPr>
            </w:pPr>
            <w:r>
              <w:rPr>
                <w:rFonts w:hint="eastAsia" w:ascii="宋体" w:hAnsi="宋体" w:eastAsia="宋体" w:cs="宋体"/>
                <w:color w:val="auto"/>
                <w:kern w:val="0"/>
                <w:sz w:val="24"/>
                <w:szCs w:val="24"/>
                <w:highlight w:val="none"/>
                <w:lang w:val="en-US" w:eastAsia="zh-CN" w:bidi="ar-SA"/>
              </w:rPr>
              <w:t>投标保证金到账截止时间：</w:t>
            </w:r>
            <w:r>
              <w:rPr>
                <w:rFonts w:hint="eastAsia" w:ascii="宋体" w:hAnsi="宋体" w:eastAsia="宋体" w:cs="宋体"/>
                <w:color w:val="auto"/>
                <w:kern w:val="0"/>
                <w:sz w:val="24"/>
                <w:szCs w:val="24"/>
                <w:highlight w:val="none"/>
                <w:u w:val="single"/>
                <w:lang w:val="en-US" w:eastAsia="zh-CN" w:bidi="ar-SA"/>
              </w:rPr>
              <w:t>2026</w:t>
            </w:r>
            <w:r>
              <w:rPr>
                <w:rFonts w:hint="eastAsia" w:ascii="宋体" w:hAnsi="宋体" w:eastAsia="宋体" w:cs="宋体"/>
                <w:color w:val="auto"/>
                <w:kern w:val="0"/>
                <w:sz w:val="24"/>
                <w:szCs w:val="24"/>
                <w:highlight w:val="none"/>
                <w:lang w:val="en-US" w:eastAsia="zh-CN" w:bidi="ar-SA"/>
              </w:rPr>
              <w:t>年</w:t>
            </w:r>
            <w:r>
              <w:rPr>
                <w:rFonts w:hint="eastAsia" w:hAnsi="宋体" w:eastAsia="宋体" w:cs="宋体"/>
                <w:color w:val="auto"/>
                <w:kern w:val="0"/>
                <w:sz w:val="24"/>
                <w:szCs w:val="24"/>
                <w:highlight w:val="none"/>
                <w:u w:val="single"/>
                <w:lang w:val="en-US" w:eastAsia="zh-CN" w:bidi="ar-SA"/>
              </w:rPr>
              <w:t>10</w:t>
            </w:r>
            <w:r>
              <w:rPr>
                <w:rFonts w:hint="eastAsia" w:ascii="宋体" w:hAnsi="宋体" w:eastAsia="宋体" w:cs="宋体"/>
                <w:color w:val="auto"/>
                <w:kern w:val="0"/>
                <w:sz w:val="24"/>
                <w:szCs w:val="24"/>
                <w:highlight w:val="none"/>
                <w:lang w:val="en-US" w:eastAsia="zh-CN" w:bidi="ar-SA"/>
              </w:rPr>
              <w:t>月</w:t>
            </w:r>
            <w:r>
              <w:rPr>
                <w:rFonts w:hint="eastAsia" w:hAnsi="宋体" w:eastAsia="宋体" w:cs="宋体"/>
                <w:color w:val="auto"/>
                <w:kern w:val="0"/>
                <w:sz w:val="24"/>
                <w:szCs w:val="24"/>
                <w:highlight w:val="none"/>
                <w:u w:val="single"/>
                <w:lang w:val="en-US" w:eastAsia="zh-CN" w:bidi="ar-SA"/>
              </w:rPr>
              <w:t>14</w:t>
            </w:r>
            <w:r>
              <w:rPr>
                <w:rFonts w:hint="eastAsia" w:ascii="宋体" w:hAnsi="宋体" w:eastAsia="宋体" w:cs="宋体"/>
                <w:color w:val="auto"/>
                <w:kern w:val="0"/>
                <w:sz w:val="24"/>
                <w:szCs w:val="24"/>
                <w:highlight w:val="none"/>
                <w:lang w:val="en-US" w:eastAsia="zh-CN" w:bidi="ar-SA"/>
              </w:rPr>
              <w:t>日</w:t>
            </w:r>
            <w:r>
              <w:rPr>
                <w:rFonts w:hint="eastAsia" w:ascii="宋体" w:hAnsi="宋体" w:eastAsia="宋体" w:cs="宋体"/>
                <w:color w:val="auto"/>
                <w:kern w:val="0"/>
                <w:sz w:val="24"/>
                <w:szCs w:val="24"/>
                <w:highlight w:val="none"/>
                <w:u w:val="single"/>
                <w:lang w:val="en-US" w:eastAsia="zh-CN" w:bidi="ar-SA"/>
              </w:rPr>
              <w:t xml:space="preserve"> 9</w:t>
            </w:r>
            <w:r>
              <w:rPr>
                <w:rFonts w:hint="eastAsia" w:ascii="宋体" w:hAnsi="宋体" w:eastAsia="宋体" w:cs="宋体"/>
                <w:color w:val="auto"/>
                <w:kern w:val="0"/>
                <w:sz w:val="24"/>
                <w:szCs w:val="24"/>
                <w:highlight w:val="none"/>
                <w:lang w:val="en-US" w:eastAsia="zh-CN" w:bidi="ar-SA"/>
              </w:rPr>
              <w:t>时</w:t>
            </w:r>
            <w:r>
              <w:rPr>
                <w:rFonts w:hint="eastAsia" w:ascii="宋体" w:hAnsi="宋体" w:eastAsia="宋体" w:cs="宋体"/>
                <w:color w:val="auto"/>
                <w:kern w:val="0"/>
                <w:sz w:val="24"/>
                <w:szCs w:val="24"/>
                <w:highlight w:val="none"/>
                <w:u w:val="single"/>
                <w:lang w:val="en-US" w:eastAsia="zh-CN" w:bidi="ar-SA"/>
              </w:rPr>
              <w:t xml:space="preserve"> 30 </w:t>
            </w:r>
            <w:r>
              <w:rPr>
                <w:rFonts w:hint="eastAsia" w:ascii="宋体" w:hAnsi="宋体" w:eastAsia="宋体" w:cs="宋体"/>
                <w:color w:val="auto"/>
                <w:kern w:val="0"/>
                <w:sz w:val="24"/>
                <w:szCs w:val="24"/>
                <w:highlight w:val="none"/>
                <w:lang w:val="en-US" w:eastAsia="zh-CN" w:bidi="ar-SA"/>
              </w:rPr>
              <w:t>分；</w:t>
            </w:r>
          </w:p>
          <w:p w14:paraId="52374729">
            <w:pPr>
              <w:keepNext w:val="0"/>
              <w:keepLines w:val="0"/>
              <w:pageBreakBefore w:val="0"/>
              <w:widowControl w:val="0"/>
              <w:suppressLineNumbers w:val="0"/>
              <w:kinsoku/>
              <w:wordWrap w:val="0"/>
              <w:overflowPunct/>
              <w:topLinePunct/>
              <w:autoSpaceDE/>
              <w:autoSpaceDN/>
              <w:bidi w:val="0"/>
              <w:adjustRightInd w:val="0"/>
              <w:snapToGrid w:val="0"/>
              <w:spacing w:before="0" w:beforeAutospacing="0" w:after="0" w:afterAutospacing="0"/>
              <w:ind w:left="0" w:right="96" w:rightChars="40"/>
              <w:jc w:val="left"/>
              <w:rPr>
                <w:rFonts w:hint="eastAsia" w:ascii="宋体" w:hAnsi="宋体" w:eastAsia="宋体" w:cs="宋体"/>
                <w:color w:val="auto"/>
                <w:kern w:val="0"/>
                <w:sz w:val="24"/>
                <w:szCs w:val="24"/>
                <w:highlight w:val="none"/>
                <w:lang w:val="en-US" w:eastAsia="zh-CN" w:bidi="ar-SA"/>
              </w:rPr>
            </w:pPr>
            <w:r>
              <w:rPr>
                <w:rFonts w:hint="eastAsia" w:ascii="宋体" w:hAnsi="宋体" w:eastAsia="宋体" w:cs="宋体"/>
                <w:color w:val="auto"/>
                <w:kern w:val="0"/>
                <w:sz w:val="24"/>
                <w:szCs w:val="24"/>
                <w:highlight w:val="none"/>
                <w:lang w:val="en-US" w:eastAsia="zh-CN" w:bidi="ar-SA"/>
              </w:rPr>
              <w:t>投标保证担保上传截止时间：</w:t>
            </w:r>
            <w:r>
              <w:rPr>
                <w:rFonts w:hint="eastAsia" w:ascii="宋体" w:hAnsi="宋体" w:eastAsia="宋体" w:cs="宋体"/>
                <w:color w:val="auto"/>
                <w:kern w:val="0"/>
                <w:sz w:val="24"/>
                <w:szCs w:val="24"/>
                <w:highlight w:val="none"/>
                <w:u w:val="single"/>
                <w:lang w:val="en-US" w:eastAsia="zh-CN" w:bidi="ar-SA"/>
              </w:rPr>
              <w:t>2026</w:t>
            </w:r>
            <w:r>
              <w:rPr>
                <w:rFonts w:hint="eastAsia" w:ascii="宋体" w:hAnsi="宋体" w:eastAsia="宋体" w:cs="宋体"/>
                <w:color w:val="auto"/>
                <w:kern w:val="0"/>
                <w:sz w:val="24"/>
                <w:szCs w:val="24"/>
                <w:highlight w:val="none"/>
                <w:lang w:val="en-US" w:eastAsia="zh-CN" w:bidi="ar-SA"/>
              </w:rPr>
              <w:t>年</w:t>
            </w:r>
            <w:r>
              <w:rPr>
                <w:rFonts w:hint="eastAsia" w:hAnsi="宋体" w:eastAsia="宋体" w:cs="宋体"/>
                <w:color w:val="auto"/>
                <w:kern w:val="0"/>
                <w:sz w:val="24"/>
                <w:szCs w:val="24"/>
                <w:highlight w:val="none"/>
                <w:u w:val="single"/>
                <w:lang w:val="en-US" w:eastAsia="zh-CN" w:bidi="ar-SA"/>
              </w:rPr>
              <w:t>10</w:t>
            </w:r>
            <w:r>
              <w:rPr>
                <w:rFonts w:hint="eastAsia" w:ascii="宋体" w:hAnsi="宋体" w:eastAsia="宋体" w:cs="宋体"/>
                <w:color w:val="auto"/>
                <w:kern w:val="0"/>
                <w:sz w:val="24"/>
                <w:szCs w:val="24"/>
                <w:highlight w:val="none"/>
                <w:lang w:val="en-US" w:eastAsia="zh-CN" w:bidi="ar-SA"/>
              </w:rPr>
              <w:t>月</w:t>
            </w:r>
            <w:r>
              <w:rPr>
                <w:rFonts w:hint="eastAsia" w:hAnsi="宋体" w:eastAsia="宋体" w:cs="宋体"/>
                <w:color w:val="auto"/>
                <w:kern w:val="0"/>
                <w:sz w:val="24"/>
                <w:szCs w:val="24"/>
                <w:highlight w:val="none"/>
                <w:u w:val="single"/>
                <w:lang w:val="en-US" w:eastAsia="zh-CN" w:bidi="ar-SA"/>
              </w:rPr>
              <w:t>14</w:t>
            </w:r>
            <w:r>
              <w:rPr>
                <w:rFonts w:hint="eastAsia" w:ascii="宋体" w:hAnsi="宋体" w:eastAsia="宋体" w:cs="宋体"/>
                <w:color w:val="auto"/>
                <w:kern w:val="0"/>
                <w:sz w:val="24"/>
                <w:szCs w:val="24"/>
                <w:highlight w:val="none"/>
                <w:lang w:val="en-US" w:eastAsia="zh-CN" w:bidi="ar-SA"/>
              </w:rPr>
              <w:t>日</w:t>
            </w:r>
            <w:r>
              <w:rPr>
                <w:rFonts w:hint="eastAsia" w:ascii="宋体" w:hAnsi="宋体" w:eastAsia="宋体" w:cs="宋体"/>
                <w:color w:val="auto"/>
                <w:kern w:val="0"/>
                <w:sz w:val="24"/>
                <w:szCs w:val="24"/>
                <w:highlight w:val="none"/>
                <w:u w:val="single"/>
                <w:lang w:val="en-US" w:eastAsia="zh-CN" w:bidi="ar-SA"/>
              </w:rPr>
              <w:t xml:space="preserve">9 </w:t>
            </w:r>
            <w:r>
              <w:rPr>
                <w:rFonts w:hint="eastAsia" w:ascii="宋体" w:hAnsi="宋体" w:eastAsia="宋体" w:cs="宋体"/>
                <w:color w:val="auto"/>
                <w:kern w:val="0"/>
                <w:sz w:val="24"/>
                <w:szCs w:val="24"/>
                <w:highlight w:val="none"/>
                <w:lang w:val="en-US" w:eastAsia="zh-CN" w:bidi="ar-SA"/>
              </w:rPr>
              <w:t>时</w:t>
            </w:r>
            <w:r>
              <w:rPr>
                <w:rFonts w:hint="eastAsia" w:ascii="宋体" w:hAnsi="宋体" w:eastAsia="宋体" w:cs="宋体"/>
                <w:color w:val="auto"/>
                <w:kern w:val="0"/>
                <w:sz w:val="24"/>
                <w:szCs w:val="24"/>
                <w:highlight w:val="none"/>
                <w:u w:val="single"/>
                <w:lang w:val="en-US" w:eastAsia="zh-CN" w:bidi="ar-SA"/>
              </w:rPr>
              <w:t xml:space="preserve"> 30 </w:t>
            </w:r>
            <w:r>
              <w:rPr>
                <w:rFonts w:hint="eastAsia" w:ascii="宋体" w:hAnsi="宋体" w:eastAsia="宋体" w:cs="宋体"/>
                <w:color w:val="auto"/>
                <w:kern w:val="0"/>
                <w:sz w:val="24"/>
                <w:szCs w:val="24"/>
                <w:highlight w:val="none"/>
                <w:lang w:val="en-US" w:eastAsia="zh-CN" w:bidi="ar-SA"/>
              </w:rPr>
              <w:t>分；</w:t>
            </w:r>
          </w:p>
          <w:p w14:paraId="29220D5C">
            <w:pPr>
              <w:keepNext w:val="0"/>
              <w:keepLines w:val="0"/>
              <w:pageBreakBefore w:val="0"/>
              <w:widowControl w:val="0"/>
              <w:suppressLineNumbers w:val="0"/>
              <w:kinsoku/>
              <w:wordWrap w:val="0"/>
              <w:overflowPunct/>
              <w:topLinePunct/>
              <w:autoSpaceDE/>
              <w:autoSpaceDN/>
              <w:bidi w:val="0"/>
              <w:adjustRightInd w:val="0"/>
              <w:snapToGrid w:val="0"/>
              <w:spacing w:before="0" w:beforeAutospacing="0" w:after="0" w:afterAutospacing="0"/>
              <w:ind w:left="0" w:right="96" w:rightChars="40"/>
              <w:jc w:val="left"/>
              <w:rPr>
                <w:rFonts w:hint="eastAsia" w:ascii="宋体" w:hAnsi="宋体" w:eastAsia="宋体" w:cs="宋体"/>
                <w:b w:val="0"/>
                <w:bCs w:val="0"/>
                <w:snapToGrid w:val="0"/>
                <w:color w:val="auto"/>
                <w:kern w:val="0"/>
                <w:sz w:val="24"/>
                <w:szCs w:val="24"/>
                <w:highlight w:val="none"/>
              </w:rPr>
            </w:pPr>
            <w:r>
              <w:rPr>
                <w:rFonts w:hint="eastAsia" w:ascii="宋体" w:hAnsi="宋体" w:eastAsia="宋体" w:cs="宋体"/>
                <w:color w:val="auto"/>
                <w:kern w:val="0"/>
                <w:sz w:val="24"/>
                <w:szCs w:val="24"/>
                <w:highlight w:val="none"/>
                <w:lang w:val="en-US" w:eastAsia="zh-CN" w:bidi="ar-SA"/>
              </w:rPr>
              <w:t>投标保证保险投保截止时间：</w:t>
            </w:r>
            <w:r>
              <w:rPr>
                <w:rFonts w:hint="eastAsia" w:ascii="宋体" w:hAnsi="宋体" w:eastAsia="宋体" w:cs="宋体"/>
                <w:color w:val="auto"/>
                <w:kern w:val="0"/>
                <w:sz w:val="24"/>
                <w:szCs w:val="24"/>
                <w:highlight w:val="none"/>
                <w:u w:val="single"/>
                <w:lang w:val="en-US" w:eastAsia="zh-CN" w:bidi="ar-SA"/>
              </w:rPr>
              <w:t>2026</w:t>
            </w:r>
            <w:r>
              <w:rPr>
                <w:rFonts w:hint="eastAsia" w:ascii="宋体" w:hAnsi="宋体" w:eastAsia="宋体" w:cs="宋体"/>
                <w:color w:val="auto"/>
                <w:kern w:val="0"/>
                <w:sz w:val="24"/>
                <w:szCs w:val="24"/>
                <w:highlight w:val="none"/>
                <w:lang w:val="en-US" w:eastAsia="zh-CN" w:bidi="ar-SA"/>
              </w:rPr>
              <w:t>年</w:t>
            </w:r>
            <w:r>
              <w:rPr>
                <w:rFonts w:hint="eastAsia" w:hAnsi="宋体" w:eastAsia="宋体" w:cs="宋体"/>
                <w:color w:val="auto"/>
                <w:kern w:val="0"/>
                <w:sz w:val="24"/>
                <w:szCs w:val="24"/>
                <w:highlight w:val="none"/>
                <w:u w:val="single"/>
                <w:lang w:val="en-US" w:eastAsia="zh-CN" w:bidi="ar-SA"/>
              </w:rPr>
              <w:t>10</w:t>
            </w:r>
            <w:r>
              <w:rPr>
                <w:rFonts w:hint="eastAsia" w:ascii="宋体" w:hAnsi="宋体" w:eastAsia="宋体" w:cs="宋体"/>
                <w:color w:val="auto"/>
                <w:kern w:val="0"/>
                <w:sz w:val="24"/>
                <w:szCs w:val="24"/>
                <w:highlight w:val="none"/>
                <w:lang w:val="en-US" w:eastAsia="zh-CN" w:bidi="ar-SA"/>
              </w:rPr>
              <w:t>月</w:t>
            </w:r>
            <w:r>
              <w:rPr>
                <w:rFonts w:hint="eastAsia" w:hAnsi="宋体" w:eastAsia="宋体" w:cs="宋体"/>
                <w:color w:val="auto"/>
                <w:kern w:val="0"/>
                <w:sz w:val="24"/>
                <w:szCs w:val="24"/>
                <w:highlight w:val="none"/>
                <w:u w:val="single"/>
                <w:lang w:val="en-US" w:eastAsia="zh-CN" w:bidi="ar-SA"/>
              </w:rPr>
              <w:t>14</w:t>
            </w:r>
            <w:r>
              <w:rPr>
                <w:rFonts w:hint="eastAsia" w:ascii="宋体" w:hAnsi="宋体" w:eastAsia="宋体" w:cs="宋体"/>
                <w:color w:val="auto"/>
                <w:kern w:val="0"/>
                <w:sz w:val="24"/>
                <w:szCs w:val="24"/>
                <w:highlight w:val="none"/>
                <w:lang w:val="en-US" w:eastAsia="zh-CN" w:bidi="ar-SA"/>
              </w:rPr>
              <w:t>日</w:t>
            </w:r>
            <w:r>
              <w:rPr>
                <w:rFonts w:hint="eastAsia" w:ascii="宋体" w:hAnsi="宋体" w:eastAsia="宋体" w:cs="宋体"/>
                <w:color w:val="auto"/>
                <w:kern w:val="0"/>
                <w:sz w:val="24"/>
                <w:szCs w:val="24"/>
                <w:highlight w:val="none"/>
                <w:u w:val="single"/>
                <w:lang w:val="en-US" w:eastAsia="zh-CN" w:bidi="ar-SA"/>
              </w:rPr>
              <w:t xml:space="preserve"> 9 </w:t>
            </w:r>
            <w:r>
              <w:rPr>
                <w:rFonts w:hint="eastAsia" w:ascii="宋体" w:hAnsi="宋体" w:eastAsia="宋体" w:cs="宋体"/>
                <w:color w:val="auto"/>
                <w:kern w:val="0"/>
                <w:sz w:val="24"/>
                <w:szCs w:val="24"/>
                <w:highlight w:val="none"/>
                <w:lang w:val="en-US" w:eastAsia="zh-CN" w:bidi="ar-SA"/>
              </w:rPr>
              <w:t>时</w:t>
            </w:r>
            <w:r>
              <w:rPr>
                <w:rFonts w:hint="eastAsia" w:ascii="宋体" w:hAnsi="宋体" w:eastAsia="宋体" w:cs="宋体"/>
                <w:color w:val="auto"/>
                <w:kern w:val="0"/>
                <w:sz w:val="24"/>
                <w:szCs w:val="24"/>
                <w:highlight w:val="none"/>
                <w:u w:val="single"/>
                <w:lang w:val="en-US" w:eastAsia="zh-CN" w:bidi="ar-SA"/>
              </w:rPr>
              <w:t xml:space="preserve"> 30 </w:t>
            </w:r>
            <w:r>
              <w:rPr>
                <w:rFonts w:hint="eastAsia" w:ascii="宋体" w:hAnsi="宋体" w:eastAsia="宋体" w:cs="宋体"/>
                <w:color w:val="auto"/>
                <w:kern w:val="0"/>
                <w:sz w:val="24"/>
                <w:szCs w:val="24"/>
                <w:highlight w:val="none"/>
                <w:lang w:val="en-US" w:eastAsia="zh-CN" w:bidi="ar-SA"/>
              </w:rPr>
              <w:t>分。</w:t>
            </w:r>
          </w:p>
        </w:tc>
      </w:tr>
      <w:tr w14:paraId="006B1E75">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57" w:type="dxa"/>
            <w:bottom w:w="0" w:type="dxa"/>
            <w:right w:w="57" w:type="dxa"/>
          </w:tblCellMar>
        </w:tblPrEx>
        <w:trPr>
          <w:trHeight w:val="996" w:hRule="atLeast"/>
        </w:trPr>
        <w:tc>
          <w:tcPr>
            <w:tcW w:w="491" w:type="dxa"/>
            <w:tcBorders>
              <w:top w:val="single" w:color="080000" w:sz="4" w:space="0"/>
              <w:left w:val="single" w:color="080000" w:sz="4" w:space="0"/>
              <w:bottom w:val="single" w:color="080000" w:sz="4" w:space="0"/>
              <w:right w:val="single" w:color="080000" w:sz="4" w:space="0"/>
            </w:tcBorders>
            <w:noWrap w:val="0"/>
            <w:vAlign w:val="center"/>
          </w:tcPr>
          <w:p w14:paraId="6FBBD435">
            <w:pPr>
              <w:pStyle w:val="40"/>
              <w:keepNext w:val="0"/>
              <w:keepLines w:val="0"/>
              <w:pageBreakBefore w:val="0"/>
              <w:widowControl w:val="0"/>
              <w:suppressLineNumbers w:val="0"/>
              <w:kinsoku/>
              <w:wordWrap w:val="0"/>
              <w:overflowPunct/>
              <w:topLinePunct/>
              <w:autoSpaceDE/>
              <w:autoSpaceDN/>
              <w:bidi w:val="0"/>
              <w:adjustRightInd w:val="0"/>
              <w:snapToGrid w:val="0"/>
              <w:spacing w:before="0" w:beforeAutospacing="0" w:after="0" w:afterAutospacing="0" w:line="360" w:lineRule="exact"/>
              <w:ind w:left="0" w:right="96" w:rightChars="40"/>
              <w:jc w:val="center"/>
              <w:rPr>
                <w:rFonts w:hint="eastAsia" w:ascii="宋体" w:hAnsi="宋体" w:eastAsia="宋体" w:cs="宋体"/>
                <w:b w:val="0"/>
                <w:bCs w:val="0"/>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6</w:t>
            </w:r>
          </w:p>
        </w:tc>
        <w:tc>
          <w:tcPr>
            <w:tcW w:w="1756" w:type="dxa"/>
            <w:tcBorders>
              <w:top w:val="single" w:color="080000" w:sz="4" w:space="0"/>
              <w:left w:val="single" w:color="080000" w:sz="4" w:space="0"/>
              <w:bottom w:val="single" w:color="080000" w:sz="4" w:space="0"/>
              <w:right w:val="single" w:color="080000" w:sz="4" w:space="0"/>
            </w:tcBorders>
            <w:noWrap w:val="0"/>
            <w:vAlign w:val="center"/>
          </w:tcPr>
          <w:p w14:paraId="18A39163">
            <w:pPr>
              <w:keepNext w:val="0"/>
              <w:keepLines w:val="0"/>
              <w:pageBreakBefore w:val="0"/>
              <w:widowControl w:val="0"/>
              <w:suppressLineNumbers w:val="0"/>
              <w:kinsoku/>
              <w:wordWrap w:val="0"/>
              <w:overflowPunct/>
              <w:topLinePunct/>
              <w:autoSpaceDE/>
              <w:autoSpaceDN/>
              <w:bidi w:val="0"/>
              <w:adjustRightInd w:val="0"/>
              <w:snapToGrid w:val="0"/>
              <w:spacing w:before="0" w:beforeAutospacing="0" w:after="0" w:afterAutospacing="0" w:line="360" w:lineRule="exact"/>
              <w:ind w:left="0" w:right="96" w:rightChars="40"/>
              <w:jc w:val="center"/>
              <w:rPr>
                <w:rFonts w:hint="eastAsia" w:ascii="宋体" w:hAnsi="宋体" w:eastAsia="宋体" w:cs="宋体"/>
                <w:snapToGrid w:val="0"/>
                <w:color w:val="auto"/>
                <w:kern w:val="0"/>
                <w:sz w:val="24"/>
                <w:szCs w:val="24"/>
                <w:highlight w:val="none"/>
                <w:lang w:val="en-US" w:eastAsia="zh-CN" w:bidi="ar-SA"/>
              </w:rPr>
            </w:pPr>
            <w:r>
              <w:rPr>
                <w:rFonts w:hint="eastAsia" w:ascii="宋体" w:hAnsi="宋体" w:eastAsia="宋体" w:cs="宋体"/>
                <w:snapToGrid w:val="0"/>
                <w:color w:val="auto"/>
                <w:kern w:val="0"/>
                <w:sz w:val="24"/>
                <w:szCs w:val="24"/>
                <w:highlight w:val="none"/>
                <w:lang w:val="en-US" w:eastAsia="zh-CN" w:bidi="ar-SA"/>
              </w:rPr>
              <w:t>电子投标</w:t>
            </w:r>
          </w:p>
          <w:p w14:paraId="672BD271">
            <w:pPr>
              <w:keepNext w:val="0"/>
              <w:keepLines w:val="0"/>
              <w:pageBreakBefore w:val="0"/>
              <w:widowControl w:val="0"/>
              <w:suppressLineNumbers w:val="0"/>
              <w:kinsoku/>
              <w:wordWrap w:val="0"/>
              <w:overflowPunct/>
              <w:topLinePunct/>
              <w:autoSpaceDE/>
              <w:autoSpaceDN/>
              <w:bidi w:val="0"/>
              <w:adjustRightInd w:val="0"/>
              <w:snapToGrid w:val="0"/>
              <w:spacing w:before="0" w:beforeAutospacing="0" w:after="0" w:afterAutospacing="0" w:line="360" w:lineRule="exact"/>
              <w:ind w:left="0" w:right="96" w:rightChars="40"/>
              <w:jc w:val="center"/>
              <w:rPr>
                <w:rFonts w:hint="eastAsia" w:ascii="宋体" w:hAnsi="宋体" w:eastAsia="宋体" w:cs="宋体"/>
                <w:b w:val="0"/>
                <w:bCs w:val="0"/>
                <w:snapToGrid w:val="0"/>
                <w:color w:val="auto"/>
                <w:kern w:val="0"/>
                <w:sz w:val="24"/>
                <w:szCs w:val="24"/>
                <w:highlight w:val="none"/>
              </w:rPr>
            </w:pPr>
            <w:r>
              <w:rPr>
                <w:rFonts w:hint="eastAsia" w:ascii="宋体" w:hAnsi="宋体" w:eastAsia="宋体" w:cs="宋体"/>
                <w:snapToGrid w:val="0"/>
                <w:color w:val="auto"/>
                <w:kern w:val="0"/>
                <w:sz w:val="24"/>
                <w:szCs w:val="24"/>
                <w:highlight w:val="none"/>
                <w:lang w:val="en-US" w:eastAsia="zh-CN" w:bidi="ar-SA"/>
              </w:rPr>
              <w:t xml:space="preserve">截止时间 </w:t>
            </w:r>
          </w:p>
        </w:tc>
        <w:tc>
          <w:tcPr>
            <w:tcW w:w="7932" w:type="dxa"/>
            <w:tcBorders>
              <w:top w:val="single" w:color="080000" w:sz="4" w:space="0"/>
              <w:left w:val="single" w:color="080000" w:sz="4" w:space="0"/>
              <w:bottom w:val="single" w:color="080000" w:sz="4" w:space="0"/>
              <w:right w:val="single" w:color="080000" w:sz="4" w:space="0"/>
            </w:tcBorders>
            <w:noWrap w:val="0"/>
            <w:vAlign w:val="center"/>
          </w:tcPr>
          <w:p w14:paraId="1DAA1465">
            <w:pPr>
              <w:keepNext w:val="0"/>
              <w:keepLines w:val="0"/>
              <w:pageBreakBefore w:val="0"/>
              <w:widowControl w:val="0"/>
              <w:suppressLineNumbers w:val="0"/>
              <w:kinsoku/>
              <w:wordWrap w:val="0"/>
              <w:overflowPunct/>
              <w:topLinePunct/>
              <w:autoSpaceDE/>
              <w:autoSpaceDN/>
              <w:bidi w:val="0"/>
              <w:adjustRightInd w:val="0"/>
              <w:snapToGrid w:val="0"/>
              <w:spacing w:before="0" w:beforeAutospacing="0" w:after="0" w:afterAutospacing="0"/>
              <w:ind w:left="0" w:right="96" w:rightChars="40"/>
              <w:jc w:val="left"/>
              <w:rPr>
                <w:rFonts w:hint="eastAsia" w:ascii="宋体" w:hAnsi="宋体" w:eastAsia="宋体" w:cs="宋体"/>
                <w:b w:val="0"/>
                <w:bCs w:val="0"/>
                <w:snapToGrid w:val="0"/>
                <w:color w:val="auto"/>
                <w:kern w:val="0"/>
                <w:sz w:val="24"/>
                <w:szCs w:val="24"/>
                <w:highlight w:val="none"/>
              </w:rPr>
            </w:pPr>
            <w:r>
              <w:rPr>
                <w:rFonts w:hint="eastAsia" w:ascii="宋体" w:hAnsi="宋体" w:eastAsia="宋体" w:cs="宋体"/>
                <w:color w:val="auto"/>
                <w:kern w:val="0"/>
                <w:sz w:val="24"/>
                <w:szCs w:val="24"/>
                <w:highlight w:val="none"/>
                <w:u w:val="single"/>
                <w:lang w:val="en-US" w:eastAsia="zh-CN" w:bidi="ar-SA"/>
              </w:rPr>
              <w:t>2026</w:t>
            </w:r>
            <w:r>
              <w:rPr>
                <w:rFonts w:hint="eastAsia" w:ascii="宋体" w:hAnsi="宋体" w:eastAsia="宋体" w:cs="宋体"/>
                <w:color w:val="auto"/>
                <w:kern w:val="0"/>
                <w:sz w:val="24"/>
                <w:szCs w:val="24"/>
                <w:highlight w:val="none"/>
                <w:lang w:val="en-US" w:eastAsia="zh-CN" w:bidi="ar-SA"/>
              </w:rPr>
              <w:t>年</w:t>
            </w:r>
            <w:r>
              <w:rPr>
                <w:rFonts w:hint="eastAsia" w:hAnsi="宋体" w:eastAsia="宋体" w:cs="宋体"/>
                <w:color w:val="auto"/>
                <w:kern w:val="0"/>
                <w:sz w:val="24"/>
                <w:szCs w:val="24"/>
                <w:highlight w:val="none"/>
                <w:u w:val="single"/>
                <w:lang w:val="en-US" w:eastAsia="zh-CN" w:bidi="ar-SA"/>
              </w:rPr>
              <w:t>10</w:t>
            </w:r>
            <w:r>
              <w:rPr>
                <w:rFonts w:hint="eastAsia" w:ascii="宋体" w:hAnsi="宋体" w:eastAsia="宋体" w:cs="宋体"/>
                <w:color w:val="auto"/>
                <w:kern w:val="0"/>
                <w:sz w:val="24"/>
                <w:szCs w:val="24"/>
                <w:highlight w:val="none"/>
                <w:lang w:val="en-US" w:eastAsia="zh-CN" w:bidi="ar-SA"/>
              </w:rPr>
              <w:t>月</w:t>
            </w:r>
            <w:r>
              <w:rPr>
                <w:rFonts w:hint="eastAsia" w:hAnsi="宋体" w:eastAsia="宋体" w:cs="宋体"/>
                <w:color w:val="auto"/>
                <w:kern w:val="0"/>
                <w:sz w:val="24"/>
                <w:szCs w:val="24"/>
                <w:highlight w:val="none"/>
                <w:u w:val="single"/>
                <w:lang w:val="en-US" w:eastAsia="zh-CN" w:bidi="ar-SA"/>
              </w:rPr>
              <w:t>15</w:t>
            </w:r>
            <w:r>
              <w:rPr>
                <w:rFonts w:hint="eastAsia" w:ascii="宋体" w:hAnsi="宋体" w:eastAsia="宋体" w:cs="宋体"/>
                <w:color w:val="auto"/>
                <w:kern w:val="0"/>
                <w:sz w:val="24"/>
                <w:szCs w:val="24"/>
                <w:highlight w:val="none"/>
                <w:lang w:val="en-US" w:eastAsia="zh-CN" w:bidi="ar-SA"/>
              </w:rPr>
              <w:t>日</w:t>
            </w:r>
            <w:r>
              <w:rPr>
                <w:rFonts w:hint="eastAsia" w:ascii="宋体" w:hAnsi="宋体" w:eastAsia="宋体" w:cs="宋体"/>
                <w:color w:val="auto"/>
                <w:kern w:val="0"/>
                <w:sz w:val="24"/>
                <w:szCs w:val="24"/>
                <w:highlight w:val="none"/>
                <w:u w:val="single"/>
                <w:lang w:val="en-US" w:eastAsia="zh-CN" w:bidi="ar-SA"/>
              </w:rPr>
              <w:t xml:space="preserve"> 9</w:t>
            </w:r>
            <w:r>
              <w:rPr>
                <w:rFonts w:hint="eastAsia" w:ascii="宋体" w:hAnsi="宋体" w:eastAsia="宋体" w:cs="宋体"/>
                <w:color w:val="auto"/>
                <w:kern w:val="0"/>
                <w:sz w:val="24"/>
                <w:szCs w:val="24"/>
                <w:highlight w:val="none"/>
                <w:lang w:val="en-US" w:eastAsia="zh-CN" w:bidi="ar-SA"/>
              </w:rPr>
              <w:t>时</w:t>
            </w:r>
            <w:r>
              <w:rPr>
                <w:rFonts w:hint="eastAsia" w:ascii="宋体" w:hAnsi="宋体" w:eastAsia="宋体" w:cs="宋体"/>
                <w:color w:val="auto"/>
                <w:kern w:val="0"/>
                <w:sz w:val="24"/>
                <w:szCs w:val="24"/>
                <w:highlight w:val="none"/>
                <w:u w:val="single"/>
                <w:lang w:val="en-US" w:eastAsia="zh-CN" w:bidi="ar-SA"/>
              </w:rPr>
              <w:t xml:space="preserve"> 30 </w:t>
            </w:r>
            <w:r>
              <w:rPr>
                <w:rFonts w:hint="eastAsia" w:ascii="宋体" w:hAnsi="宋体" w:eastAsia="宋体" w:cs="宋体"/>
                <w:color w:val="auto"/>
                <w:kern w:val="0"/>
                <w:sz w:val="24"/>
                <w:szCs w:val="24"/>
                <w:highlight w:val="none"/>
                <w:lang w:val="en-US" w:eastAsia="zh-CN" w:bidi="ar-SA"/>
              </w:rPr>
              <w:t>分</w:t>
            </w:r>
          </w:p>
        </w:tc>
      </w:tr>
      <w:tr w14:paraId="30359343">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57" w:type="dxa"/>
            <w:bottom w:w="0" w:type="dxa"/>
            <w:right w:w="57" w:type="dxa"/>
          </w:tblCellMar>
        </w:tblPrEx>
        <w:trPr>
          <w:trHeight w:val="920" w:hRule="atLeast"/>
        </w:trPr>
        <w:tc>
          <w:tcPr>
            <w:tcW w:w="491" w:type="dxa"/>
            <w:tcBorders>
              <w:top w:val="single" w:color="080000" w:sz="4" w:space="0"/>
              <w:left w:val="single" w:color="080000" w:sz="4" w:space="0"/>
              <w:bottom w:val="single" w:color="080000" w:sz="4" w:space="0"/>
              <w:right w:val="single" w:color="080000" w:sz="4" w:space="0"/>
            </w:tcBorders>
            <w:noWrap w:val="0"/>
            <w:vAlign w:val="center"/>
          </w:tcPr>
          <w:p w14:paraId="7B22B0C1">
            <w:pPr>
              <w:pStyle w:val="40"/>
              <w:keepNext w:val="0"/>
              <w:keepLines w:val="0"/>
              <w:pageBreakBefore w:val="0"/>
              <w:widowControl w:val="0"/>
              <w:suppressLineNumbers w:val="0"/>
              <w:kinsoku/>
              <w:wordWrap w:val="0"/>
              <w:overflowPunct/>
              <w:topLinePunct/>
              <w:autoSpaceDE/>
              <w:autoSpaceDN/>
              <w:bidi w:val="0"/>
              <w:adjustRightInd w:val="0"/>
              <w:snapToGrid w:val="0"/>
              <w:spacing w:before="0" w:beforeAutospacing="0" w:after="0" w:afterAutospacing="0" w:line="360" w:lineRule="exact"/>
              <w:ind w:left="0" w:right="96" w:rightChars="40"/>
              <w:jc w:val="center"/>
              <w:rPr>
                <w:rFonts w:hint="eastAsia" w:ascii="宋体" w:hAnsi="宋体" w:eastAsia="宋体" w:cs="宋体"/>
                <w:b w:val="0"/>
                <w:bCs w:val="0"/>
                <w:snapToGrid w:val="0"/>
                <w:color w:val="auto"/>
                <w:kern w:val="0"/>
                <w:sz w:val="24"/>
                <w:szCs w:val="24"/>
                <w:highlight w:val="none"/>
                <w:lang w:eastAsia="zh-CN"/>
              </w:rPr>
            </w:pPr>
            <w:r>
              <w:rPr>
                <w:rFonts w:hint="eastAsia" w:ascii="宋体" w:hAnsi="宋体" w:eastAsia="宋体" w:cs="宋体"/>
                <w:snapToGrid w:val="0"/>
                <w:color w:val="auto"/>
                <w:kern w:val="0"/>
                <w:sz w:val="24"/>
                <w:szCs w:val="24"/>
                <w:highlight w:val="none"/>
                <w:lang w:val="en-US" w:eastAsia="zh-CN"/>
              </w:rPr>
              <w:t>7</w:t>
            </w:r>
          </w:p>
        </w:tc>
        <w:tc>
          <w:tcPr>
            <w:tcW w:w="1756" w:type="dxa"/>
            <w:tcBorders>
              <w:top w:val="single" w:color="080000" w:sz="4" w:space="0"/>
              <w:left w:val="single" w:color="080000" w:sz="4" w:space="0"/>
              <w:bottom w:val="single" w:color="080000" w:sz="4" w:space="0"/>
              <w:right w:val="single" w:color="080000" w:sz="4" w:space="0"/>
            </w:tcBorders>
            <w:noWrap w:val="0"/>
            <w:vAlign w:val="center"/>
          </w:tcPr>
          <w:p w14:paraId="18B732FC">
            <w:pPr>
              <w:keepNext w:val="0"/>
              <w:keepLines w:val="0"/>
              <w:pageBreakBefore w:val="0"/>
              <w:widowControl w:val="0"/>
              <w:suppressLineNumbers w:val="0"/>
              <w:kinsoku/>
              <w:wordWrap w:val="0"/>
              <w:overflowPunct/>
              <w:topLinePunct/>
              <w:autoSpaceDE/>
              <w:autoSpaceDN/>
              <w:bidi w:val="0"/>
              <w:adjustRightInd w:val="0"/>
              <w:snapToGrid w:val="0"/>
              <w:spacing w:before="0" w:beforeAutospacing="0" w:after="0" w:afterAutospacing="0" w:line="360" w:lineRule="exact"/>
              <w:ind w:left="0" w:right="96" w:rightChars="40"/>
              <w:jc w:val="center"/>
              <w:rPr>
                <w:rFonts w:hint="eastAsia" w:ascii="宋体" w:hAnsi="宋体" w:eastAsia="宋体" w:cs="宋体"/>
                <w:b w:val="0"/>
                <w:bCs w:val="0"/>
                <w:snapToGrid w:val="0"/>
                <w:color w:val="auto"/>
                <w:kern w:val="0"/>
                <w:sz w:val="24"/>
                <w:szCs w:val="24"/>
                <w:highlight w:val="none"/>
              </w:rPr>
            </w:pPr>
            <w:r>
              <w:rPr>
                <w:rFonts w:hint="eastAsia" w:ascii="宋体" w:hAnsi="宋体" w:eastAsia="宋体" w:cs="宋体"/>
                <w:snapToGrid w:val="0"/>
                <w:color w:val="auto"/>
                <w:kern w:val="0"/>
                <w:sz w:val="24"/>
                <w:szCs w:val="24"/>
                <w:highlight w:val="none"/>
                <w:lang w:val="en-US" w:eastAsia="zh-CN" w:bidi="ar-SA"/>
              </w:rPr>
              <w:t xml:space="preserve">开标时间 </w:t>
            </w:r>
          </w:p>
        </w:tc>
        <w:tc>
          <w:tcPr>
            <w:tcW w:w="7932" w:type="dxa"/>
            <w:tcBorders>
              <w:top w:val="single" w:color="080000" w:sz="4" w:space="0"/>
              <w:left w:val="single" w:color="080000" w:sz="4" w:space="0"/>
              <w:bottom w:val="single" w:color="080000" w:sz="4" w:space="0"/>
              <w:right w:val="single" w:color="080000" w:sz="4" w:space="0"/>
            </w:tcBorders>
            <w:noWrap w:val="0"/>
            <w:vAlign w:val="center"/>
          </w:tcPr>
          <w:p w14:paraId="254386B1">
            <w:pPr>
              <w:keepNext w:val="0"/>
              <w:keepLines w:val="0"/>
              <w:pageBreakBefore w:val="0"/>
              <w:widowControl w:val="0"/>
              <w:suppressLineNumbers w:val="0"/>
              <w:kinsoku/>
              <w:wordWrap w:val="0"/>
              <w:overflowPunct/>
              <w:topLinePunct/>
              <w:autoSpaceDE/>
              <w:autoSpaceDN/>
              <w:bidi w:val="0"/>
              <w:adjustRightInd w:val="0"/>
              <w:snapToGrid w:val="0"/>
              <w:spacing w:before="0" w:beforeAutospacing="0" w:after="0" w:afterAutospacing="0" w:line="400" w:lineRule="exact"/>
              <w:ind w:left="0" w:right="96" w:rightChars="40"/>
              <w:jc w:val="left"/>
              <w:rPr>
                <w:rFonts w:hint="eastAsia" w:ascii="宋体" w:hAnsi="宋体" w:eastAsia="宋体" w:cs="宋体"/>
                <w:b w:val="0"/>
                <w:bCs w:val="0"/>
                <w:snapToGrid w:val="0"/>
                <w:color w:val="auto"/>
                <w:kern w:val="0"/>
                <w:sz w:val="24"/>
                <w:szCs w:val="24"/>
                <w:highlight w:val="none"/>
              </w:rPr>
            </w:pPr>
            <w:r>
              <w:rPr>
                <w:rFonts w:hint="eastAsia" w:ascii="宋体" w:hAnsi="宋体" w:eastAsia="宋体" w:cs="宋体"/>
                <w:color w:val="auto"/>
                <w:kern w:val="0"/>
                <w:sz w:val="24"/>
                <w:szCs w:val="24"/>
                <w:highlight w:val="none"/>
                <w:u w:val="single"/>
                <w:lang w:val="en-US" w:eastAsia="zh-CN" w:bidi="ar-SA"/>
              </w:rPr>
              <w:t>2026</w:t>
            </w:r>
            <w:r>
              <w:rPr>
                <w:rFonts w:hint="eastAsia" w:ascii="宋体" w:hAnsi="宋体" w:eastAsia="宋体" w:cs="宋体"/>
                <w:snapToGrid w:val="0"/>
                <w:color w:val="auto"/>
                <w:kern w:val="0"/>
                <w:sz w:val="24"/>
                <w:szCs w:val="24"/>
                <w:highlight w:val="none"/>
                <w:lang w:val="en-US" w:eastAsia="zh-CN" w:bidi="ar-SA"/>
              </w:rPr>
              <w:t>年</w:t>
            </w:r>
            <w:r>
              <w:rPr>
                <w:rFonts w:hint="eastAsia" w:hAnsi="宋体" w:eastAsia="宋体" w:cs="宋体"/>
                <w:color w:val="auto"/>
                <w:kern w:val="0"/>
                <w:sz w:val="24"/>
                <w:szCs w:val="24"/>
                <w:highlight w:val="none"/>
                <w:u w:val="single"/>
                <w:lang w:val="en-US" w:eastAsia="zh-CN" w:bidi="ar-SA"/>
              </w:rPr>
              <w:t>10</w:t>
            </w:r>
            <w:r>
              <w:rPr>
                <w:rFonts w:hint="eastAsia" w:ascii="宋体" w:hAnsi="宋体" w:eastAsia="宋体" w:cs="宋体"/>
                <w:color w:val="auto"/>
                <w:kern w:val="0"/>
                <w:sz w:val="24"/>
                <w:szCs w:val="24"/>
                <w:highlight w:val="none"/>
                <w:lang w:val="en-US" w:eastAsia="zh-CN" w:bidi="ar-SA"/>
              </w:rPr>
              <w:t>月</w:t>
            </w:r>
            <w:r>
              <w:rPr>
                <w:rFonts w:hint="eastAsia" w:hAnsi="宋体" w:eastAsia="宋体" w:cs="宋体"/>
                <w:color w:val="auto"/>
                <w:kern w:val="0"/>
                <w:sz w:val="24"/>
                <w:szCs w:val="24"/>
                <w:highlight w:val="none"/>
                <w:u w:val="single"/>
                <w:lang w:val="en-US" w:eastAsia="zh-CN" w:bidi="ar-SA"/>
              </w:rPr>
              <w:t>15</w:t>
            </w:r>
            <w:r>
              <w:rPr>
                <w:rFonts w:hint="eastAsia" w:ascii="宋体" w:hAnsi="宋体" w:eastAsia="宋体" w:cs="宋体"/>
                <w:snapToGrid w:val="0"/>
                <w:color w:val="auto"/>
                <w:kern w:val="0"/>
                <w:sz w:val="24"/>
                <w:szCs w:val="24"/>
                <w:highlight w:val="none"/>
                <w:lang w:val="en-US" w:eastAsia="zh-CN" w:bidi="ar-SA"/>
              </w:rPr>
              <w:t>日</w:t>
            </w:r>
            <w:r>
              <w:rPr>
                <w:rFonts w:hint="eastAsia" w:ascii="宋体" w:hAnsi="宋体" w:eastAsia="宋体" w:cs="宋体"/>
                <w:snapToGrid w:val="0"/>
                <w:color w:val="auto"/>
                <w:kern w:val="0"/>
                <w:sz w:val="24"/>
                <w:szCs w:val="24"/>
                <w:highlight w:val="none"/>
                <w:u w:val="single"/>
                <w:lang w:val="en-US" w:eastAsia="zh-CN" w:bidi="ar-SA"/>
              </w:rPr>
              <w:t xml:space="preserve"> 9 </w:t>
            </w:r>
            <w:r>
              <w:rPr>
                <w:rFonts w:hint="eastAsia" w:ascii="宋体" w:hAnsi="宋体" w:eastAsia="宋体" w:cs="宋体"/>
                <w:snapToGrid w:val="0"/>
                <w:color w:val="auto"/>
                <w:kern w:val="0"/>
                <w:sz w:val="24"/>
                <w:szCs w:val="24"/>
                <w:highlight w:val="none"/>
                <w:lang w:val="en-US" w:eastAsia="zh-CN" w:bidi="ar-SA"/>
              </w:rPr>
              <w:t>时</w:t>
            </w:r>
            <w:r>
              <w:rPr>
                <w:rFonts w:hint="eastAsia" w:ascii="宋体" w:hAnsi="宋体" w:eastAsia="宋体" w:cs="宋体"/>
                <w:snapToGrid w:val="0"/>
                <w:color w:val="auto"/>
                <w:kern w:val="0"/>
                <w:sz w:val="24"/>
                <w:szCs w:val="24"/>
                <w:highlight w:val="none"/>
                <w:u w:val="single"/>
                <w:lang w:val="en-US" w:eastAsia="zh-CN" w:bidi="ar-SA"/>
              </w:rPr>
              <w:t xml:space="preserve"> 30 </w:t>
            </w:r>
            <w:r>
              <w:rPr>
                <w:rFonts w:hint="eastAsia" w:ascii="宋体" w:hAnsi="宋体" w:eastAsia="宋体" w:cs="宋体"/>
                <w:snapToGrid w:val="0"/>
                <w:color w:val="auto"/>
                <w:kern w:val="0"/>
                <w:sz w:val="24"/>
                <w:szCs w:val="24"/>
                <w:highlight w:val="none"/>
                <w:lang w:val="en-US" w:eastAsia="zh-CN" w:bidi="ar-SA"/>
              </w:rPr>
              <w:t>分</w:t>
            </w:r>
          </w:p>
        </w:tc>
      </w:tr>
      <w:tr w14:paraId="5E066894">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57" w:type="dxa"/>
            <w:bottom w:w="0" w:type="dxa"/>
            <w:right w:w="57" w:type="dxa"/>
          </w:tblCellMar>
        </w:tblPrEx>
        <w:trPr>
          <w:trHeight w:val="1197" w:hRule="atLeast"/>
        </w:trPr>
        <w:tc>
          <w:tcPr>
            <w:tcW w:w="491" w:type="dxa"/>
            <w:tcBorders>
              <w:top w:val="single" w:color="080000" w:sz="4" w:space="0"/>
              <w:left w:val="single" w:color="080000" w:sz="4" w:space="0"/>
              <w:bottom w:val="single" w:color="080000" w:sz="4" w:space="0"/>
              <w:right w:val="single" w:color="080000" w:sz="4" w:space="0"/>
            </w:tcBorders>
            <w:noWrap w:val="0"/>
            <w:vAlign w:val="center"/>
          </w:tcPr>
          <w:p w14:paraId="15001EDE">
            <w:pPr>
              <w:pStyle w:val="40"/>
              <w:keepNext w:val="0"/>
              <w:keepLines w:val="0"/>
              <w:pageBreakBefore w:val="0"/>
              <w:widowControl w:val="0"/>
              <w:suppressLineNumbers w:val="0"/>
              <w:kinsoku/>
              <w:wordWrap w:val="0"/>
              <w:overflowPunct/>
              <w:topLinePunct/>
              <w:autoSpaceDE/>
              <w:autoSpaceDN/>
              <w:bidi w:val="0"/>
              <w:adjustRightInd w:val="0"/>
              <w:snapToGrid w:val="0"/>
              <w:spacing w:before="0" w:beforeAutospacing="0" w:after="0" w:afterAutospacing="0" w:line="360" w:lineRule="exact"/>
              <w:ind w:left="0" w:right="96" w:rightChars="40"/>
              <w:jc w:val="center"/>
              <w:rPr>
                <w:rFonts w:hint="eastAsia" w:ascii="宋体" w:hAnsi="宋体" w:eastAsia="宋体" w:cs="宋体"/>
                <w:b w:val="0"/>
                <w:bCs w:val="0"/>
                <w:snapToGrid w:val="0"/>
                <w:color w:val="auto"/>
                <w:kern w:val="0"/>
                <w:sz w:val="24"/>
                <w:szCs w:val="24"/>
                <w:highlight w:val="none"/>
                <w:lang w:eastAsia="zh-CN"/>
              </w:rPr>
            </w:pPr>
            <w:r>
              <w:rPr>
                <w:rFonts w:hint="eastAsia" w:ascii="宋体" w:hAnsi="宋体" w:eastAsia="宋体" w:cs="宋体"/>
                <w:snapToGrid w:val="0"/>
                <w:color w:val="auto"/>
                <w:kern w:val="0"/>
                <w:sz w:val="24"/>
                <w:szCs w:val="24"/>
                <w:highlight w:val="none"/>
                <w:lang w:val="en-US" w:eastAsia="zh-CN"/>
              </w:rPr>
              <w:t>8</w:t>
            </w:r>
          </w:p>
        </w:tc>
        <w:tc>
          <w:tcPr>
            <w:tcW w:w="1756" w:type="dxa"/>
            <w:tcBorders>
              <w:top w:val="single" w:color="080000" w:sz="4" w:space="0"/>
              <w:left w:val="single" w:color="080000" w:sz="4" w:space="0"/>
              <w:bottom w:val="single" w:color="080000" w:sz="4" w:space="0"/>
              <w:right w:val="single" w:color="080000" w:sz="4" w:space="0"/>
            </w:tcBorders>
            <w:noWrap w:val="0"/>
            <w:vAlign w:val="center"/>
          </w:tcPr>
          <w:p w14:paraId="60E334A5">
            <w:pPr>
              <w:pStyle w:val="40"/>
              <w:keepNext w:val="0"/>
              <w:keepLines w:val="0"/>
              <w:suppressLineNumbers w:val="0"/>
              <w:wordWrap w:val="0"/>
              <w:adjustRightInd w:val="0"/>
              <w:snapToGrid w:val="0"/>
              <w:spacing w:before="0" w:beforeAutospacing="0" w:after="0" w:afterAutospacing="0"/>
              <w:ind w:left="0" w:right="0"/>
              <w:jc w:val="center"/>
              <w:rPr>
                <w:rFonts w:hint="eastAsia" w:ascii="宋体" w:hAnsi="宋体" w:eastAsia="宋体" w:cs="宋体"/>
                <w:b w:val="0"/>
                <w:bCs w:val="0"/>
                <w:snapToGrid w:val="0"/>
                <w:color w:val="auto"/>
                <w:kern w:val="0"/>
                <w:sz w:val="24"/>
                <w:szCs w:val="24"/>
                <w:highlight w:val="none"/>
              </w:rPr>
            </w:pPr>
            <w:r>
              <w:rPr>
                <w:rFonts w:hint="eastAsia" w:ascii="宋体" w:hAnsi="宋体" w:eastAsia="宋体" w:cs="宋体"/>
                <w:snapToGrid w:val="0"/>
                <w:color w:val="auto"/>
                <w:kern w:val="0"/>
                <w:sz w:val="24"/>
                <w:highlight w:val="none"/>
              </w:rPr>
              <w:t xml:space="preserve">开标地点 </w:t>
            </w:r>
          </w:p>
        </w:tc>
        <w:tc>
          <w:tcPr>
            <w:tcW w:w="7932" w:type="dxa"/>
            <w:tcBorders>
              <w:top w:val="single" w:color="080000" w:sz="4" w:space="0"/>
              <w:left w:val="single" w:color="080000" w:sz="4" w:space="0"/>
              <w:bottom w:val="single" w:color="080000" w:sz="4" w:space="0"/>
              <w:right w:val="single" w:color="080000" w:sz="4" w:space="0"/>
            </w:tcBorders>
            <w:noWrap w:val="0"/>
            <w:vAlign w:val="center"/>
          </w:tcPr>
          <w:p w14:paraId="136CD96D">
            <w:pPr>
              <w:pStyle w:val="19"/>
              <w:keepNext w:val="0"/>
              <w:keepLines w:val="0"/>
              <w:suppressLineNumbers w:val="0"/>
              <w:wordWrap w:val="0"/>
              <w:adjustRightInd w:val="0"/>
              <w:snapToGrid w:val="0"/>
              <w:spacing w:before="0" w:beforeAutospacing="0" w:after="0" w:afterAutospacing="0" w:line="240" w:lineRule="auto"/>
              <w:ind w:left="0" w:right="0"/>
              <w:jc w:val="left"/>
              <w:rPr>
                <w:rFonts w:hint="eastAsia" w:ascii="宋体" w:hAnsi="宋体" w:eastAsia="宋体" w:cs="宋体"/>
                <w:snapToGrid w:val="0"/>
                <w:color w:val="auto"/>
                <w:kern w:val="0"/>
                <w:szCs w:val="24"/>
                <w:highlight w:val="none"/>
              </w:rPr>
            </w:pPr>
            <w:r>
              <w:rPr>
                <w:rFonts w:hint="eastAsia" w:ascii="宋体" w:hAnsi="宋体" w:eastAsia="宋体" w:cs="宋体"/>
                <w:snapToGrid w:val="0"/>
                <w:color w:val="auto"/>
                <w:kern w:val="0"/>
                <w:szCs w:val="24"/>
                <w:highlight w:val="none"/>
              </w:rPr>
              <w:t>开标场所：韶关市公共资源交易中心</w:t>
            </w:r>
          </w:p>
          <w:p w14:paraId="5B1412E6">
            <w:pPr>
              <w:pStyle w:val="19"/>
              <w:keepNext w:val="0"/>
              <w:keepLines w:val="0"/>
              <w:suppressLineNumbers w:val="0"/>
              <w:wordWrap w:val="0"/>
              <w:adjustRightInd w:val="0"/>
              <w:snapToGrid w:val="0"/>
              <w:spacing w:before="0" w:beforeAutospacing="0" w:after="0" w:afterAutospacing="0" w:line="240" w:lineRule="auto"/>
              <w:ind w:left="0" w:right="0"/>
              <w:jc w:val="left"/>
              <w:rPr>
                <w:rFonts w:hint="eastAsia" w:ascii="宋体" w:hAnsi="宋体" w:eastAsia="宋体" w:cs="宋体"/>
                <w:b w:val="0"/>
                <w:bCs w:val="0"/>
                <w:snapToGrid w:val="0"/>
                <w:color w:val="auto"/>
                <w:kern w:val="0"/>
                <w:sz w:val="24"/>
                <w:szCs w:val="24"/>
                <w:highlight w:val="none"/>
              </w:rPr>
            </w:pPr>
            <w:r>
              <w:rPr>
                <w:rFonts w:hint="eastAsia" w:ascii="宋体" w:hAnsi="宋体" w:eastAsia="宋体" w:cs="宋体"/>
                <w:snapToGrid w:val="0"/>
                <w:color w:val="auto"/>
                <w:kern w:val="0"/>
                <w:szCs w:val="24"/>
                <w:highlight w:val="none"/>
              </w:rPr>
              <w:t>地址：广东省韶关市武江区西联镇，具体递交场所以当日现场通知为准。</w:t>
            </w:r>
          </w:p>
        </w:tc>
      </w:tr>
      <w:tr w14:paraId="4B37FE90">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57" w:type="dxa"/>
            <w:bottom w:w="0" w:type="dxa"/>
            <w:right w:w="57" w:type="dxa"/>
          </w:tblCellMar>
        </w:tblPrEx>
        <w:trPr>
          <w:trHeight w:val="1732" w:hRule="atLeast"/>
        </w:trPr>
        <w:tc>
          <w:tcPr>
            <w:tcW w:w="2247" w:type="dxa"/>
            <w:gridSpan w:val="2"/>
            <w:tcBorders>
              <w:top w:val="single" w:color="080000" w:sz="4" w:space="0"/>
              <w:left w:val="single" w:color="080000" w:sz="4" w:space="0"/>
              <w:bottom w:val="single" w:color="080000" w:sz="4" w:space="0"/>
              <w:right w:val="single" w:color="080000" w:sz="4" w:space="0"/>
            </w:tcBorders>
            <w:noWrap w:val="0"/>
            <w:vAlign w:val="center"/>
          </w:tcPr>
          <w:p w14:paraId="1FAA1A2D">
            <w:pPr>
              <w:pStyle w:val="40"/>
              <w:keepNext w:val="0"/>
              <w:keepLines w:val="0"/>
              <w:pageBreakBefore w:val="0"/>
              <w:widowControl w:val="0"/>
              <w:suppressLineNumbers w:val="0"/>
              <w:kinsoku/>
              <w:wordWrap w:val="0"/>
              <w:overflowPunct/>
              <w:topLinePunct/>
              <w:autoSpaceDE/>
              <w:autoSpaceDN/>
              <w:bidi w:val="0"/>
              <w:adjustRightInd w:val="0"/>
              <w:snapToGrid w:val="0"/>
              <w:spacing w:before="0" w:beforeAutospacing="0" w:after="0" w:afterAutospacing="0" w:line="360" w:lineRule="exact"/>
              <w:ind w:left="0" w:right="96" w:rightChars="40"/>
              <w:jc w:val="center"/>
              <w:rPr>
                <w:rFonts w:hint="eastAsia" w:ascii="宋体" w:hAnsi="宋体" w:eastAsia="宋体" w:cs="宋体"/>
                <w:b w:val="0"/>
                <w:bCs w:val="0"/>
                <w:snapToGrid w:val="0"/>
                <w:color w:val="auto"/>
                <w:kern w:val="0"/>
                <w:sz w:val="24"/>
                <w:szCs w:val="24"/>
                <w:highlight w:val="none"/>
              </w:rPr>
            </w:pPr>
            <w:r>
              <w:rPr>
                <w:rFonts w:hint="eastAsia" w:ascii="宋体" w:hAnsi="宋体" w:eastAsia="宋体" w:cs="宋体"/>
                <w:snapToGrid w:val="0"/>
                <w:color w:val="auto"/>
                <w:kern w:val="0"/>
                <w:sz w:val="24"/>
                <w:szCs w:val="24"/>
                <w:highlight w:val="none"/>
                <w:lang w:val="en-US" w:eastAsia="zh-CN"/>
              </w:rPr>
              <w:t>备注</w:t>
            </w:r>
          </w:p>
        </w:tc>
        <w:tc>
          <w:tcPr>
            <w:tcW w:w="7932" w:type="dxa"/>
            <w:tcBorders>
              <w:top w:val="single" w:color="080000" w:sz="4" w:space="0"/>
              <w:left w:val="single" w:color="080000" w:sz="4" w:space="0"/>
              <w:bottom w:val="single" w:color="080000" w:sz="4" w:space="0"/>
              <w:right w:val="single" w:color="080000" w:sz="4" w:space="0"/>
            </w:tcBorders>
            <w:noWrap w:val="0"/>
            <w:vAlign w:val="center"/>
          </w:tcPr>
          <w:p w14:paraId="312D186E">
            <w:pPr>
              <w:pStyle w:val="40"/>
              <w:keepNext w:val="0"/>
              <w:keepLines w:val="0"/>
              <w:pageBreakBefore w:val="0"/>
              <w:widowControl w:val="0"/>
              <w:suppressLineNumbers w:val="0"/>
              <w:kinsoku/>
              <w:wordWrap w:val="0"/>
              <w:overflowPunct/>
              <w:topLinePunct/>
              <w:autoSpaceDE/>
              <w:autoSpaceDN/>
              <w:bidi w:val="0"/>
              <w:adjustRightInd w:val="0"/>
              <w:snapToGrid w:val="0"/>
              <w:spacing w:before="0" w:beforeAutospacing="0" w:after="0" w:afterAutospacing="0" w:line="400" w:lineRule="exact"/>
              <w:ind w:left="0" w:right="96" w:rightChars="40" w:firstLine="240" w:firstLineChars="100"/>
              <w:jc w:val="left"/>
              <w:rPr>
                <w:rFonts w:hint="eastAsia" w:ascii="宋体" w:hAnsi="宋体" w:eastAsia="宋体" w:cs="宋体"/>
                <w:b w:val="0"/>
                <w:bCs w:val="0"/>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投标人应按有关计划时间安排办理企业CA认证、企业入库等，获取招标文件后自行下载招标文件、资料文件及招标答疑书等。若由于投标人自身原因未能及时取得上述资料的，由此发生的任何责任由投标人自负。</w:t>
            </w:r>
          </w:p>
        </w:tc>
      </w:tr>
    </w:tbl>
    <w:p w14:paraId="05AE1AFF">
      <w:pPr>
        <w:pStyle w:val="38"/>
        <w:keepNext/>
        <w:keepLines/>
        <w:tabs>
          <w:tab w:val="left" w:pos="885"/>
        </w:tabs>
        <w:ind w:left="885" w:hanging="885"/>
        <w:jc w:val="center"/>
        <w:outlineLvl w:val="1"/>
        <w:rPr>
          <w:rFonts w:asciiTheme="minorEastAsia" w:hAnsiTheme="minorEastAsia" w:eastAsiaTheme="minorEastAsia" w:cstheme="minorEastAsia"/>
          <w:b/>
          <w:color w:val="auto"/>
          <w:kern w:val="44"/>
          <w:sz w:val="36"/>
          <w:szCs w:val="36"/>
          <w:highlight w:val="none"/>
        </w:rPr>
      </w:pPr>
      <w:r>
        <w:rPr>
          <w:rFonts w:hint="eastAsia" w:asciiTheme="minorEastAsia" w:hAnsiTheme="minorEastAsia" w:eastAsiaTheme="minorEastAsia" w:cstheme="minorEastAsia"/>
          <w:color w:val="auto"/>
          <w:sz w:val="24"/>
          <w:highlight w:val="none"/>
        </w:rPr>
        <w:br w:type="page"/>
      </w:r>
      <w:bookmarkStart w:id="11" w:name="_Hlt69669159"/>
      <w:bookmarkEnd w:id="11"/>
      <w:bookmarkStart w:id="12" w:name="_Toc4632"/>
      <w:bookmarkStart w:id="13" w:name="_Hlt69698754"/>
      <w:bookmarkStart w:id="14" w:name="_Hlt69698705"/>
      <w:r>
        <w:rPr>
          <w:rFonts w:hint="eastAsia" w:asciiTheme="minorEastAsia" w:hAnsiTheme="minorEastAsia" w:eastAsiaTheme="minorEastAsia" w:cstheme="minorEastAsia"/>
          <w:b/>
          <w:color w:val="auto"/>
          <w:sz w:val="36"/>
          <w:szCs w:val="36"/>
          <w:highlight w:val="none"/>
        </w:rPr>
        <w:t>第</w:t>
      </w:r>
      <w:r>
        <w:rPr>
          <w:rFonts w:hint="eastAsia" w:asciiTheme="minorEastAsia" w:hAnsiTheme="minorEastAsia" w:eastAsiaTheme="minorEastAsia" w:cstheme="minorEastAsia"/>
          <w:b/>
          <w:color w:val="auto"/>
          <w:kern w:val="44"/>
          <w:sz w:val="36"/>
          <w:szCs w:val="36"/>
          <w:highlight w:val="none"/>
        </w:rPr>
        <w:t>三节</w:t>
      </w:r>
      <w:bookmarkStart w:id="15" w:name="_Hlt87793819"/>
      <w:bookmarkEnd w:id="15"/>
      <w:r>
        <w:rPr>
          <w:rFonts w:hint="eastAsia" w:asciiTheme="minorEastAsia" w:hAnsiTheme="minorEastAsia" w:eastAsiaTheme="minorEastAsia" w:cstheme="minorEastAsia"/>
          <w:b/>
          <w:color w:val="auto"/>
          <w:kern w:val="44"/>
          <w:sz w:val="36"/>
          <w:szCs w:val="36"/>
          <w:highlight w:val="none"/>
        </w:rPr>
        <w:t xml:space="preserve"> 投标须知正文</w:t>
      </w:r>
      <w:bookmarkEnd w:id="12"/>
    </w:p>
    <w:bookmarkEnd w:id="13"/>
    <w:bookmarkEnd w:id="14"/>
    <w:p w14:paraId="7AB6A4F3">
      <w:pPr>
        <w:pStyle w:val="7"/>
        <w:spacing w:line="400" w:lineRule="exact"/>
        <w:rPr>
          <w:rFonts w:asciiTheme="minorEastAsia" w:hAnsiTheme="minorEastAsia" w:eastAsiaTheme="minorEastAsia" w:cstheme="minorEastAsia"/>
          <w:color w:val="auto"/>
          <w:sz w:val="24"/>
          <w:szCs w:val="28"/>
          <w:highlight w:val="none"/>
          <w:u w:val="single"/>
        </w:rPr>
      </w:pPr>
    </w:p>
    <w:p w14:paraId="5D126FB1">
      <w:pPr>
        <w:pageBreakBefore w:val="0"/>
        <w:kinsoku/>
        <w:wordWrap w:val="0"/>
        <w:overflowPunct/>
        <w:topLinePunct w:val="0"/>
        <w:bidi w:val="0"/>
        <w:adjustRightInd w:val="0"/>
        <w:snapToGrid w:val="0"/>
        <w:spacing w:line="470" w:lineRule="exact"/>
        <w:ind w:firstLine="480" w:firstLineChars="200"/>
        <w:textAlignment w:val="auto"/>
        <w:rPr>
          <w:rFonts w:hint="eastAsia" w:ascii="宋体" w:hAnsi="宋体" w:eastAsia="宋体" w:cs="宋体"/>
          <w:snapToGrid w:val="0"/>
          <w:color w:val="auto"/>
          <w:kern w:val="0"/>
          <w:sz w:val="24"/>
          <w:szCs w:val="24"/>
          <w:highlight w:val="none"/>
        </w:rPr>
      </w:pPr>
      <w:r>
        <w:rPr>
          <w:rFonts w:hint="eastAsia" w:hAnsi="宋体" w:eastAsia="宋体" w:cs="宋体"/>
          <w:snapToGrid w:val="0"/>
          <w:color w:val="auto"/>
          <w:kern w:val="0"/>
          <w:sz w:val="24"/>
          <w:szCs w:val="24"/>
          <w:highlight w:val="none"/>
          <w:u w:val="single"/>
          <w:lang w:eastAsia="zh-CN"/>
        </w:rPr>
        <w:t>韶关百年东街及周边历史街区城市更新项目</w:t>
      </w:r>
      <w:r>
        <w:rPr>
          <w:rFonts w:hint="eastAsia" w:ascii="宋体" w:hAnsi="宋体" w:eastAsia="宋体" w:cs="宋体"/>
          <w:snapToGrid w:val="0"/>
          <w:color w:val="auto"/>
          <w:kern w:val="0"/>
          <w:sz w:val="24"/>
          <w:szCs w:val="24"/>
          <w:highlight w:val="none"/>
        </w:rPr>
        <w:t>经</w:t>
      </w:r>
      <w:r>
        <w:rPr>
          <w:rFonts w:hint="eastAsia" w:hAnsi="宋体" w:eastAsia="宋体" w:cs="宋体"/>
          <w:snapToGrid w:val="0"/>
          <w:color w:val="auto"/>
          <w:kern w:val="0"/>
          <w:sz w:val="24"/>
          <w:szCs w:val="24"/>
          <w:highlight w:val="none"/>
          <w:u w:val="single"/>
          <w:lang w:eastAsia="zh-CN"/>
        </w:rPr>
        <w:t>浈江区发展和改革局</w:t>
      </w:r>
      <w:r>
        <w:rPr>
          <w:rFonts w:hint="eastAsia" w:ascii="宋体" w:hAnsi="宋体" w:eastAsia="宋体" w:cs="宋体"/>
          <w:snapToGrid w:val="0"/>
          <w:color w:val="auto"/>
          <w:kern w:val="0"/>
          <w:sz w:val="24"/>
          <w:szCs w:val="24"/>
          <w:highlight w:val="none"/>
        </w:rPr>
        <w:t>批准建设，项目代码为</w:t>
      </w:r>
      <w:r>
        <w:rPr>
          <w:rFonts w:hint="eastAsia" w:hAnsi="宋体" w:eastAsia="宋体" w:cs="宋体"/>
          <w:color w:val="auto"/>
          <w:sz w:val="24"/>
          <w:szCs w:val="24"/>
          <w:highlight w:val="none"/>
          <w:u w:val="single"/>
          <w:lang w:eastAsia="zh-CN"/>
        </w:rPr>
        <w:t>2604-440204-04-01-901150</w:t>
      </w:r>
      <w:r>
        <w:rPr>
          <w:rFonts w:hint="eastAsia" w:ascii="宋体" w:hAnsi="宋体" w:eastAsia="宋体" w:cs="宋体"/>
          <w:snapToGrid w:val="0"/>
          <w:color w:val="auto"/>
          <w:kern w:val="0"/>
          <w:sz w:val="24"/>
          <w:szCs w:val="24"/>
          <w:highlight w:val="none"/>
        </w:rPr>
        <w:t>。</w:t>
      </w:r>
      <w:r>
        <w:rPr>
          <w:rFonts w:hint="eastAsia" w:ascii="宋体" w:hAnsi="宋体" w:eastAsia="宋体" w:cs="宋体"/>
          <w:color w:val="auto"/>
          <w:sz w:val="24"/>
          <w:szCs w:val="24"/>
          <w:highlight w:val="none"/>
        </w:rPr>
        <w:t>项目</w:t>
      </w:r>
      <w:r>
        <w:rPr>
          <w:rFonts w:hint="eastAsia" w:ascii="宋体" w:hAnsi="宋体" w:eastAsia="宋体" w:cs="宋体"/>
          <w:snapToGrid w:val="0"/>
          <w:color w:val="auto"/>
          <w:kern w:val="0"/>
          <w:sz w:val="24"/>
          <w:szCs w:val="24"/>
          <w:highlight w:val="none"/>
        </w:rPr>
        <w:t>业主为</w:t>
      </w:r>
      <w:r>
        <w:rPr>
          <w:rFonts w:hint="eastAsia" w:hAnsi="宋体" w:eastAsia="宋体" w:cs="宋体"/>
          <w:snapToGrid w:val="0"/>
          <w:color w:val="auto"/>
          <w:kern w:val="0"/>
          <w:sz w:val="24"/>
          <w:szCs w:val="24"/>
          <w:highlight w:val="none"/>
          <w:u w:val="single"/>
          <w:lang w:eastAsia="zh-CN"/>
        </w:rPr>
        <w:t>韶关市金沁城市更新投资有限公司</w:t>
      </w:r>
      <w:r>
        <w:rPr>
          <w:rFonts w:hint="eastAsia" w:ascii="宋体" w:hAnsi="宋体" w:eastAsia="宋体" w:cs="宋体"/>
          <w:snapToGrid w:val="0"/>
          <w:color w:val="auto"/>
          <w:kern w:val="0"/>
          <w:sz w:val="24"/>
          <w:szCs w:val="24"/>
          <w:highlight w:val="none"/>
        </w:rPr>
        <w:t>，建设</w:t>
      </w:r>
      <w:r>
        <w:rPr>
          <w:rFonts w:hint="eastAsia" w:hAnsi="宋体" w:eastAsia="宋体" w:cs="宋体"/>
          <w:snapToGrid w:val="0"/>
          <w:color w:val="auto"/>
          <w:kern w:val="0"/>
          <w:sz w:val="24"/>
          <w:szCs w:val="24"/>
          <w:highlight w:val="none"/>
          <w:lang w:eastAsia="zh-CN"/>
        </w:rPr>
        <w:t>资金</w:t>
      </w:r>
      <w:r>
        <w:rPr>
          <w:rFonts w:hint="eastAsia" w:hAnsi="宋体" w:eastAsia="宋体" w:cs="宋体"/>
          <w:snapToGrid w:val="0"/>
          <w:color w:val="auto"/>
          <w:kern w:val="0"/>
          <w:sz w:val="24"/>
          <w:szCs w:val="24"/>
          <w:highlight w:val="none"/>
          <w:u w:val="single"/>
          <w:lang w:val="en-US" w:eastAsia="zh-CN"/>
        </w:rPr>
        <w:t>拟通过新型政策性金融工具、专项资金、股东注资、银行融资等方式筹集</w:t>
      </w:r>
      <w:r>
        <w:rPr>
          <w:rFonts w:hint="eastAsia" w:ascii="宋体" w:hAnsi="宋体" w:eastAsia="宋体" w:cs="宋体"/>
          <w:snapToGrid w:val="0"/>
          <w:color w:val="auto"/>
          <w:kern w:val="0"/>
          <w:sz w:val="24"/>
          <w:szCs w:val="24"/>
          <w:highlight w:val="none"/>
        </w:rPr>
        <w:t>，出资比例</w:t>
      </w:r>
      <w:r>
        <w:rPr>
          <w:rFonts w:hint="eastAsia" w:ascii="宋体" w:hAnsi="宋体" w:eastAsia="宋体" w:cs="宋体"/>
          <w:snapToGrid w:val="0"/>
          <w:color w:val="auto"/>
          <w:kern w:val="0"/>
          <w:sz w:val="24"/>
          <w:szCs w:val="24"/>
          <w:highlight w:val="none"/>
          <w:u w:val="single"/>
        </w:rPr>
        <w:t>100%</w:t>
      </w:r>
      <w:r>
        <w:rPr>
          <w:rFonts w:hint="eastAsia" w:ascii="宋体" w:hAnsi="宋体" w:eastAsia="宋体" w:cs="宋体"/>
          <w:snapToGrid w:val="0"/>
          <w:color w:val="auto"/>
          <w:kern w:val="0"/>
          <w:sz w:val="24"/>
          <w:szCs w:val="24"/>
          <w:highlight w:val="none"/>
        </w:rPr>
        <w:t>，招标人为</w:t>
      </w:r>
      <w:r>
        <w:rPr>
          <w:rFonts w:hint="eastAsia" w:hAnsi="宋体" w:eastAsia="宋体" w:cs="宋体"/>
          <w:snapToGrid w:val="0"/>
          <w:color w:val="auto"/>
          <w:kern w:val="0"/>
          <w:sz w:val="24"/>
          <w:szCs w:val="24"/>
          <w:highlight w:val="none"/>
          <w:u w:val="single"/>
          <w:lang w:eastAsia="zh-CN"/>
        </w:rPr>
        <w:t>韶关市金沁城市更新投资有限公司</w:t>
      </w:r>
      <w:r>
        <w:rPr>
          <w:rFonts w:hint="eastAsia" w:ascii="宋体" w:hAnsi="宋体" w:eastAsia="宋体" w:cs="宋体"/>
          <w:snapToGrid w:val="0"/>
          <w:color w:val="auto"/>
          <w:kern w:val="0"/>
          <w:sz w:val="24"/>
          <w:szCs w:val="24"/>
          <w:highlight w:val="none"/>
        </w:rPr>
        <w:t>，招标代理机构为</w:t>
      </w:r>
      <w:r>
        <w:rPr>
          <w:rFonts w:hint="eastAsia" w:hAnsi="宋体" w:eastAsia="宋体" w:cs="宋体"/>
          <w:color w:val="auto"/>
          <w:kern w:val="0"/>
          <w:sz w:val="24"/>
          <w:szCs w:val="24"/>
          <w:highlight w:val="none"/>
          <w:u w:val="single"/>
          <w:lang w:eastAsia="zh-CN"/>
        </w:rPr>
        <w:t>韶关市建韶工程造价咨询有限公司</w:t>
      </w:r>
      <w:r>
        <w:rPr>
          <w:rFonts w:hint="eastAsia" w:ascii="宋体" w:hAnsi="宋体" w:eastAsia="宋体" w:cs="宋体"/>
          <w:snapToGrid w:val="0"/>
          <w:color w:val="auto"/>
          <w:kern w:val="0"/>
          <w:sz w:val="24"/>
          <w:szCs w:val="24"/>
          <w:highlight w:val="none"/>
        </w:rPr>
        <w:t>。项目已具备招标条件，现对该项目</w:t>
      </w:r>
      <w:r>
        <w:rPr>
          <w:rFonts w:hint="eastAsia" w:hAnsi="宋体" w:eastAsia="宋体" w:cs="宋体"/>
          <w:snapToGrid w:val="0"/>
          <w:color w:val="auto"/>
          <w:kern w:val="0"/>
          <w:sz w:val="24"/>
          <w:szCs w:val="24"/>
          <w:highlight w:val="none"/>
          <w:lang w:eastAsia="zh-CN"/>
        </w:rPr>
        <w:t>的</w:t>
      </w:r>
      <w:r>
        <w:rPr>
          <w:rFonts w:hint="eastAsia" w:hAnsi="宋体" w:eastAsia="宋体" w:cs="宋体"/>
          <w:snapToGrid w:val="0"/>
          <w:color w:val="auto"/>
          <w:kern w:val="0"/>
          <w:sz w:val="24"/>
          <w:szCs w:val="24"/>
          <w:highlight w:val="none"/>
          <w:lang w:val="en-US" w:eastAsia="zh-CN"/>
        </w:rPr>
        <w:t xml:space="preserve"> </w:t>
      </w:r>
      <w:r>
        <w:rPr>
          <w:rFonts w:hint="eastAsia" w:hAnsi="宋体" w:eastAsia="宋体" w:cs="宋体"/>
          <w:snapToGrid w:val="0"/>
          <w:color w:val="auto"/>
          <w:kern w:val="0"/>
          <w:sz w:val="24"/>
          <w:szCs w:val="24"/>
          <w:highlight w:val="none"/>
          <w:u w:val="single"/>
          <w:lang w:val="en-US" w:eastAsia="zh-CN"/>
        </w:rPr>
        <w:t>一期工程总承包（EPC）</w:t>
      </w:r>
      <w:r>
        <w:rPr>
          <w:rFonts w:hint="eastAsia" w:ascii="宋体" w:hAnsi="宋体" w:eastAsia="宋体" w:cs="宋体"/>
          <w:snapToGrid w:val="0"/>
          <w:color w:val="auto"/>
          <w:kern w:val="0"/>
          <w:sz w:val="24"/>
          <w:szCs w:val="24"/>
          <w:highlight w:val="none"/>
        </w:rPr>
        <w:t>进行公开招标。</w:t>
      </w:r>
    </w:p>
    <w:p w14:paraId="15BD3E16">
      <w:pPr>
        <w:pStyle w:val="39"/>
        <w:keepNext/>
        <w:keepLines/>
        <w:pageBreakBefore w:val="0"/>
        <w:kinsoku/>
        <w:overflowPunct/>
        <w:topLinePunct w:val="0"/>
        <w:bidi w:val="0"/>
        <w:spacing w:line="470" w:lineRule="exact"/>
        <w:ind w:firstLine="480"/>
        <w:jc w:val="both"/>
        <w:textAlignment w:val="auto"/>
        <w:rPr>
          <w:rFonts w:hint="eastAsia" w:ascii="宋体" w:hAnsi="宋体" w:eastAsia="宋体" w:cs="宋体"/>
          <w:b/>
          <w:bCs/>
          <w:snapToGrid w:val="0"/>
          <w:color w:val="auto"/>
          <w:sz w:val="24"/>
          <w:szCs w:val="24"/>
          <w:highlight w:val="none"/>
        </w:rPr>
      </w:pPr>
      <w:bookmarkStart w:id="16" w:name="_Hlt78795222"/>
      <w:bookmarkEnd w:id="16"/>
      <w:bookmarkStart w:id="17" w:name="_Hlt87948285"/>
      <w:bookmarkEnd w:id="17"/>
      <w:bookmarkStart w:id="18" w:name="_Hlt74474735"/>
      <w:bookmarkEnd w:id="18"/>
      <w:bookmarkStart w:id="19" w:name="_Hlt119991399"/>
      <w:bookmarkEnd w:id="19"/>
      <w:bookmarkStart w:id="20" w:name="_Hlt109358474"/>
      <w:bookmarkEnd w:id="20"/>
      <w:bookmarkStart w:id="21" w:name="_Toc4081"/>
      <w:bookmarkStart w:id="22" w:name="_Toc25252"/>
      <w:bookmarkStart w:id="23" w:name="_Toc23054"/>
      <w:bookmarkStart w:id="24" w:name="_Toc4906"/>
      <w:bookmarkStart w:id="25" w:name="_Toc31976"/>
      <w:bookmarkStart w:id="26" w:name="_Toc574"/>
      <w:bookmarkStart w:id="27" w:name="_Toc24563"/>
      <w:bookmarkStart w:id="28" w:name="_Toc18453"/>
      <w:bookmarkStart w:id="29" w:name="_Toc30732"/>
      <w:r>
        <w:rPr>
          <w:rFonts w:hint="eastAsia" w:hAnsi="宋体" w:cs="宋体"/>
          <w:b/>
          <w:color w:val="auto"/>
          <w:kern w:val="2"/>
          <w:sz w:val="24"/>
          <w:szCs w:val="24"/>
          <w:highlight w:val="none"/>
          <w:lang w:eastAsia="zh-CN"/>
        </w:rPr>
        <w:t>1.</w:t>
      </w:r>
      <w:r>
        <w:rPr>
          <w:rFonts w:hint="eastAsia" w:ascii="宋体" w:hAnsi="宋体" w:eastAsia="宋体" w:cs="宋体"/>
          <w:b/>
          <w:color w:val="auto"/>
          <w:kern w:val="2"/>
          <w:sz w:val="24"/>
          <w:szCs w:val="24"/>
          <w:highlight w:val="none"/>
        </w:rPr>
        <w:t xml:space="preserve"> 工程概况综合说明</w:t>
      </w:r>
      <w:bookmarkEnd w:id="21"/>
      <w:bookmarkEnd w:id="22"/>
      <w:bookmarkEnd w:id="23"/>
      <w:bookmarkEnd w:id="24"/>
      <w:bookmarkEnd w:id="25"/>
      <w:bookmarkEnd w:id="26"/>
      <w:bookmarkEnd w:id="27"/>
      <w:bookmarkEnd w:id="28"/>
      <w:bookmarkEnd w:id="29"/>
    </w:p>
    <w:p w14:paraId="6D655DB9">
      <w:pPr>
        <w:pStyle w:val="40"/>
        <w:pageBreakBefore w:val="0"/>
        <w:kinsoku/>
        <w:wordWrap w:val="0"/>
        <w:overflowPunct/>
        <w:topLinePunct w:val="0"/>
        <w:bidi w:val="0"/>
        <w:adjustRightInd w:val="0"/>
        <w:snapToGrid w:val="0"/>
        <w:spacing w:line="470" w:lineRule="exact"/>
        <w:ind w:firstLine="480"/>
        <w:jc w:val="left"/>
        <w:textAlignment w:val="auto"/>
        <w:rPr>
          <w:rFonts w:hint="eastAsia" w:ascii="宋体" w:hAnsi="宋体" w:eastAsia="宋体" w:cs="宋体"/>
          <w:color w:val="auto"/>
          <w:sz w:val="24"/>
          <w:szCs w:val="24"/>
          <w:highlight w:val="none"/>
        </w:rPr>
      </w:pPr>
      <w:r>
        <w:rPr>
          <w:rFonts w:hint="eastAsia" w:ascii="宋体" w:hAnsi="宋体" w:eastAsia="宋体" w:cs="宋体"/>
          <w:b/>
          <w:bCs/>
          <w:color w:val="auto"/>
          <w:sz w:val="24"/>
          <w:szCs w:val="24"/>
          <w:highlight w:val="none"/>
        </w:rPr>
        <w:t>1.1</w:t>
      </w:r>
      <w:r>
        <w:rPr>
          <w:rFonts w:hint="eastAsia" w:ascii="宋体" w:hAnsi="宋体" w:eastAsia="宋体" w:cs="宋体"/>
          <w:color w:val="auto"/>
          <w:sz w:val="24"/>
          <w:szCs w:val="24"/>
          <w:highlight w:val="none"/>
        </w:rPr>
        <w:t xml:space="preserve"> 工程概况</w:t>
      </w:r>
    </w:p>
    <w:p w14:paraId="65C04FAA">
      <w:pPr>
        <w:pStyle w:val="40"/>
        <w:pageBreakBefore w:val="0"/>
        <w:kinsoku/>
        <w:wordWrap w:val="0"/>
        <w:overflowPunct/>
        <w:topLinePunct w:val="0"/>
        <w:bidi w:val="0"/>
        <w:adjustRightInd w:val="0"/>
        <w:snapToGrid w:val="0"/>
        <w:spacing w:line="470" w:lineRule="exact"/>
        <w:ind w:firstLine="480"/>
        <w:jc w:val="left"/>
        <w:textAlignment w:val="auto"/>
        <w:rPr>
          <w:rFonts w:hint="eastAsia" w:ascii="宋体" w:hAnsi="宋体" w:eastAsia="宋体" w:cs="宋体"/>
          <w:color w:val="auto"/>
          <w:sz w:val="24"/>
          <w:szCs w:val="24"/>
          <w:highlight w:val="none"/>
          <w:u w:val="none"/>
          <w:lang w:eastAsia="zh-CN"/>
        </w:rPr>
      </w:pPr>
      <w:r>
        <w:rPr>
          <w:rFonts w:hint="eastAsia" w:ascii="宋体" w:hAnsi="宋体" w:eastAsia="宋体" w:cs="宋体"/>
          <w:b/>
          <w:bCs/>
          <w:color w:val="auto"/>
          <w:sz w:val="24"/>
          <w:szCs w:val="24"/>
          <w:highlight w:val="none"/>
        </w:rPr>
        <w:t>1.1.1</w:t>
      </w:r>
      <w:r>
        <w:rPr>
          <w:rFonts w:hint="eastAsia" w:ascii="宋体" w:hAnsi="宋体" w:eastAsia="宋体" w:cs="宋体"/>
          <w:color w:val="auto"/>
          <w:sz w:val="24"/>
          <w:szCs w:val="24"/>
          <w:highlight w:val="none"/>
        </w:rPr>
        <w:t xml:space="preserve"> 建设地点：</w:t>
      </w:r>
      <w:r>
        <w:rPr>
          <w:rFonts w:hint="eastAsia" w:ascii="宋体" w:hAnsi="宋体" w:cs="宋体"/>
          <w:snapToGrid w:val="0"/>
          <w:color w:val="auto"/>
          <w:kern w:val="0"/>
          <w:sz w:val="24"/>
          <w:szCs w:val="24"/>
          <w:highlight w:val="none"/>
          <w:u w:val="none"/>
          <w:lang w:eastAsia="zh-CN"/>
        </w:rPr>
        <w:t>韶关市浈江区风采街道百年东街及周边</w:t>
      </w:r>
    </w:p>
    <w:p w14:paraId="0430A452">
      <w:pPr>
        <w:pageBreakBefore w:val="0"/>
        <w:widowControl/>
        <w:kinsoku/>
        <w:overflowPunct/>
        <w:topLinePunct w:val="0"/>
        <w:bidi w:val="0"/>
        <w:spacing w:line="470" w:lineRule="exact"/>
        <w:ind w:left="11" w:leftChars="0" w:firstLine="501" w:firstLineChars="208"/>
        <w:textAlignment w:val="auto"/>
        <w:rPr>
          <w:rFonts w:hint="eastAsia" w:ascii="宋体" w:hAnsi="宋体" w:eastAsia="宋体" w:cs="宋体"/>
          <w:snapToGrid w:val="0"/>
          <w:color w:val="auto"/>
          <w:kern w:val="0"/>
          <w:sz w:val="24"/>
          <w:szCs w:val="24"/>
          <w:highlight w:val="none"/>
          <w:u w:val="none"/>
          <w:lang w:eastAsia="zh-CN"/>
        </w:rPr>
      </w:pPr>
      <w:r>
        <w:rPr>
          <w:rFonts w:hint="eastAsia" w:ascii="宋体" w:hAnsi="宋体" w:eastAsia="宋体" w:cs="宋体"/>
          <w:b/>
          <w:bCs/>
          <w:color w:val="auto"/>
          <w:sz w:val="24"/>
          <w:szCs w:val="24"/>
          <w:highlight w:val="none"/>
          <w:u w:val="none"/>
        </w:rPr>
        <w:t>1.1.2</w:t>
      </w:r>
      <w:r>
        <w:rPr>
          <w:rFonts w:hint="eastAsia" w:ascii="宋体" w:hAnsi="宋体" w:eastAsia="宋体" w:cs="宋体"/>
          <w:color w:val="auto"/>
          <w:sz w:val="24"/>
          <w:szCs w:val="24"/>
          <w:highlight w:val="none"/>
          <w:u w:val="none"/>
        </w:rPr>
        <w:t xml:space="preserve"> 建设内容和规模：</w:t>
      </w:r>
      <w:r>
        <w:rPr>
          <w:rFonts w:hint="eastAsia" w:hAnsi="宋体" w:eastAsia="宋体" w:cs="宋体"/>
          <w:color w:val="auto"/>
          <w:sz w:val="24"/>
          <w:szCs w:val="24"/>
          <w:highlight w:val="none"/>
          <w:lang w:val="en-US" w:eastAsia="zh-CN"/>
        </w:rPr>
        <w:t>本项目总改造建筑面积约80000m²。主要改造内容包括：对百年东街的主体结构、外立面、室外广场、滨河步道等进行改造升级；对公共室外走道、电梯厅、卫生间、B区室内等公共区域进行更新改造；对机电工程、弱电智能化工程、水电、给排水、排油烟工程、室外灯光造型和地下停车场进行改造提升</w:t>
      </w:r>
      <w:r>
        <w:rPr>
          <w:rFonts w:hint="eastAsia" w:ascii="宋体" w:hAnsi="宋体" w:eastAsia="宋体" w:cs="宋体"/>
          <w:color w:val="auto"/>
          <w:sz w:val="24"/>
          <w:szCs w:val="24"/>
          <w:highlight w:val="none"/>
          <w:u w:val="none"/>
        </w:rPr>
        <w:t>。</w:t>
      </w:r>
    </w:p>
    <w:p w14:paraId="0211C154">
      <w:pPr>
        <w:pageBreakBefore w:val="0"/>
        <w:widowControl/>
        <w:kinsoku/>
        <w:overflowPunct/>
        <w:topLinePunct w:val="0"/>
        <w:bidi w:val="0"/>
        <w:spacing w:line="470" w:lineRule="exact"/>
        <w:ind w:left="11" w:leftChars="0" w:firstLine="501" w:firstLineChars="208"/>
        <w:textAlignment w:val="auto"/>
        <w:rPr>
          <w:rFonts w:hint="eastAsia" w:ascii="宋体" w:hAnsi="宋体" w:eastAsia="宋体" w:cs="宋体"/>
          <w:snapToGrid w:val="0"/>
          <w:color w:val="auto"/>
          <w:kern w:val="0"/>
          <w:sz w:val="24"/>
          <w:szCs w:val="24"/>
          <w:highlight w:val="none"/>
          <w:u w:val="none"/>
          <w:lang w:eastAsia="zh-CN"/>
        </w:rPr>
      </w:pPr>
      <w:r>
        <w:rPr>
          <w:rFonts w:hint="eastAsia" w:ascii="宋体" w:hAnsi="宋体" w:eastAsia="宋体" w:cs="宋体"/>
          <w:b/>
          <w:bCs/>
          <w:color w:val="auto"/>
          <w:sz w:val="24"/>
          <w:szCs w:val="24"/>
          <w:highlight w:val="none"/>
          <w:u w:val="none"/>
        </w:rPr>
        <w:t>1.1.3</w:t>
      </w:r>
      <w:r>
        <w:rPr>
          <w:rFonts w:hint="eastAsia" w:ascii="宋体" w:hAnsi="宋体" w:eastAsia="宋体" w:cs="宋体"/>
          <w:color w:val="auto"/>
          <w:sz w:val="24"/>
          <w:szCs w:val="24"/>
          <w:highlight w:val="none"/>
          <w:u w:val="none"/>
        </w:rPr>
        <w:t xml:space="preserve"> 项目总投资：</w:t>
      </w:r>
      <w:bookmarkStart w:id="30" w:name="_Toc20999"/>
      <w:r>
        <w:rPr>
          <w:rFonts w:hint="eastAsia" w:ascii="宋体" w:hAnsi="宋体" w:eastAsia="宋体" w:cs="宋体"/>
          <w:color w:val="auto"/>
          <w:sz w:val="24"/>
          <w:szCs w:val="24"/>
          <w:highlight w:val="none"/>
          <w:lang w:val="en-US" w:eastAsia="zh-CN"/>
        </w:rPr>
        <w:t>项目总投资额约12024万元，其中本次招标建安费投资额约10838万元。</w:t>
      </w:r>
    </w:p>
    <w:p w14:paraId="7A16C0DB">
      <w:pPr>
        <w:pageBreakBefore w:val="0"/>
        <w:widowControl/>
        <w:kinsoku/>
        <w:overflowPunct/>
        <w:topLinePunct w:val="0"/>
        <w:bidi w:val="0"/>
        <w:spacing w:line="470" w:lineRule="exact"/>
        <w:ind w:left="511" w:leftChars="213"/>
        <w:textAlignment w:val="auto"/>
        <w:rPr>
          <w:rFonts w:hint="eastAsia" w:ascii="宋体" w:hAnsi="宋体" w:eastAsia="宋体" w:cs="宋体"/>
          <w:snapToGrid w:val="0"/>
          <w:color w:val="auto"/>
          <w:kern w:val="0"/>
          <w:sz w:val="24"/>
          <w:szCs w:val="24"/>
          <w:highlight w:val="none"/>
          <w:u w:val="none"/>
        </w:rPr>
      </w:pPr>
      <w:r>
        <w:rPr>
          <w:rFonts w:hint="eastAsia" w:ascii="宋体" w:hAnsi="宋体" w:eastAsia="宋体" w:cs="宋体"/>
          <w:b/>
          <w:bCs/>
          <w:snapToGrid w:val="0"/>
          <w:color w:val="auto"/>
          <w:kern w:val="0"/>
          <w:sz w:val="24"/>
          <w:szCs w:val="24"/>
          <w:highlight w:val="none"/>
          <w:u w:val="none"/>
        </w:rPr>
        <w:t>1.2</w:t>
      </w:r>
      <w:r>
        <w:rPr>
          <w:rFonts w:hint="eastAsia" w:ascii="宋体" w:hAnsi="宋体" w:eastAsia="宋体" w:cs="宋体"/>
          <w:snapToGrid w:val="0"/>
          <w:color w:val="auto"/>
          <w:kern w:val="0"/>
          <w:sz w:val="24"/>
          <w:szCs w:val="24"/>
          <w:highlight w:val="none"/>
          <w:u w:val="none"/>
        </w:rPr>
        <w:t xml:space="preserve"> 标段划分：</w:t>
      </w:r>
      <w:bookmarkEnd w:id="30"/>
      <w:r>
        <w:rPr>
          <w:rFonts w:hint="eastAsia" w:ascii="宋体" w:hAnsi="宋体" w:eastAsia="宋体" w:cs="宋体"/>
          <w:snapToGrid w:val="0"/>
          <w:color w:val="auto"/>
          <w:kern w:val="0"/>
          <w:sz w:val="24"/>
          <w:szCs w:val="24"/>
          <w:highlight w:val="none"/>
          <w:u w:val="none"/>
        </w:rPr>
        <w:t>本招标项目不划分标段。</w:t>
      </w:r>
    </w:p>
    <w:p w14:paraId="4FFB8C3C">
      <w:pPr>
        <w:pStyle w:val="37"/>
        <w:pageBreakBefore w:val="0"/>
        <w:tabs>
          <w:tab w:val="left" w:pos="7020"/>
        </w:tabs>
        <w:kinsoku/>
        <w:overflowPunct/>
        <w:topLinePunct w:val="0"/>
        <w:bidi w:val="0"/>
        <w:spacing w:line="360" w:lineRule="auto"/>
        <w:ind w:firstLine="482" w:firstLineChars="200"/>
        <w:textAlignment w:val="auto"/>
        <w:rPr>
          <w:rFonts w:hint="eastAsia" w:ascii="宋体" w:hAnsi="宋体" w:eastAsia="宋体" w:cs="宋体"/>
          <w:color w:val="auto"/>
          <w:sz w:val="24"/>
          <w:szCs w:val="24"/>
          <w:highlight w:val="none"/>
          <w:u w:val="none"/>
        </w:rPr>
      </w:pPr>
      <w:r>
        <w:rPr>
          <w:rFonts w:hint="eastAsia" w:ascii="宋体" w:hAnsi="宋体" w:eastAsia="宋体" w:cs="宋体"/>
          <w:b/>
          <w:bCs/>
          <w:color w:val="auto"/>
          <w:sz w:val="24"/>
          <w:szCs w:val="24"/>
          <w:highlight w:val="none"/>
          <w:u w:val="none"/>
        </w:rPr>
        <w:t>1.3</w:t>
      </w:r>
      <w:r>
        <w:rPr>
          <w:rFonts w:hint="eastAsia" w:ascii="宋体" w:hAnsi="宋体" w:eastAsia="宋体" w:cs="宋体"/>
          <w:color w:val="auto"/>
          <w:sz w:val="24"/>
          <w:szCs w:val="24"/>
          <w:highlight w:val="none"/>
          <w:u w:val="none"/>
        </w:rPr>
        <w:t xml:space="preserve"> 监理单位：待定。</w:t>
      </w:r>
    </w:p>
    <w:p w14:paraId="72F28741">
      <w:pPr>
        <w:pStyle w:val="37"/>
        <w:pageBreakBefore w:val="0"/>
        <w:kinsoku/>
        <w:overflowPunct/>
        <w:topLinePunct w:val="0"/>
        <w:bidi w:val="0"/>
        <w:spacing w:line="360" w:lineRule="auto"/>
        <w:ind w:firstLine="482" w:firstLineChars="200"/>
        <w:textAlignment w:val="auto"/>
        <w:rPr>
          <w:rFonts w:hint="eastAsia" w:ascii="宋体" w:hAnsi="宋体" w:eastAsia="宋体" w:cs="宋体"/>
          <w:color w:val="auto"/>
          <w:sz w:val="24"/>
          <w:szCs w:val="24"/>
          <w:highlight w:val="none"/>
          <w:u w:val="none"/>
        </w:rPr>
      </w:pPr>
      <w:r>
        <w:rPr>
          <w:rFonts w:hint="eastAsia" w:ascii="宋体" w:hAnsi="宋体" w:eastAsia="宋体" w:cs="宋体"/>
          <w:b/>
          <w:bCs/>
          <w:color w:val="auto"/>
          <w:sz w:val="24"/>
          <w:szCs w:val="24"/>
          <w:highlight w:val="none"/>
          <w:u w:val="none"/>
        </w:rPr>
        <w:t>1.4</w:t>
      </w:r>
      <w:r>
        <w:rPr>
          <w:rFonts w:hint="eastAsia" w:ascii="宋体" w:hAnsi="宋体" w:eastAsia="宋体" w:cs="宋体"/>
          <w:color w:val="auto"/>
          <w:sz w:val="24"/>
          <w:szCs w:val="24"/>
          <w:highlight w:val="none"/>
          <w:u w:val="none"/>
        </w:rPr>
        <w:t xml:space="preserve"> 投标费用：投标人应承担所有准备和参加投标的相关费用，不论投标结果如何，招标人均无义务和责任承担这些费用。</w:t>
      </w:r>
      <w:bookmarkStart w:id="31" w:name="_Toc106184808"/>
    </w:p>
    <w:p w14:paraId="6F95FEBC">
      <w:pPr>
        <w:pStyle w:val="39"/>
        <w:keepNext/>
        <w:keepLines/>
        <w:pageBreakBefore w:val="0"/>
        <w:kinsoku/>
        <w:overflowPunct/>
        <w:topLinePunct w:val="0"/>
        <w:bidi w:val="0"/>
        <w:spacing w:line="470" w:lineRule="exact"/>
        <w:ind w:firstLine="480"/>
        <w:jc w:val="both"/>
        <w:textAlignment w:val="auto"/>
        <w:rPr>
          <w:rFonts w:hint="eastAsia" w:ascii="宋体" w:hAnsi="宋体" w:eastAsia="宋体" w:cs="宋体"/>
          <w:b/>
          <w:color w:val="auto"/>
          <w:kern w:val="2"/>
          <w:sz w:val="24"/>
          <w:szCs w:val="24"/>
          <w:highlight w:val="none"/>
        </w:rPr>
      </w:pPr>
      <w:bookmarkStart w:id="32" w:name="_Toc14958"/>
      <w:bookmarkStart w:id="33" w:name="_Toc12190"/>
      <w:bookmarkStart w:id="34" w:name="_Toc22550"/>
      <w:bookmarkStart w:id="35" w:name="_Toc17359"/>
      <w:bookmarkStart w:id="36" w:name="_Toc7700"/>
      <w:bookmarkStart w:id="37" w:name="_Toc18851"/>
      <w:bookmarkStart w:id="38" w:name="_Toc121"/>
      <w:bookmarkStart w:id="39" w:name="_Toc32400"/>
      <w:bookmarkStart w:id="40" w:name="_Toc2627"/>
      <w:r>
        <w:rPr>
          <w:rFonts w:hint="eastAsia" w:ascii="宋体" w:hAnsi="宋体" w:eastAsia="宋体" w:cs="宋体"/>
          <w:b/>
          <w:color w:val="auto"/>
          <w:kern w:val="2"/>
          <w:sz w:val="24"/>
          <w:szCs w:val="24"/>
          <w:highlight w:val="none"/>
        </w:rPr>
        <w:t>2</w:t>
      </w:r>
      <w:r>
        <w:rPr>
          <w:rFonts w:hint="eastAsia" w:hAnsi="宋体" w:cs="宋体"/>
          <w:b/>
          <w:color w:val="auto"/>
          <w:kern w:val="2"/>
          <w:sz w:val="24"/>
          <w:szCs w:val="24"/>
          <w:highlight w:val="none"/>
          <w:lang w:eastAsia="zh-CN"/>
        </w:rPr>
        <w:t xml:space="preserve">. </w:t>
      </w:r>
      <w:r>
        <w:rPr>
          <w:rFonts w:hint="eastAsia" w:ascii="宋体" w:hAnsi="宋体" w:eastAsia="宋体" w:cs="宋体"/>
          <w:b/>
          <w:color w:val="auto"/>
          <w:kern w:val="2"/>
          <w:sz w:val="24"/>
          <w:szCs w:val="24"/>
          <w:highlight w:val="none"/>
        </w:rPr>
        <w:t>招标范围</w:t>
      </w:r>
      <w:bookmarkEnd w:id="31"/>
      <w:bookmarkEnd w:id="32"/>
      <w:bookmarkEnd w:id="33"/>
      <w:bookmarkEnd w:id="34"/>
      <w:bookmarkEnd w:id="35"/>
      <w:bookmarkEnd w:id="36"/>
      <w:bookmarkEnd w:id="37"/>
      <w:bookmarkEnd w:id="38"/>
      <w:bookmarkEnd w:id="39"/>
      <w:bookmarkEnd w:id="40"/>
    </w:p>
    <w:p w14:paraId="10F06849">
      <w:pPr>
        <w:pStyle w:val="42"/>
        <w:pageBreakBefore w:val="0"/>
        <w:kinsoku/>
        <w:overflowPunct/>
        <w:topLinePunct w:val="0"/>
        <w:bidi w:val="0"/>
        <w:spacing w:line="470" w:lineRule="exact"/>
        <w:textAlignment w:val="auto"/>
        <w:rPr>
          <w:rFonts w:hint="eastAsia" w:ascii="宋体" w:hAnsi="宋体" w:eastAsia="宋体" w:cs="宋体"/>
          <w:color w:val="auto"/>
          <w:sz w:val="24"/>
          <w:szCs w:val="24"/>
          <w:highlight w:val="none"/>
        </w:rPr>
      </w:pPr>
      <w:bookmarkStart w:id="41" w:name="_Hlt91408212"/>
      <w:bookmarkEnd w:id="41"/>
      <w:r>
        <w:rPr>
          <w:rFonts w:hint="eastAsia" w:ascii="宋体" w:hAnsi="宋体" w:eastAsia="宋体" w:cs="宋体"/>
          <w:b/>
          <w:bCs/>
          <w:color w:val="auto"/>
          <w:sz w:val="24"/>
          <w:szCs w:val="24"/>
          <w:highlight w:val="none"/>
        </w:rPr>
        <w:t>2.1</w:t>
      </w:r>
      <w:r>
        <w:rPr>
          <w:rFonts w:hint="eastAsia" w:hAnsi="宋体" w:eastAsia="宋体" w:cs="宋体"/>
          <w:b/>
          <w:bCs/>
          <w:color w:val="auto"/>
          <w:sz w:val="24"/>
          <w:szCs w:val="24"/>
          <w:highlight w:val="none"/>
          <w:lang w:eastAsia="zh-CN"/>
        </w:rPr>
        <w:t xml:space="preserve"> 招标</w:t>
      </w:r>
      <w:r>
        <w:rPr>
          <w:rFonts w:hint="eastAsia" w:ascii="宋体" w:hAnsi="宋体" w:eastAsia="宋体" w:cs="宋体"/>
          <w:color w:val="auto"/>
          <w:sz w:val="24"/>
          <w:szCs w:val="24"/>
          <w:highlight w:val="none"/>
        </w:rPr>
        <w:t>范围：</w:t>
      </w:r>
      <w:r>
        <w:rPr>
          <w:rFonts w:hint="eastAsia" w:ascii="宋体" w:hAnsi="宋体" w:eastAsia="宋体" w:cs="宋体"/>
          <w:color w:val="auto"/>
          <w:kern w:val="0"/>
          <w:sz w:val="24"/>
          <w:szCs w:val="24"/>
          <w:highlight w:val="none"/>
          <w:lang w:val="en-US" w:eastAsia="zh-CN" w:bidi="ar-SA"/>
        </w:rPr>
        <w:t>本次招标确定设计采购施工总承包的承担主体，中标后负责本项目的设计、采购、施工及保修期</w:t>
      </w:r>
      <w:r>
        <w:rPr>
          <w:rFonts w:hint="eastAsia" w:hAnsi="宋体" w:eastAsia="宋体" w:cs="宋体"/>
          <w:color w:val="auto"/>
          <w:kern w:val="0"/>
          <w:sz w:val="24"/>
          <w:szCs w:val="24"/>
          <w:highlight w:val="none"/>
          <w:lang w:val="en-US" w:eastAsia="zh-CN" w:bidi="ar-SA"/>
        </w:rPr>
        <w:t>修复</w:t>
      </w:r>
      <w:r>
        <w:rPr>
          <w:rFonts w:hint="eastAsia" w:ascii="宋体" w:hAnsi="宋体" w:eastAsia="宋体" w:cs="宋体"/>
          <w:color w:val="auto"/>
          <w:kern w:val="0"/>
          <w:sz w:val="24"/>
          <w:szCs w:val="24"/>
          <w:highlight w:val="none"/>
          <w:lang w:val="en-US" w:eastAsia="zh-CN" w:bidi="ar-SA"/>
        </w:rPr>
        <w:t>等工作。</w:t>
      </w:r>
      <w:r>
        <w:rPr>
          <w:rFonts w:hint="eastAsia" w:hAnsi="宋体" w:eastAsia="宋体" w:cs="宋体"/>
          <w:color w:val="auto"/>
          <w:kern w:val="0"/>
          <w:sz w:val="24"/>
          <w:szCs w:val="24"/>
          <w:highlight w:val="none"/>
          <w:lang w:val="en-US" w:eastAsia="zh-CN" w:bidi="ar-SA"/>
        </w:rPr>
        <w:t>包括但不限于</w:t>
      </w:r>
      <w:r>
        <w:rPr>
          <w:rFonts w:hint="eastAsia" w:ascii="宋体" w:hAnsi="宋体" w:eastAsia="宋体" w:cs="宋体"/>
          <w:color w:val="auto"/>
          <w:kern w:val="0"/>
          <w:sz w:val="24"/>
          <w:szCs w:val="24"/>
          <w:highlight w:val="none"/>
          <w:lang w:val="en-US" w:eastAsia="zh-CN" w:bidi="ar-SA"/>
        </w:rPr>
        <w:t>下列内容</w:t>
      </w:r>
      <w:r>
        <w:rPr>
          <w:rFonts w:hint="eastAsia" w:ascii="宋体" w:hAnsi="宋体" w:eastAsia="宋体" w:cs="宋体"/>
          <w:color w:val="auto"/>
          <w:sz w:val="24"/>
          <w:szCs w:val="24"/>
          <w:highlight w:val="none"/>
        </w:rPr>
        <w:t>：</w:t>
      </w:r>
    </w:p>
    <w:p w14:paraId="500F0ED5">
      <w:pPr>
        <w:pStyle w:val="8"/>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0" w:right="48" w:rightChars="20" w:firstLine="241" w:firstLineChars="100"/>
        <w:textAlignment w:val="auto"/>
        <w:rPr>
          <w:rFonts w:hint="eastAsia" w:ascii="宋体" w:hAnsi="宋体" w:eastAsia="宋体" w:cs="宋体"/>
          <w:color w:val="auto"/>
          <w:sz w:val="24"/>
          <w:szCs w:val="24"/>
          <w:highlight w:val="none"/>
        </w:rPr>
      </w:pPr>
      <w:bookmarkStart w:id="42" w:name="_Toc13988"/>
      <w:bookmarkStart w:id="43" w:name="_Toc7799"/>
      <w:bookmarkStart w:id="44" w:name="_Toc4645"/>
      <w:bookmarkStart w:id="45" w:name="_Toc21803"/>
      <w:bookmarkStart w:id="46" w:name="_Toc2350"/>
      <w:bookmarkStart w:id="47" w:name="_Toc1366"/>
      <w:bookmarkStart w:id="48" w:name="_Toc26845"/>
      <w:bookmarkStart w:id="49" w:name="_Toc27886"/>
      <w:bookmarkStart w:id="50" w:name="_Toc708"/>
      <w:bookmarkStart w:id="51" w:name="_Toc2217"/>
      <w:bookmarkStart w:id="52" w:name="_Toc32739"/>
      <w:r>
        <w:rPr>
          <w:rFonts w:hint="eastAsia" w:ascii="宋体" w:hAnsi="宋体" w:eastAsia="宋体" w:cs="宋体"/>
          <w:b/>
          <w:bCs/>
          <w:color w:val="auto"/>
          <w:sz w:val="24"/>
          <w:szCs w:val="24"/>
          <w:highlight w:val="none"/>
          <w:lang w:val="en-US" w:eastAsia="zh-CN"/>
        </w:rPr>
        <w:t>（1）</w:t>
      </w:r>
      <w:r>
        <w:rPr>
          <w:rFonts w:hint="eastAsia" w:ascii="宋体" w:hAnsi="宋体" w:eastAsia="宋体" w:cs="宋体"/>
          <w:b/>
          <w:bCs/>
          <w:color w:val="auto"/>
          <w:sz w:val="24"/>
          <w:szCs w:val="24"/>
          <w:highlight w:val="none"/>
        </w:rPr>
        <w:t>设计部分：</w:t>
      </w:r>
      <w:r>
        <w:rPr>
          <w:rFonts w:hint="eastAsia" w:ascii="宋体" w:hAnsi="宋体" w:eastAsia="宋体" w:cs="宋体"/>
          <w:color w:val="auto"/>
          <w:sz w:val="24"/>
          <w:szCs w:val="24"/>
          <w:highlight w:val="none"/>
        </w:rPr>
        <w:t>确保项目顺利实施的报建、报批、施工等所需的所有建安工程等的设计文件（具体详见设计任务书、初步设计文件），包括但不限于：</w:t>
      </w:r>
    </w:p>
    <w:p w14:paraId="36BD0DD0">
      <w:pPr>
        <w:pStyle w:val="8"/>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48" w:leftChars="20" w:right="48" w:rightChars="20"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①</w:t>
      </w:r>
      <w:r>
        <w:rPr>
          <w:rFonts w:hint="eastAsia" w:ascii="宋体" w:hAnsi="宋体" w:eastAsia="宋体" w:cs="宋体"/>
          <w:color w:val="auto"/>
          <w:sz w:val="24"/>
          <w:szCs w:val="24"/>
          <w:highlight w:val="none"/>
          <w:lang w:eastAsia="zh-CN"/>
        </w:rPr>
        <w:t>施工图设计</w:t>
      </w:r>
      <w:r>
        <w:rPr>
          <w:rFonts w:hint="eastAsia" w:hAnsi="宋体" w:eastAsia="宋体" w:cs="宋体"/>
          <w:color w:val="auto"/>
          <w:sz w:val="24"/>
          <w:szCs w:val="24"/>
          <w:highlight w:val="none"/>
          <w:lang w:eastAsia="zh-CN"/>
        </w:rPr>
        <w:t>，含</w:t>
      </w:r>
      <w:r>
        <w:rPr>
          <w:rFonts w:hint="eastAsia" w:ascii="宋体" w:hAnsi="宋体" w:eastAsia="宋体" w:cs="宋体"/>
          <w:color w:val="auto"/>
          <w:sz w:val="24"/>
          <w:szCs w:val="24"/>
          <w:highlight w:val="none"/>
          <w:lang w:eastAsia="zh-CN"/>
        </w:rPr>
        <w:t>总平面及设计说明书、主要设备及材料</w:t>
      </w:r>
      <w:r>
        <w:rPr>
          <w:rFonts w:hint="eastAsia" w:hAnsi="宋体" w:eastAsia="宋体" w:cs="宋体"/>
          <w:color w:val="auto"/>
          <w:sz w:val="24"/>
          <w:szCs w:val="24"/>
          <w:highlight w:val="none"/>
          <w:lang w:eastAsia="zh-CN"/>
        </w:rPr>
        <w:t>，以及</w:t>
      </w:r>
      <w:r>
        <w:rPr>
          <w:rFonts w:hint="eastAsia" w:ascii="宋体" w:hAnsi="宋体" w:eastAsia="宋体" w:cs="宋体"/>
          <w:color w:val="auto"/>
          <w:sz w:val="24"/>
          <w:szCs w:val="24"/>
          <w:highlight w:val="none"/>
          <w:lang w:eastAsia="zh-CN"/>
        </w:rPr>
        <w:t>建筑、结构、建筑装饰装修、给排水、电气、照明、消防、节能、安防及智能系统等所有专项设计</w:t>
      </w:r>
      <w:r>
        <w:rPr>
          <w:rFonts w:hint="eastAsia" w:hAnsi="宋体" w:eastAsia="宋体" w:cs="宋体"/>
          <w:color w:val="auto"/>
          <w:sz w:val="24"/>
          <w:szCs w:val="24"/>
          <w:highlight w:val="none"/>
          <w:lang w:eastAsia="zh-CN"/>
        </w:rPr>
        <w:t>，以及</w:t>
      </w:r>
      <w:r>
        <w:rPr>
          <w:rFonts w:hint="eastAsia" w:ascii="宋体" w:hAnsi="宋体" w:eastAsia="宋体" w:cs="宋体"/>
          <w:color w:val="auto"/>
          <w:sz w:val="24"/>
          <w:szCs w:val="24"/>
          <w:highlight w:val="none"/>
          <w:lang w:eastAsia="zh-CN"/>
        </w:rPr>
        <w:t>红线范围内的所有工程及相关附属工程、设施等本项目涉及的所有建安工程的设计</w:t>
      </w:r>
      <w:r>
        <w:rPr>
          <w:rFonts w:hint="eastAsia" w:ascii="宋体" w:hAnsi="宋体" w:eastAsia="宋体" w:cs="宋体"/>
          <w:color w:val="auto"/>
          <w:sz w:val="24"/>
          <w:szCs w:val="24"/>
          <w:highlight w:val="none"/>
        </w:rPr>
        <w:t>；</w:t>
      </w:r>
    </w:p>
    <w:p w14:paraId="71818BD5">
      <w:pPr>
        <w:pStyle w:val="8"/>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48" w:leftChars="20" w:right="48" w:rightChars="20" w:firstLine="456" w:firstLineChars="200"/>
        <w:textAlignment w:val="auto"/>
        <w:rPr>
          <w:rFonts w:hint="eastAsia" w:ascii="宋体" w:hAnsi="宋体" w:eastAsia="宋体" w:cs="宋体"/>
          <w:color w:val="auto"/>
          <w:spacing w:val="-6"/>
          <w:sz w:val="24"/>
          <w:szCs w:val="24"/>
          <w:highlight w:val="none"/>
        </w:rPr>
      </w:pPr>
      <w:r>
        <w:rPr>
          <w:rFonts w:hint="eastAsia" w:ascii="宋体" w:hAnsi="宋体" w:eastAsia="宋体" w:cs="宋体"/>
          <w:color w:val="auto"/>
          <w:spacing w:val="-6"/>
          <w:sz w:val="24"/>
          <w:szCs w:val="24"/>
          <w:highlight w:val="none"/>
        </w:rPr>
        <w:t>注：</w:t>
      </w:r>
      <w:r>
        <w:rPr>
          <w:rFonts w:hint="eastAsia" w:ascii="宋体" w:hAnsi="宋体" w:eastAsia="宋体" w:cs="宋体"/>
          <w:color w:val="auto"/>
          <w:spacing w:val="-6"/>
          <w:sz w:val="24"/>
          <w:szCs w:val="24"/>
          <w:highlight w:val="none"/>
          <w:lang w:eastAsia="zh-CN"/>
        </w:rPr>
        <w:t>设计文件深度要求必须满足住建部《建筑工程设计文件编制深度规定（2016版）》和</w:t>
      </w:r>
      <w:r>
        <w:rPr>
          <w:rFonts w:hint="eastAsia" w:hAnsi="宋体" w:eastAsia="宋体" w:cs="宋体"/>
          <w:color w:val="auto"/>
          <w:sz w:val="24"/>
          <w:szCs w:val="24"/>
          <w:highlight w:val="none"/>
          <w:lang w:eastAsia="zh-CN"/>
        </w:rPr>
        <w:t>《市政公用工程设计文件编制深度规定（2025年版）》</w:t>
      </w:r>
      <w:r>
        <w:rPr>
          <w:rFonts w:hint="eastAsia" w:ascii="宋体" w:hAnsi="宋体" w:eastAsia="宋体" w:cs="宋体"/>
          <w:color w:val="auto"/>
          <w:spacing w:val="-6"/>
          <w:sz w:val="24"/>
          <w:szCs w:val="24"/>
          <w:highlight w:val="none"/>
          <w:lang w:eastAsia="zh-CN"/>
        </w:rPr>
        <w:t>的要求，各专业还应该满足各专业工程设计文件编制深度规范或规定的要求</w:t>
      </w:r>
      <w:r>
        <w:rPr>
          <w:rFonts w:hint="eastAsia" w:ascii="宋体" w:hAnsi="宋体" w:eastAsia="宋体" w:cs="宋体"/>
          <w:color w:val="auto"/>
          <w:spacing w:val="-6"/>
          <w:sz w:val="24"/>
          <w:szCs w:val="24"/>
          <w:highlight w:val="none"/>
        </w:rPr>
        <w:t>。</w:t>
      </w:r>
    </w:p>
    <w:p w14:paraId="7AF970FF">
      <w:pPr>
        <w:pStyle w:val="8"/>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48" w:leftChars="20" w:right="48" w:rightChars="20"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②施工图预算（含工程量清单）；</w:t>
      </w:r>
    </w:p>
    <w:p w14:paraId="46DBD7F9">
      <w:pPr>
        <w:pStyle w:val="8"/>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48" w:leftChars="20" w:right="48" w:rightChars="20"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③提供项目所需相关检测项的明细表和危险性较大的分部分项工程清单；</w:t>
      </w:r>
    </w:p>
    <w:p w14:paraId="31DB26EB">
      <w:pPr>
        <w:pStyle w:val="8"/>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48" w:leftChars="20" w:right="48" w:rightChars="20" w:firstLine="480" w:firstLineChars="200"/>
        <w:textAlignment w:val="auto"/>
        <w:rPr>
          <w:rFonts w:hint="default"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rPr>
        <w:t>④</w:t>
      </w:r>
      <w:r>
        <w:rPr>
          <w:rFonts w:hint="eastAsia" w:hAnsi="宋体" w:eastAsia="宋体" w:cs="宋体"/>
          <w:color w:val="auto"/>
          <w:sz w:val="24"/>
          <w:szCs w:val="24"/>
          <w:highlight w:val="none"/>
          <w:lang w:val="en-US" w:eastAsia="zh-CN"/>
        </w:rPr>
        <w:t>施工图设计技术审查；</w:t>
      </w:r>
    </w:p>
    <w:p w14:paraId="409516AA">
      <w:pPr>
        <w:pStyle w:val="8"/>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48" w:leftChars="20" w:right="48" w:rightChars="20" w:firstLine="480" w:firstLineChars="200"/>
        <w:textAlignment w:val="auto"/>
        <w:rPr>
          <w:rFonts w:hint="eastAsia" w:ascii="宋体" w:hAnsi="宋体" w:eastAsia="宋体" w:cs="宋体"/>
          <w:color w:val="auto"/>
          <w:sz w:val="24"/>
          <w:szCs w:val="24"/>
          <w:highlight w:val="none"/>
        </w:rPr>
      </w:pPr>
      <w:r>
        <w:rPr>
          <w:rFonts w:hint="eastAsia" w:hAnsi="宋体" w:eastAsia="宋体" w:cs="宋体"/>
          <w:color w:val="auto"/>
          <w:sz w:val="24"/>
          <w:szCs w:val="24"/>
          <w:highlight w:val="none"/>
          <w:lang w:val="en-US" w:eastAsia="zh-CN"/>
        </w:rPr>
        <w:t>⑤</w:t>
      </w:r>
      <w:r>
        <w:rPr>
          <w:rFonts w:hint="eastAsia" w:ascii="宋体" w:hAnsi="宋体" w:eastAsia="宋体" w:cs="宋体"/>
          <w:color w:val="auto"/>
          <w:sz w:val="24"/>
          <w:szCs w:val="24"/>
          <w:highlight w:val="none"/>
        </w:rPr>
        <w:t>后续设计服务工作</w:t>
      </w:r>
      <w:r>
        <w:rPr>
          <w:rFonts w:hint="eastAsia" w:hAnsi="宋体" w:eastAsia="宋体" w:cs="宋体"/>
          <w:color w:val="auto"/>
          <w:sz w:val="24"/>
          <w:szCs w:val="24"/>
          <w:highlight w:val="none"/>
          <w:lang w:eastAsia="zh-CN"/>
        </w:rPr>
        <w:t>，</w:t>
      </w:r>
      <w:r>
        <w:rPr>
          <w:rFonts w:hint="eastAsia" w:ascii="宋体" w:hAnsi="宋体" w:eastAsia="宋体" w:cs="宋体"/>
          <w:color w:val="auto"/>
          <w:kern w:val="0"/>
          <w:sz w:val="24"/>
          <w:szCs w:val="24"/>
          <w:highlight w:val="none"/>
          <w:lang w:val="zh-CN" w:eastAsia="zh-CN" w:bidi="ar-SA"/>
        </w:rPr>
        <w:t>施工过程中的方案优化及设计变更等</w:t>
      </w:r>
      <w:r>
        <w:rPr>
          <w:rFonts w:hint="eastAsia" w:ascii="宋体" w:hAnsi="宋体" w:eastAsia="宋体" w:cs="宋体"/>
          <w:color w:val="auto"/>
          <w:sz w:val="24"/>
          <w:szCs w:val="24"/>
          <w:highlight w:val="none"/>
        </w:rPr>
        <w:t>。</w:t>
      </w:r>
    </w:p>
    <w:p w14:paraId="67F1220F">
      <w:pPr>
        <w:pStyle w:val="37"/>
        <w:pageBreakBefore w:val="0"/>
        <w:kinsoku/>
        <w:overflowPunct/>
        <w:topLinePunct w:val="0"/>
        <w:bidi w:val="0"/>
        <w:spacing w:line="440" w:lineRule="exact"/>
        <w:ind w:firstLine="482" w:firstLineChars="200"/>
        <w:textAlignment w:val="auto"/>
        <w:rPr>
          <w:rFonts w:hint="eastAsia" w:ascii="宋体" w:hAnsi="宋体" w:eastAsia="宋体" w:cs="宋体"/>
          <w:snapToGrid w:val="0"/>
          <w:color w:val="auto"/>
          <w:sz w:val="24"/>
          <w:szCs w:val="24"/>
          <w:highlight w:val="none"/>
        </w:rPr>
      </w:pPr>
      <w:r>
        <w:rPr>
          <w:rFonts w:hint="eastAsia" w:ascii="宋体" w:hAnsi="宋体" w:eastAsia="宋体" w:cs="宋体"/>
          <w:b/>
          <w:bCs/>
          <w:color w:val="auto"/>
          <w:sz w:val="24"/>
          <w:szCs w:val="24"/>
          <w:highlight w:val="none"/>
        </w:rPr>
        <w:t>（2）施工部分：</w:t>
      </w:r>
      <w:r>
        <w:rPr>
          <w:rFonts w:hint="eastAsia" w:ascii="宋体" w:hAnsi="宋体" w:eastAsia="宋体" w:cs="宋体"/>
          <w:color w:val="auto"/>
          <w:sz w:val="24"/>
          <w:szCs w:val="24"/>
          <w:highlight w:val="none"/>
        </w:rPr>
        <w:t>设计文件及工程量清单范围内的所有工程及配套工程、设施等的施工</w:t>
      </w:r>
      <w:r>
        <w:rPr>
          <w:rFonts w:hint="eastAsia" w:ascii="宋体" w:hAnsi="宋体" w:eastAsia="宋体" w:cs="宋体"/>
          <w:color w:val="auto"/>
          <w:kern w:val="0"/>
          <w:sz w:val="24"/>
          <w:szCs w:val="24"/>
          <w:highlight w:val="none"/>
          <w:lang w:val="zh-CN" w:eastAsia="zh-CN" w:bidi="ar-SA"/>
        </w:rPr>
        <w:t>（包工、包料、包质量、</w:t>
      </w:r>
      <w:r>
        <w:rPr>
          <w:rFonts w:hint="eastAsia" w:hAnsi="宋体" w:cs="宋体"/>
          <w:color w:val="auto"/>
          <w:kern w:val="0"/>
          <w:sz w:val="24"/>
          <w:szCs w:val="24"/>
          <w:highlight w:val="none"/>
          <w:lang w:val="zh-CN" w:eastAsia="zh-CN" w:bidi="ar-SA"/>
        </w:rPr>
        <w:t>包检测、</w:t>
      </w:r>
      <w:r>
        <w:rPr>
          <w:rFonts w:hint="eastAsia" w:ascii="宋体" w:hAnsi="宋体" w:eastAsia="宋体" w:cs="宋体"/>
          <w:color w:val="auto"/>
          <w:kern w:val="0"/>
          <w:sz w:val="24"/>
          <w:szCs w:val="24"/>
          <w:highlight w:val="none"/>
          <w:lang w:val="zh-CN" w:eastAsia="zh-CN" w:bidi="ar-SA"/>
        </w:rPr>
        <w:t>包安全生产、包文明施工、包工期、包承包范围内工程验收通过、包移交、包结算、包资料整理、包施工承包管理和现场整体组织、包专业协调及配合等）、设备购置及安装、竣工图及结算编制</w:t>
      </w:r>
      <w:r>
        <w:rPr>
          <w:rFonts w:hint="eastAsia" w:hAnsi="宋体" w:eastAsia="宋体" w:cs="宋体"/>
          <w:color w:val="auto"/>
          <w:kern w:val="0"/>
          <w:sz w:val="24"/>
          <w:szCs w:val="24"/>
          <w:highlight w:val="none"/>
          <w:lang w:val="zh-CN" w:eastAsia="zh-CN" w:bidi="ar-SA"/>
        </w:rPr>
        <w:t>等</w:t>
      </w:r>
      <w:r>
        <w:rPr>
          <w:rFonts w:hint="eastAsia" w:ascii="宋体" w:hAnsi="宋体" w:eastAsia="宋体" w:cs="宋体"/>
          <w:snapToGrid w:val="0"/>
          <w:color w:val="auto"/>
          <w:sz w:val="24"/>
          <w:szCs w:val="24"/>
          <w:highlight w:val="none"/>
        </w:rPr>
        <w:t>。</w:t>
      </w:r>
      <w:bookmarkEnd w:id="42"/>
      <w:bookmarkEnd w:id="43"/>
      <w:bookmarkEnd w:id="44"/>
    </w:p>
    <w:p w14:paraId="02C4C990">
      <w:pPr>
        <w:pStyle w:val="39"/>
        <w:keepNext/>
        <w:keepLines/>
        <w:pageBreakBefore w:val="0"/>
        <w:kinsoku/>
        <w:overflowPunct/>
        <w:topLinePunct w:val="0"/>
        <w:bidi w:val="0"/>
        <w:spacing w:line="440" w:lineRule="exact"/>
        <w:ind w:firstLine="480"/>
        <w:jc w:val="both"/>
        <w:textAlignment w:val="auto"/>
        <w:rPr>
          <w:rFonts w:hint="eastAsia" w:ascii="宋体" w:hAnsi="宋体" w:eastAsia="宋体" w:cs="宋体"/>
          <w:b/>
          <w:color w:val="auto"/>
          <w:kern w:val="2"/>
          <w:sz w:val="24"/>
          <w:szCs w:val="24"/>
          <w:highlight w:val="none"/>
        </w:rPr>
      </w:pPr>
      <w:bookmarkStart w:id="53" w:name="_Toc23542"/>
      <w:r>
        <w:rPr>
          <w:rFonts w:hint="eastAsia" w:hAnsi="宋体" w:cs="宋体"/>
          <w:b/>
          <w:color w:val="auto"/>
          <w:kern w:val="2"/>
          <w:sz w:val="24"/>
          <w:szCs w:val="24"/>
          <w:highlight w:val="none"/>
          <w:lang w:eastAsia="zh-CN"/>
        </w:rPr>
        <w:t>3.</w:t>
      </w:r>
      <w:r>
        <w:rPr>
          <w:rFonts w:hint="eastAsia" w:ascii="宋体" w:hAnsi="宋体" w:eastAsia="宋体" w:cs="宋体"/>
          <w:b/>
          <w:color w:val="auto"/>
          <w:kern w:val="2"/>
          <w:sz w:val="24"/>
          <w:szCs w:val="24"/>
          <w:highlight w:val="none"/>
        </w:rPr>
        <w:t>工期</w:t>
      </w:r>
      <w:bookmarkEnd w:id="45"/>
      <w:bookmarkEnd w:id="46"/>
      <w:bookmarkEnd w:id="47"/>
      <w:bookmarkEnd w:id="48"/>
      <w:bookmarkEnd w:id="49"/>
      <w:bookmarkEnd w:id="50"/>
      <w:bookmarkEnd w:id="51"/>
      <w:bookmarkEnd w:id="52"/>
      <w:bookmarkEnd w:id="53"/>
    </w:p>
    <w:p w14:paraId="4C0BD0AE">
      <w:pPr>
        <w:pStyle w:val="37"/>
        <w:pageBreakBefore w:val="0"/>
        <w:kinsoku/>
        <w:overflowPunct/>
        <w:topLinePunct w:val="0"/>
        <w:bidi w:val="0"/>
        <w:spacing w:line="440" w:lineRule="exact"/>
        <w:ind w:firstLine="482" w:firstLineChars="200"/>
        <w:textAlignment w:val="auto"/>
        <w:rPr>
          <w:rFonts w:hint="eastAsia" w:ascii="宋体" w:hAnsi="宋体" w:eastAsia="宋体" w:cs="宋体"/>
          <w:color w:val="auto"/>
          <w:sz w:val="24"/>
          <w:szCs w:val="24"/>
          <w:highlight w:val="none"/>
          <w:lang w:eastAsia="zh-CN"/>
        </w:rPr>
      </w:pPr>
      <w:r>
        <w:rPr>
          <w:rFonts w:hint="eastAsia" w:ascii="宋体" w:hAnsi="宋体" w:eastAsia="宋体" w:cs="宋体"/>
          <w:b/>
          <w:bCs/>
          <w:color w:val="auto"/>
          <w:sz w:val="24"/>
          <w:szCs w:val="24"/>
          <w:highlight w:val="none"/>
        </w:rPr>
        <w:t>3.1</w:t>
      </w:r>
      <w:r>
        <w:rPr>
          <w:rFonts w:hint="eastAsia" w:ascii="宋体" w:hAnsi="宋体" w:eastAsia="宋体" w:cs="宋体"/>
          <w:color w:val="auto"/>
          <w:sz w:val="24"/>
          <w:szCs w:val="24"/>
          <w:highlight w:val="none"/>
        </w:rPr>
        <w:t xml:space="preserve"> 本工程工期为：</w:t>
      </w:r>
      <w:r>
        <w:rPr>
          <w:rFonts w:hint="eastAsia" w:ascii="宋体" w:hAnsi="宋体" w:eastAsia="宋体" w:cs="宋体"/>
          <w:color w:val="auto"/>
          <w:kern w:val="0"/>
          <w:sz w:val="24"/>
          <w:szCs w:val="24"/>
          <w:highlight w:val="none"/>
          <w:lang w:eastAsia="zh-CN"/>
        </w:rPr>
        <w:t>设计、施工总工期</w:t>
      </w:r>
      <w:r>
        <w:rPr>
          <w:rFonts w:hint="eastAsia" w:hAnsi="宋体" w:cs="宋体"/>
          <w:color w:val="auto"/>
          <w:kern w:val="0"/>
          <w:sz w:val="24"/>
          <w:szCs w:val="24"/>
          <w:highlight w:val="none"/>
          <w:lang w:val="en-US" w:eastAsia="zh-CN"/>
        </w:rPr>
        <w:t>270</w:t>
      </w:r>
      <w:r>
        <w:rPr>
          <w:rFonts w:hint="eastAsia" w:ascii="宋体" w:hAnsi="宋体" w:eastAsia="宋体" w:cs="宋体"/>
          <w:color w:val="auto"/>
          <w:kern w:val="0"/>
          <w:sz w:val="24"/>
          <w:szCs w:val="24"/>
          <w:highlight w:val="none"/>
          <w:lang w:eastAsia="zh-CN"/>
        </w:rPr>
        <w:t>日历天，其中：设计工期为</w:t>
      </w:r>
      <w:r>
        <w:rPr>
          <w:rFonts w:hint="eastAsia" w:hAnsi="宋体" w:cs="宋体"/>
          <w:color w:val="auto"/>
          <w:kern w:val="0"/>
          <w:sz w:val="24"/>
          <w:szCs w:val="24"/>
          <w:highlight w:val="none"/>
          <w:lang w:val="en-US" w:eastAsia="zh-CN"/>
        </w:rPr>
        <w:t>40</w:t>
      </w:r>
      <w:r>
        <w:rPr>
          <w:rFonts w:hint="eastAsia" w:ascii="宋体" w:hAnsi="宋体" w:eastAsia="宋体" w:cs="宋体"/>
          <w:color w:val="auto"/>
          <w:kern w:val="0"/>
          <w:sz w:val="24"/>
          <w:szCs w:val="24"/>
          <w:highlight w:val="none"/>
          <w:lang w:eastAsia="zh-CN"/>
        </w:rPr>
        <w:t>日历天；施工工期为</w:t>
      </w:r>
      <w:r>
        <w:rPr>
          <w:rFonts w:hint="eastAsia" w:hAnsi="宋体" w:cs="宋体"/>
          <w:color w:val="auto"/>
          <w:kern w:val="0"/>
          <w:sz w:val="24"/>
          <w:szCs w:val="24"/>
          <w:highlight w:val="none"/>
          <w:lang w:val="en-US" w:eastAsia="zh-CN"/>
        </w:rPr>
        <w:t>230</w:t>
      </w:r>
      <w:r>
        <w:rPr>
          <w:rFonts w:hint="eastAsia" w:ascii="宋体" w:hAnsi="宋体" w:eastAsia="宋体" w:cs="宋体"/>
          <w:color w:val="auto"/>
          <w:kern w:val="0"/>
          <w:sz w:val="24"/>
          <w:szCs w:val="24"/>
          <w:highlight w:val="none"/>
          <w:lang w:eastAsia="zh-CN"/>
        </w:rPr>
        <w:t>日历天。中标人必须在所要求的工期内完成全部招标工程。</w:t>
      </w:r>
    </w:p>
    <w:p w14:paraId="6833EC83">
      <w:pPr>
        <w:pStyle w:val="37"/>
        <w:pageBreakBefore w:val="0"/>
        <w:kinsoku/>
        <w:overflowPunct/>
        <w:topLinePunct w:val="0"/>
        <w:bidi w:val="0"/>
        <w:spacing w:line="440" w:lineRule="exact"/>
        <w:ind w:firstLine="482" w:firstLineChars="200"/>
        <w:textAlignment w:val="auto"/>
        <w:rPr>
          <w:rFonts w:hint="eastAsia" w:ascii="宋体" w:hAnsi="宋体" w:eastAsia="宋体" w:cs="宋体"/>
          <w:color w:val="auto"/>
          <w:sz w:val="24"/>
          <w:szCs w:val="24"/>
          <w:highlight w:val="none"/>
        </w:rPr>
      </w:pPr>
      <w:r>
        <w:rPr>
          <w:rFonts w:hint="eastAsia" w:ascii="宋体" w:hAnsi="宋体" w:eastAsia="宋体" w:cs="宋体"/>
          <w:b/>
          <w:bCs/>
          <w:color w:val="auto"/>
          <w:sz w:val="24"/>
          <w:szCs w:val="24"/>
          <w:highlight w:val="none"/>
        </w:rPr>
        <w:t>3.2</w:t>
      </w:r>
      <w:r>
        <w:rPr>
          <w:rFonts w:hint="eastAsia" w:hAnsi="宋体" w:cs="宋体"/>
          <w:b/>
          <w:bCs/>
          <w:color w:val="auto"/>
          <w:sz w:val="24"/>
          <w:szCs w:val="24"/>
          <w:highlight w:val="none"/>
          <w:lang w:eastAsia="zh-CN"/>
        </w:rPr>
        <w:t xml:space="preserve"> 因</w:t>
      </w:r>
      <w:r>
        <w:rPr>
          <w:rFonts w:hint="eastAsia" w:ascii="宋体" w:hAnsi="宋体" w:eastAsia="宋体" w:cs="宋体"/>
          <w:color w:val="auto"/>
          <w:sz w:val="24"/>
          <w:szCs w:val="24"/>
          <w:highlight w:val="none"/>
        </w:rPr>
        <w:t>中标人原因，没有按期完成设计任务</w:t>
      </w:r>
      <w:r>
        <w:rPr>
          <w:rFonts w:hint="eastAsia" w:hAnsi="宋体" w:cs="宋体"/>
          <w:color w:val="auto"/>
          <w:sz w:val="24"/>
          <w:szCs w:val="24"/>
          <w:highlight w:val="none"/>
          <w:lang w:eastAsia="zh-CN"/>
        </w:rPr>
        <w:t>，导致工程</w:t>
      </w:r>
      <w:r>
        <w:rPr>
          <w:rFonts w:hint="eastAsia" w:ascii="宋体" w:hAnsi="宋体" w:eastAsia="宋体" w:cs="宋体"/>
          <w:color w:val="auto"/>
          <w:sz w:val="24"/>
          <w:szCs w:val="24"/>
          <w:highlight w:val="none"/>
        </w:rPr>
        <w:t>没有按期竣工时，中标人须</w:t>
      </w:r>
      <w:r>
        <w:rPr>
          <w:rFonts w:hint="eastAsia" w:hAnsi="宋体" w:cs="宋体"/>
          <w:color w:val="auto"/>
          <w:sz w:val="24"/>
          <w:szCs w:val="24"/>
          <w:highlight w:val="none"/>
          <w:lang w:eastAsia="zh-CN"/>
        </w:rPr>
        <w:t>从</w:t>
      </w:r>
      <w:r>
        <w:rPr>
          <w:rFonts w:hint="eastAsia" w:ascii="宋体" w:hAnsi="宋体" w:eastAsia="宋体" w:cs="宋体"/>
          <w:color w:val="auto"/>
          <w:sz w:val="24"/>
          <w:szCs w:val="24"/>
          <w:highlight w:val="none"/>
        </w:rPr>
        <w:t>逾期第壹天起每天分别按设计、施工合同价款的1.5‰向招标人缴纳逾期违约金</w:t>
      </w:r>
      <w:r>
        <w:rPr>
          <w:rFonts w:hint="eastAsia" w:hAnsi="宋体" w:cs="宋体"/>
          <w:color w:val="auto"/>
          <w:sz w:val="24"/>
          <w:szCs w:val="24"/>
          <w:highlight w:val="none"/>
          <w:lang w:eastAsia="zh-CN"/>
        </w:rPr>
        <w:t>，</w:t>
      </w:r>
      <w:r>
        <w:rPr>
          <w:rFonts w:hint="eastAsia" w:ascii="宋体" w:hAnsi="宋体" w:eastAsia="宋体" w:cs="宋体"/>
          <w:color w:val="auto"/>
          <w:sz w:val="24"/>
          <w:szCs w:val="24"/>
          <w:highlight w:val="none"/>
        </w:rPr>
        <w:t>累计最高不超过设计、施工合同价款的10%向招标人缴纳逾期违约金。</w:t>
      </w:r>
    </w:p>
    <w:p w14:paraId="674802B1">
      <w:pPr>
        <w:pStyle w:val="37"/>
        <w:pageBreakBefore w:val="0"/>
        <w:kinsoku/>
        <w:overflowPunct/>
        <w:topLinePunct w:val="0"/>
        <w:bidi w:val="0"/>
        <w:spacing w:line="440" w:lineRule="exact"/>
        <w:ind w:firstLine="482" w:firstLineChars="200"/>
        <w:textAlignment w:val="auto"/>
        <w:rPr>
          <w:rFonts w:hint="eastAsia" w:ascii="宋体" w:hAnsi="宋体" w:eastAsia="宋体" w:cs="宋体"/>
          <w:color w:val="auto"/>
          <w:sz w:val="24"/>
          <w:szCs w:val="24"/>
          <w:highlight w:val="none"/>
          <w:lang w:val="zh-CN"/>
        </w:rPr>
      </w:pPr>
      <w:r>
        <w:rPr>
          <w:rFonts w:hint="eastAsia" w:ascii="宋体" w:hAnsi="宋体" w:eastAsia="宋体" w:cs="宋体"/>
          <w:b/>
          <w:color w:val="auto"/>
          <w:kern w:val="44"/>
          <w:sz w:val="24"/>
          <w:szCs w:val="24"/>
          <w:highlight w:val="none"/>
        </w:rPr>
        <w:t>3.3</w:t>
      </w:r>
      <w:r>
        <w:rPr>
          <w:rFonts w:hint="eastAsia" w:ascii="宋体" w:hAnsi="宋体" w:eastAsia="宋体" w:cs="宋体"/>
          <w:color w:val="auto"/>
          <w:sz w:val="24"/>
          <w:szCs w:val="24"/>
          <w:highlight w:val="none"/>
        </w:rPr>
        <w:t>设计工期自中标通知书发出之日起计算，至提交符合招标人及审图机构要求的施工图设计文件以及符合要求的施工图预算之日止（每一步设计工作，必须</w:t>
      </w:r>
      <w:r>
        <w:rPr>
          <w:rFonts w:hint="eastAsia" w:hAnsi="宋体" w:cs="宋体"/>
          <w:color w:val="auto"/>
          <w:sz w:val="24"/>
          <w:szCs w:val="24"/>
          <w:highlight w:val="none"/>
          <w:lang w:eastAsia="zh-CN"/>
        </w:rPr>
        <w:t>经</w:t>
      </w:r>
      <w:r>
        <w:rPr>
          <w:rFonts w:hint="eastAsia" w:ascii="宋体" w:hAnsi="宋体" w:eastAsia="宋体" w:cs="宋体"/>
          <w:color w:val="auto"/>
          <w:sz w:val="24"/>
          <w:szCs w:val="24"/>
          <w:highlight w:val="none"/>
        </w:rPr>
        <w:t>招标人及有关部门审核批准后方可实施）</w:t>
      </w:r>
      <w:r>
        <w:rPr>
          <w:rFonts w:hint="eastAsia" w:ascii="宋体" w:hAnsi="宋体" w:eastAsia="宋体" w:cs="宋体"/>
          <w:color w:val="auto"/>
          <w:sz w:val="24"/>
          <w:szCs w:val="24"/>
          <w:highlight w:val="none"/>
          <w:lang w:val="zh-CN"/>
        </w:rPr>
        <w:t>。</w:t>
      </w:r>
    </w:p>
    <w:p w14:paraId="0DC664AE">
      <w:pPr>
        <w:pStyle w:val="37"/>
        <w:pageBreakBefore w:val="0"/>
        <w:kinsoku/>
        <w:overflowPunct/>
        <w:topLinePunct w:val="0"/>
        <w:bidi w:val="0"/>
        <w:spacing w:line="440" w:lineRule="exact"/>
        <w:ind w:firstLine="482" w:firstLineChars="200"/>
        <w:textAlignment w:val="auto"/>
        <w:rPr>
          <w:rFonts w:hint="eastAsia" w:ascii="宋体" w:hAnsi="宋体" w:eastAsia="宋体" w:cs="宋体"/>
          <w:b/>
          <w:color w:val="auto"/>
          <w:sz w:val="24"/>
          <w:szCs w:val="24"/>
          <w:highlight w:val="none"/>
        </w:rPr>
      </w:pPr>
      <w:r>
        <w:rPr>
          <w:rFonts w:hint="eastAsia" w:ascii="宋体" w:hAnsi="宋体" w:eastAsia="宋体" w:cs="宋体"/>
          <w:b/>
          <w:bCs/>
          <w:color w:val="auto"/>
          <w:sz w:val="24"/>
          <w:szCs w:val="24"/>
          <w:highlight w:val="none"/>
        </w:rPr>
        <w:t>3</w:t>
      </w:r>
      <w:r>
        <w:rPr>
          <w:rFonts w:hint="eastAsia" w:ascii="宋体" w:hAnsi="宋体" w:eastAsia="宋体" w:cs="宋体"/>
          <w:b/>
          <w:bCs/>
          <w:color w:val="auto"/>
          <w:sz w:val="24"/>
          <w:szCs w:val="24"/>
          <w:highlight w:val="none"/>
          <w:lang w:val="zh-CN"/>
        </w:rPr>
        <w:t>.</w:t>
      </w:r>
      <w:r>
        <w:rPr>
          <w:rFonts w:hint="eastAsia" w:ascii="宋体" w:hAnsi="宋体" w:eastAsia="宋体" w:cs="宋体"/>
          <w:b/>
          <w:bCs/>
          <w:color w:val="auto"/>
          <w:sz w:val="24"/>
          <w:szCs w:val="24"/>
          <w:highlight w:val="none"/>
        </w:rPr>
        <w:t>4</w:t>
      </w:r>
      <w:r>
        <w:rPr>
          <w:rFonts w:hint="eastAsia" w:ascii="宋体" w:hAnsi="宋体" w:eastAsia="宋体" w:cs="宋体"/>
          <w:color w:val="auto"/>
          <w:sz w:val="24"/>
          <w:szCs w:val="24"/>
          <w:highlight w:val="none"/>
          <w:lang w:val="zh-CN"/>
        </w:rPr>
        <w:t xml:space="preserve"> 施工工期从开工令签发之日起计，至竣工验收之日止。</w:t>
      </w:r>
      <w:bookmarkStart w:id="54" w:name="_Toc11872"/>
    </w:p>
    <w:p w14:paraId="11A5A93A">
      <w:pPr>
        <w:pStyle w:val="39"/>
        <w:keepNext/>
        <w:keepLines/>
        <w:pageBreakBefore w:val="0"/>
        <w:kinsoku/>
        <w:overflowPunct/>
        <w:topLinePunct w:val="0"/>
        <w:bidi w:val="0"/>
        <w:spacing w:line="440" w:lineRule="exact"/>
        <w:ind w:firstLine="482" w:firstLineChars="200"/>
        <w:jc w:val="both"/>
        <w:textAlignment w:val="auto"/>
        <w:rPr>
          <w:rFonts w:hint="eastAsia" w:ascii="宋体" w:hAnsi="宋体" w:eastAsia="宋体" w:cs="宋体"/>
          <w:b/>
          <w:color w:val="auto"/>
          <w:kern w:val="2"/>
          <w:sz w:val="24"/>
          <w:szCs w:val="24"/>
          <w:highlight w:val="none"/>
        </w:rPr>
      </w:pPr>
      <w:bookmarkStart w:id="55" w:name="_Toc30034"/>
      <w:bookmarkStart w:id="56" w:name="_Toc4118"/>
      <w:bookmarkStart w:id="57" w:name="_Toc13379"/>
      <w:bookmarkStart w:id="58" w:name="_Toc1889"/>
      <w:bookmarkStart w:id="59" w:name="_Toc2499"/>
      <w:bookmarkStart w:id="60" w:name="_Toc3312"/>
      <w:bookmarkStart w:id="61" w:name="_Toc19644"/>
      <w:bookmarkStart w:id="62" w:name="_Toc24539"/>
      <w:r>
        <w:rPr>
          <w:rFonts w:hint="eastAsia" w:ascii="宋体" w:hAnsi="宋体" w:eastAsia="宋体" w:cs="宋体"/>
          <w:b/>
          <w:color w:val="auto"/>
          <w:kern w:val="2"/>
          <w:sz w:val="24"/>
          <w:szCs w:val="24"/>
          <w:highlight w:val="none"/>
        </w:rPr>
        <w:t>4</w:t>
      </w:r>
      <w:r>
        <w:rPr>
          <w:rFonts w:hint="eastAsia" w:hAnsi="宋体" w:cs="宋体"/>
          <w:b/>
          <w:color w:val="auto"/>
          <w:kern w:val="2"/>
          <w:sz w:val="24"/>
          <w:szCs w:val="24"/>
          <w:highlight w:val="none"/>
          <w:lang w:eastAsia="zh-CN"/>
        </w:rPr>
        <w:t xml:space="preserve">. </w:t>
      </w:r>
      <w:r>
        <w:rPr>
          <w:rFonts w:hint="eastAsia" w:ascii="宋体" w:hAnsi="宋体" w:eastAsia="宋体" w:cs="宋体"/>
          <w:b/>
          <w:color w:val="auto"/>
          <w:kern w:val="2"/>
          <w:sz w:val="24"/>
          <w:szCs w:val="24"/>
          <w:highlight w:val="none"/>
        </w:rPr>
        <w:t>投标人资质及条件要求</w:t>
      </w:r>
      <w:bookmarkEnd w:id="54"/>
      <w:bookmarkEnd w:id="55"/>
      <w:bookmarkEnd w:id="56"/>
      <w:bookmarkEnd w:id="57"/>
      <w:bookmarkEnd w:id="58"/>
      <w:bookmarkEnd w:id="59"/>
      <w:bookmarkEnd w:id="60"/>
      <w:bookmarkEnd w:id="61"/>
      <w:bookmarkEnd w:id="62"/>
      <w:bookmarkStart w:id="63" w:name="_Hlt74496495"/>
      <w:bookmarkEnd w:id="63"/>
    </w:p>
    <w:p w14:paraId="5862100A">
      <w:pPr>
        <w:pStyle w:val="40"/>
        <w:pageBreakBefore w:val="0"/>
        <w:kinsoku/>
        <w:wordWrap w:val="0"/>
        <w:overflowPunct/>
        <w:topLinePunct w:val="0"/>
        <w:bidi w:val="0"/>
        <w:adjustRightInd w:val="0"/>
        <w:snapToGrid w:val="0"/>
        <w:spacing w:line="440" w:lineRule="exact"/>
        <w:ind w:firstLine="482" w:firstLineChars="200"/>
        <w:jc w:val="left"/>
        <w:textAlignment w:val="auto"/>
        <w:rPr>
          <w:rFonts w:hint="eastAsia" w:ascii="宋体" w:hAnsi="宋体" w:eastAsia="宋体" w:cs="宋体"/>
          <w:color w:val="auto"/>
          <w:kern w:val="0"/>
          <w:sz w:val="24"/>
          <w:szCs w:val="24"/>
          <w:highlight w:val="none"/>
        </w:rPr>
      </w:pPr>
      <w:r>
        <w:rPr>
          <w:rFonts w:hint="eastAsia" w:ascii="宋体" w:hAnsi="宋体" w:eastAsia="宋体" w:cs="宋体"/>
          <w:b/>
          <w:bCs/>
          <w:color w:val="auto"/>
          <w:kern w:val="0"/>
          <w:sz w:val="24"/>
          <w:szCs w:val="24"/>
          <w:highlight w:val="none"/>
        </w:rPr>
        <w:t>4.1</w:t>
      </w:r>
      <w:r>
        <w:rPr>
          <w:rFonts w:hint="eastAsia" w:ascii="宋体" w:hAnsi="宋体" w:cs="宋体"/>
          <w:b/>
          <w:bCs/>
          <w:color w:val="auto"/>
          <w:kern w:val="0"/>
          <w:sz w:val="24"/>
          <w:szCs w:val="24"/>
          <w:highlight w:val="none"/>
          <w:lang w:eastAsia="zh-CN"/>
        </w:rPr>
        <w:t xml:space="preserve"> 本次</w:t>
      </w:r>
      <w:r>
        <w:rPr>
          <w:rFonts w:hint="eastAsia" w:ascii="宋体" w:hAnsi="宋体" w:eastAsia="宋体" w:cs="宋体"/>
          <w:color w:val="auto"/>
          <w:kern w:val="0"/>
          <w:sz w:val="24"/>
          <w:szCs w:val="24"/>
          <w:highlight w:val="none"/>
        </w:rPr>
        <w:t>招标接受联合体投标，联合体以一个投标人的身份共同投标。</w:t>
      </w:r>
    </w:p>
    <w:p w14:paraId="6AE5C990">
      <w:pPr>
        <w:pStyle w:val="40"/>
        <w:pageBreakBefore w:val="0"/>
        <w:kinsoku/>
        <w:wordWrap w:val="0"/>
        <w:overflowPunct/>
        <w:topLinePunct w:val="0"/>
        <w:bidi w:val="0"/>
        <w:adjustRightInd w:val="0"/>
        <w:snapToGrid w:val="0"/>
        <w:spacing w:line="440" w:lineRule="exact"/>
        <w:ind w:firstLine="482" w:firstLineChars="200"/>
        <w:jc w:val="left"/>
        <w:textAlignment w:val="auto"/>
        <w:rPr>
          <w:rFonts w:hint="eastAsia" w:ascii="宋体" w:hAnsi="宋体" w:eastAsia="宋体" w:cs="宋体"/>
          <w:color w:val="auto"/>
          <w:kern w:val="0"/>
          <w:sz w:val="24"/>
          <w:szCs w:val="24"/>
          <w:highlight w:val="none"/>
        </w:rPr>
      </w:pPr>
      <w:r>
        <w:rPr>
          <w:rFonts w:hint="eastAsia" w:ascii="宋体" w:hAnsi="宋体" w:eastAsia="宋体" w:cs="宋体"/>
          <w:b/>
          <w:bCs/>
          <w:color w:val="auto"/>
          <w:kern w:val="0"/>
          <w:sz w:val="24"/>
          <w:szCs w:val="24"/>
          <w:highlight w:val="none"/>
        </w:rPr>
        <w:t>4.1.1</w:t>
      </w:r>
      <w:r>
        <w:rPr>
          <w:rFonts w:hint="eastAsia" w:ascii="宋体" w:hAnsi="宋体" w:cs="宋体"/>
          <w:b/>
          <w:bCs/>
          <w:color w:val="auto"/>
          <w:kern w:val="0"/>
          <w:sz w:val="24"/>
          <w:szCs w:val="24"/>
          <w:highlight w:val="none"/>
          <w:lang w:eastAsia="zh-CN"/>
        </w:rPr>
        <w:t xml:space="preserve"> 联合体</w:t>
      </w:r>
      <w:r>
        <w:rPr>
          <w:rFonts w:hint="eastAsia" w:ascii="宋体" w:hAnsi="宋体" w:eastAsia="宋体" w:cs="宋体"/>
          <w:color w:val="auto"/>
          <w:kern w:val="0"/>
          <w:sz w:val="24"/>
          <w:szCs w:val="24"/>
          <w:highlight w:val="none"/>
        </w:rPr>
        <w:t>成员数量不超过</w:t>
      </w:r>
      <w:r>
        <w:rPr>
          <w:rFonts w:hint="eastAsia" w:ascii="宋体" w:hAnsi="宋体" w:cs="宋体"/>
          <w:color w:val="auto"/>
          <w:kern w:val="0"/>
          <w:sz w:val="24"/>
          <w:szCs w:val="24"/>
          <w:highlight w:val="none"/>
          <w:lang w:val="en-US" w:eastAsia="zh-CN"/>
        </w:rPr>
        <w:t>3</w:t>
      </w:r>
      <w:r>
        <w:rPr>
          <w:rFonts w:hint="eastAsia" w:ascii="宋体" w:hAnsi="宋体" w:eastAsia="宋体" w:cs="宋体"/>
          <w:color w:val="auto"/>
          <w:kern w:val="0"/>
          <w:sz w:val="24"/>
          <w:szCs w:val="24"/>
          <w:highlight w:val="none"/>
        </w:rPr>
        <w:t>个。</w:t>
      </w:r>
    </w:p>
    <w:p w14:paraId="6D192619">
      <w:pPr>
        <w:pStyle w:val="40"/>
        <w:pageBreakBefore w:val="0"/>
        <w:kinsoku/>
        <w:wordWrap w:val="0"/>
        <w:overflowPunct/>
        <w:topLinePunct w:val="0"/>
        <w:bidi w:val="0"/>
        <w:adjustRightInd w:val="0"/>
        <w:snapToGrid w:val="0"/>
        <w:spacing w:line="440" w:lineRule="exact"/>
        <w:ind w:firstLine="482" w:firstLineChars="200"/>
        <w:jc w:val="left"/>
        <w:textAlignment w:val="auto"/>
        <w:rPr>
          <w:rFonts w:hint="eastAsia" w:ascii="宋体" w:hAnsi="宋体" w:eastAsia="宋体" w:cs="宋体"/>
          <w:color w:val="auto"/>
          <w:kern w:val="0"/>
          <w:sz w:val="24"/>
          <w:szCs w:val="24"/>
          <w:highlight w:val="none"/>
        </w:rPr>
      </w:pPr>
      <w:r>
        <w:rPr>
          <w:rFonts w:hint="eastAsia" w:ascii="宋体" w:hAnsi="宋体" w:eastAsia="宋体" w:cs="宋体"/>
          <w:b/>
          <w:bCs/>
          <w:color w:val="auto"/>
          <w:kern w:val="0"/>
          <w:sz w:val="24"/>
          <w:szCs w:val="24"/>
          <w:highlight w:val="none"/>
        </w:rPr>
        <w:t>4.1.2</w:t>
      </w:r>
      <w:r>
        <w:rPr>
          <w:rFonts w:hint="eastAsia" w:ascii="宋体" w:hAnsi="宋体" w:cs="宋体"/>
          <w:b/>
          <w:bCs/>
          <w:color w:val="auto"/>
          <w:kern w:val="0"/>
          <w:sz w:val="24"/>
          <w:szCs w:val="24"/>
          <w:highlight w:val="none"/>
          <w:lang w:eastAsia="zh-CN"/>
        </w:rPr>
        <w:t xml:space="preserve"> 联合体</w:t>
      </w:r>
      <w:r>
        <w:rPr>
          <w:rFonts w:hint="eastAsia" w:ascii="宋体" w:hAnsi="宋体" w:eastAsia="宋体" w:cs="宋体"/>
          <w:color w:val="auto"/>
          <w:kern w:val="0"/>
          <w:sz w:val="24"/>
          <w:szCs w:val="24"/>
          <w:highlight w:val="none"/>
        </w:rPr>
        <w:t>各方应按招标文件提供的格式签订联合体协议书，明确联合体牵头人和各方权利义务，并承诺就中标项目向招标人承担连带责任。《联合体协议书》作为投标文件的组成部分向招标人提交。</w:t>
      </w:r>
    </w:p>
    <w:p w14:paraId="18B34DE7">
      <w:pPr>
        <w:pStyle w:val="40"/>
        <w:pageBreakBefore w:val="0"/>
        <w:kinsoku/>
        <w:wordWrap w:val="0"/>
        <w:overflowPunct/>
        <w:topLinePunct w:val="0"/>
        <w:bidi w:val="0"/>
        <w:adjustRightInd w:val="0"/>
        <w:snapToGrid w:val="0"/>
        <w:spacing w:line="440" w:lineRule="exact"/>
        <w:ind w:firstLine="482" w:firstLineChars="200"/>
        <w:jc w:val="left"/>
        <w:textAlignment w:val="auto"/>
        <w:rPr>
          <w:rFonts w:hint="eastAsia" w:ascii="宋体" w:hAnsi="宋体" w:eastAsia="宋体" w:cs="宋体"/>
          <w:color w:val="auto"/>
          <w:kern w:val="0"/>
          <w:sz w:val="24"/>
          <w:szCs w:val="24"/>
          <w:highlight w:val="none"/>
        </w:rPr>
      </w:pPr>
      <w:r>
        <w:rPr>
          <w:rFonts w:hint="eastAsia" w:ascii="宋体" w:hAnsi="宋体" w:eastAsia="宋体" w:cs="宋体"/>
          <w:b/>
          <w:bCs/>
          <w:color w:val="auto"/>
          <w:kern w:val="0"/>
          <w:sz w:val="24"/>
          <w:szCs w:val="24"/>
          <w:highlight w:val="none"/>
        </w:rPr>
        <w:t>4.1.3</w:t>
      </w:r>
      <w:r>
        <w:rPr>
          <w:rFonts w:hint="eastAsia" w:ascii="宋体" w:hAnsi="宋体" w:cs="宋体"/>
          <w:b/>
          <w:bCs/>
          <w:color w:val="auto"/>
          <w:kern w:val="0"/>
          <w:sz w:val="24"/>
          <w:szCs w:val="24"/>
          <w:highlight w:val="none"/>
          <w:lang w:eastAsia="zh-CN"/>
        </w:rPr>
        <w:t xml:space="preserve"> 联合体</w:t>
      </w:r>
      <w:r>
        <w:rPr>
          <w:rFonts w:hint="eastAsia" w:ascii="宋体" w:hAnsi="宋体" w:eastAsia="宋体" w:cs="宋体"/>
          <w:color w:val="auto"/>
          <w:kern w:val="0"/>
          <w:sz w:val="24"/>
          <w:szCs w:val="24"/>
          <w:highlight w:val="none"/>
        </w:rPr>
        <w:t>成员单位均应具备拟承担的工作内容（以《联合体协议书》的约定为准）所规定的资格条件。若同一工作内容由两个或两个以上单位共同承担，该项工作内容按照资质等级较低的单位确定联合体资质等级。</w:t>
      </w:r>
    </w:p>
    <w:p w14:paraId="2DAA5FB7">
      <w:pPr>
        <w:pStyle w:val="40"/>
        <w:pageBreakBefore w:val="0"/>
        <w:kinsoku/>
        <w:wordWrap w:val="0"/>
        <w:overflowPunct/>
        <w:topLinePunct w:val="0"/>
        <w:bidi w:val="0"/>
        <w:adjustRightInd w:val="0"/>
        <w:snapToGrid w:val="0"/>
        <w:spacing w:line="440" w:lineRule="exact"/>
        <w:ind w:firstLine="482" w:firstLineChars="200"/>
        <w:jc w:val="left"/>
        <w:textAlignment w:val="auto"/>
        <w:rPr>
          <w:rFonts w:hint="eastAsia" w:ascii="宋体" w:hAnsi="宋体" w:eastAsia="宋体" w:cs="宋体"/>
          <w:color w:val="auto"/>
          <w:kern w:val="0"/>
          <w:sz w:val="24"/>
          <w:szCs w:val="24"/>
          <w:highlight w:val="none"/>
        </w:rPr>
      </w:pPr>
      <w:r>
        <w:rPr>
          <w:rFonts w:hint="eastAsia" w:ascii="宋体" w:hAnsi="宋体" w:eastAsia="宋体" w:cs="宋体"/>
          <w:b/>
          <w:bCs/>
          <w:color w:val="auto"/>
          <w:kern w:val="0"/>
          <w:sz w:val="24"/>
          <w:szCs w:val="24"/>
          <w:highlight w:val="none"/>
        </w:rPr>
        <w:t>4.1.4</w:t>
      </w:r>
      <w:r>
        <w:rPr>
          <w:rFonts w:hint="eastAsia" w:ascii="宋体" w:hAnsi="宋体" w:cs="宋体"/>
          <w:b/>
          <w:bCs/>
          <w:color w:val="auto"/>
          <w:kern w:val="0"/>
          <w:sz w:val="24"/>
          <w:szCs w:val="24"/>
          <w:highlight w:val="none"/>
          <w:lang w:eastAsia="zh-CN"/>
        </w:rPr>
        <w:t xml:space="preserve"> 联合体</w:t>
      </w:r>
      <w:r>
        <w:rPr>
          <w:rFonts w:hint="eastAsia" w:ascii="宋体" w:hAnsi="宋体" w:eastAsia="宋体" w:cs="宋体"/>
          <w:color w:val="auto"/>
          <w:kern w:val="0"/>
          <w:sz w:val="24"/>
          <w:szCs w:val="24"/>
          <w:highlight w:val="none"/>
        </w:rPr>
        <w:t>各方不得再以自己名义单独或参加其他联合体在本招标项目中投标，否则各相关投标均无效。</w:t>
      </w:r>
    </w:p>
    <w:p w14:paraId="72FFC414">
      <w:pPr>
        <w:pStyle w:val="40"/>
        <w:pageBreakBefore w:val="0"/>
        <w:kinsoku/>
        <w:wordWrap w:val="0"/>
        <w:overflowPunct/>
        <w:topLinePunct w:val="0"/>
        <w:bidi w:val="0"/>
        <w:adjustRightInd w:val="0"/>
        <w:snapToGrid w:val="0"/>
        <w:spacing w:line="440" w:lineRule="exact"/>
        <w:ind w:firstLine="482" w:firstLineChars="200"/>
        <w:jc w:val="left"/>
        <w:textAlignment w:val="auto"/>
        <w:rPr>
          <w:rFonts w:hint="eastAsia" w:ascii="宋体" w:hAnsi="宋体" w:eastAsia="宋体" w:cs="宋体"/>
          <w:color w:val="auto"/>
          <w:kern w:val="0"/>
          <w:sz w:val="24"/>
          <w:szCs w:val="24"/>
          <w:highlight w:val="none"/>
        </w:rPr>
      </w:pPr>
      <w:r>
        <w:rPr>
          <w:rFonts w:hint="eastAsia" w:ascii="宋体" w:hAnsi="宋体" w:eastAsia="宋体" w:cs="宋体"/>
          <w:b/>
          <w:bCs/>
          <w:color w:val="auto"/>
          <w:kern w:val="0"/>
          <w:sz w:val="24"/>
          <w:szCs w:val="24"/>
          <w:highlight w:val="none"/>
        </w:rPr>
        <w:t>4.2</w:t>
      </w:r>
      <w:r>
        <w:rPr>
          <w:rFonts w:hint="eastAsia" w:ascii="宋体" w:hAnsi="宋体" w:cs="宋体"/>
          <w:b/>
          <w:bCs/>
          <w:color w:val="auto"/>
          <w:kern w:val="0"/>
          <w:sz w:val="24"/>
          <w:szCs w:val="24"/>
          <w:highlight w:val="none"/>
          <w:lang w:eastAsia="zh-CN"/>
        </w:rPr>
        <w:t xml:space="preserve"> 资质</w:t>
      </w:r>
      <w:r>
        <w:rPr>
          <w:rFonts w:hint="eastAsia" w:ascii="宋体" w:hAnsi="宋体" w:eastAsia="宋体" w:cs="宋体"/>
          <w:color w:val="auto"/>
          <w:kern w:val="0"/>
          <w:sz w:val="24"/>
          <w:szCs w:val="24"/>
          <w:highlight w:val="none"/>
        </w:rPr>
        <w:t>要求</w:t>
      </w:r>
    </w:p>
    <w:p w14:paraId="7559ADCD">
      <w:pPr>
        <w:pStyle w:val="40"/>
        <w:pageBreakBefore w:val="0"/>
        <w:kinsoku/>
        <w:wordWrap w:val="0"/>
        <w:overflowPunct/>
        <w:topLinePunct w:val="0"/>
        <w:bidi w:val="0"/>
        <w:adjustRightInd w:val="0"/>
        <w:snapToGrid w:val="0"/>
        <w:spacing w:line="440" w:lineRule="exact"/>
        <w:ind w:firstLine="482" w:firstLineChars="200"/>
        <w:jc w:val="left"/>
        <w:textAlignment w:val="auto"/>
        <w:rPr>
          <w:rFonts w:hint="eastAsia" w:ascii="宋体" w:hAnsi="宋体" w:eastAsia="宋体" w:cs="宋体"/>
          <w:color w:val="auto"/>
          <w:kern w:val="0"/>
          <w:sz w:val="24"/>
          <w:szCs w:val="24"/>
          <w:highlight w:val="none"/>
        </w:rPr>
      </w:pPr>
      <w:r>
        <w:rPr>
          <w:rFonts w:hint="eastAsia" w:ascii="宋体" w:hAnsi="宋体" w:eastAsia="宋体" w:cs="宋体"/>
          <w:b/>
          <w:bCs/>
          <w:color w:val="auto"/>
          <w:kern w:val="0"/>
          <w:sz w:val="24"/>
          <w:szCs w:val="24"/>
          <w:highlight w:val="none"/>
        </w:rPr>
        <w:t>4.2.1</w:t>
      </w:r>
      <w:r>
        <w:rPr>
          <w:rFonts w:hint="eastAsia" w:ascii="宋体" w:hAnsi="宋体" w:cs="宋体"/>
          <w:b/>
          <w:bCs/>
          <w:color w:val="auto"/>
          <w:kern w:val="0"/>
          <w:sz w:val="24"/>
          <w:szCs w:val="24"/>
          <w:highlight w:val="none"/>
          <w:lang w:eastAsia="zh-CN"/>
        </w:rPr>
        <w:t xml:space="preserve"> 投标人</w:t>
      </w:r>
      <w:r>
        <w:rPr>
          <w:rFonts w:hint="eastAsia" w:ascii="宋体" w:hAnsi="宋体" w:eastAsia="宋体" w:cs="宋体"/>
          <w:color w:val="auto"/>
          <w:kern w:val="0"/>
          <w:sz w:val="24"/>
          <w:szCs w:val="24"/>
          <w:highlight w:val="none"/>
        </w:rPr>
        <w:t>须具备独立法人资格，按国家法律经营。</w:t>
      </w:r>
    </w:p>
    <w:p w14:paraId="4F824FB9">
      <w:pPr>
        <w:pStyle w:val="40"/>
        <w:pageBreakBefore w:val="0"/>
        <w:kinsoku/>
        <w:wordWrap w:val="0"/>
        <w:overflowPunct/>
        <w:topLinePunct w:val="0"/>
        <w:bidi w:val="0"/>
        <w:adjustRightInd w:val="0"/>
        <w:snapToGrid w:val="0"/>
        <w:spacing w:line="440" w:lineRule="exact"/>
        <w:ind w:firstLine="482" w:firstLineChars="200"/>
        <w:jc w:val="left"/>
        <w:textAlignment w:val="auto"/>
        <w:rPr>
          <w:rFonts w:hint="eastAsia" w:ascii="宋体" w:hAnsi="宋体" w:eastAsia="宋体" w:cs="宋体"/>
          <w:b/>
          <w:bCs/>
          <w:color w:val="auto"/>
          <w:kern w:val="0"/>
          <w:sz w:val="24"/>
          <w:szCs w:val="24"/>
          <w:highlight w:val="none"/>
        </w:rPr>
      </w:pPr>
      <w:r>
        <w:rPr>
          <w:rFonts w:hint="eastAsia" w:ascii="宋体" w:hAnsi="宋体" w:eastAsia="宋体" w:cs="宋体"/>
          <w:b/>
          <w:bCs/>
          <w:color w:val="auto"/>
          <w:kern w:val="0"/>
          <w:sz w:val="24"/>
          <w:szCs w:val="24"/>
          <w:highlight w:val="none"/>
        </w:rPr>
        <w:t>4.2.2</w:t>
      </w:r>
      <w:r>
        <w:rPr>
          <w:rFonts w:hint="eastAsia" w:ascii="宋体" w:hAnsi="宋体" w:cs="宋体"/>
          <w:b/>
          <w:bCs/>
          <w:color w:val="auto"/>
          <w:kern w:val="0"/>
          <w:sz w:val="24"/>
          <w:szCs w:val="24"/>
          <w:highlight w:val="none"/>
          <w:lang w:eastAsia="zh-CN"/>
        </w:rPr>
        <w:t xml:space="preserve"> 投标人</w:t>
      </w:r>
      <w:r>
        <w:rPr>
          <w:rFonts w:hint="eastAsia" w:ascii="宋体" w:hAnsi="宋体" w:eastAsia="宋体" w:cs="宋体"/>
          <w:color w:val="auto"/>
          <w:kern w:val="0"/>
          <w:sz w:val="24"/>
          <w:szCs w:val="24"/>
          <w:highlight w:val="none"/>
        </w:rPr>
        <w:t>须持有行政主管部门颁发的企业资质证书。</w:t>
      </w:r>
    </w:p>
    <w:p w14:paraId="19685B11">
      <w:pPr>
        <w:pStyle w:val="40"/>
        <w:pageBreakBefore w:val="0"/>
        <w:kinsoku/>
        <w:wordWrap w:val="0"/>
        <w:overflowPunct/>
        <w:topLinePunct w:val="0"/>
        <w:bidi w:val="0"/>
        <w:adjustRightInd w:val="0"/>
        <w:snapToGrid w:val="0"/>
        <w:spacing w:line="440" w:lineRule="exact"/>
        <w:ind w:firstLine="482" w:firstLineChars="200"/>
        <w:jc w:val="left"/>
        <w:textAlignment w:val="auto"/>
        <w:rPr>
          <w:rFonts w:hint="eastAsia" w:ascii="宋体" w:hAnsi="宋体" w:eastAsia="宋体" w:cs="宋体"/>
          <w:color w:val="auto"/>
          <w:sz w:val="24"/>
          <w:szCs w:val="24"/>
          <w:highlight w:val="none"/>
        </w:rPr>
      </w:pPr>
      <w:r>
        <w:rPr>
          <w:rFonts w:hint="eastAsia" w:ascii="宋体" w:hAnsi="宋体" w:eastAsia="宋体" w:cs="宋体"/>
          <w:b/>
          <w:bCs/>
          <w:color w:val="auto"/>
          <w:kern w:val="0"/>
          <w:sz w:val="24"/>
          <w:szCs w:val="24"/>
          <w:highlight w:val="none"/>
        </w:rPr>
        <w:t>4.2.3</w:t>
      </w:r>
      <w:r>
        <w:rPr>
          <w:rFonts w:hint="eastAsia" w:ascii="宋体" w:hAnsi="宋体" w:cs="宋体"/>
          <w:b/>
          <w:bCs/>
          <w:color w:val="auto"/>
          <w:kern w:val="0"/>
          <w:sz w:val="24"/>
          <w:szCs w:val="24"/>
          <w:highlight w:val="none"/>
          <w:lang w:eastAsia="zh-CN"/>
        </w:rPr>
        <w:t xml:space="preserve"> 参加</w:t>
      </w:r>
      <w:r>
        <w:rPr>
          <w:rFonts w:hint="eastAsia" w:ascii="宋体" w:hAnsi="宋体" w:eastAsia="宋体" w:cs="宋体"/>
          <w:color w:val="auto"/>
          <w:sz w:val="24"/>
          <w:szCs w:val="24"/>
          <w:highlight w:val="none"/>
        </w:rPr>
        <w:t>投标的投标人可以是单一独立法人或由不超过</w:t>
      </w:r>
      <w:r>
        <w:rPr>
          <w:rFonts w:hint="eastAsia" w:ascii="宋体" w:hAnsi="宋体" w:cs="宋体"/>
          <w:color w:val="auto"/>
          <w:sz w:val="24"/>
          <w:szCs w:val="24"/>
          <w:highlight w:val="none"/>
          <w:lang w:val="en-US" w:eastAsia="zh-CN"/>
        </w:rPr>
        <w:t>3</w:t>
      </w:r>
      <w:r>
        <w:rPr>
          <w:rFonts w:hint="eastAsia" w:ascii="宋体" w:hAnsi="宋体" w:eastAsia="宋体" w:cs="宋体"/>
          <w:color w:val="auto"/>
          <w:sz w:val="24"/>
          <w:szCs w:val="24"/>
          <w:highlight w:val="none"/>
        </w:rPr>
        <w:t>家独立法人组成的联合体</w:t>
      </w:r>
      <w:r>
        <w:rPr>
          <w:rFonts w:hint="eastAsia" w:ascii="宋体" w:hAnsi="宋体" w:eastAsia="宋体" w:cs="宋体"/>
          <w:b/>
          <w:bCs/>
          <w:color w:val="auto"/>
          <w:sz w:val="24"/>
          <w:szCs w:val="24"/>
          <w:highlight w:val="none"/>
        </w:rPr>
        <w:t>（必须注明其中一家为牵头人</w:t>
      </w:r>
      <w:r>
        <w:rPr>
          <w:rFonts w:hint="eastAsia" w:ascii="宋体" w:hAnsi="宋体" w:eastAsia="宋体" w:cs="宋体"/>
          <w:b/>
          <w:bCs/>
          <w:color w:val="auto"/>
          <w:sz w:val="24"/>
          <w:szCs w:val="24"/>
          <w:highlight w:val="none"/>
          <w:lang w:eastAsia="zh-CN"/>
        </w:rPr>
        <w:t>，</w:t>
      </w:r>
      <w:r>
        <w:rPr>
          <w:rFonts w:hint="eastAsia" w:ascii="宋体" w:hAnsi="宋体" w:eastAsia="宋体" w:cs="宋体"/>
          <w:b/>
          <w:bCs/>
          <w:color w:val="auto"/>
          <w:sz w:val="24"/>
          <w:szCs w:val="24"/>
          <w:highlight w:val="none"/>
        </w:rPr>
        <w:t>牵头人必须为施工单位）</w:t>
      </w:r>
      <w:r>
        <w:rPr>
          <w:rFonts w:hint="eastAsia" w:ascii="宋体" w:hAnsi="宋体" w:eastAsia="宋体" w:cs="宋体"/>
          <w:color w:val="auto"/>
          <w:sz w:val="24"/>
          <w:szCs w:val="24"/>
          <w:highlight w:val="none"/>
        </w:rPr>
        <w:t>，联合体各方不得再以自己的名义单独申请，也不得同时参加两个或两个以上的联合体进行本项目的投标。单一独立法人必须至少同时具备以下</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lang w:val="en-US" w:eastAsia="zh-CN"/>
        </w:rPr>
        <w:t>1）</w:t>
      </w:r>
      <w:r>
        <w:rPr>
          <w:rFonts w:hint="eastAsia" w:ascii="宋体" w:hAnsi="宋体" w:eastAsia="宋体" w:cs="宋体"/>
          <w:color w:val="auto"/>
          <w:sz w:val="24"/>
          <w:szCs w:val="24"/>
          <w:highlight w:val="none"/>
        </w:rPr>
        <w:t>～</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lang w:val="en-US" w:eastAsia="zh-CN"/>
        </w:rPr>
        <w:t>2）</w:t>
      </w:r>
      <w:r>
        <w:rPr>
          <w:rFonts w:hint="eastAsia" w:ascii="宋体" w:hAnsi="宋体" w:eastAsia="宋体" w:cs="宋体"/>
          <w:color w:val="auto"/>
          <w:sz w:val="24"/>
          <w:szCs w:val="24"/>
          <w:highlight w:val="none"/>
        </w:rPr>
        <w:t>资质，组成联合体投标的，联合后必须至少具备以下</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lang w:val="en-US" w:eastAsia="zh-CN"/>
        </w:rPr>
        <w:t>1）</w:t>
      </w:r>
      <w:r>
        <w:rPr>
          <w:rFonts w:hint="eastAsia" w:ascii="宋体" w:hAnsi="宋体" w:eastAsia="宋体" w:cs="宋体"/>
          <w:color w:val="auto"/>
          <w:sz w:val="24"/>
          <w:szCs w:val="24"/>
          <w:highlight w:val="none"/>
        </w:rPr>
        <w:t>～</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lang w:val="en-US" w:eastAsia="zh-CN"/>
        </w:rPr>
        <w:t>2）</w:t>
      </w:r>
      <w:r>
        <w:rPr>
          <w:rFonts w:hint="eastAsia" w:ascii="宋体" w:hAnsi="宋体" w:eastAsia="宋体" w:cs="宋体"/>
          <w:color w:val="auto"/>
          <w:sz w:val="24"/>
          <w:szCs w:val="24"/>
          <w:highlight w:val="none"/>
        </w:rPr>
        <w:t>资质，由同一专业的单位组成的联合体，按照资质等级较低的单位确定资质等级：</w:t>
      </w:r>
    </w:p>
    <w:p w14:paraId="6CEFB19E">
      <w:pPr>
        <w:pStyle w:val="8"/>
        <w:keepNext w:val="0"/>
        <w:keepLines w:val="0"/>
        <w:pageBreakBefore w:val="0"/>
        <w:widowControl w:val="0"/>
        <w:numPr>
          <w:ilvl w:val="-1"/>
          <w:numId w:val="0"/>
        </w:numPr>
        <w:suppressLineNumbers w:val="0"/>
        <w:kinsoku/>
        <w:wordWrap/>
        <w:overflowPunct/>
        <w:topLinePunct w:val="0"/>
        <w:autoSpaceDE/>
        <w:autoSpaceDN/>
        <w:bidi w:val="0"/>
        <w:adjustRightInd/>
        <w:snapToGrid/>
        <w:spacing w:before="0" w:beforeAutospacing="0" w:after="0" w:afterAutospacing="0" w:line="440" w:lineRule="exact"/>
        <w:ind w:left="48" w:leftChars="20" w:right="48" w:rightChars="20" w:firstLine="480" w:firstLineChars="200"/>
        <w:textAlignment w:val="auto"/>
        <w:rPr>
          <w:rFonts w:hint="eastAsia" w:ascii="宋体" w:hAnsi="宋体" w:eastAsia="宋体" w:cs="宋体"/>
          <w:color w:val="auto"/>
          <w:sz w:val="24"/>
          <w:szCs w:val="24"/>
          <w:highlight w:val="none"/>
          <w:lang w:val="zh-CN" w:eastAsia="zh-CN"/>
        </w:rPr>
      </w:pP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lang w:val="en-US" w:eastAsia="zh-CN"/>
        </w:rPr>
        <w:t>1）</w:t>
      </w:r>
      <w:r>
        <w:rPr>
          <w:rFonts w:hint="eastAsia" w:ascii="宋体" w:hAnsi="宋体" w:eastAsia="宋体" w:cs="宋体"/>
          <w:color w:val="auto"/>
          <w:sz w:val="24"/>
          <w:szCs w:val="24"/>
          <w:highlight w:val="none"/>
          <w:lang w:val="zh-CN"/>
        </w:rPr>
        <w:t>施工资质：</w:t>
      </w:r>
      <w:r>
        <w:rPr>
          <w:rFonts w:hint="eastAsia" w:ascii="宋体" w:hAnsi="宋体" w:eastAsia="宋体" w:cs="宋体"/>
          <w:color w:val="auto"/>
          <w:sz w:val="24"/>
          <w:szCs w:val="24"/>
          <w:highlight w:val="none"/>
          <w:lang w:val="en-US" w:eastAsia="zh-CN"/>
        </w:rPr>
        <w:t>必须具备建设行政主管部门颁发的建筑工程施工总承包</w:t>
      </w:r>
      <w:r>
        <w:rPr>
          <w:rFonts w:hint="eastAsia" w:hAnsi="宋体" w:eastAsia="宋体" w:cs="宋体"/>
          <w:color w:val="auto"/>
          <w:sz w:val="24"/>
          <w:szCs w:val="24"/>
          <w:highlight w:val="none"/>
          <w:lang w:val="en-US" w:eastAsia="zh-CN"/>
        </w:rPr>
        <w:t>二</w:t>
      </w:r>
      <w:r>
        <w:rPr>
          <w:rFonts w:hint="eastAsia" w:ascii="宋体" w:hAnsi="宋体" w:eastAsia="宋体" w:cs="宋体"/>
          <w:color w:val="auto"/>
          <w:sz w:val="24"/>
          <w:szCs w:val="24"/>
          <w:highlight w:val="none"/>
          <w:lang w:val="en-US" w:eastAsia="zh-CN"/>
        </w:rPr>
        <w:t>级以上（含</w:t>
      </w:r>
      <w:r>
        <w:rPr>
          <w:rFonts w:hint="eastAsia" w:hAnsi="宋体" w:eastAsia="宋体" w:cs="宋体"/>
          <w:color w:val="auto"/>
          <w:sz w:val="24"/>
          <w:szCs w:val="24"/>
          <w:highlight w:val="none"/>
          <w:lang w:val="en-US" w:eastAsia="zh-CN"/>
        </w:rPr>
        <w:t>二</w:t>
      </w:r>
      <w:r>
        <w:rPr>
          <w:rFonts w:hint="eastAsia" w:ascii="宋体" w:hAnsi="宋体" w:eastAsia="宋体" w:cs="宋体"/>
          <w:color w:val="auto"/>
          <w:sz w:val="24"/>
          <w:szCs w:val="24"/>
          <w:highlight w:val="none"/>
          <w:lang w:val="en-US" w:eastAsia="zh-CN"/>
        </w:rPr>
        <w:t>级）资质，并持有有效期内安全生产许可证</w:t>
      </w:r>
      <w:r>
        <w:rPr>
          <w:rFonts w:hint="eastAsia" w:ascii="宋体" w:hAnsi="宋体" w:eastAsia="宋体" w:cs="宋体"/>
          <w:color w:val="auto"/>
          <w:sz w:val="24"/>
          <w:szCs w:val="24"/>
          <w:highlight w:val="none"/>
          <w:lang w:val="zh-CN" w:eastAsia="zh-CN"/>
        </w:rPr>
        <w:t>。</w:t>
      </w:r>
    </w:p>
    <w:p w14:paraId="1363578A">
      <w:pPr>
        <w:pStyle w:val="8"/>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48" w:leftChars="20" w:right="48" w:rightChars="20" w:firstLine="480" w:firstLineChars="200"/>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zh-CN"/>
        </w:rPr>
        <w:t>（</w:t>
      </w:r>
      <w:r>
        <w:rPr>
          <w:rFonts w:hint="eastAsia" w:ascii="宋体" w:hAnsi="宋体" w:eastAsia="宋体" w:cs="宋体"/>
          <w:color w:val="auto"/>
          <w:sz w:val="24"/>
          <w:szCs w:val="24"/>
          <w:highlight w:val="none"/>
          <w:lang w:val="en-US" w:eastAsia="zh-CN"/>
        </w:rPr>
        <w:t>2）</w:t>
      </w:r>
      <w:r>
        <w:rPr>
          <w:rFonts w:hint="eastAsia" w:ascii="宋体" w:hAnsi="宋体" w:eastAsia="宋体" w:cs="宋体"/>
          <w:color w:val="auto"/>
          <w:sz w:val="24"/>
          <w:szCs w:val="24"/>
          <w:highlight w:val="none"/>
        </w:rPr>
        <w:t>设计资质</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lang w:val="en-US" w:eastAsia="zh-CN"/>
        </w:rPr>
        <w:t>必须具备建设行政主管部门颁发的以下资质</w:t>
      </w:r>
      <w:r>
        <w:rPr>
          <w:rFonts w:hint="eastAsia" w:hAnsi="宋体" w:eastAsia="宋体" w:cs="宋体"/>
          <w:color w:val="auto"/>
          <w:sz w:val="24"/>
          <w:szCs w:val="24"/>
          <w:highlight w:val="none"/>
          <w:lang w:val="en-US" w:eastAsia="zh-CN"/>
        </w:rPr>
        <w:t>之一</w:t>
      </w:r>
      <w:r>
        <w:rPr>
          <w:rFonts w:hint="eastAsia" w:ascii="宋体" w:hAnsi="宋体" w:eastAsia="宋体" w:cs="宋体"/>
          <w:color w:val="auto"/>
          <w:sz w:val="24"/>
          <w:szCs w:val="24"/>
          <w:highlight w:val="none"/>
          <w:lang w:val="en-US" w:eastAsia="zh-CN"/>
        </w:rPr>
        <w:t>：</w:t>
      </w:r>
    </w:p>
    <w:p w14:paraId="2C896478">
      <w:pPr>
        <w:pStyle w:val="8"/>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right="48" w:rightChars="20"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a</w:t>
      </w:r>
      <w:r>
        <w:rPr>
          <w:rFonts w:hint="eastAsia" w:hAnsi="宋体" w:eastAsia="宋体" w:cs="宋体"/>
          <w:color w:val="auto"/>
          <w:sz w:val="24"/>
          <w:szCs w:val="24"/>
          <w:highlight w:val="none"/>
          <w:lang w:val="en-US" w:eastAsia="zh-CN"/>
        </w:rPr>
        <w:t>.</w:t>
      </w:r>
      <w:r>
        <w:rPr>
          <w:rFonts w:hint="eastAsia" w:ascii="宋体" w:hAnsi="宋体" w:eastAsia="宋体" w:cs="宋体"/>
          <w:color w:val="auto"/>
          <w:sz w:val="24"/>
          <w:szCs w:val="24"/>
          <w:highlight w:val="none"/>
        </w:rPr>
        <w:t>工程设计建筑行业甲级资质；</w:t>
      </w:r>
    </w:p>
    <w:p w14:paraId="31043E05">
      <w:pPr>
        <w:pageBreakBefore w:val="0"/>
        <w:kinsoku/>
        <w:wordWrap w:val="0"/>
        <w:overflowPunct/>
        <w:topLinePunct w:val="0"/>
        <w:bidi w:val="0"/>
        <w:adjustRightInd w:val="0"/>
        <w:snapToGrid w:val="0"/>
        <w:spacing w:line="440"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b.</w:t>
      </w:r>
      <w:r>
        <w:rPr>
          <w:rFonts w:hint="eastAsia" w:ascii="宋体" w:hAnsi="宋体" w:eastAsia="宋体" w:cs="宋体"/>
          <w:color w:val="auto"/>
          <w:sz w:val="24"/>
          <w:szCs w:val="24"/>
          <w:highlight w:val="none"/>
        </w:rPr>
        <w:t>工程设计建筑行业</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rPr>
        <w:t>建筑工程</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rPr>
        <w:t>专业甲级资质。</w:t>
      </w:r>
    </w:p>
    <w:p w14:paraId="1DE63238">
      <w:pPr>
        <w:pStyle w:val="40"/>
        <w:pageBreakBefore w:val="0"/>
        <w:kinsoku/>
        <w:wordWrap w:val="0"/>
        <w:overflowPunct/>
        <w:topLinePunct w:val="0"/>
        <w:bidi w:val="0"/>
        <w:adjustRightInd w:val="0"/>
        <w:snapToGrid w:val="0"/>
        <w:spacing w:line="440" w:lineRule="exact"/>
        <w:ind w:firstLine="482" w:firstLineChars="200"/>
        <w:jc w:val="left"/>
        <w:textAlignment w:val="auto"/>
        <w:rPr>
          <w:rFonts w:hint="eastAsia" w:ascii="宋体" w:hAnsi="宋体" w:eastAsia="宋体" w:cs="宋体"/>
          <w:color w:val="auto"/>
          <w:sz w:val="24"/>
          <w:szCs w:val="24"/>
          <w:highlight w:val="none"/>
          <w:lang w:val="zh-CN"/>
        </w:rPr>
      </w:pPr>
      <w:r>
        <w:rPr>
          <w:rFonts w:hint="eastAsia" w:ascii="宋体" w:hAnsi="宋体" w:eastAsia="宋体" w:cs="宋体"/>
          <w:b/>
          <w:bCs/>
          <w:color w:val="auto"/>
          <w:kern w:val="0"/>
          <w:sz w:val="24"/>
          <w:szCs w:val="24"/>
          <w:highlight w:val="none"/>
        </w:rPr>
        <w:t>4.2.4</w:t>
      </w:r>
      <w:r>
        <w:rPr>
          <w:rFonts w:hint="eastAsia" w:ascii="宋体" w:hAnsi="宋体" w:cs="宋体"/>
          <w:b/>
          <w:bCs/>
          <w:color w:val="auto"/>
          <w:kern w:val="0"/>
          <w:sz w:val="24"/>
          <w:szCs w:val="24"/>
          <w:highlight w:val="none"/>
          <w:lang w:eastAsia="zh-CN"/>
        </w:rPr>
        <w:t xml:space="preserve"> 根据</w:t>
      </w:r>
      <w:r>
        <w:rPr>
          <w:rFonts w:hint="eastAsia" w:ascii="宋体" w:hAnsi="宋体" w:eastAsia="宋体" w:cs="宋体"/>
          <w:color w:val="auto"/>
          <w:sz w:val="24"/>
          <w:szCs w:val="24"/>
          <w:highlight w:val="none"/>
          <w:lang w:val="zh-CN"/>
        </w:rPr>
        <w:t>有关文件精神，投标人的企业相关证书到期的，均按该证书的发证机构相关行业主管部门最新文件执行（如自动顺延或推迟办理延期业务的通知），投标人必须将相关文件附在该证书</w:t>
      </w:r>
      <w:r>
        <w:rPr>
          <w:rFonts w:hint="eastAsia" w:ascii="宋体" w:hAnsi="宋体" w:cs="宋体"/>
          <w:color w:val="auto"/>
          <w:sz w:val="24"/>
          <w:szCs w:val="24"/>
          <w:highlight w:val="none"/>
          <w:lang w:val="zh-CN"/>
        </w:rPr>
        <w:t>后面</w:t>
      </w:r>
      <w:r>
        <w:rPr>
          <w:rFonts w:hint="eastAsia" w:ascii="宋体" w:hAnsi="宋体" w:eastAsia="宋体" w:cs="宋体"/>
          <w:color w:val="auto"/>
          <w:sz w:val="24"/>
          <w:szCs w:val="24"/>
          <w:highlight w:val="none"/>
          <w:lang w:val="zh-CN"/>
        </w:rPr>
        <w:t>，证明在开标日继续有效。</w:t>
      </w:r>
    </w:p>
    <w:p w14:paraId="74075682">
      <w:pPr>
        <w:pStyle w:val="40"/>
        <w:pageBreakBefore w:val="0"/>
        <w:kinsoku/>
        <w:wordWrap w:val="0"/>
        <w:overflowPunct/>
        <w:topLinePunct w:val="0"/>
        <w:bidi w:val="0"/>
        <w:adjustRightInd w:val="0"/>
        <w:snapToGrid w:val="0"/>
        <w:spacing w:line="440" w:lineRule="exact"/>
        <w:ind w:firstLine="482" w:firstLineChars="200"/>
        <w:jc w:val="left"/>
        <w:textAlignment w:val="auto"/>
        <w:rPr>
          <w:rFonts w:hint="eastAsia" w:ascii="宋体" w:hAnsi="宋体" w:eastAsia="宋体" w:cs="宋体"/>
          <w:color w:val="auto"/>
          <w:sz w:val="24"/>
          <w:szCs w:val="24"/>
          <w:highlight w:val="none"/>
        </w:rPr>
      </w:pPr>
      <w:r>
        <w:rPr>
          <w:rFonts w:hint="eastAsia" w:ascii="宋体" w:hAnsi="宋体" w:eastAsia="宋体" w:cs="宋体"/>
          <w:b/>
          <w:bCs/>
          <w:color w:val="auto"/>
          <w:kern w:val="0"/>
          <w:sz w:val="24"/>
          <w:szCs w:val="24"/>
          <w:highlight w:val="none"/>
        </w:rPr>
        <w:t>4.3</w:t>
      </w:r>
      <w:r>
        <w:rPr>
          <w:rFonts w:hint="eastAsia" w:ascii="宋体" w:hAnsi="宋体" w:cs="宋体"/>
          <w:b/>
          <w:bCs/>
          <w:color w:val="auto"/>
          <w:kern w:val="0"/>
          <w:sz w:val="24"/>
          <w:szCs w:val="24"/>
          <w:highlight w:val="none"/>
          <w:lang w:eastAsia="zh-CN"/>
        </w:rPr>
        <w:t xml:space="preserve"> 相关</w:t>
      </w:r>
      <w:r>
        <w:rPr>
          <w:rFonts w:hint="eastAsia" w:ascii="宋体" w:hAnsi="宋体" w:eastAsia="宋体" w:cs="宋体"/>
          <w:color w:val="auto"/>
          <w:sz w:val="24"/>
          <w:szCs w:val="24"/>
          <w:highlight w:val="none"/>
        </w:rPr>
        <w:t>人员要求</w:t>
      </w:r>
    </w:p>
    <w:p w14:paraId="11A1F892">
      <w:pPr>
        <w:pStyle w:val="8"/>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48" w:leftChars="20" w:right="48" w:rightChars="20" w:firstLine="482" w:firstLineChars="200"/>
        <w:textAlignment w:val="auto"/>
        <w:rPr>
          <w:rFonts w:hint="eastAsia" w:ascii="宋体" w:hAnsi="宋体" w:eastAsia="宋体" w:cs="宋体"/>
          <w:color w:val="auto"/>
          <w:sz w:val="24"/>
          <w:szCs w:val="24"/>
          <w:highlight w:val="none"/>
        </w:rPr>
      </w:pPr>
      <w:r>
        <w:rPr>
          <w:rFonts w:hint="eastAsia" w:ascii="宋体" w:hAnsi="宋体" w:eastAsia="宋体" w:cs="宋体"/>
          <w:b/>
          <w:bCs/>
          <w:color w:val="auto"/>
          <w:kern w:val="0"/>
          <w:sz w:val="24"/>
          <w:szCs w:val="24"/>
          <w:highlight w:val="none"/>
          <w:lang w:val="en-US" w:eastAsia="zh-CN" w:bidi="ar-SA"/>
        </w:rPr>
        <w:t>4.3.1</w:t>
      </w:r>
      <w:r>
        <w:rPr>
          <w:rFonts w:hint="eastAsia" w:hAnsi="宋体" w:eastAsia="宋体" w:cs="宋体"/>
          <w:b/>
          <w:bCs/>
          <w:color w:val="auto"/>
          <w:kern w:val="0"/>
          <w:sz w:val="24"/>
          <w:szCs w:val="24"/>
          <w:highlight w:val="none"/>
          <w:lang w:val="en-US" w:eastAsia="zh-CN" w:bidi="ar-SA"/>
        </w:rPr>
        <w:t xml:space="preserve"> 拟</w:t>
      </w:r>
      <w:r>
        <w:rPr>
          <w:rFonts w:hint="eastAsia" w:ascii="宋体" w:hAnsi="宋体" w:eastAsia="宋体" w:cs="宋体"/>
          <w:color w:val="auto"/>
          <w:sz w:val="24"/>
          <w:szCs w:val="24"/>
          <w:highlight w:val="none"/>
        </w:rPr>
        <w:t>派项目经理为具有</w:t>
      </w:r>
      <w:r>
        <w:rPr>
          <w:rFonts w:hint="eastAsia" w:ascii="宋体" w:hAnsi="宋体" w:eastAsia="宋体" w:cs="宋体"/>
          <w:color w:val="auto"/>
          <w:sz w:val="24"/>
          <w:szCs w:val="24"/>
          <w:highlight w:val="none"/>
          <w:lang w:val="zh-CN"/>
        </w:rPr>
        <w:t>建筑工程专业一级注册</w:t>
      </w:r>
      <w:r>
        <w:rPr>
          <w:rFonts w:hint="eastAsia" w:hAnsi="宋体" w:eastAsia="宋体" w:cs="宋体"/>
          <w:color w:val="auto"/>
          <w:sz w:val="24"/>
          <w:szCs w:val="24"/>
          <w:highlight w:val="none"/>
          <w:lang w:val="zh-CN"/>
        </w:rPr>
        <w:t>建造师资格的人员</w:t>
      </w:r>
      <w:r>
        <w:rPr>
          <w:rFonts w:hint="eastAsia" w:ascii="宋体" w:hAnsi="宋体" w:eastAsia="宋体" w:cs="宋体"/>
          <w:color w:val="auto"/>
          <w:sz w:val="24"/>
          <w:szCs w:val="24"/>
          <w:highlight w:val="none"/>
          <w:lang w:val="zh-CN"/>
        </w:rPr>
        <w:t>，</w:t>
      </w:r>
      <w:r>
        <w:rPr>
          <w:rFonts w:ascii="宋体" w:hAnsi="宋体" w:eastAsia="宋体" w:cs="宋体"/>
          <w:color w:val="auto"/>
          <w:spacing w:val="-1"/>
          <w:sz w:val="24"/>
          <w:szCs w:val="24"/>
          <w:highlight w:val="none"/>
        </w:rPr>
        <w:t>应持有国家住建</w:t>
      </w:r>
      <w:r>
        <w:rPr>
          <w:rFonts w:ascii="宋体" w:hAnsi="宋体" w:eastAsia="宋体" w:cs="宋体"/>
          <w:color w:val="auto"/>
          <w:spacing w:val="-2"/>
          <w:sz w:val="24"/>
          <w:szCs w:val="24"/>
          <w:highlight w:val="none"/>
        </w:rPr>
        <w:t>部印</w:t>
      </w:r>
      <w:r>
        <w:rPr>
          <w:rFonts w:ascii="宋体" w:hAnsi="宋体" w:eastAsia="宋体" w:cs="宋体"/>
          <w:color w:val="auto"/>
          <w:spacing w:val="-1"/>
          <w:sz w:val="24"/>
          <w:szCs w:val="24"/>
          <w:highlight w:val="none"/>
        </w:rPr>
        <w:t>发的有效注册证书和有效安全生产考核合格证明（</w:t>
      </w:r>
      <w:r>
        <w:rPr>
          <w:rFonts w:ascii="Times New Roman" w:hAnsi="Times New Roman" w:eastAsia="Times New Roman" w:cs="Times New Roman"/>
          <w:color w:val="auto"/>
          <w:spacing w:val="-1"/>
          <w:sz w:val="24"/>
          <w:szCs w:val="24"/>
          <w:highlight w:val="none"/>
        </w:rPr>
        <w:t>B</w:t>
      </w:r>
      <w:r>
        <w:rPr>
          <w:rFonts w:ascii="宋体" w:hAnsi="宋体" w:eastAsia="宋体" w:cs="宋体"/>
          <w:color w:val="auto"/>
          <w:spacing w:val="-1"/>
          <w:sz w:val="24"/>
          <w:szCs w:val="24"/>
          <w:highlight w:val="none"/>
        </w:rPr>
        <w:t>证，安全生产考</w:t>
      </w:r>
      <w:r>
        <w:rPr>
          <w:rFonts w:ascii="宋体" w:hAnsi="宋体" w:eastAsia="宋体" w:cs="宋体"/>
          <w:color w:val="auto"/>
          <w:spacing w:val="5"/>
          <w:sz w:val="24"/>
          <w:szCs w:val="24"/>
          <w:highlight w:val="none"/>
        </w:rPr>
        <w:t>核合格证书或广东省建筑施工企业管理人员安全生产考核系统考核</w:t>
      </w:r>
      <w:r>
        <w:rPr>
          <w:rFonts w:ascii="宋体" w:hAnsi="宋体" w:eastAsia="宋体" w:cs="宋体"/>
          <w:color w:val="auto"/>
          <w:spacing w:val="-3"/>
          <w:sz w:val="24"/>
          <w:szCs w:val="24"/>
          <w:highlight w:val="none"/>
        </w:rPr>
        <w:t>合格信息打印页</w:t>
      </w:r>
      <w:r>
        <w:rPr>
          <w:rFonts w:ascii="宋体" w:hAnsi="宋体" w:eastAsia="宋体" w:cs="宋体"/>
          <w:color w:val="auto"/>
          <w:spacing w:val="-5"/>
          <w:sz w:val="24"/>
          <w:szCs w:val="24"/>
          <w:highlight w:val="none"/>
        </w:rPr>
        <w:t>）</w:t>
      </w:r>
      <w:r>
        <w:rPr>
          <w:rFonts w:hint="eastAsia" w:ascii="宋体" w:hAnsi="宋体" w:eastAsia="宋体" w:cs="宋体"/>
          <w:color w:val="auto"/>
          <w:sz w:val="24"/>
          <w:szCs w:val="24"/>
          <w:highlight w:val="none"/>
          <w:lang w:val="zh-CN"/>
        </w:rPr>
        <w:t>，且未担任其他在施（包括已中标未开工、已开工未竣工）建设工程项目的项目经理</w:t>
      </w:r>
      <w:r>
        <w:rPr>
          <w:rFonts w:hint="eastAsia" w:ascii="宋体" w:hAnsi="宋体" w:eastAsia="宋体" w:cs="宋体"/>
          <w:b/>
          <w:bCs/>
          <w:color w:val="auto"/>
          <w:sz w:val="24"/>
          <w:szCs w:val="24"/>
          <w:highlight w:val="none"/>
          <w:lang w:val="zh-CN"/>
        </w:rPr>
        <w:t>（若组成联合体时，由联合体</w:t>
      </w:r>
      <w:r>
        <w:rPr>
          <w:rFonts w:hint="eastAsia" w:ascii="宋体" w:hAnsi="宋体" w:eastAsia="宋体" w:cs="宋体"/>
          <w:b/>
          <w:bCs/>
          <w:color w:val="auto"/>
          <w:sz w:val="24"/>
          <w:szCs w:val="24"/>
          <w:highlight w:val="none"/>
          <w:lang w:val="en-US" w:eastAsia="zh-CN"/>
        </w:rPr>
        <w:t>施工方</w:t>
      </w:r>
      <w:r>
        <w:rPr>
          <w:rFonts w:hint="eastAsia" w:ascii="宋体" w:hAnsi="宋体" w:eastAsia="宋体" w:cs="宋体"/>
          <w:b/>
          <w:bCs/>
          <w:color w:val="auto"/>
          <w:sz w:val="24"/>
          <w:szCs w:val="24"/>
          <w:highlight w:val="none"/>
          <w:lang w:val="zh-CN"/>
        </w:rPr>
        <w:t>提供）</w:t>
      </w:r>
      <w:r>
        <w:rPr>
          <w:rFonts w:hint="eastAsia" w:ascii="宋体" w:hAnsi="宋体" w:eastAsia="宋体" w:cs="宋体"/>
          <w:b/>
          <w:bCs/>
          <w:color w:val="auto"/>
          <w:sz w:val="24"/>
          <w:szCs w:val="24"/>
          <w:highlight w:val="none"/>
        </w:rPr>
        <w:t>。</w:t>
      </w:r>
    </w:p>
    <w:p w14:paraId="01B54665">
      <w:pPr>
        <w:pStyle w:val="8"/>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48" w:leftChars="20" w:right="48" w:rightChars="20" w:firstLine="482" w:firstLineChars="200"/>
        <w:textAlignment w:val="auto"/>
        <w:rPr>
          <w:rFonts w:hint="eastAsia" w:ascii="宋体" w:hAnsi="宋体" w:eastAsia="宋体" w:cs="宋体"/>
          <w:color w:val="auto"/>
          <w:sz w:val="24"/>
          <w:szCs w:val="24"/>
          <w:highlight w:val="none"/>
        </w:rPr>
      </w:pPr>
      <w:r>
        <w:rPr>
          <w:rFonts w:hint="eastAsia" w:ascii="宋体" w:hAnsi="宋体" w:eastAsia="宋体" w:cs="宋体"/>
          <w:b/>
          <w:bCs/>
          <w:color w:val="auto"/>
          <w:kern w:val="0"/>
          <w:sz w:val="24"/>
          <w:szCs w:val="24"/>
          <w:highlight w:val="none"/>
          <w:lang w:val="en-US" w:eastAsia="zh-CN" w:bidi="ar-SA"/>
        </w:rPr>
        <w:t>4.3.2</w:t>
      </w:r>
      <w:r>
        <w:rPr>
          <w:rFonts w:hint="eastAsia" w:hAnsi="宋体" w:eastAsia="宋体" w:cs="宋体"/>
          <w:b/>
          <w:bCs/>
          <w:color w:val="auto"/>
          <w:kern w:val="0"/>
          <w:sz w:val="24"/>
          <w:szCs w:val="24"/>
          <w:highlight w:val="none"/>
          <w:lang w:val="en-US" w:eastAsia="zh-CN" w:bidi="ar-SA"/>
        </w:rPr>
        <w:t xml:space="preserve"> </w:t>
      </w:r>
      <w:r>
        <w:rPr>
          <w:rFonts w:hint="eastAsia" w:ascii="宋体" w:hAnsi="宋体" w:eastAsia="宋体" w:cs="宋体"/>
          <w:color w:val="auto"/>
          <w:sz w:val="24"/>
          <w:szCs w:val="24"/>
          <w:highlight w:val="none"/>
        </w:rPr>
        <w:t>拟派项目技术负责人须具备</w:t>
      </w:r>
      <w:r>
        <w:rPr>
          <w:rFonts w:hint="eastAsia" w:ascii="宋体" w:hAnsi="宋体" w:eastAsia="宋体" w:cs="宋体"/>
          <w:color w:val="auto"/>
          <w:sz w:val="24"/>
          <w:szCs w:val="24"/>
          <w:highlight w:val="none"/>
          <w:lang w:eastAsia="zh-CN"/>
        </w:rPr>
        <w:t>建筑工程</w:t>
      </w:r>
      <w:r>
        <w:rPr>
          <w:rFonts w:hint="eastAsia" w:ascii="宋体" w:hAnsi="宋体" w:eastAsia="宋体" w:cs="宋体"/>
          <w:color w:val="auto"/>
          <w:sz w:val="24"/>
          <w:szCs w:val="24"/>
          <w:highlight w:val="none"/>
        </w:rPr>
        <w:t>相关专业</w:t>
      </w:r>
      <w:r>
        <w:rPr>
          <w:rFonts w:hint="eastAsia" w:hAnsi="宋体" w:eastAsia="宋体" w:cs="宋体"/>
          <w:color w:val="auto"/>
          <w:sz w:val="24"/>
          <w:szCs w:val="24"/>
          <w:highlight w:val="none"/>
          <w:lang w:val="en-US" w:eastAsia="zh-CN"/>
        </w:rPr>
        <w:t>高级工程师</w:t>
      </w:r>
      <w:r>
        <w:rPr>
          <w:rFonts w:hint="eastAsia" w:ascii="宋体" w:hAnsi="宋体" w:eastAsia="宋体" w:cs="宋体"/>
          <w:color w:val="auto"/>
          <w:sz w:val="24"/>
          <w:szCs w:val="24"/>
          <w:highlight w:val="none"/>
        </w:rPr>
        <w:t>或以上技术职称</w:t>
      </w:r>
      <w:r>
        <w:rPr>
          <w:rFonts w:hint="eastAsia" w:ascii="宋体" w:hAnsi="宋体" w:eastAsia="宋体" w:cs="宋体"/>
          <w:b/>
          <w:bCs/>
          <w:color w:val="auto"/>
          <w:sz w:val="24"/>
          <w:szCs w:val="24"/>
          <w:highlight w:val="none"/>
        </w:rPr>
        <w:t>（若组成联合体时，</w:t>
      </w:r>
      <w:r>
        <w:rPr>
          <w:rFonts w:hint="eastAsia" w:ascii="宋体" w:hAnsi="宋体" w:eastAsia="宋体" w:cs="宋体"/>
          <w:b/>
          <w:bCs/>
          <w:color w:val="auto"/>
          <w:sz w:val="24"/>
          <w:szCs w:val="24"/>
          <w:highlight w:val="none"/>
          <w:lang w:val="zh-CN"/>
        </w:rPr>
        <w:t>由联合体</w:t>
      </w:r>
      <w:r>
        <w:rPr>
          <w:rFonts w:hint="eastAsia" w:ascii="宋体" w:hAnsi="宋体" w:eastAsia="宋体" w:cs="宋体"/>
          <w:b/>
          <w:bCs/>
          <w:color w:val="auto"/>
          <w:sz w:val="24"/>
          <w:szCs w:val="24"/>
          <w:highlight w:val="none"/>
          <w:lang w:val="en-US" w:eastAsia="zh-CN"/>
        </w:rPr>
        <w:t>施工方</w:t>
      </w:r>
      <w:r>
        <w:rPr>
          <w:rFonts w:hint="eastAsia" w:ascii="宋体" w:hAnsi="宋体" w:eastAsia="宋体" w:cs="宋体"/>
          <w:b/>
          <w:bCs/>
          <w:color w:val="auto"/>
          <w:sz w:val="24"/>
          <w:szCs w:val="24"/>
          <w:highlight w:val="none"/>
          <w:lang w:val="zh-CN"/>
        </w:rPr>
        <w:t>提供</w:t>
      </w:r>
      <w:r>
        <w:rPr>
          <w:rFonts w:hint="eastAsia" w:ascii="宋体" w:hAnsi="宋体" w:eastAsia="宋体" w:cs="宋体"/>
          <w:b/>
          <w:bCs/>
          <w:color w:val="auto"/>
          <w:sz w:val="24"/>
          <w:szCs w:val="24"/>
          <w:highlight w:val="none"/>
        </w:rPr>
        <w:t>）</w:t>
      </w:r>
      <w:r>
        <w:rPr>
          <w:rFonts w:hint="eastAsia" w:ascii="宋体" w:hAnsi="宋体" w:eastAsia="宋体" w:cs="宋体"/>
          <w:color w:val="auto"/>
          <w:sz w:val="24"/>
          <w:szCs w:val="24"/>
          <w:highlight w:val="none"/>
        </w:rPr>
        <w:t>。</w:t>
      </w:r>
    </w:p>
    <w:p w14:paraId="69614F05">
      <w:pPr>
        <w:pStyle w:val="8"/>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48" w:leftChars="20" w:right="48" w:rightChars="20" w:firstLine="482" w:firstLineChars="200"/>
        <w:textAlignment w:val="auto"/>
        <w:rPr>
          <w:rFonts w:hint="eastAsia" w:ascii="宋体" w:hAnsi="宋体" w:eastAsia="宋体" w:cs="宋体"/>
          <w:color w:val="auto"/>
          <w:sz w:val="24"/>
          <w:szCs w:val="24"/>
          <w:highlight w:val="none"/>
        </w:rPr>
      </w:pPr>
      <w:r>
        <w:rPr>
          <w:rFonts w:hint="eastAsia" w:ascii="宋体" w:hAnsi="宋体" w:eastAsia="宋体" w:cs="宋体"/>
          <w:b/>
          <w:bCs/>
          <w:color w:val="auto"/>
          <w:kern w:val="0"/>
          <w:sz w:val="24"/>
          <w:szCs w:val="24"/>
          <w:highlight w:val="none"/>
          <w:lang w:val="en-US" w:eastAsia="zh-CN" w:bidi="ar-SA"/>
        </w:rPr>
        <w:t>4.3.3</w:t>
      </w:r>
      <w:r>
        <w:rPr>
          <w:rFonts w:hint="eastAsia" w:hAnsi="宋体" w:eastAsia="宋体" w:cs="宋体"/>
          <w:b/>
          <w:bCs/>
          <w:color w:val="auto"/>
          <w:kern w:val="0"/>
          <w:sz w:val="24"/>
          <w:szCs w:val="24"/>
          <w:highlight w:val="none"/>
          <w:lang w:val="en-US" w:eastAsia="zh-CN" w:bidi="ar-SA"/>
        </w:rPr>
        <w:t xml:space="preserve"> </w:t>
      </w:r>
      <w:r>
        <w:rPr>
          <w:rFonts w:hint="eastAsia" w:ascii="宋体" w:hAnsi="宋体" w:eastAsia="宋体" w:cs="宋体"/>
          <w:color w:val="auto"/>
          <w:sz w:val="24"/>
          <w:szCs w:val="24"/>
          <w:highlight w:val="none"/>
        </w:rPr>
        <w:t>拟派专职安全生产管理人员须具备有效安全生产考核合格证明（C证，安全生产考核合格证书或广东省建筑施工企业管理人员安全生产考核系统考核合格信息打印页），</w:t>
      </w:r>
      <w:r>
        <w:rPr>
          <w:rFonts w:hint="eastAsia" w:ascii="宋体" w:hAnsi="宋体" w:eastAsia="宋体" w:cs="宋体"/>
          <w:color w:val="auto"/>
          <w:sz w:val="24"/>
          <w:szCs w:val="24"/>
          <w:highlight w:val="none"/>
          <w:lang w:eastAsia="zh-CN"/>
        </w:rPr>
        <w:t>且不少于</w:t>
      </w:r>
      <w:r>
        <w:rPr>
          <w:rFonts w:hint="eastAsia" w:ascii="宋体" w:hAnsi="宋体" w:eastAsia="宋体" w:cs="宋体"/>
          <w:color w:val="auto"/>
          <w:sz w:val="24"/>
          <w:szCs w:val="24"/>
          <w:highlight w:val="none"/>
          <w:lang w:val="en-US" w:eastAsia="zh-CN"/>
        </w:rPr>
        <w:t>3</w:t>
      </w:r>
      <w:r>
        <w:rPr>
          <w:rFonts w:hint="eastAsia" w:ascii="宋体" w:hAnsi="宋体" w:eastAsia="宋体" w:cs="宋体"/>
          <w:color w:val="auto"/>
          <w:sz w:val="24"/>
          <w:szCs w:val="24"/>
          <w:highlight w:val="none"/>
          <w:lang w:eastAsia="zh-CN"/>
        </w:rPr>
        <w:t>人</w:t>
      </w:r>
      <w:r>
        <w:rPr>
          <w:rFonts w:hint="eastAsia" w:ascii="宋体" w:hAnsi="宋体" w:eastAsia="宋体" w:cs="宋体"/>
          <w:b/>
          <w:bCs/>
          <w:color w:val="auto"/>
          <w:sz w:val="24"/>
          <w:szCs w:val="24"/>
          <w:highlight w:val="none"/>
        </w:rPr>
        <w:t>（若组成联合体时，</w:t>
      </w:r>
      <w:r>
        <w:rPr>
          <w:rFonts w:hint="eastAsia" w:ascii="宋体" w:hAnsi="宋体" w:eastAsia="宋体" w:cs="宋体"/>
          <w:b/>
          <w:bCs/>
          <w:color w:val="auto"/>
          <w:sz w:val="24"/>
          <w:szCs w:val="24"/>
          <w:highlight w:val="none"/>
          <w:lang w:val="zh-CN"/>
        </w:rPr>
        <w:t>由联合体</w:t>
      </w:r>
      <w:r>
        <w:rPr>
          <w:rFonts w:hint="eastAsia" w:ascii="宋体" w:hAnsi="宋体" w:eastAsia="宋体" w:cs="宋体"/>
          <w:b/>
          <w:bCs/>
          <w:color w:val="auto"/>
          <w:sz w:val="24"/>
          <w:szCs w:val="24"/>
          <w:highlight w:val="none"/>
          <w:lang w:val="en-US" w:eastAsia="zh-CN"/>
        </w:rPr>
        <w:t>施工方</w:t>
      </w:r>
      <w:r>
        <w:rPr>
          <w:rFonts w:hint="eastAsia" w:ascii="宋体" w:hAnsi="宋体" w:eastAsia="宋体" w:cs="宋体"/>
          <w:b/>
          <w:bCs/>
          <w:color w:val="auto"/>
          <w:sz w:val="24"/>
          <w:szCs w:val="24"/>
          <w:highlight w:val="none"/>
          <w:lang w:val="zh-CN"/>
        </w:rPr>
        <w:t>提供</w:t>
      </w:r>
      <w:r>
        <w:rPr>
          <w:rFonts w:hint="eastAsia" w:ascii="宋体" w:hAnsi="宋体" w:eastAsia="宋体" w:cs="宋体"/>
          <w:b/>
          <w:bCs/>
          <w:color w:val="auto"/>
          <w:sz w:val="24"/>
          <w:szCs w:val="24"/>
          <w:highlight w:val="none"/>
        </w:rPr>
        <w:t>）</w:t>
      </w:r>
      <w:r>
        <w:rPr>
          <w:rFonts w:hint="eastAsia" w:ascii="宋体" w:hAnsi="宋体" w:eastAsia="宋体" w:cs="宋体"/>
          <w:color w:val="auto"/>
          <w:sz w:val="24"/>
          <w:szCs w:val="24"/>
          <w:highlight w:val="none"/>
        </w:rPr>
        <w:t>。</w:t>
      </w:r>
    </w:p>
    <w:p w14:paraId="1DBABB7E">
      <w:pPr>
        <w:pStyle w:val="40"/>
        <w:pageBreakBefore w:val="0"/>
        <w:kinsoku/>
        <w:wordWrap w:val="0"/>
        <w:overflowPunct/>
        <w:topLinePunct w:val="0"/>
        <w:bidi w:val="0"/>
        <w:adjustRightInd w:val="0"/>
        <w:snapToGrid w:val="0"/>
        <w:spacing w:line="440" w:lineRule="exact"/>
        <w:ind w:firstLine="480"/>
        <w:jc w:val="left"/>
        <w:textAlignment w:val="auto"/>
        <w:rPr>
          <w:rFonts w:hint="eastAsia" w:ascii="宋体" w:hAnsi="宋体" w:eastAsia="宋体" w:cs="宋体"/>
          <w:color w:val="auto"/>
          <w:sz w:val="24"/>
          <w:szCs w:val="24"/>
          <w:highlight w:val="none"/>
        </w:rPr>
      </w:pPr>
      <w:r>
        <w:rPr>
          <w:rFonts w:hint="eastAsia" w:ascii="宋体" w:hAnsi="宋体" w:eastAsia="宋体" w:cs="宋体"/>
          <w:b/>
          <w:bCs/>
          <w:color w:val="auto"/>
          <w:kern w:val="0"/>
          <w:sz w:val="24"/>
          <w:szCs w:val="24"/>
          <w:highlight w:val="none"/>
          <w:lang w:val="en-US" w:eastAsia="zh-CN"/>
        </w:rPr>
        <w:t>4.</w:t>
      </w:r>
      <w:r>
        <w:rPr>
          <w:rFonts w:hint="eastAsia" w:ascii="宋体" w:hAnsi="宋体" w:eastAsia="宋体" w:cs="宋体"/>
          <w:b/>
          <w:bCs/>
          <w:color w:val="auto"/>
          <w:kern w:val="0"/>
          <w:sz w:val="24"/>
          <w:szCs w:val="24"/>
          <w:highlight w:val="none"/>
        </w:rPr>
        <w:t>3.4</w:t>
      </w:r>
      <w:r>
        <w:rPr>
          <w:rFonts w:hint="eastAsia" w:ascii="宋体" w:hAnsi="宋体" w:cs="宋体"/>
          <w:b/>
          <w:bCs/>
          <w:color w:val="auto"/>
          <w:kern w:val="0"/>
          <w:sz w:val="24"/>
          <w:szCs w:val="24"/>
          <w:highlight w:val="none"/>
          <w:lang w:eastAsia="zh-CN"/>
        </w:rPr>
        <w:t xml:space="preserve"> </w:t>
      </w:r>
      <w:r>
        <w:rPr>
          <w:rFonts w:hint="eastAsia" w:ascii="宋体" w:hAnsi="宋体" w:eastAsia="宋体" w:cs="宋体"/>
          <w:color w:val="auto"/>
          <w:sz w:val="24"/>
          <w:szCs w:val="24"/>
          <w:highlight w:val="none"/>
        </w:rPr>
        <w:t>拟委派担任本工程的设计负责人必须具备一级注册建筑师注册证书</w:t>
      </w:r>
      <w:r>
        <w:rPr>
          <w:rFonts w:hint="eastAsia" w:ascii="宋体" w:hAnsi="宋体" w:eastAsia="宋体" w:cs="宋体"/>
          <w:b/>
          <w:bCs/>
          <w:color w:val="auto"/>
          <w:sz w:val="24"/>
          <w:szCs w:val="24"/>
          <w:highlight w:val="none"/>
        </w:rPr>
        <w:t>（若组成联合体时，由联合体设计方提供）</w:t>
      </w:r>
      <w:r>
        <w:rPr>
          <w:rFonts w:hint="eastAsia" w:ascii="宋体" w:hAnsi="宋体" w:eastAsia="宋体" w:cs="宋体"/>
          <w:color w:val="auto"/>
          <w:sz w:val="24"/>
          <w:szCs w:val="24"/>
          <w:highlight w:val="none"/>
        </w:rPr>
        <w:t>。</w:t>
      </w:r>
    </w:p>
    <w:p w14:paraId="3FC23B1F">
      <w:pPr>
        <w:pageBreakBefore w:val="0"/>
        <w:kinsoku/>
        <w:wordWrap w:val="0"/>
        <w:overflowPunct/>
        <w:topLinePunct w:val="0"/>
        <w:bidi w:val="0"/>
        <w:adjustRightInd w:val="0"/>
        <w:snapToGrid w:val="0"/>
        <w:spacing w:line="440" w:lineRule="exact"/>
        <w:ind w:firstLine="482" w:firstLineChars="200"/>
        <w:textAlignment w:val="auto"/>
        <w:rPr>
          <w:rFonts w:hint="eastAsia" w:ascii="宋体" w:hAnsi="宋体" w:eastAsia="宋体" w:cs="宋体"/>
          <w:snapToGrid w:val="0"/>
          <w:color w:val="auto"/>
          <w:kern w:val="0"/>
          <w:sz w:val="24"/>
          <w:szCs w:val="24"/>
          <w:highlight w:val="none"/>
        </w:rPr>
      </w:pPr>
      <w:r>
        <w:rPr>
          <w:rFonts w:hint="eastAsia" w:ascii="宋体" w:hAnsi="宋体" w:eastAsia="宋体" w:cs="宋体"/>
          <w:b/>
          <w:bCs/>
          <w:color w:val="auto"/>
          <w:kern w:val="0"/>
          <w:sz w:val="24"/>
          <w:szCs w:val="24"/>
          <w:highlight w:val="none"/>
        </w:rPr>
        <w:t>4.</w:t>
      </w:r>
      <w:r>
        <w:rPr>
          <w:rFonts w:hint="eastAsia" w:ascii="宋体" w:hAnsi="宋体" w:eastAsia="宋体" w:cs="宋体"/>
          <w:b/>
          <w:bCs/>
          <w:snapToGrid w:val="0"/>
          <w:color w:val="auto"/>
          <w:kern w:val="0"/>
          <w:sz w:val="24"/>
          <w:szCs w:val="24"/>
          <w:highlight w:val="none"/>
        </w:rPr>
        <w:t>3.5</w:t>
      </w:r>
      <w:r>
        <w:rPr>
          <w:rFonts w:hint="eastAsia" w:ascii="宋体" w:hAnsi="宋体" w:eastAsia="宋体" w:cs="宋体"/>
          <w:b/>
          <w:bCs/>
          <w:snapToGrid w:val="0"/>
          <w:color w:val="auto"/>
          <w:kern w:val="0"/>
          <w:sz w:val="24"/>
          <w:szCs w:val="24"/>
          <w:highlight w:val="none"/>
          <w:lang w:val="en-US" w:eastAsia="zh-CN"/>
        </w:rPr>
        <w:t xml:space="preserve"> </w:t>
      </w:r>
      <w:r>
        <w:rPr>
          <w:rFonts w:hint="eastAsia" w:ascii="宋体" w:hAnsi="宋体" w:eastAsia="宋体" w:cs="宋体"/>
          <w:snapToGrid w:val="0"/>
          <w:color w:val="auto"/>
          <w:kern w:val="0"/>
          <w:sz w:val="24"/>
          <w:szCs w:val="24"/>
          <w:highlight w:val="none"/>
        </w:rPr>
        <w:t>投标人（包括组成联合体的所有成员单位）与其拟派往本项目管理机构的所有人员之间必须具备合法、唯一的劳动聘用关系。拟派人员中具备注册执业资格的，其注册单位须与投标人保持一致。</w:t>
      </w:r>
    </w:p>
    <w:p w14:paraId="38ABE98C">
      <w:pPr>
        <w:pageBreakBefore w:val="0"/>
        <w:kinsoku/>
        <w:wordWrap w:val="0"/>
        <w:overflowPunct/>
        <w:topLinePunct w:val="0"/>
        <w:bidi w:val="0"/>
        <w:adjustRightInd w:val="0"/>
        <w:snapToGrid w:val="0"/>
        <w:spacing w:line="440" w:lineRule="exact"/>
        <w:ind w:firstLine="482" w:firstLineChars="200"/>
        <w:textAlignment w:val="auto"/>
        <w:rPr>
          <w:rFonts w:hint="eastAsia" w:ascii="宋体" w:hAnsi="宋体" w:eastAsia="宋体" w:cs="宋体"/>
          <w:snapToGrid w:val="0"/>
          <w:color w:val="auto"/>
          <w:kern w:val="0"/>
          <w:sz w:val="24"/>
          <w:szCs w:val="24"/>
          <w:highlight w:val="none"/>
        </w:rPr>
      </w:pPr>
      <w:r>
        <w:rPr>
          <w:rFonts w:hint="eastAsia" w:ascii="宋体" w:hAnsi="宋体" w:eastAsia="宋体" w:cs="宋体"/>
          <w:b/>
          <w:bCs/>
          <w:color w:val="auto"/>
          <w:kern w:val="0"/>
          <w:sz w:val="24"/>
          <w:szCs w:val="24"/>
          <w:highlight w:val="none"/>
        </w:rPr>
        <w:t>4.4</w:t>
      </w:r>
      <w:r>
        <w:rPr>
          <w:rFonts w:hint="eastAsia" w:hAnsi="宋体" w:eastAsia="宋体" w:cs="宋体"/>
          <w:b/>
          <w:bCs/>
          <w:color w:val="auto"/>
          <w:kern w:val="0"/>
          <w:sz w:val="24"/>
          <w:szCs w:val="24"/>
          <w:highlight w:val="none"/>
          <w:lang w:eastAsia="zh-CN"/>
        </w:rPr>
        <w:t xml:space="preserve"> 禁止</w:t>
      </w:r>
      <w:r>
        <w:rPr>
          <w:rFonts w:hint="eastAsia" w:ascii="宋体" w:hAnsi="宋体" w:eastAsia="宋体" w:cs="宋体"/>
          <w:snapToGrid w:val="0"/>
          <w:color w:val="auto"/>
          <w:kern w:val="0"/>
          <w:sz w:val="24"/>
          <w:szCs w:val="24"/>
          <w:highlight w:val="none"/>
        </w:rPr>
        <w:t>投标条款：</w:t>
      </w:r>
    </w:p>
    <w:p w14:paraId="58E4E3B6">
      <w:pPr>
        <w:pageBreakBefore w:val="0"/>
        <w:kinsoku/>
        <w:wordWrap w:val="0"/>
        <w:overflowPunct/>
        <w:topLinePunct w:val="0"/>
        <w:bidi w:val="0"/>
        <w:adjustRightInd w:val="0"/>
        <w:snapToGrid w:val="0"/>
        <w:spacing w:line="440" w:lineRule="exact"/>
        <w:ind w:firstLine="482" w:firstLineChars="200"/>
        <w:textAlignment w:val="auto"/>
        <w:rPr>
          <w:rFonts w:hint="eastAsia" w:ascii="宋体" w:hAnsi="宋体" w:eastAsia="宋体" w:cs="宋体"/>
          <w:snapToGrid w:val="0"/>
          <w:color w:val="auto"/>
          <w:kern w:val="0"/>
          <w:sz w:val="24"/>
          <w:szCs w:val="24"/>
          <w:highlight w:val="none"/>
        </w:rPr>
      </w:pPr>
      <w:r>
        <w:rPr>
          <w:rFonts w:hint="eastAsia" w:ascii="宋体" w:hAnsi="宋体" w:eastAsia="宋体" w:cs="宋体"/>
          <w:b/>
          <w:bCs/>
          <w:color w:val="auto"/>
          <w:kern w:val="0"/>
          <w:sz w:val="24"/>
          <w:szCs w:val="24"/>
          <w:highlight w:val="none"/>
        </w:rPr>
        <w:t>4.4.1</w:t>
      </w:r>
      <w:r>
        <w:rPr>
          <w:rFonts w:hint="eastAsia" w:hAnsi="宋体" w:eastAsia="宋体" w:cs="宋体"/>
          <w:b/>
          <w:bCs/>
          <w:color w:val="auto"/>
          <w:kern w:val="0"/>
          <w:sz w:val="24"/>
          <w:szCs w:val="24"/>
          <w:highlight w:val="none"/>
          <w:lang w:eastAsia="zh-CN"/>
        </w:rPr>
        <w:t xml:space="preserve"> 投标人</w:t>
      </w:r>
      <w:r>
        <w:rPr>
          <w:rFonts w:hint="eastAsia" w:ascii="宋体" w:hAnsi="宋体" w:eastAsia="宋体" w:cs="宋体"/>
          <w:snapToGrid w:val="0"/>
          <w:color w:val="auto"/>
          <w:kern w:val="0"/>
          <w:sz w:val="24"/>
          <w:szCs w:val="24"/>
          <w:highlight w:val="none"/>
        </w:rPr>
        <w:t>不得存在下列情形之一：</w:t>
      </w:r>
    </w:p>
    <w:p w14:paraId="63FB1630">
      <w:pPr>
        <w:pageBreakBefore w:val="0"/>
        <w:kinsoku/>
        <w:wordWrap w:val="0"/>
        <w:overflowPunct/>
        <w:topLinePunct w:val="0"/>
        <w:bidi w:val="0"/>
        <w:adjustRightInd w:val="0"/>
        <w:snapToGrid w:val="0"/>
        <w:spacing w:line="440" w:lineRule="exact"/>
        <w:ind w:firstLine="480" w:firstLineChars="200"/>
        <w:textAlignment w:val="auto"/>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（1）为招标人不具有独立法人资格的附属机构（单位）；</w:t>
      </w:r>
    </w:p>
    <w:p w14:paraId="7899CDAA">
      <w:pPr>
        <w:pageBreakBefore w:val="0"/>
        <w:kinsoku/>
        <w:wordWrap w:val="0"/>
        <w:overflowPunct/>
        <w:topLinePunct w:val="0"/>
        <w:bidi w:val="0"/>
        <w:adjustRightInd w:val="0"/>
        <w:snapToGrid w:val="0"/>
        <w:spacing w:line="440" w:lineRule="exact"/>
        <w:ind w:firstLine="480" w:firstLineChars="200"/>
        <w:textAlignment w:val="auto"/>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（2）为本招标工程前期准备提供咨询服务的；</w:t>
      </w:r>
    </w:p>
    <w:p w14:paraId="75F6D985">
      <w:pPr>
        <w:pageBreakBefore w:val="0"/>
        <w:kinsoku/>
        <w:wordWrap w:val="0"/>
        <w:overflowPunct/>
        <w:topLinePunct w:val="0"/>
        <w:bidi w:val="0"/>
        <w:adjustRightInd w:val="0"/>
        <w:snapToGrid w:val="0"/>
        <w:spacing w:line="440" w:lineRule="exact"/>
        <w:ind w:firstLine="480" w:firstLineChars="200"/>
        <w:textAlignment w:val="auto"/>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（3）与本招标工程的其他投标人为同一个单位负责人；</w:t>
      </w:r>
    </w:p>
    <w:p w14:paraId="046DBC4F">
      <w:pPr>
        <w:pageBreakBefore w:val="0"/>
        <w:kinsoku/>
        <w:wordWrap w:val="0"/>
        <w:overflowPunct/>
        <w:topLinePunct w:val="0"/>
        <w:bidi w:val="0"/>
        <w:adjustRightInd w:val="0"/>
        <w:snapToGrid w:val="0"/>
        <w:spacing w:line="440" w:lineRule="exact"/>
        <w:ind w:firstLine="480" w:firstLineChars="200"/>
        <w:textAlignment w:val="auto"/>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（4）与本招标工程的其他投标人存在控股、管理关系；</w:t>
      </w:r>
    </w:p>
    <w:p w14:paraId="5DFCCB8A">
      <w:pPr>
        <w:pageBreakBefore w:val="0"/>
        <w:kinsoku/>
        <w:wordWrap w:val="0"/>
        <w:overflowPunct/>
        <w:topLinePunct w:val="0"/>
        <w:bidi w:val="0"/>
        <w:adjustRightInd w:val="0"/>
        <w:snapToGrid w:val="0"/>
        <w:spacing w:line="440" w:lineRule="exact"/>
        <w:ind w:firstLine="480" w:firstLineChars="200"/>
        <w:textAlignment w:val="auto"/>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（5）为本招标工程的监理人；</w:t>
      </w:r>
    </w:p>
    <w:p w14:paraId="488D90C3">
      <w:pPr>
        <w:pageBreakBefore w:val="0"/>
        <w:kinsoku/>
        <w:wordWrap w:val="0"/>
        <w:overflowPunct/>
        <w:topLinePunct w:val="0"/>
        <w:bidi w:val="0"/>
        <w:adjustRightInd w:val="0"/>
        <w:snapToGrid w:val="0"/>
        <w:spacing w:line="440" w:lineRule="exact"/>
        <w:ind w:firstLine="480" w:firstLineChars="200"/>
        <w:textAlignment w:val="auto"/>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（6）为本招标工程的代建人；</w:t>
      </w:r>
    </w:p>
    <w:p w14:paraId="67B35425">
      <w:pPr>
        <w:pageBreakBefore w:val="0"/>
        <w:kinsoku/>
        <w:wordWrap w:val="0"/>
        <w:overflowPunct/>
        <w:topLinePunct w:val="0"/>
        <w:bidi w:val="0"/>
        <w:adjustRightInd w:val="0"/>
        <w:snapToGrid w:val="0"/>
        <w:spacing w:line="440" w:lineRule="exact"/>
        <w:ind w:firstLine="480" w:firstLineChars="200"/>
        <w:textAlignment w:val="auto"/>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（7）为本招标工程的招标代理机构；</w:t>
      </w:r>
    </w:p>
    <w:p w14:paraId="4E5E3595">
      <w:pPr>
        <w:pageBreakBefore w:val="0"/>
        <w:kinsoku/>
        <w:wordWrap w:val="0"/>
        <w:overflowPunct/>
        <w:topLinePunct w:val="0"/>
        <w:bidi w:val="0"/>
        <w:adjustRightInd w:val="0"/>
        <w:snapToGrid w:val="0"/>
        <w:spacing w:line="440" w:lineRule="exact"/>
        <w:ind w:firstLine="480" w:firstLineChars="200"/>
        <w:textAlignment w:val="auto"/>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（8）与本招标工程的监理人或代建人或招标代理机构同为一个法定代表人；</w:t>
      </w:r>
    </w:p>
    <w:p w14:paraId="2F128C55">
      <w:pPr>
        <w:pageBreakBefore w:val="0"/>
        <w:kinsoku/>
        <w:wordWrap w:val="0"/>
        <w:overflowPunct/>
        <w:topLinePunct w:val="0"/>
        <w:bidi w:val="0"/>
        <w:adjustRightInd w:val="0"/>
        <w:snapToGrid w:val="0"/>
        <w:spacing w:line="440" w:lineRule="exact"/>
        <w:ind w:firstLine="480" w:firstLineChars="200"/>
        <w:textAlignment w:val="auto"/>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（9）与本招标工程的监理人或代建人或招标代理机构存在控股或参股关系；</w:t>
      </w:r>
    </w:p>
    <w:p w14:paraId="4FD92C45">
      <w:pPr>
        <w:pageBreakBefore w:val="0"/>
        <w:kinsoku/>
        <w:wordWrap w:val="0"/>
        <w:overflowPunct/>
        <w:topLinePunct w:val="0"/>
        <w:bidi w:val="0"/>
        <w:adjustRightInd w:val="0"/>
        <w:snapToGrid w:val="0"/>
        <w:spacing w:line="440" w:lineRule="exact"/>
        <w:ind w:firstLine="480" w:firstLineChars="200"/>
        <w:textAlignment w:val="auto"/>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（10）与本招标工程的监理人或代建人或招标代理机构存在相互任职或工作关系；</w:t>
      </w:r>
    </w:p>
    <w:p w14:paraId="1031C215">
      <w:pPr>
        <w:pageBreakBefore w:val="0"/>
        <w:kinsoku/>
        <w:wordWrap w:val="0"/>
        <w:overflowPunct/>
        <w:topLinePunct w:val="0"/>
        <w:bidi w:val="0"/>
        <w:adjustRightInd w:val="0"/>
        <w:snapToGrid w:val="0"/>
        <w:spacing w:line="440" w:lineRule="exact"/>
        <w:ind w:firstLine="480" w:firstLineChars="200"/>
        <w:textAlignment w:val="auto"/>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（11）被依法暂停或者取消投标资格；</w:t>
      </w:r>
    </w:p>
    <w:p w14:paraId="0904C64C">
      <w:pPr>
        <w:pageBreakBefore w:val="0"/>
        <w:kinsoku/>
        <w:wordWrap w:val="0"/>
        <w:overflowPunct/>
        <w:topLinePunct w:val="0"/>
        <w:bidi w:val="0"/>
        <w:adjustRightInd w:val="0"/>
        <w:snapToGrid w:val="0"/>
        <w:spacing w:line="440" w:lineRule="exact"/>
        <w:ind w:firstLine="480" w:firstLineChars="200"/>
        <w:textAlignment w:val="auto"/>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（12）被责令停产停业、暂扣或者吊销许可证、暂扣或者吊销执照；</w:t>
      </w:r>
    </w:p>
    <w:p w14:paraId="139D66A8">
      <w:pPr>
        <w:pageBreakBefore w:val="0"/>
        <w:kinsoku/>
        <w:wordWrap w:val="0"/>
        <w:overflowPunct/>
        <w:topLinePunct w:val="0"/>
        <w:bidi w:val="0"/>
        <w:adjustRightInd w:val="0"/>
        <w:snapToGrid w:val="0"/>
        <w:spacing w:line="440" w:lineRule="exact"/>
        <w:ind w:firstLine="480" w:firstLineChars="200"/>
        <w:textAlignment w:val="auto"/>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（13）进入清算程序，或被宣告破产，或其他丧失履约能力的情形；</w:t>
      </w:r>
    </w:p>
    <w:p w14:paraId="2AFACF59">
      <w:pPr>
        <w:pageBreakBefore w:val="0"/>
        <w:kinsoku/>
        <w:wordWrap w:val="0"/>
        <w:overflowPunct/>
        <w:topLinePunct w:val="0"/>
        <w:bidi w:val="0"/>
        <w:adjustRightInd w:val="0"/>
        <w:snapToGrid w:val="0"/>
        <w:spacing w:line="440" w:lineRule="exact"/>
        <w:ind w:firstLine="480" w:firstLineChars="200"/>
        <w:textAlignment w:val="auto"/>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（14）在最近三年内发生重大工程质量问题或安全问题（以相关行业主管部门的行政处罚决定或司法机关出具的有关法律文书为准）；</w:t>
      </w:r>
    </w:p>
    <w:p w14:paraId="596450B4">
      <w:pPr>
        <w:pageBreakBefore w:val="0"/>
        <w:kinsoku/>
        <w:wordWrap w:val="0"/>
        <w:overflowPunct/>
        <w:topLinePunct w:val="0"/>
        <w:bidi w:val="0"/>
        <w:adjustRightInd w:val="0"/>
        <w:snapToGrid w:val="0"/>
        <w:spacing w:line="440" w:lineRule="exact"/>
        <w:ind w:firstLine="480" w:firstLineChars="200"/>
        <w:textAlignment w:val="auto"/>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（15）被“信用中国”网站（https://www.creditchina.gov.cn）发布的《法人和非法人组织公共信用信息报告》列入严重失信主体名单的。</w:t>
      </w:r>
    </w:p>
    <w:p w14:paraId="70203786">
      <w:pPr>
        <w:pageBreakBefore w:val="0"/>
        <w:kinsoku/>
        <w:wordWrap w:val="0"/>
        <w:overflowPunct/>
        <w:topLinePunct w:val="0"/>
        <w:bidi w:val="0"/>
        <w:adjustRightInd w:val="0"/>
        <w:snapToGrid w:val="0"/>
        <w:spacing w:line="440" w:lineRule="exact"/>
        <w:ind w:firstLine="482" w:firstLineChars="200"/>
        <w:textAlignment w:val="auto"/>
        <w:rPr>
          <w:rFonts w:hint="eastAsia" w:ascii="宋体" w:hAnsi="宋体" w:eastAsia="宋体" w:cs="宋体"/>
          <w:snapToGrid w:val="0"/>
          <w:color w:val="auto"/>
          <w:kern w:val="0"/>
          <w:sz w:val="24"/>
          <w:szCs w:val="24"/>
          <w:highlight w:val="none"/>
        </w:rPr>
      </w:pPr>
      <w:r>
        <w:rPr>
          <w:rFonts w:hint="eastAsia" w:ascii="宋体" w:hAnsi="宋体" w:eastAsia="宋体" w:cs="宋体"/>
          <w:b/>
          <w:bCs/>
          <w:snapToGrid w:val="0"/>
          <w:color w:val="auto"/>
          <w:kern w:val="0"/>
          <w:sz w:val="24"/>
          <w:szCs w:val="24"/>
          <w:highlight w:val="none"/>
        </w:rPr>
        <w:t>4.4.2</w:t>
      </w:r>
      <w:r>
        <w:rPr>
          <w:rFonts w:hint="eastAsia" w:hAnsi="宋体" w:eastAsia="宋体" w:cs="宋体"/>
          <w:b/>
          <w:bCs/>
          <w:snapToGrid w:val="0"/>
          <w:color w:val="auto"/>
          <w:kern w:val="0"/>
          <w:sz w:val="24"/>
          <w:szCs w:val="24"/>
          <w:highlight w:val="none"/>
          <w:lang w:eastAsia="zh-CN"/>
        </w:rPr>
        <w:t xml:space="preserve"> 招标人</w:t>
      </w:r>
      <w:r>
        <w:rPr>
          <w:rFonts w:hint="eastAsia" w:ascii="宋体" w:hAnsi="宋体" w:eastAsia="宋体" w:cs="宋体"/>
          <w:snapToGrid w:val="0"/>
          <w:color w:val="auto"/>
          <w:kern w:val="0"/>
          <w:sz w:val="24"/>
          <w:szCs w:val="24"/>
          <w:highlight w:val="none"/>
        </w:rPr>
        <w:t>拒绝以下名单中的单位参加本次投标：</w:t>
      </w:r>
    </w:p>
    <w:tbl>
      <w:tblPr>
        <w:tblStyle w:val="23"/>
        <w:tblW w:w="9379" w:type="dxa"/>
        <w:tblInd w:w="9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56"/>
        <w:gridCol w:w="4576"/>
        <w:gridCol w:w="3847"/>
      </w:tblGrid>
      <w:tr w14:paraId="0CBAC8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6" w:hRule="atLeast"/>
        </w:trPr>
        <w:tc>
          <w:tcPr>
            <w:tcW w:w="956" w:type="dxa"/>
            <w:vAlign w:val="center"/>
          </w:tcPr>
          <w:p w14:paraId="5C13595F">
            <w:pPr>
              <w:pStyle w:val="8"/>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序号</w:t>
            </w:r>
          </w:p>
        </w:tc>
        <w:tc>
          <w:tcPr>
            <w:tcW w:w="4576" w:type="dxa"/>
            <w:vAlign w:val="center"/>
          </w:tcPr>
          <w:p w14:paraId="65B6C48D">
            <w:pPr>
              <w:pStyle w:val="8"/>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单位名称</w:t>
            </w:r>
          </w:p>
        </w:tc>
        <w:tc>
          <w:tcPr>
            <w:tcW w:w="3847" w:type="dxa"/>
            <w:vAlign w:val="center"/>
          </w:tcPr>
          <w:p w14:paraId="568E32BB">
            <w:pPr>
              <w:pStyle w:val="8"/>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拒绝原因</w:t>
            </w:r>
          </w:p>
        </w:tc>
      </w:tr>
      <w:tr w14:paraId="363244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2" w:hRule="atLeast"/>
        </w:trPr>
        <w:tc>
          <w:tcPr>
            <w:tcW w:w="956" w:type="dxa"/>
            <w:vAlign w:val="center"/>
          </w:tcPr>
          <w:p w14:paraId="570B9343">
            <w:pPr>
              <w:pStyle w:val="8"/>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w:t>
            </w:r>
          </w:p>
        </w:tc>
        <w:tc>
          <w:tcPr>
            <w:tcW w:w="4576" w:type="dxa"/>
            <w:vAlign w:val="center"/>
          </w:tcPr>
          <w:p w14:paraId="44EFCA1A">
            <w:pPr>
              <w:pStyle w:val="8"/>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left"/>
              <w:textAlignment w:val="auto"/>
              <w:rPr>
                <w:rFonts w:hint="eastAsia" w:ascii="宋体" w:hAnsi="宋体" w:eastAsia="宋体" w:cs="宋体"/>
                <w:color w:val="auto"/>
                <w:sz w:val="24"/>
                <w:szCs w:val="24"/>
                <w:highlight w:val="none"/>
                <w:lang w:eastAsia="zh-CN"/>
              </w:rPr>
            </w:pPr>
            <w:r>
              <w:rPr>
                <w:rFonts w:hint="eastAsia" w:hAnsi="宋体" w:eastAsia="宋体" w:cs="宋体"/>
                <w:color w:val="auto"/>
                <w:sz w:val="24"/>
                <w:szCs w:val="24"/>
                <w:highlight w:val="none"/>
                <w:lang w:eastAsia="zh-CN"/>
              </w:rPr>
              <w:t>韶关市金沁城市更新投资有限公司</w:t>
            </w:r>
          </w:p>
        </w:tc>
        <w:tc>
          <w:tcPr>
            <w:tcW w:w="3847" w:type="dxa"/>
            <w:vAlign w:val="center"/>
          </w:tcPr>
          <w:p w14:paraId="478951D1">
            <w:pPr>
              <w:pStyle w:val="8"/>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为本招标项目的招标人</w:t>
            </w:r>
          </w:p>
        </w:tc>
      </w:tr>
      <w:tr w14:paraId="51C31B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2" w:hRule="atLeast"/>
        </w:trPr>
        <w:tc>
          <w:tcPr>
            <w:tcW w:w="956" w:type="dxa"/>
            <w:vAlign w:val="center"/>
          </w:tcPr>
          <w:p w14:paraId="2F58C342">
            <w:pPr>
              <w:pStyle w:val="8"/>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w:t>
            </w:r>
          </w:p>
        </w:tc>
        <w:tc>
          <w:tcPr>
            <w:tcW w:w="4576" w:type="dxa"/>
            <w:vAlign w:val="center"/>
          </w:tcPr>
          <w:p w14:paraId="61B024B5">
            <w:pPr>
              <w:pStyle w:val="8"/>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left"/>
              <w:textAlignment w:val="auto"/>
              <w:rPr>
                <w:rFonts w:hint="eastAsia" w:ascii="宋体" w:hAnsi="宋体" w:eastAsia="宋体" w:cs="宋体"/>
                <w:color w:val="auto"/>
                <w:sz w:val="24"/>
                <w:szCs w:val="24"/>
                <w:highlight w:val="none"/>
                <w:lang w:eastAsia="zh-CN"/>
              </w:rPr>
            </w:pPr>
            <w:r>
              <w:rPr>
                <w:rFonts w:hint="eastAsia" w:hAnsi="宋体" w:eastAsia="宋体" w:cs="宋体"/>
                <w:color w:val="auto"/>
                <w:sz w:val="24"/>
                <w:szCs w:val="24"/>
                <w:highlight w:val="none"/>
                <w:lang w:eastAsia="zh-CN"/>
              </w:rPr>
              <w:t>韶关市金沁城市更新投资有限公司</w:t>
            </w:r>
          </w:p>
        </w:tc>
        <w:tc>
          <w:tcPr>
            <w:tcW w:w="3847" w:type="dxa"/>
            <w:vAlign w:val="center"/>
          </w:tcPr>
          <w:p w14:paraId="5B81FDD2">
            <w:pPr>
              <w:pStyle w:val="8"/>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为本招标项目的业主单位</w:t>
            </w:r>
          </w:p>
        </w:tc>
      </w:tr>
      <w:tr w14:paraId="21B8C7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2" w:hRule="atLeast"/>
        </w:trPr>
        <w:tc>
          <w:tcPr>
            <w:tcW w:w="956" w:type="dxa"/>
            <w:vAlign w:val="center"/>
          </w:tcPr>
          <w:p w14:paraId="43BAF574">
            <w:pPr>
              <w:pStyle w:val="8"/>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3</w:t>
            </w:r>
          </w:p>
        </w:tc>
        <w:tc>
          <w:tcPr>
            <w:tcW w:w="4576" w:type="dxa"/>
            <w:vAlign w:val="center"/>
          </w:tcPr>
          <w:p w14:paraId="5307E236">
            <w:pPr>
              <w:pStyle w:val="8"/>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left"/>
              <w:textAlignment w:val="auto"/>
              <w:rPr>
                <w:rFonts w:hint="eastAsia" w:ascii="宋体" w:hAnsi="宋体" w:eastAsia="宋体" w:cs="宋体"/>
                <w:color w:val="auto"/>
                <w:sz w:val="24"/>
                <w:szCs w:val="24"/>
                <w:highlight w:val="none"/>
                <w:lang w:eastAsia="zh-CN"/>
              </w:rPr>
            </w:pPr>
            <w:r>
              <w:rPr>
                <w:rFonts w:hint="eastAsia" w:hAnsi="宋体" w:eastAsia="宋体" w:cs="宋体"/>
                <w:color w:val="auto"/>
                <w:sz w:val="24"/>
                <w:szCs w:val="24"/>
                <w:highlight w:val="none"/>
                <w:lang w:eastAsia="zh-CN"/>
              </w:rPr>
              <w:t>韶关市建韶工程造价咨询有限公司</w:t>
            </w:r>
          </w:p>
        </w:tc>
        <w:tc>
          <w:tcPr>
            <w:tcW w:w="3847" w:type="dxa"/>
            <w:vAlign w:val="center"/>
          </w:tcPr>
          <w:p w14:paraId="0640226C">
            <w:pPr>
              <w:pStyle w:val="8"/>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为本招标项目的招标代理机构</w:t>
            </w:r>
          </w:p>
        </w:tc>
      </w:tr>
      <w:tr w14:paraId="78B20D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2" w:hRule="atLeast"/>
        </w:trPr>
        <w:tc>
          <w:tcPr>
            <w:tcW w:w="956" w:type="dxa"/>
            <w:vAlign w:val="center"/>
          </w:tcPr>
          <w:p w14:paraId="19AEB0DA">
            <w:pPr>
              <w:pStyle w:val="8"/>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4</w:t>
            </w:r>
          </w:p>
        </w:tc>
        <w:tc>
          <w:tcPr>
            <w:tcW w:w="4576" w:type="dxa"/>
            <w:vAlign w:val="center"/>
          </w:tcPr>
          <w:p w14:paraId="778BAE9D">
            <w:pPr>
              <w:pStyle w:val="8"/>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left"/>
              <w:textAlignment w:val="auto"/>
              <w:rPr>
                <w:rFonts w:hint="eastAsia" w:ascii="宋体" w:hAnsi="宋体" w:eastAsia="宋体" w:cs="宋体"/>
                <w:color w:val="auto"/>
                <w:sz w:val="24"/>
                <w:szCs w:val="24"/>
                <w:highlight w:val="none"/>
                <w:lang w:val="en-US" w:eastAsia="zh-CN"/>
              </w:rPr>
            </w:pPr>
            <w:r>
              <w:rPr>
                <w:rFonts w:hint="eastAsia" w:hAnsi="宋体" w:eastAsia="宋体" w:cs="宋体"/>
                <w:color w:val="auto"/>
                <w:sz w:val="24"/>
                <w:szCs w:val="24"/>
                <w:highlight w:val="none"/>
                <w:lang w:eastAsia="zh-CN"/>
              </w:rPr>
              <w:t>广东粤能工程管理有限公司</w:t>
            </w:r>
          </w:p>
        </w:tc>
        <w:tc>
          <w:tcPr>
            <w:tcW w:w="3847" w:type="dxa"/>
            <w:vAlign w:val="center"/>
          </w:tcPr>
          <w:p w14:paraId="252D1C8F">
            <w:pPr>
              <w:pStyle w:val="8"/>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为本招标项目的</w:t>
            </w:r>
            <w:r>
              <w:rPr>
                <w:rFonts w:hint="eastAsia" w:hAnsi="宋体" w:eastAsia="宋体" w:cs="宋体"/>
                <w:color w:val="auto"/>
                <w:sz w:val="24"/>
                <w:szCs w:val="24"/>
                <w:highlight w:val="none"/>
                <w:lang w:eastAsia="zh-CN"/>
              </w:rPr>
              <w:t>可行性研究</w:t>
            </w:r>
            <w:r>
              <w:rPr>
                <w:rFonts w:hint="eastAsia" w:ascii="宋体" w:hAnsi="宋体" w:eastAsia="宋体" w:cs="宋体"/>
                <w:color w:val="auto"/>
                <w:sz w:val="24"/>
                <w:szCs w:val="24"/>
                <w:highlight w:val="none"/>
                <w:lang w:val="en-US" w:eastAsia="zh-CN"/>
              </w:rPr>
              <w:t>报告</w:t>
            </w:r>
            <w:r>
              <w:rPr>
                <w:rFonts w:hint="eastAsia" w:hAnsi="宋体" w:eastAsia="宋体" w:cs="宋体"/>
                <w:color w:val="auto"/>
                <w:sz w:val="24"/>
                <w:szCs w:val="24"/>
                <w:highlight w:val="none"/>
                <w:lang w:val="en-US" w:eastAsia="zh-CN"/>
              </w:rPr>
              <w:t>编制</w:t>
            </w:r>
            <w:r>
              <w:rPr>
                <w:rFonts w:hint="eastAsia" w:ascii="宋体" w:hAnsi="宋体" w:eastAsia="宋体" w:cs="宋体"/>
                <w:color w:val="auto"/>
                <w:sz w:val="24"/>
                <w:szCs w:val="24"/>
                <w:highlight w:val="none"/>
                <w:lang w:eastAsia="zh-CN"/>
              </w:rPr>
              <w:t>单位</w:t>
            </w:r>
          </w:p>
        </w:tc>
      </w:tr>
      <w:tr w14:paraId="200827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2" w:hRule="atLeast"/>
        </w:trPr>
        <w:tc>
          <w:tcPr>
            <w:tcW w:w="956" w:type="dxa"/>
            <w:vAlign w:val="center"/>
          </w:tcPr>
          <w:p w14:paraId="6FA42DE7">
            <w:pPr>
              <w:pStyle w:val="8"/>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eastAsia" w:ascii="宋体" w:hAnsi="宋体" w:eastAsia="宋体" w:cs="宋体"/>
                <w:color w:val="auto"/>
                <w:sz w:val="24"/>
                <w:szCs w:val="24"/>
                <w:highlight w:val="none"/>
                <w:lang w:val="en-US" w:eastAsia="zh-CN"/>
              </w:rPr>
            </w:pPr>
            <w:r>
              <w:rPr>
                <w:rFonts w:hint="eastAsia" w:hAnsi="宋体" w:eastAsia="宋体" w:cs="宋体"/>
                <w:color w:val="auto"/>
                <w:sz w:val="24"/>
                <w:szCs w:val="24"/>
                <w:highlight w:val="none"/>
                <w:lang w:val="en-US" w:eastAsia="zh-CN"/>
              </w:rPr>
              <w:t>5</w:t>
            </w:r>
          </w:p>
        </w:tc>
        <w:tc>
          <w:tcPr>
            <w:tcW w:w="4576" w:type="dxa"/>
            <w:vAlign w:val="center"/>
          </w:tcPr>
          <w:p w14:paraId="1DE02A02">
            <w:pPr>
              <w:pStyle w:val="8"/>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left"/>
              <w:textAlignment w:val="auto"/>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深圳奥雅设计股份有限公司、中凡国际工程设计有限公司</w:t>
            </w:r>
          </w:p>
        </w:tc>
        <w:tc>
          <w:tcPr>
            <w:tcW w:w="3847" w:type="dxa"/>
            <w:vAlign w:val="center"/>
          </w:tcPr>
          <w:p w14:paraId="26FAC1D6">
            <w:pPr>
              <w:pStyle w:val="8"/>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left"/>
              <w:textAlignment w:val="auto"/>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为本招标项目的</w:t>
            </w:r>
            <w:r>
              <w:rPr>
                <w:rFonts w:hint="eastAsia" w:ascii="宋体" w:hAnsi="宋体" w:eastAsia="宋体" w:cs="宋体"/>
                <w:color w:val="auto"/>
                <w:sz w:val="24"/>
                <w:szCs w:val="24"/>
                <w:highlight w:val="none"/>
                <w:lang w:val="en-US" w:eastAsia="zh-CN"/>
              </w:rPr>
              <w:t>初步设计</w:t>
            </w:r>
            <w:r>
              <w:rPr>
                <w:rFonts w:hint="eastAsia" w:ascii="宋体" w:hAnsi="宋体" w:eastAsia="宋体" w:cs="宋体"/>
                <w:color w:val="auto"/>
                <w:sz w:val="24"/>
                <w:szCs w:val="24"/>
                <w:highlight w:val="none"/>
                <w:lang w:eastAsia="zh-CN"/>
              </w:rPr>
              <w:t>单位</w:t>
            </w:r>
          </w:p>
        </w:tc>
      </w:tr>
      <w:tr w14:paraId="02831B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7" w:hRule="atLeast"/>
        </w:trPr>
        <w:tc>
          <w:tcPr>
            <w:tcW w:w="956" w:type="dxa"/>
            <w:vAlign w:val="center"/>
          </w:tcPr>
          <w:p w14:paraId="7B2D969B">
            <w:pPr>
              <w:pStyle w:val="8"/>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hAnsi="宋体" w:eastAsia="宋体" w:cs="宋体"/>
                <w:color w:val="auto"/>
                <w:sz w:val="24"/>
                <w:szCs w:val="24"/>
                <w:highlight w:val="none"/>
                <w:lang w:val="en-US" w:eastAsia="zh-CN"/>
              </w:rPr>
            </w:pPr>
            <w:r>
              <w:rPr>
                <w:rFonts w:hint="eastAsia" w:hAnsi="宋体" w:eastAsia="宋体" w:cs="宋体"/>
                <w:color w:val="auto"/>
                <w:sz w:val="24"/>
                <w:szCs w:val="24"/>
                <w:highlight w:val="none"/>
                <w:lang w:val="en-US" w:eastAsia="zh-CN"/>
              </w:rPr>
              <w:t>6</w:t>
            </w:r>
          </w:p>
        </w:tc>
        <w:tc>
          <w:tcPr>
            <w:tcW w:w="4576" w:type="dxa"/>
            <w:shd w:val="clear" w:color="auto" w:fill="auto"/>
            <w:vAlign w:val="center"/>
          </w:tcPr>
          <w:p w14:paraId="33629371">
            <w:pPr>
              <w:pStyle w:val="8"/>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left"/>
              <w:textAlignment w:val="auto"/>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sz w:val="24"/>
                <w:szCs w:val="24"/>
                <w:highlight w:val="none"/>
              </w:rPr>
              <w:t>待定</w:t>
            </w:r>
          </w:p>
        </w:tc>
        <w:tc>
          <w:tcPr>
            <w:tcW w:w="3847" w:type="dxa"/>
            <w:shd w:val="clear" w:color="auto" w:fill="auto"/>
            <w:vAlign w:val="center"/>
          </w:tcPr>
          <w:p w14:paraId="3F74515B">
            <w:pPr>
              <w:pStyle w:val="8"/>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left"/>
              <w:textAlignment w:val="auto"/>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sz w:val="24"/>
                <w:szCs w:val="24"/>
                <w:highlight w:val="none"/>
              </w:rPr>
              <w:t>为本招标项目的监理单位</w:t>
            </w:r>
          </w:p>
        </w:tc>
      </w:tr>
    </w:tbl>
    <w:p w14:paraId="337D225F">
      <w:pPr>
        <w:pageBreakBefore w:val="0"/>
        <w:kinsoku/>
        <w:wordWrap w:val="0"/>
        <w:overflowPunct/>
        <w:topLinePunct w:val="0"/>
        <w:bidi w:val="0"/>
        <w:adjustRightInd w:val="0"/>
        <w:snapToGrid w:val="0"/>
        <w:spacing w:line="440" w:lineRule="exact"/>
        <w:ind w:firstLine="482" w:firstLineChars="200"/>
        <w:jc w:val="left"/>
        <w:textAlignment w:val="auto"/>
        <w:rPr>
          <w:rFonts w:hint="eastAsia" w:ascii="宋体" w:hAnsi="宋体" w:eastAsia="宋体" w:cs="宋体"/>
          <w:b/>
          <w:bCs/>
          <w:snapToGrid w:val="0"/>
          <w:color w:val="auto"/>
          <w:kern w:val="0"/>
          <w:sz w:val="24"/>
          <w:szCs w:val="24"/>
          <w:highlight w:val="none"/>
        </w:rPr>
      </w:pPr>
    </w:p>
    <w:p w14:paraId="5AC1320A">
      <w:pPr>
        <w:pageBreakBefore w:val="0"/>
        <w:kinsoku/>
        <w:wordWrap w:val="0"/>
        <w:overflowPunct/>
        <w:topLinePunct w:val="0"/>
        <w:bidi w:val="0"/>
        <w:adjustRightInd w:val="0"/>
        <w:snapToGrid w:val="0"/>
        <w:spacing w:line="440" w:lineRule="exact"/>
        <w:ind w:firstLine="482" w:firstLineChars="200"/>
        <w:jc w:val="left"/>
        <w:textAlignment w:val="auto"/>
        <w:rPr>
          <w:rFonts w:hint="eastAsia" w:ascii="宋体" w:hAnsi="宋体" w:eastAsia="宋体" w:cs="宋体"/>
          <w:snapToGrid w:val="0"/>
          <w:color w:val="auto"/>
          <w:kern w:val="0"/>
          <w:sz w:val="24"/>
          <w:szCs w:val="24"/>
          <w:highlight w:val="none"/>
        </w:rPr>
      </w:pPr>
      <w:r>
        <w:rPr>
          <w:rFonts w:hint="eastAsia" w:ascii="宋体" w:hAnsi="宋体" w:eastAsia="宋体" w:cs="宋体"/>
          <w:b/>
          <w:bCs/>
          <w:snapToGrid w:val="0"/>
          <w:color w:val="auto"/>
          <w:kern w:val="0"/>
          <w:sz w:val="24"/>
          <w:szCs w:val="24"/>
          <w:highlight w:val="none"/>
        </w:rPr>
        <w:t>4.5</w:t>
      </w:r>
      <w:r>
        <w:rPr>
          <w:rFonts w:hint="eastAsia" w:ascii="宋体" w:hAnsi="宋体" w:eastAsia="宋体" w:cs="宋体"/>
          <w:snapToGrid w:val="0"/>
          <w:color w:val="auto"/>
          <w:kern w:val="0"/>
          <w:sz w:val="24"/>
          <w:szCs w:val="24"/>
          <w:highlight w:val="none"/>
        </w:rPr>
        <w:t>省外企业（包括组成联合体的所有成员单位）</w:t>
      </w:r>
      <w:r>
        <w:rPr>
          <w:rFonts w:hint="eastAsia" w:ascii="宋体" w:hAnsi="宋体" w:eastAsia="宋体" w:cs="宋体"/>
          <w:color w:val="auto"/>
          <w:sz w:val="24"/>
          <w:szCs w:val="24"/>
          <w:highlight w:val="none"/>
        </w:rPr>
        <w:t>及其拟派往本项目管理机构的所有人员均</w:t>
      </w:r>
      <w:r>
        <w:rPr>
          <w:rFonts w:hint="eastAsia" w:ascii="宋体" w:hAnsi="宋体" w:eastAsia="宋体" w:cs="宋体"/>
          <w:snapToGrid w:val="0"/>
          <w:color w:val="auto"/>
          <w:kern w:val="0"/>
          <w:sz w:val="24"/>
          <w:szCs w:val="24"/>
          <w:highlight w:val="none"/>
        </w:rPr>
        <w:t>须按照《广东省住房和城乡建设厅关于取消省外建筑企业和人员进粤信息备案有关工作的通知》（粤建市﹝2015﹞52号）规定在“进粤企业和人员诚信信息登记平台”录入相关信息并通过数据规范检查。</w:t>
      </w:r>
    </w:p>
    <w:p w14:paraId="4623CF04">
      <w:pPr>
        <w:pStyle w:val="39"/>
        <w:keepNext/>
        <w:keepLines/>
        <w:pageBreakBefore w:val="0"/>
        <w:kinsoku/>
        <w:overflowPunct/>
        <w:topLinePunct w:val="0"/>
        <w:bidi w:val="0"/>
        <w:spacing w:line="440" w:lineRule="exact"/>
        <w:ind w:firstLine="482" w:firstLineChars="200"/>
        <w:jc w:val="both"/>
        <w:textAlignment w:val="auto"/>
        <w:rPr>
          <w:rFonts w:hint="eastAsia" w:ascii="宋体" w:hAnsi="宋体" w:eastAsia="宋体" w:cs="宋体"/>
          <w:b/>
          <w:color w:val="auto"/>
          <w:kern w:val="2"/>
          <w:sz w:val="24"/>
          <w:szCs w:val="24"/>
          <w:highlight w:val="none"/>
        </w:rPr>
      </w:pPr>
      <w:bookmarkStart w:id="64" w:name="_Toc18979"/>
      <w:bookmarkStart w:id="65" w:name="_Toc8294"/>
      <w:bookmarkStart w:id="66" w:name="_Toc24391"/>
      <w:bookmarkStart w:id="67" w:name="_Toc3094"/>
      <w:bookmarkStart w:id="68" w:name="_Toc3588"/>
      <w:bookmarkStart w:id="69" w:name="_Toc19842"/>
      <w:bookmarkStart w:id="70" w:name="_Toc20378"/>
      <w:bookmarkStart w:id="71" w:name="_Toc17645"/>
      <w:bookmarkStart w:id="72" w:name="_Toc2707"/>
      <w:r>
        <w:rPr>
          <w:rFonts w:hint="eastAsia" w:ascii="宋体" w:hAnsi="宋体" w:eastAsia="宋体" w:cs="宋体"/>
          <w:b/>
          <w:color w:val="auto"/>
          <w:kern w:val="2"/>
          <w:sz w:val="24"/>
          <w:szCs w:val="24"/>
          <w:highlight w:val="none"/>
        </w:rPr>
        <w:t>5</w:t>
      </w:r>
      <w:r>
        <w:rPr>
          <w:rFonts w:hint="eastAsia" w:hAnsi="宋体" w:cs="宋体"/>
          <w:b/>
          <w:color w:val="auto"/>
          <w:kern w:val="2"/>
          <w:sz w:val="24"/>
          <w:szCs w:val="24"/>
          <w:highlight w:val="none"/>
          <w:lang w:eastAsia="zh-CN"/>
        </w:rPr>
        <w:t xml:space="preserve">. </w:t>
      </w:r>
      <w:r>
        <w:rPr>
          <w:rFonts w:hint="eastAsia" w:ascii="宋体" w:hAnsi="宋体" w:eastAsia="宋体" w:cs="宋体"/>
          <w:b/>
          <w:color w:val="auto"/>
          <w:kern w:val="2"/>
          <w:sz w:val="24"/>
          <w:szCs w:val="24"/>
          <w:highlight w:val="none"/>
        </w:rPr>
        <w:t>工程招标内容及要求</w:t>
      </w:r>
      <w:bookmarkEnd w:id="64"/>
      <w:bookmarkEnd w:id="65"/>
      <w:bookmarkEnd w:id="66"/>
      <w:bookmarkEnd w:id="67"/>
      <w:bookmarkEnd w:id="68"/>
      <w:bookmarkEnd w:id="69"/>
      <w:bookmarkEnd w:id="70"/>
      <w:bookmarkEnd w:id="71"/>
      <w:bookmarkEnd w:id="72"/>
    </w:p>
    <w:p w14:paraId="08F5B85A">
      <w:pPr>
        <w:pStyle w:val="45"/>
        <w:pageBreakBefore w:val="0"/>
        <w:widowControl/>
        <w:kinsoku/>
        <w:overflowPunct/>
        <w:topLinePunct w:val="0"/>
        <w:bidi w:val="0"/>
        <w:spacing w:line="440" w:lineRule="exact"/>
        <w:ind w:firstLine="480" w:firstLineChars="20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eastAsia="zh-CN"/>
        </w:rPr>
        <w:t>设计阶段包括所有相关报建、报批、施工设计文件、施工图设计、</w:t>
      </w:r>
      <w:r>
        <w:rPr>
          <w:rFonts w:hint="eastAsia" w:ascii="宋体" w:hAnsi="宋体" w:cs="宋体"/>
          <w:color w:val="auto"/>
          <w:sz w:val="24"/>
          <w:szCs w:val="24"/>
          <w:highlight w:val="none"/>
          <w:lang w:val="en-US" w:eastAsia="zh-CN"/>
        </w:rPr>
        <w:t>施工图技术审查、</w:t>
      </w:r>
      <w:r>
        <w:rPr>
          <w:rFonts w:hint="eastAsia" w:ascii="宋体" w:hAnsi="宋体" w:eastAsia="宋体" w:cs="宋体"/>
          <w:color w:val="auto"/>
          <w:sz w:val="24"/>
          <w:szCs w:val="24"/>
          <w:highlight w:val="none"/>
          <w:lang w:eastAsia="zh-CN"/>
        </w:rPr>
        <w:t>施工图预算（含工程量清单）及施工配合、后续设计服务工作等</w:t>
      </w:r>
      <w:r>
        <w:rPr>
          <w:rFonts w:hint="eastAsia" w:ascii="宋体" w:hAnsi="宋体" w:cs="宋体"/>
          <w:color w:val="auto"/>
          <w:sz w:val="24"/>
          <w:szCs w:val="24"/>
          <w:highlight w:val="none"/>
          <w:lang w:eastAsia="zh-CN"/>
        </w:rPr>
        <w:t>。</w:t>
      </w:r>
    </w:p>
    <w:p w14:paraId="7E91EE58">
      <w:pPr>
        <w:pStyle w:val="45"/>
        <w:pageBreakBefore w:val="0"/>
        <w:widowControl/>
        <w:kinsoku/>
        <w:overflowPunct/>
        <w:topLinePunct w:val="0"/>
        <w:bidi w:val="0"/>
        <w:spacing w:line="440" w:lineRule="exact"/>
        <w:ind w:firstLine="480" w:firstLineChars="200"/>
        <w:jc w:val="left"/>
        <w:textAlignment w:val="auto"/>
        <w:rPr>
          <w:rFonts w:hint="eastAsia" w:ascii="宋体" w:hAnsi="宋体" w:eastAsia="宋体" w:cs="宋体"/>
          <w:b/>
          <w:bCs/>
          <w:snapToGrid w:val="0"/>
          <w:color w:val="auto"/>
          <w:kern w:val="0"/>
          <w:sz w:val="24"/>
          <w:szCs w:val="24"/>
          <w:highlight w:val="none"/>
        </w:rPr>
      </w:pPr>
      <w:r>
        <w:rPr>
          <w:rFonts w:hint="eastAsia" w:ascii="宋体" w:hAnsi="宋体" w:eastAsia="宋体" w:cs="宋体"/>
          <w:color w:val="auto"/>
          <w:sz w:val="24"/>
          <w:szCs w:val="24"/>
          <w:highlight w:val="none"/>
        </w:rPr>
        <w:t>施工包括施工图设计文件及工程量清单范围内的所有工程及配套设施等的施工</w:t>
      </w:r>
      <w:r>
        <w:rPr>
          <w:rFonts w:hint="eastAsia" w:ascii="宋体" w:hAnsi="宋体" w:cs="宋体"/>
          <w:color w:val="auto"/>
          <w:sz w:val="24"/>
          <w:szCs w:val="24"/>
          <w:highlight w:val="none"/>
          <w:lang w:eastAsia="zh-CN"/>
        </w:rPr>
        <w:t>、</w:t>
      </w:r>
      <w:r>
        <w:rPr>
          <w:rFonts w:hint="eastAsia" w:ascii="宋体" w:hAnsi="宋体" w:eastAsia="宋体" w:cs="宋体"/>
          <w:color w:val="auto"/>
          <w:sz w:val="24"/>
          <w:szCs w:val="24"/>
          <w:highlight w:val="none"/>
        </w:rPr>
        <w:t>配合阶段验收、档案整理、保修期维护等总承包范围工作。</w:t>
      </w:r>
    </w:p>
    <w:p w14:paraId="03A94DB4">
      <w:pPr>
        <w:pageBreakBefore w:val="0"/>
        <w:kinsoku/>
        <w:overflowPunct/>
        <w:topLinePunct w:val="0"/>
        <w:bidi w:val="0"/>
        <w:adjustRightInd w:val="0"/>
        <w:snapToGrid w:val="0"/>
        <w:spacing w:line="440" w:lineRule="exact"/>
        <w:ind w:firstLine="482" w:firstLineChars="200"/>
        <w:textAlignment w:val="auto"/>
        <w:rPr>
          <w:rFonts w:hint="eastAsia" w:ascii="宋体" w:hAnsi="宋体" w:eastAsia="宋体" w:cs="宋体"/>
          <w:b/>
          <w:bCs/>
          <w:snapToGrid w:val="0"/>
          <w:color w:val="auto"/>
          <w:kern w:val="0"/>
          <w:sz w:val="24"/>
          <w:szCs w:val="24"/>
          <w:highlight w:val="none"/>
        </w:rPr>
      </w:pPr>
      <w:r>
        <w:rPr>
          <w:rFonts w:hint="eastAsia" w:ascii="宋体" w:hAnsi="宋体" w:eastAsia="宋体" w:cs="宋体"/>
          <w:b/>
          <w:bCs/>
          <w:snapToGrid w:val="0"/>
          <w:color w:val="auto"/>
          <w:kern w:val="0"/>
          <w:sz w:val="24"/>
          <w:szCs w:val="24"/>
          <w:highlight w:val="none"/>
        </w:rPr>
        <w:t>5.1</w:t>
      </w:r>
      <w:r>
        <w:rPr>
          <w:rFonts w:hint="eastAsia" w:hAnsi="宋体" w:eastAsia="宋体" w:cs="宋体"/>
          <w:b/>
          <w:bCs/>
          <w:snapToGrid w:val="0"/>
          <w:color w:val="auto"/>
          <w:kern w:val="0"/>
          <w:sz w:val="24"/>
          <w:szCs w:val="24"/>
          <w:highlight w:val="none"/>
          <w:lang w:eastAsia="zh-CN"/>
        </w:rPr>
        <w:t xml:space="preserve"> 本次</w:t>
      </w:r>
      <w:r>
        <w:rPr>
          <w:rFonts w:hint="eastAsia" w:ascii="宋体" w:hAnsi="宋体" w:eastAsia="宋体" w:cs="宋体"/>
          <w:b/>
          <w:bCs/>
          <w:snapToGrid w:val="0"/>
          <w:color w:val="auto"/>
          <w:kern w:val="0"/>
          <w:sz w:val="24"/>
          <w:szCs w:val="24"/>
          <w:highlight w:val="none"/>
        </w:rPr>
        <w:t>设计工程的内容及要求</w:t>
      </w:r>
    </w:p>
    <w:p w14:paraId="18FA626B">
      <w:pPr>
        <w:pageBreakBefore w:val="0"/>
        <w:kinsoku/>
        <w:overflowPunct/>
        <w:topLinePunct w:val="0"/>
        <w:bidi w:val="0"/>
        <w:adjustRightInd w:val="0"/>
        <w:snapToGrid w:val="0"/>
        <w:spacing w:line="440" w:lineRule="exact"/>
        <w:ind w:firstLine="482" w:firstLineChars="200"/>
        <w:textAlignment w:val="auto"/>
        <w:rPr>
          <w:rFonts w:hint="eastAsia" w:ascii="宋体" w:hAnsi="宋体" w:eastAsia="宋体" w:cs="宋体"/>
          <w:snapToGrid w:val="0"/>
          <w:color w:val="auto"/>
          <w:kern w:val="0"/>
          <w:sz w:val="24"/>
          <w:szCs w:val="24"/>
          <w:highlight w:val="none"/>
        </w:rPr>
      </w:pPr>
      <w:r>
        <w:rPr>
          <w:rFonts w:hint="eastAsia" w:ascii="宋体" w:hAnsi="宋体" w:eastAsia="宋体" w:cs="宋体"/>
          <w:b/>
          <w:bCs/>
          <w:snapToGrid w:val="0"/>
          <w:color w:val="auto"/>
          <w:kern w:val="0"/>
          <w:sz w:val="24"/>
          <w:szCs w:val="24"/>
          <w:highlight w:val="none"/>
        </w:rPr>
        <w:t>5.</w:t>
      </w:r>
      <w:r>
        <w:rPr>
          <w:rFonts w:hint="eastAsia" w:hAnsi="宋体" w:eastAsia="宋体" w:cs="宋体"/>
          <w:b/>
          <w:bCs/>
          <w:snapToGrid w:val="0"/>
          <w:color w:val="auto"/>
          <w:kern w:val="0"/>
          <w:sz w:val="24"/>
          <w:szCs w:val="24"/>
          <w:highlight w:val="none"/>
          <w:lang w:eastAsia="zh-CN"/>
        </w:rPr>
        <w:t>1</w:t>
      </w:r>
      <w:r>
        <w:rPr>
          <w:rFonts w:hint="eastAsia" w:ascii="宋体" w:hAnsi="宋体" w:eastAsia="宋体" w:cs="宋体"/>
          <w:b/>
          <w:bCs/>
          <w:snapToGrid w:val="0"/>
          <w:color w:val="auto"/>
          <w:kern w:val="0"/>
          <w:sz w:val="24"/>
          <w:szCs w:val="24"/>
          <w:highlight w:val="none"/>
        </w:rPr>
        <w:t>.1</w:t>
      </w:r>
      <w:r>
        <w:rPr>
          <w:rFonts w:hint="eastAsia" w:hAnsi="宋体" w:eastAsia="宋体" w:cs="宋体"/>
          <w:b/>
          <w:bCs/>
          <w:snapToGrid w:val="0"/>
          <w:color w:val="auto"/>
          <w:kern w:val="0"/>
          <w:sz w:val="24"/>
          <w:szCs w:val="24"/>
          <w:highlight w:val="none"/>
          <w:lang w:eastAsia="zh-CN"/>
        </w:rPr>
        <w:t xml:space="preserve"> 本次</w:t>
      </w:r>
      <w:r>
        <w:rPr>
          <w:rFonts w:hint="eastAsia" w:ascii="宋体" w:hAnsi="宋体" w:eastAsia="宋体" w:cs="宋体"/>
          <w:snapToGrid w:val="0"/>
          <w:color w:val="auto"/>
          <w:kern w:val="0"/>
          <w:sz w:val="24"/>
          <w:szCs w:val="24"/>
          <w:highlight w:val="none"/>
        </w:rPr>
        <w:t>设计工程的内容及要求</w:t>
      </w:r>
    </w:p>
    <w:p w14:paraId="46D812A8">
      <w:pPr>
        <w:pStyle w:val="45"/>
        <w:pageBreakBefore w:val="0"/>
        <w:widowControl/>
        <w:kinsoku/>
        <w:overflowPunct/>
        <w:topLinePunct w:val="0"/>
        <w:bidi w:val="0"/>
        <w:spacing w:line="440" w:lineRule="exact"/>
        <w:ind w:firstLine="482" w:firstLineChars="200"/>
        <w:jc w:val="left"/>
        <w:textAlignment w:val="auto"/>
        <w:rPr>
          <w:rFonts w:hint="eastAsia" w:ascii="宋体" w:hAnsi="宋体" w:eastAsia="宋体" w:cs="宋体"/>
          <w:color w:val="auto"/>
          <w:sz w:val="24"/>
          <w:szCs w:val="24"/>
          <w:highlight w:val="none"/>
        </w:rPr>
      </w:pPr>
      <w:r>
        <w:rPr>
          <w:rFonts w:hint="eastAsia" w:ascii="宋体" w:hAnsi="宋体" w:eastAsia="宋体" w:cs="宋体"/>
          <w:b/>
          <w:bCs/>
          <w:color w:val="auto"/>
          <w:sz w:val="24"/>
          <w:szCs w:val="24"/>
          <w:highlight w:val="none"/>
        </w:rPr>
        <w:t>5.1.1.1</w:t>
      </w:r>
      <w:r>
        <w:rPr>
          <w:rFonts w:hint="eastAsia" w:ascii="宋体" w:hAnsi="宋体" w:cs="宋体"/>
          <w:b/>
          <w:bCs/>
          <w:color w:val="auto"/>
          <w:sz w:val="24"/>
          <w:szCs w:val="24"/>
          <w:highlight w:val="none"/>
          <w:lang w:eastAsia="zh-CN"/>
        </w:rPr>
        <w:t xml:space="preserve"> 本</w:t>
      </w:r>
      <w:r>
        <w:rPr>
          <w:rFonts w:hint="eastAsia" w:ascii="宋体" w:hAnsi="宋体" w:eastAsia="宋体" w:cs="宋体"/>
          <w:color w:val="auto"/>
          <w:sz w:val="24"/>
          <w:szCs w:val="24"/>
          <w:highlight w:val="none"/>
        </w:rPr>
        <w:t>项目设计包括工程所有专业及其配套设施工程和其他工程等所有招标范围工程项目报建、报批、施工设计文件、</w:t>
      </w:r>
      <w:r>
        <w:rPr>
          <w:rFonts w:hint="eastAsia" w:ascii="宋体" w:hAnsi="宋体" w:cs="宋体"/>
          <w:color w:val="auto"/>
          <w:sz w:val="24"/>
          <w:szCs w:val="24"/>
          <w:highlight w:val="none"/>
          <w:lang w:val="en-US" w:eastAsia="zh-CN"/>
        </w:rPr>
        <w:t>施工图技术审查、</w:t>
      </w:r>
      <w:r>
        <w:rPr>
          <w:rFonts w:hint="eastAsia" w:ascii="宋体" w:hAnsi="宋体" w:eastAsia="宋体" w:cs="宋体"/>
          <w:color w:val="auto"/>
          <w:sz w:val="24"/>
          <w:szCs w:val="24"/>
          <w:highlight w:val="none"/>
        </w:rPr>
        <w:t>施工图（含配套附属工程等）设计（含预算编制）的编制。</w:t>
      </w:r>
    </w:p>
    <w:p w14:paraId="72643DF7">
      <w:pPr>
        <w:pStyle w:val="45"/>
        <w:keepNext w:val="0"/>
        <w:keepLines w:val="0"/>
        <w:pageBreakBefore w:val="0"/>
        <w:widowControl/>
        <w:kinsoku/>
        <w:wordWrap/>
        <w:overflowPunct/>
        <w:topLinePunct w:val="0"/>
        <w:autoSpaceDE/>
        <w:autoSpaceDN/>
        <w:bidi w:val="0"/>
        <w:spacing w:line="440" w:lineRule="exact"/>
        <w:ind w:firstLine="482" w:firstLineChars="200"/>
        <w:jc w:val="left"/>
        <w:textAlignment w:val="auto"/>
        <w:rPr>
          <w:rFonts w:hint="eastAsia" w:ascii="宋体" w:hAnsi="宋体" w:eastAsia="宋体" w:cs="宋体"/>
          <w:color w:val="auto"/>
          <w:sz w:val="24"/>
          <w:szCs w:val="24"/>
          <w:highlight w:val="none"/>
        </w:rPr>
      </w:pPr>
      <w:r>
        <w:rPr>
          <w:rFonts w:hint="eastAsia" w:ascii="宋体" w:hAnsi="宋体" w:eastAsia="宋体" w:cs="宋体"/>
          <w:b/>
          <w:bCs/>
          <w:color w:val="auto"/>
          <w:sz w:val="24"/>
          <w:szCs w:val="24"/>
          <w:highlight w:val="none"/>
        </w:rPr>
        <w:t>5.1.1.2</w:t>
      </w:r>
      <w:r>
        <w:rPr>
          <w:rFonts w:hint="eastAsia" w:ascii="宋体" w:hAnsi="宋体" w:cs="宋体"/>
          <w:b/>
          <w:bCs/>
          <w:color w:val="auto"/>
          <w:sz w:val="24"/>
          <w:szCs w:val="24"/>
          <w:highlight w:val="none"/>
          <w:lang w:eastAsia="zh-CN"/>
        </w:rPr>
        <w:t xml:space="preserve"> 本</w:t>
      </w:r>
      <w:r>
        <w:rPr>
          <w:rFonts w:hint="eastAsia" w:ascii="宋体" w:hAnsi="宋体" w:eastAsia="宋体" w:cs="宋体"/>
          <w:color w:val="auto"/>
          <w:sz w:val="24"/>
          <w:szCs w:val="24"/>
          <w:highlight w:val="none"/>
        </w:rPr>
        <w:t>工程各个阶段的设计成果必须经招标人及有关审批部门同意后方可进行下</w:t>
      </w:r>
      <w:r>
        <w:rPr>
          <w:rFonts w:hint="eastAsia" w:ascii="宋体" w:hAnsi="宋体" w:cs="宋体"/>
          <w:color w:val="auto"/>
          <w:sz w:val="24"/>
          <w:szCs w:val="24"/>
          <w:highlight w:val="none"/>
          <w:lang w:eastAsia="zh-CN"/>
        </w:rPr>
        <w:t>一道</w:t>
      </w:r>
      <w:r>
        <w:rPr>
          <w:rFonts w:hint="eastAsia" w:ascii="宋体" w:hAnsi="宋体" w:eastAsia="宋体" w:cs="宋体"/>
          <w:color w:val="auto"/>
          <w:sz w:val="24"/>
          <w:szCs w:val="24"/>
          <w:highlight w:val="none"/>
        </w:rPr>
        <w:t>工序的设计工作</w:t>
      </w:r>
      <w:r>
        <w:rPr>
          <w:rFonts w:hint="eastAsia" w:ascii="宋体" w:hAnsi="宋体" w:cs="宋体"/>
          <w:color w:val="auto"/>
          <w:sz w:val="24"/>
          <w:szCs w:val="24"/>
          <w:highlight w:val="none"/>
          <w:lang w:eastAsia="zh-CN"/>
        </w:rPr>
        <w:t>。</w:t>
      </w:r>
      <w:r>
        <w:rPr>
          <w:rFonts w:hint="eastAsia" w:ascii="宋体" w:hAnsi="宋体" w:eastAsia="宋体" w:cs="宋体"/>
          <w:color w:val="auto"/>
          <w:sz w:val="24"/>
          <w:szCs w:val="24"/>
          <w:highlight w:val="none"/>
        </w:rPr>
        <w:t>若招标人或有关审批部门在审批过程中提出的设计修改或变更，中标人必须无条件进行修改或变更，招标人不再支付</w:t>
      </w:r>
      <w:r>
        <w:rPr>
          <w:rFonts w:hint="eastAsia" w:ascii="宋体" w:hAnsi="宋体" w:cs="宋体"/>
          <w:color w:val="auto"/>
          <w:sz w:val="24"/>
          <w:szCs w:val="24"/>
          <w:highlight w:val="none"/>
          <w:lang w:eastAsia="zh-CN"/>
        </w:rPr>
        <w:t>由此</w:t>
      </w:r>
      <w:r>
        <w:rPr>
          <w:rFonts w:hint="eastAsia" w:ascii="宋体" w:hAnsi="宋体" w:eastAsia="宋体" w:cs="宋体"/>
          <w:color w:val="auto"/>
          <w:sz w:val="24"/>
          <w:szCs w:val="24"/>
          <w:highlight w:val="none"/>
        </w:rPr>
        <w:t>增加的设计费用。本工程施工图设计必须先经招标人确认才能送审，并经有资质的审图机构审查合格。若招标人或审图机构在审查过程中提出的设计修改或变更，中标人必须无条件进行修改或优化设计，招标人不再支付</w:t>
      </w:r>
      <w:r>
        <w:rPr>
          <w:rFonts w:hint="eastAsia" w:ascii="宋体" w:hAnsi="宋体" w:cs="宋体"/>
          <w:color w:val="auto"/>
          <w:sz w:val="24"/>
          <w:szCs w:val="24"/>
          <w:highlight w:val="none"/>
          <w:lang w:eastAsia="zh-CN"/>
        </w:rPr>
        <w:t>由此</w:t>
      </w:r>
      <w:r>
        <w:rPr>
          <w:rFonts w:hint="eastAsia" w:ascii="宋体" w:hAnsi="宋体" w:eastAsia="宋体" w:cs="宋体"/>
          <w:color w:val="auto"/>
          <w:sz w:val="24"/>
          <w:szCs w:val="24"/>
          <w:highlight w:val="none"/>
        </w:rPr>
        <w:t>增加的设计费用。</w:t>
      </w:r>
    </w:p>
    <w:p w14:paraId="5BDCE0AD">
      <w:pPr>
        <w:pStyle w:val="45"/>
        <w:keepNext w:val="0"/>
        <w:keepLines w:val="0"/>
        <w:pageBreakBefore w:val="0"/>
        <w:widowControl/>
        <w:kinsoku/>
        <w:wordWrap/>
        <w:overflowPunct/>
        <w:topLinePunct w:val="0"/>
        <w:autoSpaceDE/>
        <w:autoSpaceDN/>
        <w:bidi w:val="0"/>
        <w:spacing w:line="440" w:lineRule="exact"/>
        <w:ind w:firstLine="482" w:firstLineChars="200"/>
        <w:jc w:val="left"/>
        <w:textAlignment w:val="auto"/>
        <w:rPr>
          <w:rFonts w:hint="eastAsia" w:ascii="宋体" w:hAnsi="宋体" w:eastAsia="宋体" w:cs="宋体"/>
          <w:color w:val="auto"/>
          <w:sz w:val="24"/>
          <w:szCs w:val="24"/>
          <w:highlight w:val="none"/>
        </w:rPr>
      </w:pPr>
      <w:r>
        <w:rPr>
          <w:rFonts w:hint="eastAsia" w:ascii="宋体" w:hAnsi="宋体" w:eastAsia="宋体" w:cs="宋体"/>
          <w:b/>
          <w:bCs/>
          <w:color w:val="auto"/>
          <w:sz w:val="24"/>
          <w:szCs w:val="24"/>
          <w:highlight w:val="none"/>
        </w:rPr>
        <w:t>5.1.1.3</w:t>
      </w:r>
      <w:r>
        <w:rPr>
          <w:rFonts w:hint="eastAsia" w:ascii="宋体" w:hAnsi="宋体" w:cs="宋体"/>
          <w:b/>
          <w:bCs/>
          <w:color w:val="auto"/>
          <w:sz w:val="24"/>
          <w:szCs w:val="24"/>
          <w:highlight w:val="none"/>
          <w:lang w:eastAsia="zh-CN"/>
        </w:rPr>
        <w:t xml:space="preserve"> 本</w:t>
      </w:r>
      <w:r>
        <w:rPr>
          <w:rFonts w:hint="eastAsia" w:ascii="宋体" w:hAnsi="宋体" w:eastAsia="宋体" w:cs="宋体"/>
          <w:color w:val="auto"/>
          <w:sz w:val="24"/>
          <w:szCs w:val="24"/>
          <w:highlight w:val="none"/>
        </w:rPr>
        <w:t>工程设计要求的质量标准：符合国家或行业颁布的现行有效的有关设计的规范要求，符合设计任务书的相关要求，且必须通过有关部门的审查</w:t>
      </w:r>
      <w:r>
        <w:rPr>
          <w:rFonts w:hint="eastAsia" w:ascii="宋体" w:hAnsi="宋体" w:cs="宋体"/>
          <w:color w:val="auto"/>
          <w:sz w:val="24"/>
          <w:szCs w:val="24"/>
          <w:highlight w:val="none"/>
          <w:lang w:eastAsia="zh-CN"/>
        </w:rPr>
        <w:t>，</w:t>
      </w:r>
      <w:r>
        <w:rPr>
          <w:rFonts w:hint="eastAsia" w:ascii="宋体" w:hAnsi="宋体" w:eastAsia="宋体" w:cs="宋体"/>
          <w:color w:val="auto"/>
          <w:sz w:val="24"/>
          <w:szCs w:val="24"/>
          <w:highlight w:val="none"/>
        </w:rPr>
        <w:t>经有资质的审图机构审查合格。</w:t>
      </w:r>
    </w:p>
    <w:p w14:paraId="498DBFEF">
      <w:pPr>
        <w:pStyle w:val="45"/>
        <w:keepNext w:val="0"/>
        <w:keepLines w:val="0"/>
        <w:pageBreakBefore w:val="0"/>
        <w:widowControl/>
        <w:kinsoku/>
        <w:wordWrap/>
        <w:overflowPunct/>
        <w:topLinePunct w:val="0"/>
        <w:autoSpaceDE/>
        <w:autoSpaceDN/>
        <w:bidi w:val="0"/>
        <w:spacing w:line="440" w:lineRule="exact"/>
        <w:ind w:firstLine="482" w:firstLineChars="200"/>
        <w:jc w:val="left"/>
        <w:textAlignment w:val="auto"/>
        <w:rPr>
          <w:rFonts w:hint="eastAsia" w:ascii="宋体" w:hAnsi="宋体" w:eastAsia="宋体" w:cs="宋体"/>
          <w:color w:val="auto"/>
          <w:sz w:val="24"/>
          <w:szCs w:val="24"/>
          <w:highlight w:val="none"/>
        </w:rPr>
      </w:pPr>
      <w:r>
        <w:rPr>
          <w:rFonts w:hint="eastAsia" w:ascii="宋体" w:hAnsi="宋体" w:eastAsia="宋体" w:cs="宋体"/>
          <w:b/>
          <w:bCs/>
          <w:color w:val="auto"/>
          <w:sz w:val="24"/>
          <w:szCs w:val="24"/>
          <w:highlight w:val="none"/>
        </w:rPr>
        <w:t>5.2</w:t>
      </w:r>
      <w:r>
        <w:rPr>
          <w:rFonts w:hint="eastAsia" w:ascii="宋体" w:hAnsi="宋体" w:cs="宋体"/>
          <w:b/>
          <w:bCs/>
          <w:color w:val="auto"/>
          <w:sz w:val="24"/>
          <w:szCs w:val="24"/>
          <w:highlight w:val="none"/>
          <w:lang w:eastAsia="zh-CN"/>
        </w:rPr>
        <w:t xml:space="preserve"> 设计</w:t>
      </w:r>
      <w:r>
        <w:rPr>
          <w:rFonts w:hint="eastAsia" w:ascii="宋体" w:hAnsi="宋体" w:eastAsia="宋体" w:cs="宋体"/>
          <w:color w:val="auto"/>
          <w:sz w:val="24"/>
          <w:szCs w:val="24"/>
          <w:highlight w:val="none"/>
        </w:rPr>
        <w:t>承包内容：中标人按合同约定、招标文件内容要求、法律法规及国家强制性标准要求提供完整的设计文件及建设期间的服务等内容。</w:t>
      </w:r>
    </w:p>
    <w:p w14:paraId="04DF3516">
      <w:pPr>
        <w:pStyle w:val="45"/>
        <w:keepNext w:val="0"/>
        <w:keepLines w:val="0"/>
        <w:pageBreakBefore w:val="0"/>
        <w:widowControl/>
        <w:kinsoku/>
        <w:wordWrap/>
        <w:overflowPunct/>
        <w:topLinePunct w:val="0"/>
        <w:autoSpaceDE/>
        <w:autoSpaceDN/>
        <w:bidi w:val="0"/>
        <w:spacing w:line="440" w:lineRule="exact"/>
        <w:ind w:firstLine="480" w:firstLineChars="20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施工图设计文件（含施工图预算）</w:t>
      </w:r>
      <w:r>
        <w:rPr>
          <w:rFonts w:hint="eastAsia" w:ascii="宋体" w:hAnsi="宋体" w:cs="宋体"/>
          <w:color w:val="auto"/>
          <w:sz w:val="24"/>
          <w:szCs w:val="24"/>
          <w:highlight w:val="none"/>
          <w:lang w:val="en-US" w:eastAsia="zh-CN"/>
        </w:rPr>
        <w:t>8</w:t>
      </w:r>
      <w:r>
        <w:rPr>
          <w:rFonts w:hint="eastAsia" w:ascii="宋体" w:hAnsi="宋体" w:eastAsia="宋体" w:cs="宋体"/>
          <w:color w:val="auto"/>
          <w:sz w:val="24"/>
          <w:szCs w:val="24"/>
          <w:highlight w:val="none"/>
        </w:rPr>
        <w:t>套、施工图预算（含工程量清单）5套。提供的所有资料均含电子版（含CAD及PDF文件格式）。</w:t>
      </w:r>
    </w:p>
    <w:p w14:paraId="3B047ACB">
      <w:pPr>
        <w:pStyle w:val="45"/>
        <w:keepNext w:val="0"/>
        <w:keepLines w:val="0"/>
        <w:pageBreakBefore w:val="0"/>
        <w:widowControl/>
        <w:kinsoku/>
        <w:wordWrap/>
        <w:overflowPunct/>
        <w:topLinePunct w:val="0"/>
        <w:autoSpaceDE/>
        <w:autoSpaceDN/>
        <w:bidi w:val="0"/>
        <w:spacing w:line="440" w:lineRule="exact"/>
        <w:ind w:firstLine="482" w:firstLineChars="200"/>
        <w:jc w:val="left"/>
        <w:textAlignment w:val="auto"/>
        <w:rPr>
          <w:rFonts w:hint="eastAsia" w:ascii="宋体" w:hAnsi="宋体" w:eastAsia="宋体" w:cs="宋体"/>
          <w:color w:val="auto"/>
          <w:sz w:val="24"/>
          <w:szCs w:val="24"/>
          <w:highlight w:val="none"/>
        </w:rPr>
      </w:pPr>
      <w:r>
        <w:rPr>
          <w:rFonts w:hint="eastAsia" w:ascii="宋体" w:hAnsi="宋体" w:eastAsia="宋体" w:cs="宋体"/>
          <w:b/>
          <w:bCs/>
          <w:color w:val="auto"/>
          <w:sz w:val="24"/>
          <w:szCs w:val="24"/>
          <w:highlight w:val="none"/>
        </w:rPr>
        <w:t>5.3</w:t>
      </w:r>
      <w:r>
        <w:rPr>
          <w:rFonts w:hint="eastAsia" w:ascii="宋体" w:hAnsi="宋体" w:eastAsia="宋体" w:cs="宋体"/>
          <w:color w:val="auto"/>
          <w:sz w:val="24"/>
          <w:szCs w:val="24"/>
          <w:highlight w:val="none"/>
        </w:rPr>
        <w:t xml:space="preserve"> 中标人要按照批准的设计任务书、投资概算、批准的可行性研究报告、初步设计成果资料等控制施工图设计及施工图预算，即限额设计。中标人要无条件对设计文件出现的遗漏或错误负责修改</w:t>
      </w:r>
      <w:r>
        <w:rPr>
          <w:rFonts w:hint="eastAsia" w:ascii="宋体" w:hAnsi="宋体" w:cs="宋体"/>
          <w:color w:val="auto"/>
          <w:sz w:val="24"/>
          <w:szCs w:val="24"/>
          <w:highlight w:val="none"/>
          <w:lang w:eastAsia="zh-CN"/>
        </w:rPr>
        <w:t>、补充或</w:t>
      </w:r>
      <w:r>
        <w:rPr>
          <w:rFonts w:hint="eastAsia" w:ascii="宋体" w:hAnsi="宋体" w:eastAsia="宋体" w:cs="宋体"/>
          <w:color w:val="auto"/>
          <w:sz w:val="24"/>
          <w:szCs w:val="24"/>
          <w:highlight w:val="none"/>
        </w:rPr>
        <w:t>优化设计，直到满足要求。</w:t>
      </w:r>
    </w:p>
    <w:p w14:paraId="52AA1E5E">
      <w:pPr>
        <w:pStyle w:val="45"/>
        <w:keepNext w:val="0"/>
        <w:keepLines w:val="0"/>
        <w:pageBreakBefore w:val="0"/>
        <w:widowControl/>
        <w:kinsoku/>
        <w:wordWrap/>
        <w:overflowPunct/>
        <w:topLinePunct w:val="0"/>
        <w:autoSpaceDE/>
        <w:autoSpaceDN/>
        <w:bidi w:val="0"/>
        <w:spacing w:line="440" w:lineRule="exact"/>
        <w:ind w:firstLine="482" w:firstLineChars="200"/>
        <w:jc w:val="left"/>
        <w:textAlignment w:val="auto"/>
        <w:rPr>
          <w:rFonts w:hint="eastAsia" w:ascii="宋体" w:hAnsi="宋体" w:eastAsia="宋体" w:cs="宋体"/>
          <w:color w:val="auto"/>
          <w:sz w:val="24"/>
          <w:szCs w:val="24"/>
          <w:highlight w:val="none"/>
        </w:rPr>
      </w:pPr>
      <w:r>
        <w:rPr>
          <w:rFonts w:hint="eastAsia" w:ascii="宋体" w:hAnsi="宋体" w:eastAsia="宋体" w:cs="宋体"/>
          <w:b/>
          <w:bCs/>
          <w:color w:val="auto"/>
          <w:sz w:val="24"/>
          <w:szCs w:val="24"/>
          <w:highlight w:val="none"/>
        </w:rPr>
        <w:t>5.4</w:t>
      </w:r>
      <w:r>
        <w:rPr>
          <w:rFonts w:hint="eastAsia" w:ascii="宋体" w:hAnsi="宋体" w:eastAsia="宋体" w:cs="宋体"/>
          <w:color w:val="auto"/>
          <w:sz w:val="24"/>
          <w:szCs w:val="24"/>
          <w:highlight w:val="none"/>
        </w:rPr>
        <w:t xml:space="preserve"> 施工期间若遇到工程变更、突发事件或不可预见的事件等情况，中标人接到建设单位或监理单位通知后应当立即到达施工现场，研究并及时处理问题。</w:t>
      </w:r>
    </w:p>
    <w:p w14:paraId="37EDFE67">
      <w:pPr>
        <w:pStyle w:val="45"/>
        <w:keepNext w:val="0"/>
        <w:keepLines w:val="0"/>
        <w:pageBreakBefore w:val="0"/>
        <w:widowControl/>
        <w:kinsoku/>
        <w:wordWrap/>
        <w:overflowPunct/>
        <w:topLinePunct w:val="0"/>
        <w:autoSpaceDE/>
        <w:autoSpaceDN/>
        <w:bidi w:val="0"/>
        <w:spacing w:line="440" w:lineRule="exact"/>
        <w:ind w:firstLine="482" w:firstLineChars="200"/>
        <w:jc w:val="left"/>
        <w:textAlignment w:val="auto"/>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5.5</w:t>
      </w:r>
      <w:r>
        <w:rPr>
          <w:rFonts w:hint="eastAsia" w:ascii="宋体" w:hAnsi="宋体" w:cs="宋体"/>
          <w:b/>
          <w:bCs/>
          <w:color w:val="auto"/>
          <w:sz w:val="24"/>
          <w:szCs w:val="24"/>
          <w:highlight w:val="none"/>
          <w:lang w:eastAsia="zh-CN"/>
        </w:rPr>
        <w:t xml:space="preserve"> 关于</w:t>
      </w:r>
      <w:r>
        <w:rPr>
          <w:rFonts w:hint="eastAsia" w:ascii="宋体" w:hAnsi="宋体" w:eastAsia="宋体" w:cs="宋体"/>
          <w:b/>
          <w:bCs/>
          <w:color w:val="auto"/>
          <w:sz w:val="24"/>
          <w:szCs w:val="24"/>
          <w:highlight w:val="none"/>
        </w:rPr>
        <w:t>设计深度的要求</w:t>
      </w:r>
    </w:p>
    <w:p w14:paraId="692D05F5">
      <w:pPr>
        <w:pStyle w:val="45"/>
        <w:keepNext w:val="0"/>
        <w:keepLines w:val="0"/>
        <w:pageBreakBefore w:val="0"/>
        <w:widowControl/>
        <w:kinsoku/>
        <w:wordWrap/>
        <w:overflowPunct/>
        <w:topLinePunct w:val="0"/>
        <w:autoSpaceDE/>
        <w:autoSpaceDN/>
        <w:bidi w:val="0"/>
        <w:spacing w:line="440" w:lineRule="exact"/>
        <w:ind w:firstLine="482" w:firstLineChars="200"/>
        <w:jc w:val="left"/>
        <w:textAlignment w:val="auto"/>
        <w:rPr>
          <w:rFonts w:hint="eastAsia" w:ascii="宋体" w:hAnsi="宋体" w:eastAsia="宋体" w:cs="宋体"/>
          <w:color w:val="auto"/>
          <w:sz w:val="24"/>
          <w:szCs w:val="24"/>
          <w:highlight w:val="none"/>
        </w:rPr>
      </w:pPr>
      <w:r>
        <w:rPr>
          <w:rFonts w:hint="eastAsia" w:ascii="宋体" w:hAnsi="宋体" w:eastAsia="宋体" w:cs="宋体"/>
          <w:b/>
          <w:bCs/>
          <w:color w:val="auto"/>
          <w:sz w:val="24"/>
          <w:szCs w:val="24"/>
          <w:highlight w:val="none"/>
        </w:rPr>
        <w:t>5.5.1</w:t>
      </w:r>
      <w:r>
        <w:rPr>
          <w:rFonts w:hint="eastAsia" w:ascii="宋体" w:hAnsi="宋体" w:cs="宋体"/>
          <w:b/>
          <w:bCs/>
          <w:color w:val="auto"/>
          <w:sz w:val="24"/>
          <w:szCs w:val="24"/>
          <w:highlight w:val="none"/>
          <w:lang w:eastAsia="zh-CN"/>
        </w:rPr>
        <w:t xml:space="preserve"> 按</w:t>
      </w:r>
      <w:r>
        <w:rPr>
          <w:rFonts w:hint="eastAsia" w:ascii="宋体" w:hAnsi="宋体" w:eastAsia="宋体" w:cs="宋体"/>
          <w:color w:val="auto"/>
          <w:sz w:val="24"/>
          <w:szCs w:val="24"/>
          <w:highlight w:val="none"/>
        </w:rPr>
        <w:t>现行的设计文件深度规定等有关技术标准、</w:t>
      </w:r>
      <w:r>
        <w:rPr>
          <w:rFonts w:hint="eastAsia" w:ascii="宋体" w:hAnsi="宋体" w:cs="宋体"/>
          <w:color w:val="auto"/>
          <w:sz w:val="24"/>
          <w:szCs w:val="24"/>
          <w:highlight w:val="none"/>
          <w:lang w:eastAsia="zh-CN"/>
        </w:rPr>
        <w:t>设计规范</w:t>
      </w:r>
      <w:r>
        <w:rPr>
          <w:rFonts w:hint="eastAsia" w:ascii="宋体" w:hAnsi="宋体" w:eastAsia="宋体" w:cs="宋体"/>
          <w:color w:val="auto"/>
          <w:sz w:val="24"/>
          <w:szCs w:val="24"/>
          <w:highlight w:val="none"/>
        </w:rPr>
        <w:t>要求</w:t>
      </w:r>
      <w:r>
        <w:rPr>
          <w:rFonts w:hint="eastAsia" w:ascii="宋体" w:hAnsi="宋体" w:cs="宋体"/>
          <w:color w:val="auto"/>
          <w:sz w:val="24"/>
          <w:szCs w:val="24"/>
          <w:highlight w:val="none"/>
          <w:lang w:eastAsia="zh-CN"/>
        </w:rPr>
        <w:t>，</w:t>
      </w:r>
      <w:r>
        <w:rPr>
          <w:rFonts w:hint="eastAsia" w:ascii="宋体" w:hAnsi="宋体" w:eastAsia="宋体" w:cs="宋体"/>
          <w:color w:val="auto"/>
          <w:spacing w:val="-6"/>
          <w:sz w:val="24"/>
          <w:szCs w:val="24"/>
          <w:highlight w:val="none"/>
          <w:lang w:eastAsia="zh-CN"/>
        </w:rPr>
        <w:t>设计文件</w:t>
      </w:r>
      <w:r>
        <w:rPr>
          <w:rFonts w:hint="eastAsia" w:ascii="宋体" w:hAnsi="宋体" w:cs="宋体"/>
          <w:color w:val="auto"/>
          <w:spacing w:val="-6"/>
          <w:sz w:val="24"/>
          <w:szCs w:val="24"/>
          <w:highlight w:val="none"/>
          <w:lang w:eastAsia="zh-CN"/>
        </w:rPr>
        <w:t>深度</w:t>
      </w:r>
      <w:r>
        <w:rPr>
          <w:rFonts w:hint="eastAsia" w:ascii="宋体" w:hAnsi="宋体" w:eastAsia="宋体" w:cs="宋体"/>
          <w:color w:val="auto"/>
          <w:spacing w:val="-6"/>
          <w:sz w:val="24"/>
          <w:szCs w:val="24"/>
          <w:highlight w:val="none"/>
          <w:lang w:eastAsia="zh-CN"/>
        </w:rPr>
        <w:t>必须满足住建部《建筑工程设计文件编制深度规定（2016版）》和</w:t>
      </w:r>
      <w:r>
        <w:rPr>
          <w:rFonts w:hint="eastAsia" w:hAnsi="宋体" w:eastAsia="宋体" w:cs="宋体"/>
          <w:color w:val="auto"/>
          <w:sz w:val="24"/>
          <w:szCs w:val="24"/>
          <w:highlight w:val="none"/>
          <w:lang w:eastAsia="zh-CN"/>
        </w:rPr>
        <w:t>《市政公用工程设计文件编制深度规定</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lang w:val="en-US" w:eastAsia="zh-CN"/>
        </w:rPr>
        <w:t>2025</w:t>
      </w:r>
      <w:r>
        <w:rPr>
          <w:rFonts w:hint="eastAsia" w:ascii="宋体" w:hAnsi="宋体" w:eastAsia="宋体" w:cs="宋体"/>
          <w:color w:val="auto"/>
          <w:sz w:val="24"/>
          <w:szCs w:val="24"/>
          <w:highlight w:val="none"/>
          <w:lang w:eastAsia="zh-CN"/>
        </w:rPr>
        <w:t>年</w:t>
      </w:r>
      <w:r>
        <w:rPr>
          <w:rFonts w:hint="eastAsia" w:hAnsi="宋体" w:eastAsia="宋体" w:cs="宋体"/>
          <w:color w:val="auto"/>
          <w:sz w:val="24"/>
          <w:szCs w:val="24"/>
          <w:highlight w:val="none"/>
          <w:lang w:eastAsia="zh-CN"/>
        </w:rPr>
        <w:t>版）》</w:t>
      </w:r>
      <w:r>
        <w:rPr>
          <w:rFonts w:hint="eastAsia" w:ascii="宋体" w:hAnsi="宋体" w:eastAsia="宋体" w:cs="宋体"/>
          <w:color w:val="auto"/>
          <w:spacing w:val="-6"/>
          <w:sz w:val="24"/>
          <w:szCs w:val="24"/>
          <w:highlight w:val="none"/>
          <w:lang w:eastAsia="zh-CN"/>
        </w:rPr>
        <w:t>的要求，各专业还</w:t>
      </w:r>
      <w:r>
        <w:rPr>
          <w:rFonts w:hint="eastAsia" w:ascii="宋体" w:hAnsi="宋体" w:cs="宋体"/>
          <w:color w:val="auto"/>
          <w:spacing w:val="-6"/>
          <w:sz w:val="24"/>
          <w:szCs w:val="24"/>
          <w:highlight w:val="none"/>
          <w:lang w:eastAsia="zh-CN"/>
        </w:rPr>
        <w:t>应</w:t>
      </w:r>
      <w:r>
        <w:rPr>
          <w:rFonts w:hint="eastAsia" w:ascii="宋体" w:hAnsi="宋体" w:eastAsia="宋体" w:cs="宋体"/>
          <w:color w:val="auto"/>
          <w:spacing w:val="-6"/>
          <w:sz w:val="24"/>
          <w:szCs w:val="24"/>
          <w:highlight w:val="none"/>
          <w:lang w:eastAsia="zh-CN"/>
        </w:rPr>
        <w:t>满足各专业工程设计文件编制深度规范或规定的要求。</w:t>
      </w:r>
    </w:p>
    <w:p w14:paraId="61204A94">
      <w:pPr>
        <w:pStyle w:val="45"/>
        <w:keepNext w:val="0"/>
        <w:keepLines w:val="0"/>
        <w:pageBreakBefore w:val="0"/>
        <w:widowControl/>
        <w:kinsoku/>
        <w:wordWrap/>
        <w:overflowPunct/>
        <w:topLinePunct w:val="0"/>
        <w:autoSpaceDE/>
        <w:autoSpaceDN/>
        <w:bidi w:val="0"/>
        <w:spacing w:line="440" w:lineRule="exact"/>
        <w:ind w:firstLine="482" w:firstLineChars="200"/>
        <w:jc w:val="left"/>
        <w:textAlignment w:val="auto"/>
        <w:rPr>
          <w:rFonts w:hint="eastAsia" w:ascii="宋体" w:hAnsi="宋体" w:eastAsia="宋体" w:cs="宋体"/>
          <w:color w:val="auto"/>
          <w:sz w:val="24"/>
          <w:szCs w:val="24"/>
          <w:highlight w:val="none"/>
        </w:rPr>
      </w:pPr>
      <w:r>
        <w:rPr>
          <w:rFonts w:hint="eastAsia" w:ascii="宋体" w:hAnsi="宋体" w:eastAsia="宋体" w:cs="宋体"/>
          <w:b/>
          <w:bCs/>
          <w:color w:val="auto"/>
          <w:sz w:val="24"/>
          <w:szCs w:val="24"/>
          <w:highlight w:val="none"/>
        </w:rPr>
        <w:t>5.5.2</w:t>
      </w:r>
      <w:r>
        <w:rPr>
          <w:rFonts w:hint="eastAsia" w:ascii="宋体" w:hAnsi="宋体" w:eastAsia="宋体" w:cs="宋体"/>
          <w:color w:val="auto"/>
          <w:sz w:val="24"/>
          <w:szCs w:val="24"/>
          <w:highlight w:val="none"/>
        </w:rPr>
        <w:t>各专业设计应同步进行，中标人应指定总体</w:t>
      </w:r>
      <w:r>
        <w:rPr>
          <w:rFonts w:hint="eastAsia" w:ascii="宋体" w:hAnsi="宋体" w:cs="宋体"/>
          <w:color w:val="auto"/>
          <w:sz w:val="24"/>
          <w:szCs w:val="24"/>
          <w:highlight w:val="none"/>
          <w:lang w:eastAsia="zh-CN"/>
        </w:rPr>
        <w:t>负责人</w:t>
      </w:r>
      <w:r>
        <w:rPr>
          <w:rFonts w:hint="eastAsia" w:ascii="宋体" w:hAnsi="宋体" w:eastAsia="宋体" w:cs="宋体"/>
          <w:color w:val="auto"/>
          <w:sz w:val="24"/>
          <w:szCs w:val="24"/>
          <w:highlight w:val="none"/>
        </w:rPr>
        <w:t>统筹布局，做好各项设施的协调和衔接</w:t>
      </w:r>
      <w:r>
        <w:rPr>
          <w:rFonts w:hint="eastAsia" w:ascii="宋体" w:hAnsi="宋体" w:cs="宋体"/>
          <w:color w:val="auto"/>
          <w:sz w:val="24"/>
          <w:szCs w:val="24"/>
          <w:highlight w:val="none"/>
          <w:lang w:eastAsia="zh-CN"/>
        </w:rPr>
        <w:t>以及</w:t>
      </w:r>
      <w:r>
        <w:rPr>
          <w:rFonts w:hint="eastAsia" w:ascii="宋体" w:hAnsi="宋体" w:eastAsia="宋体" w:cs="宋体"/>
          <w:color w:val="auto"/>
          <w:sz w:val="24"/>
          <w:szCs w:val="24"/>
          <w:highlight w:val="none"/>
        </w:rPr>
        <w:t>位置预留，不得留待施工中临时变更。</w:t>
      </w:r>
    </w:p>
    <w:p w14:paraId="2A9D4B14">
      <w:pPr>
        <w:pStyle w:val="45"/>
        <w:keepNext w:val="0"/>
        <w:keepLines w:val="0"/>
        <w:pageBreakBefore w:val="0"/>
        <w:widowControl/>
        <w:kinsoku/>
        <w:wordWrap/>
        <w:overflowPunct/>
        <w:topLinePunct w:val="0"/>
        <w:autoSpaceDE/>
        <w:autoSpaceDN/>
        <w:bidi w:val="0"/>
        <w:spacing w:line="440" w:lineRule="exact"/>
        <w:ind w:firstLine="482" w:firstLineChars="200"/>
        <w:jc w:val="left"/>
        <w:textAlignment w:val="auto"/>
        <w:rPr>
          <w:rFonts w:hint="eastAsia" w:ascii="宋体" w:hAnsi="宋体" w:eastAsia="宋体" w:cs="宋体"/>
          <w:color w:val="auto"/>
          <w:sz w:val="24"/>
          <w:szCs w:val="24"/>
          <w:highlight w:val="none"/>
        </w:rPr>
      </w:pPr>
      <w:r>
        <w:rPr>
          <w:rFonts w:hint="eastAsia" w:ascii="宋体" w:hAnsi="宋体" w:eastAsia="宋体" w:cs="宋体"/>
          <w:b/>
          <w:bCs/>
          <w:color w:val="auto"/>
          <w:sz w:val="24"/>
          <w:szCs w:val="24"/>
          <w:highlight w:val="none"/>
        </w:rPr>
        <w:t>5.5.3</w:t>
      </w:r>
      <w:r>
        <w:rPr>
          <w:rFonts w:hint="eastAsia" w:ascii="宋体" w:hAnsi="宋体" w:eastAsia="宋体" w:cs="宋体"/>
          <w:color w:val="auto"/>
          <w:sz w:val="24"/>
          <w:szCs w:val="24"/>
          <w:highlight w:val="none"/>
        </w:rPr>
        <w:t>对技术复杂或造价、规模较大的主要分项工程应</w:t>
      </w:r>
      <w:r>
        <w:rPr>
          <w:rFonts w:hint="eastAsia" w:ascii="宋体" w:hAnsi="宋体" w:cs="宋体"/>
          <w:color w:val="auto"/>
          <w:sz w:val="24"/>
          <w:szCs w:val="24"/>
          <w:highlight w:val="none"/>
          <w:lang w:eastAsia="zh-CN"/>
        </w:rPr>
        <w:t>做</w:t>
      </w:r>
      <w:r>
        <w:rPr>
          <w:rFonts w:hint="eastAsia" w:ascii="宋体" w:hAnsi="宋体" w:eastAsia="宋体" w:cs="宋体"/>
          <w:color w:val="auto"/>
          <w:sz w:val="24"/>
          <w:szCs w:val="24"/>
          <w:highlight w:val="none"/>
        </w:rPr>
        <w:t>方案比较。</w:t>
      </w:r>
    </w:p>
    <w:p w14:paraId="4E8B4F0A">
      <w:pPr>
        <w:pStyle w:val="45"/>
        <w:keepNext w:val="0"/>
        <w:keepLines w:val="0"/>
        <w:pageBreakBefore w:val="0"/>
        <w:widowControl/>
        <w:kinsoku/>
        <w:wordWrap/>
        <w:overflowPunct/>
        <w:topLinePunct w:val="0"/>
        <w:autoSpaceDE/>
        <w:autoSpaceDN/>
        <w:bidi w:val="0"/>
        <w:spacing w:line="440" w:lineRule="exact"/>
        <w:ind w:firstLine="482" w:firstLineChars="200"/>
        <w:jc w:val="left"/>
        <w:textAlignment w:val="auto"/>
        <w:rPr>
          <w:rFonts w:hint="eastAsia" w:ascii="宋体" w:hAnsi="宋体" w:eastAsia="宋体" w:cs="宋体"/>
          <w:color w:val="auto"/>
          <w:sz w:val="24"/>
          <w:szCs w:val="24"/>
          <w:highlight w:val="none"/>
        </w:rPr>
      </w:pPr>
      <w:r>
        <w:rPr>
          <w:rFonts w:hint="eastAsia" w:ascii="宋体" w:hAnsi="宋体" w:eastAsia="宋体" w:cs="宋体"/>
          <w:b/>
          <w:bCs/>
          <w:color w:val="auto"/>
          <w:sz w:val="24"/>
          <w:szCs w:val="24"/>
          <w:highlight w:val="none"/>
        </w:rPr>
        <w:t>5.5.4</w:t>
      </w:r>
      <w:r>
        <w:rPr>
          <w:rFonts w:hint="eastAsia" w:ascii="宋体" w:hAnsi="宋体" w:eastAsia="宋体" w:cs="宋体"/>
          <w:color w:val="auto"/>
          <w:sz w:val="24"/>
          <w:szCs w:val="24"/>
          <w:highlight w:val="none"/>
        </w:rPr>
        <w:t>施工图设计文件的深度，应当满足预算的编制需求以及施工要求；重点设备应注明建设工程合理使用年限。</w:t>
      </w:r>
    </w:p>
    <w:p w14:paraId="7644ED36">
      <w:pPr>
        <w:pStyle w:val="45"/>
        <w:keepNext w:val="0"/>
        <w:keepLines w:val="0"/>
        <w:pageBreakBefore w:val="0"/>
        <w:widowControl/>
        <w:kinsoku/>
        <w:wordWrap/>
        <w:overflowPunct/>
        <w:topLinePunct w:val="0"/>
        <w:autoSpaceDE/>
        <w:autoSpaceDN/>
        <w:bidi w:val="0"/>
        <w:spacing w:line="440" w:lineRule="exact"/>
        <w:ind w:firstLine="482" w:firstLineChars="200"/>
        <w:jc w:val="left"/>
        <w:textAlignment w:val="auto"/>
        <w:rPr>
          <w:rFonts w:hint="eastAsia" w:ascii="宋体" w:hAnsi="宋体" w:eastAsia="宋体" w:cs="宋体"/>
          <w:color w:val="auto"/>
          <w:sz w:val="24"/>
          <w:szCs w:val="24"/>
          <w:highlight w:val="none"/>
        </w:rPr>
      </w:pPr>
      <w:r>
        <w:rPr>
          <w:rFonts w:hint="eastAsia" w:ascii="宋体" w:hAnsi="宋体" w:eastAsia="宋体" w:cs="宋体"/>
          <w:b/>
          <w:bCs/>
          <w:color w:val="auto"/>
          <w:sz w:val="24"/>
          <w:szCs w:val="24"/>
          <w:highlight w:val="none"/>
        </w:rPr>
        <w:t>5.5.5</w:t>
      </w:r>
      <w:r>
        <w:rPr>
          <w:rFonts w:hint="eastAsia" w:ascii="宋体" w:hAnsi="宋体" w:eastAsia="宋体" w:cs="宋体"/>
          <w:color w:val="auto"/>
          <w:sz w:val="24"/>
          <w:szCs w:val="24"/>
          <w:highlight w:val="none"/>
        </w:rPr>
        <w:t>相关的设计方案需取得政府主管部门或规划部门</w:t>
      </w:r>
      <w:r>
        <w:rPr>
          <w:rFonts w:hint="eastAsia" w:ascii="宋体" w:hAnsi="宋体" w:cs="宋体"/>
          <w:color w:val="auto"/>
          <w:sz w:val="24"/>
          <w:szCs w:val="24"/>
          <w:highlight w:val="none"/>
          <w:lang w:eastAsia="zh-CN"/>
        </w:rPr>
        <w:t>的认可</w:t>
      </w:r>
      <w:r>
        <w:rPr>
          <w:rFonts w:hint="eastAsia" w:ascii="宋体" w:hAnsi="宋体" w:eastAsia="宋体" w:cs="宋体"/>
          <w:color w:val="auto"/>
          <w:sz w:val="24"/>
          <w:szCs w:val="24"/>
          <w:highlight w:val="none"/>
        </w:rPr>
        <w:t>。</w:t>
      </w:r>
    </w:p>
    <w:p w14:paraId="62C2295E">
      <w:pPr>
        <w:pStyle w:val="45"/>
        <w:keepNext w:val="0"/>
        <w:keepLines w:val="0"/>
        <w:pageBreakBefore w:val="0"/>
        <w:widowControl/>
        <w:kinsoku/>
        <w:wordWrap/>
        <w:overflowPunct/>
        <w:topLinePunct w:val="0"/>
        <w:autoSpaceDE/>
        <w:autoSpaceDN/>
        <w:bidi w:val="0"/>
        <w:spacing w:line="440" w:lineRule="exact"/>
        <w:ind w:firstLine="482" w:firstLineChars="200"/>
        <w:jc w:val="left"/>
        <w:textAlignment w:val="auto"/>
        <w:rPr>
          <w:rFonts w:hint="eastAsia" w:ascii="宋体" w:hAnsi="宋体" w:eastAsia="宋体" w:cs="宋体"/>
          <w:color w:val="auto"/>
          <w:sz w:val="24"/>
          <w:szCs w:val="24"/>
          <w:highlight w:val="none"/>
        </w:rPr>
      </w:pPr>
      <w:r>
        <w:rPr>
          <w:rFonts w:hint="eastAsia" w:ascii="宋体" w:hAnsi="宋体" w:eastAsia="宋体" w:cs="宋体"/>
          <w:b/>
          <w:bCs/>
          <w:color w:val="auto"/>
          <w:sz w:val="24"/>
          <w:szCs w:val="24"/>
          <w:highlight w:val="none"/>
        </w:rPr>
        <w:t>5.5.6</w:t>
      </w:r>
      <w:r>
        <w:rPr>
          <w:rFonts w:hint="eastAsia" w:ascii="宋体" w:hAnsi="宋体" w:eastAsia="宋体" w:cs="宋体"/>
          <w:color w:val="auto"/>
          <w:sz w:val="24"/>
          <w:szCs w:val="24"/>
          <w:highlight w:val="none"/>
        </w:rPr>
        <w:t>施工图设计文件应考虑交通维护、临时施工便道、危大工程、对周边建筑物的影响等因素，并提供相应的设计方案及计算书（可另册装订），以指导现场施工及过程评审。</w:t>
      </w:r>
    </w:p>
    <w:p w14:paraId="4F64FEFB">
      <w:pPr>
        <w:keepNext w:val="0"/>
        <w:keepLines w:val="0"/>
        <w:pageBreakBefore w:val="0"/>
        <w:kinsoku/>
        <w:wordWrap/>
        <w:overflowPunct/>
        <w:topLinePunct w:val="0"/>
        <w:autoSpaceDE/>
        <w:autoSpaceDN/>
        <w:bidi w:val="0"/>
        <w:adjustRightInd w:val="0"/>
        <w:snapToGrid w:val="0"/>
        <w:spacing w:line="440" w:lineRule="exact"/>
        <w:ind w:firstLine="482" w:firstLineChars="200"/>
        <w:textAlignment w:val="auto"/>
        <w:rPr>
          <w:rFonts w:hint="eastAsia" w:ascii="宋体" w:hAnsi="宋体" w:eastAsia="宋体" w:cs="宋体"/>
          <w:snapToGrid w:val="0"/>
          <w:color w:val="auto"/>
          <w:kern w:val="0"/>
          <w:sz w:val="24"/>
          <w:szCs w:val="24"/>
          <w:highlight w:val="none"/>
        </w:rPr>
      </w:pPr>
      <w:r>
        <w:rPr>
          <w:rFonts w:hint="eastAsia" w:hAnsi="宋体" w:eastAsia="宋体" w:cs="宋体"/>
          <w:b/>
          <w:bCs/>
          <w:snapToGrid w:val="0"/>
          <w:color w:val="auto"/>
          <w:kern w:val="0"/>
          <w:sz w:val="24"/>
          <w:szCs w:val="24"/>
          <w:highlight w:val="none"/>
          <w:lang w:eastAsia="zh-CN"/>
        </w:rPr>
        <w:t>5.6</w:t>
      </w:r>
      <w:r>
        <w:rPr>
          <w:rFonts w:hint="eastAsia" w:hAnsi="宋体" w:eastAsia="宋体" w:cs="宋体"/>
          <w:b/>
          <w:bCs/>
          <w:color w:val="auto"/>
          <w:kern w:val="0"/>
          <w:sz w:val="24"/>
          <w:szCs w:val="24"/>
          <w:highlight w:val="none"/>
          <w:lang w:eastAsia="zh-CN"/>
        </w:rPr>
        <w:t xml:space="preserve"> 设计</w:t>
      </w:r>
      <w:r>
        <w:rPr>
          <w:rFonts w:hint="eastAsia" w:ascii="宋体" w:hAnsi="宋体" w:eastAsia="宋体" w:cs="宋体"/>
          <w:snapToGrid w:val="0"/>
          <w:color w:val="auto"/>
          <w:kern w:val="0"/>
          <w:sz w:val="24"/>
          <w:szCs w:val="24"/>
          <w:highlight w:val="none"/>
        </w:rPr>
        <w:t>后期配合施工工作</w:t>
      </w:r>
    </w:p>
    <w:p w14:paraId="1A1E3001">
      <w:pPr>
        <w:keepNext w:val="0"/>
        <w:keepLines w:val="0"/>
        <w:pageBreakBefore w:val="0"/>
        <w:kinsoku/>
        <w:wordWrap/>
        <w:overflowPunct/>
        <w:topLinePunct w:val="0"/>
        <w:autoSpaceDE/>
        <w:autoSpaceDN/>
        <w:bidi w:val="0"/>
        <w:adjustRightInd w:val="0"/>
        <w:snapToGrid w:val="0"/>
        <w:spacing w:line="440" w:lineRule="exact"/>
        <w:ind w:firstLine="482" w:firstLineChars="200"/>
        <w:textAlignment w:val="auto"/>
        <w:rPr>
          <w:rFonts w:hint="eastAsia" w:ascii="宋体" w:hAnsi="宋体" w:eastAsia="宋体" w:cs="宋体"/>
          <w:snapToGrid w:val="0"/>
          <w:color w:val="auto"/>
          <w:kern w:val="0"/>
          <w:sz w:val="24"/>
          <w:szCs w:val="24"/>
          <w:highlight w:val="none"/>
        </w:rPr>
      </w:pPr>
      <w:r>
        <w:rPr>
          <w:rFonts w:hint="eastAsia" w:hAnsi="宋体" w:eastAsia="宋体" w:cs="宋体"/>
          <w:b/>
          <w:bCs/>
          <w:snapToGrid w:val="0"/>
          <w:color w:val="auto"/>
          <w:kern w:val="0"/>
          <w:sz w:val="24"/>
          <w:szCs w:val="24"/>
          <w:highlight w:val="none"/>
          <w:lang w:eastAsia="zh-CN"/>
        </w:rPr>
        <w:t>5.6.1 施工图</w:t>
      </w:r>
      <w:r>
        <w:rPr>
          <w:rFonts w:hint="eastAsia" w:ascii="宋体" w:hAnsi="宋体" w:eastAsia="宋体" w:cs="宋体"/>
          <w:snapToGrid w:val="0"/>
          <w:color w:val="auto"/>
          <w:kern w:val="0"/>
          <w:sz w:val="24"/>
          <w:szCs w:val="24"/>
          <w:highlight w:val="none"/>
        </w:rPr>
        <w:t>设计完成并经有关单位审查后，才能进入施工阶段</w:t>
      </w:r>
      <w:r>
        <w:rPr>
          <w:rFonts w:hint="eastAsia" w:hAnsi="宋体" w:eastAsia="宋体" w:cs="宋体"/>
          <w:snapToGrid w:val="0"/>
          <w:color w:val="auto"/>
          <w:kern w:val="0"/>
          <w:sz w:val="24"/>
          <w:szCs w:val="24"/>
          <w:highlight w:val="none"/>
          <w:lang w:eastAsia="zh-CN"/>
        </w:rPr>
        <w:t>。</w:t>
      </w:r>
      <w:r>
        <w:rPr>
          <w:rFonts w:hint="eastAsia" w:ascii="宋体" w:hAnsi="宋体" w:eastAsia="宋体" w:cs="宋体"/>
          <w:snapToGrid w:val="0"/>
          <w:color w:val="auto"/>
          <w:kern w:val="0"/>
          <w:sz w:val="24"/>
          <w:szCs w:val="24"/>
          <w:highlight w:val="none"/>
        </w:rPr>
        <w:t>设计单位必须按投标文件的承诺至少派1名参与</w:t>
      </w:r>
      <w:r>
        <w:rPr>
          <w:rFonts w:hint="eastAsia" w:hAnsi="宋体" w:eastAsia="宋体" w:cs="宋体"/>
          <w:snapToGrid w:val="0"/>
          <w:color w:val="auto"/>
          <w:kern w:val="0"/>
          <w:sz w:val="24"/>
          <w:szCs w:val="24"/>
          <w:highlight w:val="none"/>
          <w:lang w:eastAsia="zh-CN"/>
        </w:rPr>
        <w:t>本项目设计、</w:t>
      </w:r>
      <w:r>
        <w:rPr>
          <w:rFonts w:hint="eastAsia" w:ascii="宋体" w:hAnsi="宋体" w:eastAsia="宋体" w:cs="宋体"/>
          <w:snapToGrid w:val="0"/>
          <w:color w:val="auto"/>
          <w:kern w:val="0"/>
          <w:sz w:val="24"/>
          <w:szCs w:val="24"/>
          <w:highlight w:val="none"/>
        </w:rPr>
        <w:t>熟悉本项目设计</w:t>
      </w:r>
      <w:r>
        <w:rPr>
          <w:rFonts w:hint="eastAsia" w:hAnsi="宋体" w:eastAsia="宋体" w:cs="宋体"/>
          <w:snapToGrid w:val="0"/>
          <w:color w:val="auto"/>
          <w:kern w:val="0"/>
          <w:sz w:val="24"/>
          <w:szCs w:val="24"/>
          <w:highlight w:val="none"/>
          <w:lang w:eastAsia="zh-CN"/>
        </w:rPr>
        <w:t>且</w:t>
      </w:r>
      <w:r>
        <w:rPr>
          <w:rFonts w:hint="eastAsia" w:ascii="宋体" w:hAnsi="宋体" w:eastAsia="宋体" w:cs="宋体"/>
          <w:snapToGrid w:val="0"/>
          <w:color w:val="auto"/>
          <w:kern w:val="0"/>
          <w:sz w:val="24"/>
          <w:szCs w:val="24"/>
          <w:highlight w:val="none"/>
        </w:rPr>
        <w:t>有现场处理经验的设计代表驻</w:t>
      </w:r>
      <w:r>
        <w:rPr>
          <w:rFonts w:hint="eastAsia" w:hAnsi="宋体" w:eastAsia="宋体" w:cs="宋体"/>
          <w:snapToGrid w:val="0"/>
          <w:color w:val="auto"/>
          <w:kern w:val="0"/>
          <w:sz w:val="24"/>
          <w:szCs w:val="24"/>
          <w:highlight w:val="none"/>
          <w:lang w:eastAsia="zh-CN"/>
        </w:rPr>
        <w:t>现场</w:t>
      </w:r>
      <w:r>
        <w:rPr>
          <w:rFonts w:hint="eastAsia" w:ascii="宋体" w:hAnsi="宋体" w:eastAsia="宋体" w:cs="宋体"/>
          <w:snapToGrid w:val="0"/>
          <w:color w:val="auto"/>
          <w:kern w:val="0"/>
          <w:sz w:val="24"/>
          <w:szCs w:val="24"/>
          <w:highlight w:val="none"/>
        </w:rPr>
        <w:t>配合，建设管理单位不另外支付配合施工费用。</w:t>
      </w:r>
    </w:p>
    <w:p w14:paraId="1FE06995">
      <w:pPr>
        <w:pageBreakBefore w:val="0"/>
        <w:kinsoku/>
        <w:overflowPunct/>
        <w:topLinePunct w:val="0"/>
        <w:bidi w:val="0"/>
        <w:adjustRightInd w:val="0"/>
        <w:snapToGrid w:val="0"/>
        <w:spacing w:line="440" w:lineRule="exact"/>
        <w:ind w:firstLine="482" w:firstLineChars="200"/>
        <w:textAlignment w:val="auto"/>
        <w:rPr>
          <w:rFonts w:hint="eastAsia" w:ascii="宋体" w:hAnsi="宋体" w:eastAsia="宋体" w:cs="宋体"/>
          <w:snapToGrid w:val="0"/>
          <w:color w:val="auto"/>
          <w:kern w:val="0"/>
          <w:sz w:val="24"/>
          <w:szCs w:val="24"/>
          <w:highlight w:val="none"/>
        </w:rPr>
      </w:pPr>
      <w:r>
        <w:rPr>
          <w:rFonts w:hint="eastAsia" w:ascii="宋体" w:hAnsi="宋体" w:eastAsia="宋体" w:cs="宋体"/>
          <w:b/>
          <w:bCs/>
          <w:snapToGrid w:val="0"/>
          <w:color w:val="auto"/>
          <w:kern w:val="0"/>
          <w:sz w:val="24"/>
          <w:szCs w:val="24"/>
          <w:highlight w:val="none"/>
        </w:rPr>
        <w:t>5.6.2</w:t>
      </w:r>
      <w:r>
        <w:rPr>
          <w:rFonts w:hint="eastAsia" w:hAnsi="宋体" w:eastAsia="宋体" w:cs="宋体"/>
          <w:b/>
          <w:bCs/>
          <w:color w:val="auto"/>
          <w:kern w:val="0"/>
          <w:sz w:val="24"/>
          <w:szCs w:val="24"/>
          <w:highlight w:val="none"/>
          <w:lang w:val="en-US" w:eastAsia="zh-CN"/>
        </w:rPr>
        <w:t xml:space="preserve"> </w:t>
      </w:r>
      <w:r>
        <w:rPr>
          <w:rFonts w:hint="eastAsia" w:ascii="宋体" w:hAnsi="宋体" w:eastAsia="宋体" w:cs="宋体"/>
          <w:snapToGrid w:val="0"/>
          <w:color w:val="auto"/>
          <w:kern w:val="0"/>
          <w:sz w:val="24"/>
          <w:szCs w:val="24"/>
          <w:highlight w:val="none"/>
        </w:rPr>
        <w:t>设计单位配合施工、监理及业主单位的工作内容如下：</w:t>
      </w:r>
    </w:p>
    <w:p w14:paraId="795EF59C">
      <w:pPr>
        <w:pageBreakBefore w:val="0"/>
        <w:numPr>
          <w:ilvl w:val="0"/>
          <w:numId w:val="2"/>
        </w:numPr>
        <w:tabs>
          <w:tab w:val="left" w:pos="0"/>
        </w:tabs>
        <w:kinsoku/>
        <w:overflowPunct/>
        <w:topLinePunct w:val="0"/>
        <w:bidi w:val="0"/>
        <w:spacing w:line="440" w:lineRule="exact"/>
        <w:ind w:left="240" w:leftChars="100"/>
        <w:textAlignment w:val="auto"/>
        <w:rPr>
          <w:rFonts w:hint="eastAsia" w:ascii="宋体" w:hAnsi="宋体" w:eastAsia="宋体" w:cs="宋体"/>
          <w:color w:val="auto"/>
          <w:sz w:val="24"/>
          <w:szCs w:val="24"/>
          <w:highlight w:val="none"/>
        </w:rPr>
      </w:pPr>
      <w:r>
        <w:rPr>
          <w:rFonts w:hint="eastAsia" w:hAnsi="宋体" w:eastAsia="宋体" w:cs="宋体"/>
          <w:color w:val="auto"/>
          <w:sz w:val="24"/>
          <w:szCs w:val="24"/>
          <w:highlight w:val="none"/>
          <w:lang w:eastAsia="zh-CN"/>
        </w:rPr>
        <w:t>进行施工图</w:t>
      </w:r>
      <w:r>
        <w:rPr>
          <w:rFonts w:hint="eastAsia" w:ascii="宋体" w:hAnsi="宋体" w:eastAsia="宋体" w:cs="宋体"/>
          <w:color w:val="auto"/>
          <w:sz w:val="24"/>
          <w:szCs w:val="24"/>
          <w:highlight w:val="none"/>
        </w:rPr>
        <w:t>设计（技术）交底；</w:t>
      </w:r>
    </w:p>
    <w:p w14:paraId="0C053B59">
      <w:pPr>
        <w:pageBreakBefore w:val="0"/>
        <w:numPr>
          <w:ilvl w:val="0"/>
          <w:numId w:val="2"/>
        </w:numPr>
        <w:tabs>
          <w:tab w:val="left" w:pos="240"/>
        </w:tabs>
        <w:kinsoku/>
        <w:overflowPunct/>
        <w:topLinePunct w:val="0"/>
        <w:bidi w:val="0"/>
        <w:spacing w:line="440" w:lineRule="exact"/>
        <w:ind w:left="240" w:leftChars="1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参加本项目建设有关会议；</w:t>
      </w:r>
    </w:p>
    <w:p w14:paraId="77666A0B">
      <w:pPr>
        <w:pageBreakBefore w:val="0"/>
        <w:numPr>
          <w:ilvl w:val="0"/>
          <w:numId w:val="2"/>
        </w:numPr>
        <w:tabs>
          <w:tab w:val="left" w:pos="240"/>
        </w:tabs>
        <w:kinsoku/>
        <w:overflowPunct/>
        <w:topLinePunct w:val="0"/>
        <w:bidi w:val="0"/>
        <w:spacing w:line="440" w:lineRule="exact"/>
        <w:ind w:left="240" w:leftChars="1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变更设计和所有补充设计；</w:t>
      </w:r>
    </w:p>
    <w:p w14:paraId="6C3A4BA7">
      <w:pPr>
        <w:pageBreakBefore w:val="0"/>
        <w:numPr>
          <w:ilvl w:val="0"/>
          <w:numId w:val="2"/>
        </w:numPr>
        <w:tabs>
          <w:tab w:val="left" w:pos="240"/>
        </w:tabs>
        <w:kinsoku/>
        <w:overflowPunct/>
        <w:topLinePunct w:val="0"/>
        <w:bidi w:val="0"/>
        <w:spacing w:line="440" w:lineRule="exact"/>
        <w:ind w:left="240" w:leftChars="1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会签设计变更审批表；</w:t>
      </w:r>
    </w:p>
    <w:p w14:paraId="52958C2A">
      <w:pPr>
        <w:pageBreakBefore w:val="0"/>
        <w:numPr>
          <w:ilvl w:val="0"/>
          <w:numId w:val="2"/>
        </w:numPr>
        <w:tabs>
          <w:tab w:val="left" w:pos="240"/>
        </w:tabs>
        <w:kinsoku/>
        <w:overflowPunct/>
        <w:topLinePunct w:val="0"/>
        <w:bidi w:val="0"/>
        <w:spacing w:line="440" w:lineRule="exact"/>
        <w:ind w:left="240" w:leftChars="1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参加处理施工中发生的工程质量和安全事故</w:t>
      </w:r>
      <w:r>
        <w:rPr>
          <w:rFonts w:hint="eastAsia" w:hAnsi="宋体" w:eastAsia="宋体" w:cs="宋体"/>
          <w:color w:val="auto"/>
          <w:sz w:val="24"/>
          <w:szCs w:val="24"/>
          <w:highlight w:val="none"/>
          <w:lang w:eastAsia="zh-CN"/>
        </w:rPr>
        <w:t>的会议；</w:t>
      </w:r>
    </w:p>
    <w:p w14:paraId="3C104B12">
      <w:pPr>
        <w:pageBreakBefore w:val="0"/>
        <w:numPr>
          <w:ilvl w:val="0"/>
          <w:numId w:val="2"/>
        </w:numPr>
        <w:tabs>
          <w:tab w:val="left" w:pos="240"/>
        </w:tabs>
        <w:kinsoku/>
        <w:overflowPunct/>
        <w:topLinePunct w:val="0"/>
        <w:bidi w:val="0"/>
        <w:spacing w:line="440" w:lineRule="exact"/>
        <w:ind w:left="240" w:leftChars="1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参加隐蔽工程及工程竣工验收；</w:t>
      </w:r>
    </w:p>
    <w:p w14:paraId="2562B579">
      <w:pPr>
        <w:pageBreakBefore w:val="0"/>
        <w:numPr>
          <w:ilvl w:val="0"/>
          <w:numId w:val="2"/>
        </w:numPr>
        <w:tabs>
          <w:tab w:val="left" w:pos="240"/>
        </w:tabs>
        <w:kinsoku/>
        <w:overflowPunct/>
        <w:topLinePunct w:val="0"/>
        <w:bidi w:val="0"/>
        <w:spacing w:line="440" w:lineRule="exact"/>
        <w:ind w:left="240" w:leftChars="1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解决与设计有关的施工问题；</w:t>
      </w:r>
    </w:p>
    <w:p w14:paraId="4A0FA77C">
      <w:pPr>
        <w:pageBreakBefore w:val="0"/>
        <w:numPr>
          <w:ilvl w:val="0"/>
          <w:numId w:val="2"/>
        </w:numPr>
        <w:tabs>
          <w:tab w:val="left" w:pos="240"/>
        </w:tabs>
        <w:kinsoku/>
        <w:overflowPunct/>
        <w:topLinePunct w:val="0"/>
        <w:bidi w:val="0"/>
        <w:spacing w:line="440" w:lineRule="exact"/>
        <w:ind w:left="240" w:leftChars="1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配合质量检测；</w:t>
      </w:r>
    </w:p>
    <w:p w14:paraId="56BFF14E">
      <w:pPr>
        <w:pageBreakBefore w:val="0"/>
        <w:numPr>
          <w:ilvl w:val="0"/>
          <w:numId w:val="2"/>
        </w:numPr>
        <w:tabs>
          <w:tab w:val="left" w:pos="240"/>
        </w:tabs>
        <w:kinsoku/>
        <w:overflowPunct/>
        <w:topLinePunct w:val="0"/>
        <w:bidi w:val="0"/>
        <w:spacing w:line="440" w:lineRule="exact"/>
        <w:ind w:left="240" w:leftChars="1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参加审查施工单位的施工组织设计和专项施工方案</w:t>
      </w:r>
      <w:r>
        <w:rPr>
          <w:rFonts w:hint="eastAsia" w:hAnsi="宋体" w:eastAsia="宋体" w:cs="宋体"/>
          <w:color w:val="auto"/>
          <w:sz w:val="24"/>
          <w:szCs w:val="24"/>
          <w:highlight w:val="none"/>
          <w:lang w:eastAsia="zh-CN"/>
        </w:rPr>
        <w:t>的会议；</w:t>
      </w:r>
    </w:p>
    <w:p w14:paraId="52130896">
      <w:pPr>
        <w:pageBreakBefore w:val="0"/>
        <w:numPr>
          <w:ilvl w:val="0"/>
          <w:numId w:val="2"/>
        </w:numPr>
        <w:tabs>
          <w:tab w:val="left" w:pos="240"/>
        </w:tabs>
        <w:kinsoku/>
        <w:overflowPunct/>
        <w:topLinePunct w:val="0"/>
        <w:bidi w:val="0"/>
        <w:spacing w:line="440" w:lineRule="exact"/>
        <w:ind w:left="240" w:leftChars="1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在监理招标期间</w:t>
      </w:r>
      <w:r>
        <w:rPr>
          <w:rFonts w:hint="eastAsia" w:hAnsi="宋体" w:eastAsia="宋体" w:cs="宋体"/>
          <w:color w:val="auto"/>
          <w:sz w:val="24"/>
          <w:szCs w:val="24"/>
          <w:highlight w:val="none"/>
          <w:lang w:eastAsia="zh-CN"/>
        </w:rPr>
        <w:t>，配合</w:t>
      </w:r>
      <w:r>
        <w:rPr>
          <w:rFonts w:hint="eastAsia" w:ascii="宋体" w:hAnsi="宋体" w:eastAsia="宋体" w:cs="宋体"/>
          <w:color w:val="auto"/>
          <w:sz w:val="24"/>
          <w:szCs w:val="24"/>
          <w:highlight w:val="none"/>
        </w:rPr>
        <w:t>建设及相关单位解释</w:t>
      </w:r>
      <w:r>
        <w:rPr>
          <w:rFonts w:hint="eastAsia" w:hAnsi="宋体" w:eastAsia="宋体" w:cs="宋体"/>
          <w:color w:val="auto"/>
          <w:sz w:val="24"/>
          <w:szCs w:val="24"/>
          <w:highlight w:val="none"/>
          <w:lang w:eastAsia="zh-CN"/>
        </w:rPr>
        <w:t>并</w:t>
      </w:r>
      <w:r>
        <w:rPr>
          <w:rFonts w:hint="eastAsia" w:ascii="宋体" w:hAnsi="宋体" w:eastAsia="宋体" w:cs="宋体"/>
          <w:color w:val="auto"/>
          <w:sz w:val="24"/>
          <w:szCs w:val="24"/>
          <w:highlight w:val="none"/>
        </w:rPr>
        <w:t>完善施工图相关内容。</w:t>
      </w:r>
    </w:p>
    <w:p w14:paraId="09123547">
      <w:pPr>
        <w:pageBreakBefore w:val="0"/>
        <w:kinsoku/>
        <w:overflowPunct/>
        <w:topLinePunct w:val="0"/>
        <w:bidi w:val="0"/>
        <w:adjustRightInd w:val="0"/>
        <w:snapToGrid w:val="0"/>
        <w:spacing w:line="440" w:lineRule="exact"/>
        <w:ind w:firstLine="482" w:firstLineChars="200"/>
        <w:textAlignment w:val="auto"/>
        <w:rPr>
          <w:rFonts w:hint="eastAsia" w:ascii="宋体" w:hAnsi="宋体" w:eastAsia="宋体" w:cs="宋体"/>
          <w:snapToGrid w:val="0"/>
          <w:color w:val="auto"/>
          <w:kern w:val="0"/>
          <w:sz w:val="24"/>
          <w:szCs w:val="24"/>
          <w:highlight w:val="none"/>
        </w:rPr>
      </w:pPr>
      <w:r>
        <w:rPr>
          <w:rFonts w:hint="eastAsia" w:ascii="宋体" w:hAnsi="宋体" w:eastAsia="宋体" w:cs="宋体"/>
          <w:b/>
          <w:bCs/>
          <w:snapToGrid w:val="0"/>
          <w:color w:val="auto"/>
          <w:kern w:val="0"/>
          <w:sz w:val="24"/>
          <w:szCs w:val="24"/>
          <w:highlight w:val="none"/>
        </w:rPr>
        <w:t>5.6.3</w:t>
      </w:r>
      <w:r>
        <w:rPr>
          <w:rFonts w:hint="eastAsia" w:hAnsi="宋体" w:eastAsia="宋体" w:cs="宋体"/>
          <w:b/>
          <w:bCs/>
          <w:snapToGrid w:val="0"/>
          <w:color w:val="auto"/>
          <w:kern w:val="0"/>
          <w:sz w:val="24"/>
          <w:szCs w:val="24"/>
          <w:highlight w:val="none"/>
          <w:lang w:val="en-US" w:eastAsia="zh-CN"/>
        </w:rPr>
        <w:t xml:space="preserve"> </w:t>
      </w:r>
      <w:r>
        <w:rPr>
          <w:rFonts w:hint="eastAsia" w:ascii="宋体" w:hAnsi="宋体" w:eastAsia="宋体" w:cs="宋体"/>
          <w:snapToGrid w:val="0"/>
          <w:color w:val="auto"/>
          <w:kern w:val="0"/>
          <w:sz w:val="24"/>
          <w:szCs w:val="24"/>
          <w:highlight w:val="none"/>
        </w:rPr>
        <w:t>设计工作技术总结</w:t>
      </w:r>
    </w:p>
    <w:p w14:paraId="183F2568">
      <w:pPr>
        <w:pageBreakBefore w:val="0"/>
        <w:kinsoku/>
        <w:overflowPunct/>
        <w:topLinePunct w:val="0"/>
        <w:bidi w:val="0"/>
        <w:adjustRightInd w:val="0"/>
        <w:snapToGrid w:val="0"/>
        <w:spacing w:line="440" w:lineRule="exact"/>
        <w:ind w:firstLine="480" w:firstLineChars="200"/>
        <w:textAlignment w:val="auto"/>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中标人对设计文件及施工过程中</w:t>
      </w:r>
      <w:r>
        <w:rPr>
          <w:rFonts w:hint="eastAsia" w:hAnsi="宋体" w:eastAsia="宋体" w:cs="宋体"/>
          <w:snapToGrid w:val="0"/>
          <w:color w:val="auto"/>
          <w:kern w:val="0"/>
          <w:sz w:val="24"/>
          <w:szCs w:val="24"/>
          <w:highlight w:val="none"/>
          <w:lang w:eastAsia="zh-CN"/>
        </w:rPr>
        <w:t>产生</w:t>
      </w:r>
      <w:r>
        <w:rPr>
          <w:rFonts w:hint="eastAsia" w:ascii="宋体" w:hAnsi="宋体" w:eastAsia="宋体" w:cs="宋体"/>
          <w:snapToGrid w:val="0"/>
          <w:color w:val="auto"/>
          <w:kern w:val="0"/>
          <w:sz w:val="24"/>
          <w:szCs w:val="24"/>
          <w:highlight w:val="none"/>
        </w:rPr>
        <w:t>的补充设计进行检查，并提出设计文件质量检查报告，在竣工验收前交招标人。工程完工后，中标人应组织设计技术工作人员将全部资料进行整理并撰写工程技术总结</w:t>
      </w:r>
      <w:r>
        <w:rPr>
          <w:rFonts w:hint="eastAsia" w:hAnsi="宋体" w:eastAsia="宋体" w:cs="宋体"/>
          <w:snapToGrid w:val="0"/>
          <w:color w:val="auto"/>
          <w:kern w:val="0"/>
          <w:sz w:val="24"/>
          <w:szCs w:val="24"/>
          <w:highlight w:val="none"/>
          <w:lang w:eastAsia="zh-CN"/>
        </w:rPr>
        <w:t>，</w:t>
      </w:r>
      <w:r>
        <w:rPr>
          <w:rFonts w:hint="eastAsia" w:ascii="宋体" w:hAnsi="宋体" w:eastAsia="宋体" w:cs="宋体"/>
          <w:snapToGrid w:val="0"/>
          <w:color w:val="auto"/>
          <w:kern w:val="0"/>
          <w:sz w:val="24"/>
          <w:szCs w:val="24"/>
          <w:highlight w:val="none"/>
        </w:rPr>
        <w:t>于竣工后一个月内完成</w:t>
      </w:r>
      <w:r>
        <w:rPr>
          <w:rFonts w:hint="eastAsia" w:hAnsi="宋体" w:eastAsia="宋体" w:cs="宋体"/>
          <w:snapToGrid w:val="0"/>
          <w:color w:val="auto"/>
          <w:kern w:val="0"/>
          <w:sz w:val="24"/>
          <w:szCs w:val="24"/>
          <w:highlight w:val="none"/>
          <w:lang w:eastAsia="zh-CN"/>
        </w:rPr>
        <w:t>，提</w:t>
      </w:r>
      <w:r>
        <w:rPr>
          <w:rFonts w:hint="eastAsia" w:ascii="宋体" w:hAnsi="宋体" w:eastAsia="宋体" w:cs="宋体"/>
          <w:snapToGrid w:val="0"/>
          <w:color w:val="auto"/>
          <w:kern w:val="0"/>
          <w:sz w:val="24"/>
          <w:szCs w:val="24"/>
          <w:highlight w:val="none"/>
        </w:rPr>
        <w:t>交招标人。</w:t>
      </w:r>
    </w:p>
    <w:p w14:paraId="72B4EDA3">
      <w:pPr>
        <w:pageBreakBefore w:val="0"/>
        <w:kinsoku/>
        <w:overflowPunct/>
        <w:topLinePunct w:val="0"/>
        <w:bidi w:val="0"/>
        <w:adjustRightInd w:val="0"/>
        <w:snapToGrid w:val="0"/>
        <w:spacing w:line="440" w:lineRule="exact"/>
        <w:ind w:firstLine="482" w:firstLineChars="200"/>
        <w:textAlignment w:val="auto"/>
        <w:rPr>
          <w:rFonts w:hint="eastAsia" w:ascii="宋体" w:hAnsi="宋体" w:eastAsia="宋体" w:cs="宋体"/>
          <w:b/>
          <w:bCs/>
          <w:snapToGrid w:val="0"/>
          <w:color w:val="auto"/>
          <w:kern w:val="0"/>
          <w:sz w:val="24"/>
          <w:szCs w:val="24"/>
          <w:highlight w:val="none"/>
        </w:rPr>
      </w:pPr>
      <w:r>
        <w:rPr>
          <w:rFonts w:hint="eastAsia" w:ascii="宋体" w:hAnsi="宋体" w:eastAsia="宋体" w:cs="宋体"/>
          <w:b/>
          <w:bCs/>
          <w:snapToGrid w:val="0"/>
          <w:color w:val="auto"/>
          <w:kern w:val="0"/>
          <w:sz w:val="24"/>
          <w:szCs w:val="24"/>
          <w:highlight w:val="none"/>
        </w:rPr>
        <w:t>5.7</w:t>
      </w:r>
      <w:r>
        <w:rPr>
          <w:rFonts w:hint="eastAsia" w:hAnsi="宋体" w:eastAsia="宋体" w:cs="宋体"/>
          <w:b/>
          <w:bCs/>
          <w:snapToGrid w:val="0"/>
          <w:color w:val="auto"/>
          <w:kern w:val="0"/>
          <w:sz w:val="24"/>
          <w:szCs w:val="24"/>
          <w:highlight w:val="none"/>
          <w:lang w:val="en-US" w:eastAsia="zh-CN"/>
        </w:rPr>
        <w:t xml:space="preserve"> </w:t>
      </w:r>
      <w:r>
        <w:rPr>
          <w:rFonts w:hint="eastAsia" w:ascii="宋体" w:hAnsi="宋体" w:eastAsia="宋体" w:cs="宋体"/>
          <w:b/>
          <w:bCs/>
          <w:snapToGrid w:val="0"/>
          <w:color w:val="auto"/>
          <w:kern w:val="0"/>
          <w:sz w:val="24"/>
          <w:szCs w:val="24"/>
          <w:highlight w:val="none"/>
        </w:rPr>
        <w:t>限额设计要求：</w:t>
      </w:r>
    </w:p>
    <w:p w14:paraId="5B879C2B">
      <w:pPr>
        <w:pageBreakBefore w:val="0"/>
        <w:kinsoku/>
        <w:overflowPunct/>
        <w:topLinePunct w:val="0"/>
        <w:bidi w:val="0"/>
        <w:adjustRightInd w:val="0"/>
        <w:snapToGrid w:val="0"/>
        <w:spacing w:line="440" w:lineRule="exact"/>
        <w:ind w:firstLine="560" w:firstLineChars="200"/>
        <w:textAlignment w:val="auto"/>
        <w:rPr>
          <w:rFonts w:hint="eastAsia" w:ascii="宋体" w:hAnsi="宋体" w:eastAsia="宋体" w:cs="宋体"/>
          <w:snapToGrid w:val="0"/>
          <w:color w:val="auto"/>
          <w:kern w:val="0"/>
          <w:sz w:val="28"/>
          <w:szCs w:val="28"/>
          <w:highlight w:val="none"/>
        </w:rPr>
      </w:pPr>
      <w:r>
        <w:rPr>
          <w:rFonts w:hint="eastAsia" w:ascii="宋体" w:hAnsi="宋体" w:eastAsia="宋体" w:cs="宋体"/>
          <w:b w:val="0"/>
          <w:bCs w:val="0"/>
          <w:snapToGrid w:val="0"/>
          <w:color w:val="auto"/>
          <w:kern w:val="0"/>
          <w:sz w:val="28"/>
          <w:szCs w:val="28"/>
          <w:highlight w:val="none"/>
        </w:rPr>
        <w:t>5.7.1</w:t>
      </w:r>
      <w:r>
        <w:rPr>
          <w:rFonts w:hint="eastAsia" w:ascii="宋体" w:hAnsi="宋体" w:eastAsia="宋体" w:cs="宋体"/>
          <w:snapToGrid w:val="0"/>
          <w:color w:val="auto"/>
          <w:kern w:val="0"/>
          <w:sz w:val="28"/>
          <w:szCs w:val="28"/>
          <w:highlight w:val="none"/>
        </w:rPr>
        <w:t>施工图预算中的建安工程费预算价不得超过</w:t>
      </w:r>
      <w:r>
        <w:rPr>
          <w:rFonts w:hint="eastAsia" w:hAnsi="宋体" w:eastAsia="宋体" w:cs="宋体"/>
          <w:snapToGrid w:val="0"/>
          <w:color w:val="auto"/>
          <w:kern w:val="0"/>
          <w:sz w:val="28"/>
          <w:szCs w:val="28"/>
          <w:highlight w:val="none"/>
          <w:lang w:val="en-US" w:eastAsia="zh-CN"/>
        </w:rPr>
        <w:t>初步设计</w:t>
      </w:r>
      <w:r>
        <w:rPr>
          <w:rFonts w:hint="eastAsia" w:ascii="宋体" w:hAnsi="宋体" w:eastAsia="宋体" w:cs="宋体"/>
          <w:snapToGrid w:val="0"/>
          <w:color w:val="auto"/>
          <w:kern w:val="0"/>
          <w:sz w:val="28"/>
          <w:szCs w:val="28"/>
          <w:highlight w:val="none"/>
        </w:rPr>
        <w:t>概算建安工程费</w:t>
      </w:r>
      <w:r>
        <w:rPr>
          <w:rFonts w:hint="eastAsia" w:ascii="宋体" w:hAnsi="宋体" w:eastAsia="宋体" w:cs="宋体"/>
          <w:color w:val="auto"/>
          <w:sz w:val="28"/>
          <w:szCs w:val="28"/>
          <w:highlight w:val="none"/>
        </w:rPr>
        <w:t>且不得超过建安工程费的中标价</w:t>
      </w:r>
      <w:r>
        <w:rPr>
          <w:rFonts w:hint="eastAsia" w:ascii="宋体" w:hAnsi="宋体" w:eastAsia="宋体" w:cs="宋体"/>
          <w:snapToGrid w:val="0"/>
          <w:color w:val="auto"/>
          <w:kern w:val="0"/>
          <w:sz w:val="28"/>
          <w:szCs w:val="28"/>
          <w:highlight w:val="none"/>
        </w:rPr>
        <w:t>。</w:t>
      </w:r>
    </w:p>
    <w:p w14:paraId="33F1C8F2">
      <w:pPr>
        <w:pageBreakBefore w:val="0"/>
        <w:kinsoku/>
        <w:overflowPunct/>
        <w:topLinePunct w:val="0"/>
        <w:bidi w:val="0"/>
        <w:adjustRightInd w:val="0"/>
        <w:snapToGrid w:val="0"/>
        <w:spacing w:line="440" w:lineRule="exact"/>
        <w:ind w:firstLine="482" w:firstLineChars="200"/>
        <w:textAlignment w:val="auto"/>
        <w:rPr>
          <w:rFonts w:hint="eastAsia" w:ascii="宋体" w:hAnsi="宋体" w:eastAsia="宋体" w:cs="宋体"/>
          <w:snapToGrid w:val="0"/>
          <w:color w:val="auto"/>
          <w:kern w:val="0"/>
          <w:sz w:val="24"/>
          <w:szCs w:val="24"/>
          <w:highlight w:val="none"/>
        </w:rPr>
      </w:pPr>
      <w:r>
        <w:rPr>
          <w:rFonts w:hint="eastAsia" w:ascii="宋体" w:hAnsi="宋体" w:eastAsia="宋体" w:cs="宋体"/>
          <w:b/>
          <w:bCs/>
          <w:snapToGrid w:val="0"/>
          <w:color w:val="auto"/>
          <w:kern w:val="0"/>
          <w:sz w:val="24"/>
          <w:szCs w:val="24"/>
          <w:highlight w:val="none"/>
        </w:rPr>
        <w:t>5.7.2</w:t>
      </w:r>
      <w:r>
        <w:rPr>
          <w:rFonts w:hint="eastAsia" w:ascii="宋体" w:hAnsi="宋体" w:eastAsia="宋体" w:cs="宋体"/>
          <w:snapToGrid w:val="0"/>
          <w:color w:val="auto"/>
          <w:kern w:val="0"/>
          <w:sz w:val="24"/>
          <w:szCs w:val="24"/>
          <w:highlight w:val="none"/>
        </w:rPr>
        <w:t>中标人在提交设计施工图时必须同时提交施工图预算。施工图预算作为中标人自我核算是否符合限额设计要求的依据。若造价咨询单位按施工图审核的建安工程费高于5.7.1条规定时，中标人必须无条件对施工图进行修改，直至满足限额设计要求，</w:t>
      </w:r>
      <w:r>
        <w:rPr>
          <w:rFonts w:hint="eastAsia" w:ascii="宋体" w:hAnsi="宋体" w:eastAsia="宋体" w:cs="宋体"/>
          <w:color w:val="auto"/>
          <w:sz w:val="24"/>
          <w:szCs w:val="24"/>
          <w:highlight w:val="none"/>
        </w:rPr>
        <w:t>不另行增加设计费</w:t>
      </w:r>
      <w:r>
        <w:rPr>
          <w:rFonts w:hint="eastAsia" w:ascii="宋体" w:hAnsi="宋体" w:eastAsia="宋体" w:cs="宋体"/>
          <w:snapToGrid w:val="0"/>
          <w:color w:val="auto"/>
          <w:kern w:val="0"/>
          <w:sz w:val="24"/>
          <w:szCs w:val="24"/>
          <w:highlight w:val="none"/>
        </w:rPr>
        <w:t>。由此造成造价咨询单位</w:t>
      </w:r>
      <w:r>
        <w:rPr>
          <w:rFonts w:hint="eastAsia" w:hAnsi="宋体" w:eastAsia="宋体" w:cs="宋体"/>
          <w:snapToGrid w:val="0"/>
          <w:color w:val="auto"/>
          <w:kern w:val="0"/>
          <w:sz w:val="24"/>
          <w:szCs w:val="24"/>
          <w:highlight w:val="none"/>
          <w:lang w:val="en-US" w:eastAsia="zh-CN"/>
        </w:rPr>
        <w:t>重复</w:t>
      </w:r>
      <w:r>
        <w:rPr>
          <w:rFonts w:hint="eastAsia" w:ascii="宋体" w:hAnsi="宋体" w:eastAsia="宋体" w:cs="宋体"/>
          <w:snapToGrid w:val="0"/>
          <w:color w:val="auto"/>
          <w:kern w:val="0"/>
          <w:sz w:val="24"/>
          <w:szCs w:val="24"/>
          <w:highlight w:val="none"/>
        </w:rPr>
        <w:t>审核施工图预算的费用由中标人承担，结算时在设计费中扣除。</w:t>
      </w:r>
    </w:p>
    <w:p w14:paraId="576BF5A3">
      <w:pPr>
        <w:pageBreakBefore w:val="0"/>
        <w:kinsoku/>
        <w:overflowPunct/>
        <w:topLinePunct w:val="0"/>
        <w:bidi w:val="0"/>
        <w:adjustRightInd w:val="0"/>
        <w:snapToGrid w:val="0"/>
        <w:spacing w:line="440" w:lineRule="exact"/>
        <w:ind w:firstLine="482" w:firstLineChars="200"/>
        <w:textAlignment w:val="auto"/>
        <w:rPr>
          <w:rFonts w:hint="eastAsia" w:ascii="宋体" w:hAnsi="宋体" w:eastAsia="宋体" w:cs="宋体"/>
          <w:snapToGrid w:val="0"/>
          <w:color w:val="auto"/>
          <w:kern w:val="0"/>
          <w:sz w:val="24"/>
          <w:szCs w:val="24"/>
          <w:highlight w:val="none"/>
        </w:rPr>
      </w:pPr>
      <w:r>
        <w:rPr>
          <w:rFonts w:hint="eastAsia" w:ascii="宋体" w:hAnsi="宋体" w:eastAsia="宋体" w:cs="宋体"/>
          <w:b/>
          <w:bCs/>
          <w:snapToGrid w:val="0"/>
          <w:color w:val="auto"/>
          <w:kern w:val="0"/>
          <w:sz w:val="24"/>
          <w:szCs w:val="24"/>
          <w:highlight w:val="none"/>
        </w:rPr>
        <w:t>5.7.3</w:t>
      </w:r>
      <w:r>
        <w:rPr>
          <w:rFonts w:hint="eastAsia" w:hAnsi="宋体" w:eastAsia="宋体" w:cs="宋体"/>
          <w:b/>
          <w:bCs/>
          <w:snapToGrid w:val="0"/>
          <w:color w:val="auto"/>
          <w:kern w:val="0"/>
          <w:sz w:val="24"/>
          <w:szCs w:val="24"/>
          <w:highlight w:val="none"/>
          <w:lang w:val="en-US" w:eastAsia="zh-CN"/>
        </w:rPr>
        <w:t xml:space="preserve"> </w:t>
      </w:r>
      <w:r>
        <w:rPr>
          <w:rFonts w:hint="eastAsia" w:ascii="宋体" w:hAnsi="宋体" w:eastAsia="宋体" w:cs="宋体"/>
          <w:snapToGrid w:val="0"/>
          <w:color w:val="auto"/>
          <w:kern w:val="0"/>
          <w:sz w:val="24"/>
          <w:szCs w:val="24"/>
          <w:highlight w:val="none"/>
        </w:rPr>
        <w:t>中标人在施工图设计前，要充分进行市场调查，主要材料、设备在满足设计规范及建设标准的情况下，尽量采用造价管理机构发布的信息价中有相应型号、规格的标准材料，若必须采用非标准材料的，必须经招标人同意，否则参照信息价中相近且低于其标准的材料信息价作为该项材料的结算价。</w:t>
      </w:r>
    </w:p>
    <w:p w14:paraId="3D8005F5">
      <w:pPr>
        <w:pageBreakBefore w:val="0"/>
        <w:kinsoku/>
        <w:overflowPunct/>
        <w:topLinePunct w:val="0"/>
        <w:bidi w:val="0"/>
        <w:adjustRightInd w:val="0"/>
        <w:snapToGrid w:val="0"/>
        <w:spacing w:line="440" w:lineRule="exact"/>
        <w:ind w:firstLine="482" w:firstLineChars="200"/>
        <w:textAlignment w:val="auto"/>
        <w:rPr>
          <w:rFonts w:hint="eastAsia" w:ascii="宋体" w:hAnsi="宋体" w:eastAsia="宋体" w:cs="宋体"/>
          <w:snapToGrid w:val="0"/>
          <w:color w:val="auto"/>
          <w:kern w:val="0"/>
          <w:sz w:val="24"/>
          <w:szCs w:val="24"/>
          <w:highlight w:val="none"/>
        </w:rPr>
      </w:pPr>
      <w:r>
        <w:rPr>
          <w:rFonts w:hint="eastAsia" w:ascii="宋体" w:hAnsi="宋体" w:eastAsia="宋体" w:cs="宋体"/>
          <w:b/>
          <w:bCs/>
          <w:snapToGrid w:val="0"/>
          <w:color w:val="auto"/>
          <w:kern w:val="0"/>
          <w:sz w:val="24"/>
          <w:szCs w:val="24"/>
          <w:highlight w:val="none"/>
        </w:rPr>
        <w:t>5.8</w:t>
      </w:r>
      <w:r>
        <w:rPr>
          <w:rFonts w:hint="eastAsia" w:hAnsi="宋体" w:eastAsia="宋体" w:cs="宋体"/>
          <w:b/>
          <w:bCs/>
          <w:snapToGrid w:val="0"/>
          <w:color w:val="auto"/>
          <w:kern w:val="0"/>
          <w:sz w:val="24"/>
          <w:szCs w:val="24"/>
          <w:highlight w:val="none"/>
          <w:lang w:val="en-US" w:eastAsia="zh-CN"/>
        </w:rPr>
        <w:t xml:space="preserve"> </w:t>
      </w:r>
      <w:r>
        <w:rPr>
          <w:rFonts w:hint="eastAsia" w:ascii="宋体" w:hAnsi="宋体" w:eastAsia="宋体" w:cs="宋体"/>
          <w:snapToGrid w:val="0"/>
          <w:color w:val="auto"/>
          <w:kern w:val="0"/>
          <w:sz w:val="24"/>
          <w:szCs w:val="24"/>
          <w:highlight w:val="none"/>
        </w:rPr>
        <w:t>设计时需要考虑与周边环境相结合。</w:t>
      </w:r>
    </w:p>
    <w:p w14:paraId="179C006C">
      <w:pPr>
        <w:pageBreakBefore w:val="0"/>
        <w:kinsoku/>
        <w:overflowPunct/>
        <w:topLinePunct w:val="0"/>
        <w:bidi w:val="0"/>
        <w:adjustRightInd w:val="0"/>
        <w:snapToGrid w:val="0"/>
        <w:spacing w:line="440" w:lineRule="exact"/>
        <w:ind w:firstLine="482" w:firstLineChars="200"/>
        <w:textAlignment w:val="auto"/>
        <w:rPr>
          <w:rFonts w:hint="eastAsia" w:ascii="宋体" w:hAnsi="宋体" w:eastAsia="宋体" w:cs="宋体"/>
          <w:snapToGrid w:val="0"/>
          <w:color w:val="auto"/>
          <w:kern w:val="0"/>
          <w:sz w:val="24"/>
          <w:szCs w:val="24"/>
          <w:highlight w:val="none"/>
        </w:rPr>
      </w:pPr>
      <w:r>
        <w:rPr>
          <w:rFonts w:hint="eastAsia" w:ascii="宋体" w:hAnsi="宋体" w:eastAsia="宋体" w:cs="宋体"/>
          <w:b/>
          <w:bCs/>
          <w:snapToGrid w:val="0"/>
          <w:color w:val="auto"/>
          <w:kern w:val="0"/>
          <w:sz w:val="24"/>
          <w:szCs w:val="24"/>
          <w:highlight w:val="none"/>
        </w:rPr>
        <w:t>5.9</w:t>
      </w:r>
      <w:r>
        <w:rPr>
          <w:rFonts w:hint="eastAsia" w:hAnsi="宋体" w:eastAsia="宋体" w:cs="宋体"/>
          <w:b/>
          <w:bCs/>
          <w:snapToGrid w:val="0"/>
          <w:color w:val="auto"/>
          <w:kern w:val="0"/>
          <w:sz w:val="24"/>
          <w:szCs w:val="24"/>
          <w:highlight w:val="none"/>
          <w:lang w:eastAsia="zh-CN"/>
        </w:rPr>
        <w:t xml:space="preserve"> 凡</w:t>
      </w:r>
      <w:r>
        <w:rPr>
          <w:rFonts w:hint="eastAsia" w:ascii="宋体" w:hAnsi="宋体" w:eastAsia="宋体" w:cs="宋体"/>
          <w:snapToGrid w:val="0"/>
          <w:color w:val="auto"/>
          <w:kern w:val="0"/>
          <w:sz w:val="24"/>
          <w:szCs w:val="24"/>
          <w:highlight w:val="none"/>
        </w:rPr>
        <w:t>参加本次招标的投标人</w:t>
      </w:r>
      <w:r>
        <w:rPr>
          <w:rFonts w:hint="eastAsia" w:hAnsi="宋体" w:eastAsia="宋体" w:cs="宋体"/>
          <w:snapToGrid w:val="0"/>
          <w:color w:val="auto"/>
          <w:kern w:val="0"/>
          <w:sz w:val="24"/>
          <w:szCs w:val="24"/>
          <w:highlight w:val="none"/>
          <w:lang w:eastAsia="zh-CN"/>
        </w:rPr>
        <w:t>，被</w:t>
      </w:r>
      <w:r>
        <w:rPr>
          <w:rFonts w:hint="eastAsia" w:ascii="宋体" w:hAnsi="宋体" w:eastAsia="宋体" w:cs="宋体"/>
          <w:snapToGrid w:val="0"/>
          <w:color w:val="auto"/>
          <w:kern w:val="0"/>
          <w:sz w:val="24"/>
          <w:szCs w:val="24"/>
          <w:highlight w:val="none"/>
        </w:rPr>
        <w:t>视为已充分认识和理解了任何与本工程有关的影响事项和困难等情况。</w:t>
      </w:r>
    </w:p>
    <w:p w14:paraId="6B8B1DF2">
      <w:pPr>
        <w:pageBreakBefore w:val="0"/>
        <w:kinsoku/>
        <w:overflowPunct/>
        <w:topLinePunct w:val="0"/>
        <w:bidi w:val="0"/>
        <w:adjustRightInd w:val="0"/>
        <w:snapToGrid w:val="0"/>
        <w:spacing w:line="440" w:lineRule="exact"/>
        <w:ind w:firstLine="482" w:firstLineChars="200"/>
        <w:textAlignment w:val="auto"/>
        <w:rPr>
          <w:rFonts w:hint="eastAsia" w:ascii="宋体" w:hAnsi="宋体" w:eastAsia="宋体" w:cs="宋体"/>
          <w:b/>
          <w:bCs/>
          <w:snapToGrid w:val="0"/>
          <w:color w:val="auto"/>
          <w:kern w:val="0"/>
          <w:sz w:val="24"/>
          <w:szCs w:val="24"/>
          <w:highlight w:val="none"/>
          <w:u w:val="single"/>
        </w:rPr>
      </w:pPr>
      <w:r>
        <w:rPr>
          <w:rFonts w:hint="eastAsia" w:ascii="宋体" w:hAnsi="宋体" w:eastAsia="宋体" w:cs="宋体"/>
          <w:b/>
          <w:bCs/>
          <w:snapToGrid w:val="0"/>
          <w:color w:val="auto"/>
          <w:kern w:val="0"/>
          <w:sz w:val="24"/>
          <w:szCs w:val="24"/>
          <w:highlight w:val="none"/>
          <w:u w:val="single"/>
        </w:rPr>
        <w:t>（注：上述招标内容</w:t>
      </w:r>
      <w:r>
        <w:rPr>
          <w:rFonts w:hint="eastAsia" w:ascii="宋体" w:hAnsi="宋体" w:eastAsia="宋体" w:cs="宋体"/>
          <w:b/>
          <w:bCs/>
          <w:snapToGrid w:val="0"/>
          <w:color w:val="auto"/>
          <w:kern w:val="0"/>
          <w:sz w:val="24"/>
          <w:szCs w:val="24"/>
          <w:highlight w:val="none"/>
          <w:u w:val="single"/>
          <w:lang w:val="en-US" w:eastAsia="zh-CN"/>
        </w:rPr>
        <w:t>招标人</w:t>
      </w:r>
      <w:r>
        <w:rPr>
          <w:rFonts w:hint="eastAsia" w:ascii="宋体" w:hAnsi="宋体" w:eastAsia="宋体" w:cs="宋体"/>
          <w:b/>
          <w:bCs/>
          <w:snapToGrid w:val="0"/>
          <w:color w:val="auto"/>
          <w:kern w:val="0"/>
          <w:sz w:val="24"/>
          <w:szCs w:val="24"/>
          <w:highlight w:val="none"/>
          <w:u w:val="single"/>
        </w:rPr>
        <w:t>在实施过程中可根据实际情况对工程规模、任务内容等进行合理、适当调整。）</w:t>
      </w:r>
    </w:p>
    <w:p w14:paraId="5E04C2B9">
      <w:pPr>
        <w:pageBreakBefore w:val="0"/>
        <w:kinsoku/>
        <w:overflowPunct/>
        <w:topLinePunct w:val="0"/>
        <w:bidi w:val="0"/>
        <w:adjustRightInd w:val="0"/>
        <w:snapToGrid w:val="0"/>
        <w:spacing w:line="440" w:lineRule="exact"/>
        <w:ind w:firstLine="482" w:firstLineChars="200"/>
        <w:textAlignment w:val="auto"/>
        <w:rPr>
          <w:rFonts w:hint="eastAsia" w:ascii="宋体" w:hAnsi="宋体" w:eastAsia="宋体" w:cs="宋体"/>
          <w:strike w:val="0"/>
          <w:dstrike w:val="0"/>
          <w:snapToGrid w:val="0"/>
          <w:color w:val="auto"/>
          <w:kern w:val="0"/>
          <w:sz w:val="24"/>
          <w:szCs w:val="24"/>
          <w:highlight w:val="none"/>
          <w:lang w:eastAsia="zh-CN"/>
        </w:rPr>
      </w:pPr>
      <w:r>
        <w:rPr>
          <w:rFonts w:hint="eastAsia" w:ascii="宋体" w:hAnsi="宋体" w:eastAsia="宋体" w:cs="宋体"/>
          <w:b/>
          <w:bCs/>
          <w:snapToGrid w:val="0"/>
          <w:color w:val="auto"/>
          <w:kern w:val="0"/>
          <w:sz w:val="24"/>
          <w:szCs w:val="24"/>
          <w:highlight w:val="none"/>
        </w:rPr>
        <w:t>5.10</w:t>
      </w:r>
      <w:r>
        <w:rPr>
          <w:rFonts w:hint="eastAsia" w:ascii="宋体" w:hAnsi="宋体" w:eastAsia="宋体" w:cs="宋体"/>
          <w:snapToGrid w:val="0"/>
          <w:color w:val="auto"/>
          <w:kern w:val="0"/>
          <w:sz w:val="24"/>
          <w:szCs w:val="24"/>
          <w:highlight w:val="none"/>
        </w:rPr>
        <w:t>工程技术要求：本工程须严格以国家和广东省的有关施工技术规范及现行标准为依据</w:t>
      </w:r>
      <w:bookmarkStart w:id="73" w:name="_Hlt74496021"/>
      <w:bookmarkEnd w:id="73"/>
      <w:r>
        <w:rPr>
          <w:rFonts w:hint="eastAsia" w:ascii="宋体" w:hAnsi="宋体" w:eastAsia="宋体" w:cs="宋体"/>
          <w:snapToGrid w:val="0"/>
          <w:color w:val="auto"/>
          <w:kern w:val="0"/>
          <w:sz w:val="24"/>
          <w:szCs w:val="24"/>
          <w:highlight w:val="none"/>
        </w:rPr>
        <w:t>，工程必须达到《建筑工程施工质量验收统一标准》</w:t>
      </w:r>
      <w:r>
        <w:rPr>
          <w:rFonts w:hint="eastAsia" w:hAnsi="宋体" w:eastAsia="宋体" w:cs="宋体"/>
          <w:snapToGrid w:val="0"/>
          <w:color w:val="auto"/>
          <w:kern w:val="0"/>
          <w:sz w:val="24"/>
          <w:szCs w:val="24"/>
          <w:highlight w:val="none"/>
          <w:lang w:eastAsia="zh-CN"/>
        </w:rPr>
        <w:t>（</w:t>
      </w:r>
      <w:r>
        <w:rPr>
          <w:rFonts w:hint="eastAsia" w:ascii="宋体" w:hAnsi="宋体" w:eastAsia="宋体" w:cs="宋体"/>
          <w:snapToGrid w:val="0"/>
          <w:color w:val="auto"/>
          <w:kern w:val="0"/>
          <w:sz w:val="24"/>
          <w:szCs w:val="24"/>
          <w:highlight w:val="none"/>
        </w:rPr>
        <w:t>GB50300-2013</w:t>
      </w:r>
      <w:r>
        <w:rPr>
          <w:rFonts w:hint="eastAsia" w:hAnsi="宋体" w:eastAsia="宋体" w:cs="宋体"/>
          <w:snapToGrid w:val="0"/>
          <w:color w:val="auto"/>
          <w:kern w:val="0"/>
          <w:sz w:val="24"/>
          <w:szCs w:val="24"/>
          <w:highlight w:val="none"/>
          <w:lang w:eastAsia="zh-CN"/>
        </w:rPr>
        <w:t>）</w:t>
      </w:r>
      <w:r>
        <w:rPr>
          <w:rFonts w:hint="eastAsia" w:ascii="宋体" w:hAnsi="宋体" w:eastAsia="宋体" w:cs="宋体"/>
          <w:snapToGrid w:val="0"/>
          <w:color w:val="auto"/>
          <w:kern w:val="0"/>
          <w:sz w:val="24"/>
          <w:szCs w:val="24"/>
          <w:highlight w:val="none"/>
          <w:lang w:eastAsia="zh-CN"/>
        </w:rPr>
        <w:t>、</w:t>
      </w:r>
      <w:r>
        <w:rPr>
          <w:rFonts w:hint="eastAsia" w:ascii="宋体" w:hAnsi="宋体" w:eastAsia="宋体" w:cs="宋体"/>
          <w:color w:val="auto"/>
          <w:sz w:val="24"/>
          <w:szCs w:val="24"/>
          <w:highlight w:val="none"/>
        </w:rPr>
        <w:t>《建筑与市政工程施工质量控制通用规范》（GB55032-2022）</w:t>
      </w:r>
      <w:r>
        <w:rPr>
          <w:rFonts w:hint="eastAsia" w:hAnsi="宋体" w:eastAsia="宋体" w:cs="宋体"/>
          <w:color w:val="auto"/>
          <w:sz w:val="24"/>
          <w:szCs w:val="24"/>
          <w:highlight w:val="none"/>
          <w:lang w:eastAsia="zh-CN"/>
        </w:rPr>
        <w:t>等</w:t>
      </w:r>
      <w:r>
        <w:rPr>
          <w:rFonts w:hint="eastAsia" w:ascii="宋体" w:hAnsi="宋体" w:eastAsia="宋体" w:cs="宋体"/>
          <w:snapToGrid w:val="0"/>
          <w:color w:val="auto"/>
          <w:kern w:val="0"/>
          <w:sz w:val="24"/>
          <w:szCs w:val="24"/>
          <w:highlight w:val="none"/>
        </w:rPr>
        <w:t>合格标准，如工程未达到合格标准，中标人则按合同价款的1%向招标人缴纳质量违约金，返修费用由中标人承担，同时，招标人有权就因此造成的损失向中标人索赔。招标人有权提请建设行政主管部门对其作不良行为记录</w:t>
      </w:r>
      <w:r>
        <w:rPr>
          <w:rFonts w:hint="eastAsia" w:ascii="宋体" w:hAnsi="宋体" w:eastAsia="宋体" w:cs="宋体"/>
          <w:strike w:val="0"/>
          <w:dstrike w:val="0"/>
          <w:snapToGrid w:val="0"/>
          <w:color w:val="auto"/>
          <w:kern w:val="0"/>
          <w:sz w:val="24"/>
          <w:szCs w:val="24"/>
          <w:highlight w:val="none"/>
        </w:rPr>
        <w:t>，有权给予中标人履约评价为不合格</w:t>
      </w:r>
      <w:r>
        <w:rPr>
          <w:rFonts w:hint="eastAsia" w:ascii="宋体" w:hAnsi="宋体" w:eastAsia="宋体" w:cs="宋体"/>
          <w:strike w:val="0"/>
          <w:dstrike w:val="0"/>
          <w:snapToGrid w:val="0"/>
          <w:color w:val="auto"/>
          <w:kern w:val="0"/>
          <w:sz w:val="24"/>
          <w:szCs w:val="24"/>
          <w:highlight w:val="none"/>
          <w:lang w:eastAsia="zh-CN"/>
        </w:rPr>
        <w:t>。</w:t>
      </w:r>
    </w:p>
    <w:p w14:paraId="00548476">
      <w:pPr>
        <w:pageBreakBefore w:val="0"/>
        <w:kinsoku/>
        <w:overflowPunct/>
        <w:topLinePunct w:val="0"/>
        <w:bidi w:val="0"/>
        <w:adjustRightInd w:val="0"/>
        <w:snapToGrid w:val="0"/>
        <w:spacing w:line="440" w:lineRule="exact"/>
        <w:ind w:firstLine="482" w:firstLineChars="200"/>
        <w:textAlignment w:val="auto"/>
        <w:rPr>
          <w:rFonts w:hint="eastAsia" w:ascii="宋体" w:hAnsi="宋体" w:eastAsia="宋体" w:cs="宋体"/>
          <w:snapToGrid w:val="0"/>
          <w:color w:val="auto"/>
          <w:kern w:val="0"/>
          <w:sz w:val="24"/>
          <w:szCs w:val="24"/>
          <w:highlight w:val="none"/>
        </w:rPr>
      </w:pPr>
      <w:r>
        <w:rPr>
          <w:rFonts w:hint="eastAsia" w:ascii="宋体" w:hAnsi="宋体" w:eastAsia="宋体" w:cs="宋体"/>
          <w:b/>
          <w:bCs/>
          <w:snapToGrid w:val="0"/>
          <w:color w:val="auto"/>
          <w:kern w:val="0"/>
          <w:sz w:val="24"/>
          <w:szCs w:val="24"/>
          <w:highlight w:val="none"/>
        </w:rPr>
        <w:t>5.11</w:t>
      </w:r>
      <w:r>
        <w:rPr>
          <w:rFonts w:hint="eastAsia" w:ascii="宋体" w:hAnsi="宋体" w:eastAsia="宋体" w:cs="宋体"/>
          <w:snapToGrid w:val="0"/>
          <w:color w:val="auto"/>
          <w:kern w:val="0"/>
          <w:sz w:val="24"/>
          <w:szCs w:val="24"/>
          <w:highlight w:val="none"/>
        </w:rPr>
        <w:t xml:space="preserve"> 中标人在施工中如果工程质量不符合设计要求和有关规定，招标人或监理单位要求停工和返工的必须立即执行，并由中标人承担由此产生的各种费用，工期不予顺延。</w:t>
      </w:r>
    </w:p>
    <w:p w14:paraId="50351A59">
      <w:pPr>
        <w:pageBreakBefore w:val="0"/>
        <w:kinsoku/>
        <w:overflowPunct/>
        <w:topLinePunct w:val="0"/>
        <w:bidi w:val="0"/>
        <w:adjustRightInd w:val="0"/>
        <w:snapToGrid w:val="0"/>
        <w:spacing w:line="440" w:lineRule="exact"/>
        <w:ind w:firstLine="482" w:firstLineChars="200"/>
        <w:textAlignment w:val="auto"/>
        <w:rPr>
          <w:rFonts w:hint="eastAsia" w:ascii="宋体" w:hAnsi="宋体" w:eastAsia="宋体" w:cs="宋体"/>
          <w:snapToGrid w:val="0"/>
          <w:color w:val="auto"/>
          <w:kern w:val="0"/>
          <w:sz w:val="24"/>
          <w:szCs w:val="24"/>
          <w:highlight w:val="none"/>
        </w:rPr>
      </w:pPr>
      <w:r>
        <w:rPr>
          <w:rFonts w:hint="eastAsia" w:ascii="宋体" w:hAnsi="宋体" w:eastAsia="宋体" w:cs="宋体"/>
          <w:b/>
          <w:bCs/>
          <w:snapToGrid w:val="0"/>
          <w:color w:val="auto"/>
          <w:kern w:val="0"/>
          <w:sz w:val="24"/>
          <w:szCs w:val="24"/>
          <w:highlight w:val="none"/>
        </w:rPr>
        <w:t xml:space="preserve">5.12 </w:t>
      </w:r>
      <w:r>
        <w:rPr>
          <w:rFonts w:hint="eastAsia" w:ascii="宋体" w:hAnsi="宋体" w:eastAsia="宋体" w:cs="宋体"/>
          <w:snapToGrid w:val="0"/>
          <w:color w:val="auto"/>
          <w:kern w:val="0"/>
          <w:sz w:val="24"/>
          <w:szCs w:val="24"/>
          <w:highlight w:val="none"/>
        </w:rPr>
        <w:t>保修期限按中华人民共和国国务院令第279号文《建设工程质量管理条例》规定执行，在保修期内因施工质量问题而造成返修，一切费用由中标人负责。中标人在向招标人提交竣工验收报告时，应当向招标人出具质量保修书。质量保修书中应当明确建设工程的保修范围、保修期限和保修责任等。</w:t>
      </w:r>
    </w:p>
    <w:p w14:paraId="57D12BA2">
      <w:pPr>
        <w:pageBreakBefore w:val="0"/>
        <w:kinsoku/>
        <w:overflowPunct/>
        <w:topLinePunct w:val="0"/>
        <w:bidi w:val="0"/>
        <w:adjustRightInd w:val="0"/>
        <w:snapToGrid w:val="0"/>
        <w:spacing w:line="440" w:lineRule="exact"/>
        <w:ind w:firstLine="482" w:firstLineChars="200"/>
        <w:textAlignment w:val="auto"/>
        <w:rPr>
          <w:rFonts w:hint="eastAsia" w:ascii="宋体" w:hAnsi="宋体" w:eastAsia="宋体" w:cs="宋体"/>
          <w:color w:val="auto"/>
          <w:sz w:val="24"/>
          <w:szCs w:val="24"/>
          <w:highlight w:val="none"/>
        </w:rPr>
      </w:pPr>
      <w:r>
        <w:rPr>
          <w:rFonts w:hint="eastAsia" w:ascii="宋体" w:hAnsi="宋体" w:eastAsia="宋体" w:cs="宋体"/>
          <w:b/>
          <w:bCs/>
          <w:snapToGrid w:val="0"/>
          <w:color w:val="auto"/>
          <w:kern w:val="0"/>
          <w:sz w:val="24"/>
          <w:szCs w:val="24"/>
          <w:highlight w:val="none"/>
        </w:rPr>
        <w:t xml:space="preserve">5.13 </w:t>
      </w:r>
      <w:r>
        <w:rPr>
          <w:rFonts w:hint="eastAsia" w:ascii="宋体" w:hAnsi="宋体" w:eastAsia="宋体" w:cs="宋体"/>
          <w:snapToGrid w:val="0"/>
          <w:color w:val="auto"/>
          <w:kern w:val="0"/>
          <w:sz w:val="24"/>
          <w:szCs w:val="24"/>
          <w:highlight w:val="none"/>
        </w:rPr>
        <w:t>工程使用的主要材料质量要求：不低于国家规范及强制标准所列的要求。主要材料必须先提供样板或相关资料给招标人、业主同意确定其规格、型号、颜色、等级等，</w:t>
      </w:r>
      <w:r>
        <w:rPr>
          <w:rFonts w:hint="eastAsia" w:ascii="宋体" w:hAnsi="宋体" w:eastAsia="宋体" w:cs="宋体"/>
          <w:snapToGrid w:val="0"/>
          <w:color w:val="auto"/>
          <w:kern w:val="0"/>
          <w:sz w:val="24"/>
          <w:szCs w:val="24"/>
          <w:highlight w:val="none"/>
          <w:lang w:val="zh-CN"/>
        </w:rPr>
        <w:t>并经检测部门检测合格</w:t>
      </w:r>
      <w:r>
        <w:rPr>
          <w:rFonts w:hint="eastAsia" w:ascii="宋体" w:hAnsi="宋体" w:eastAsia="宋体" w:cs="宋体"/>
          <w:snapToGrid w:val="0"/>
          <w:color w:val="auto"/>
          <w:kern w:val="0"/>
          <w:sz w:val="24"/>
          <w:szCs w:val="24"/>
          <w:highlight w:val="none"/>
        </w:rPr>
        <w:t>方可使用，所有材料必须使用合格产品。</w:t>
      </w:r>
      <w:bookmarkStart w:id="74" w:name="_Hlt74493474"/>
      <w:bookmarkEnd w:id="74"/>
      <w:bookmarkStart w:id="75" w:name="_Hlt69699204"/>
      <w:bookmarkEnd w:id="75"/>
      <w:bookmarkStart w:id="76" w:name="_Hlt88974078"/>
      <w:bookmarkEnd w:id="76"/>
      <w:bookmarkStart w:id="77" w:name="_Hlt120502666"/>
      <w:bookmarkEnd w:id="77"/>
      <w:bookmarkStart w:id="78" w:name="_Hlt111690342"/>
      <w:bookmarkEnd w:id="78"/>
      <w:bookmarkStart w:id="79" w:name="_Hlt74496537"/>
      <w:bookmarkEnd w:id="79"/>
      <w:bookmarkStart w:id="80" w:name="_Hlt121563076"/>
      <w:bookmarkEnd w:id="80"/>
      <w:bookmarkStart w:id="81" w:name="_Hlt69356505"/>
      <w:bookmarkEnd w:id="81"/>
    </w:p>
    <w:p w14:paraId="69A8EA28">
      <w:pPr>
        <w:pStyle w:val="39"/>
        <w:keepNext/>
        <w:keepLines/>
        <w:pageBreakBefore w:val="0"/>
        <w:kinsoku/>
        <w:overflowPunct/>
        <w:topLinePunct w:val="0"/>
        <w:bidi w:val="0"/>
        <w:spacing w:line="440" w:lineRule="exact"/>
        <w:ind w:firstLine="480"/>
        <w:jc w:val="both"/>
        <w:textAlignment w:val="auto"/>
        <w:rPr>
          <w:rFonts w:hint="eastAsia" w:ascii="宋体" w:hAnsi="宋体" w:eastAsia="宋体" w:cs="宋体"/>
          <w:b/>
          <w:color w:val="auto"/>
          <w:kern w:val="2"/>
          <w:sz w:val="24"/>
          <w:szCs w:val="24"/>
          <w:highlight w:val="none"/>
        </w:rPr>
      </w:pPr>
      <w:bookmarkStart w:id="82" w:name="_Toc20827"/>
      <w:bookmarkStart w:id="83" w:name="_Toc10812"/>
      <w:bookmarkStart w:id="84" w:name="_Toc17958"/>
      <w:bookmarkStart w:id="85" w:name="_Toc12891"/>
      <w:bookmarkStart w:id="86" w:name="_Toc3193"/>
      <w:bookmarkStart w:id="87" w:name="_Toc19911"/>
      <w:bookmarkStart w:id="88" w:name="_Toc16432"/>
      <w:bookmarkStart w:id="89" w:name="_Toc24793"/>
      <w:bookmarkStart w:id="90" w:name="_Toc18311"/>
      <w:r>
        <w:rPr>
          <w:rFonts w:hint="eastAsia" w:ascii="宋体" w:hAnsi="宋体" w:eastAsia="宋体" w:cs="宋体"/>
          <w:b/>
          <w:color w:val="auto"/>
          <w:kern w:val="2"/>
          <w:sz w:val="24"/>
          <w:szCs w:val="24"/>
          <w:highlight w:val="none"/>
        </w:rPr>
        <w:t>6</w:t>
      </w:r>
      <w:r>
        <w:rPr>
          <w:rFonts w:hint="eastAsia" w:hAnsi="宋体" w:cs="宋体"/>
          <w:b/>
          <w:color w:val="auto"/>
          <w:kern w:val="2"/>
          <w:sz w:val="24"/>
          <w:szCs w:val="24"/>
          <w:highlight w:val="none"/>
          <w:lang w:eastAsia="zh-CN"/>
        </w:rPr>
        <w:t xml:space="preserve">. </w:t>
      </w:r>
      <w:r>
        <w:rPr>
          <w:rFonts w:hint="eastAsia" w:ascii="宋体" w:hAnsi="宋体" w:eastAsia="宋体" w:cs="宋体"/>
          <w:b/>
          <w:color w:val="auto"/>
          <w:kern w:val="2"/>
          <w:sz w:val="24"/>
          <w:szCs w:val="24"/>
          <w:highlight w:val="none"/>
        </w:rPr>
        <w:t>招标工程施工条件及现场踏勘</w:t>
      </w:r>
      <w:bookmarkEnd w:id="82"/>
      <w:bookmarkEnd w:id="83"/>
      <w:bookmarkEnd w:id="84"/>
      <w:bookmarkEnd w:id="85"/>
      <w:bookmarkEnd w:id="86"/>
      <w:bookmarkEnd w:id="87"/>
      <w:bookmarkEnd w:id="88"/>
      <w:bookmarkEnd w:id="89"/>
      <w:bookmarkEnd w:id="90"/>
    </w:p>
    <w:p w14:paraId="771B92E4">
      <w:pPr>
        <w:pStyle w:val="46"/>
        <w:pageBreakBefore w:val="0"/>
        <w:kinsoku/>
        <w:overflowPunct/>
        <w:topLinePunct w:val="0"/>
        <w:bidi w:val="0"/>
        <w:spacing w:line="440" w:lineRule="exact"/>
        <w:ind w:firstLine="48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6.1本工程招标人仅在征地红线范围内提供场地，其他一切场地费用由中标人自行负责（含临时道路）。</w:t>
      </w:r>
    </w:p>
    <w:p w14:paraId="77935621">
      <w:pPr>
        <w:pageBreakBefore w:val="0"/>
        <w:kinsoku/>
        <w:wordWrap w:val="0"/>
        <w:overflowPunct/>
        <w:topLinePunct w:val="0"/>
        <w:bidi w:val="0"/>
        <w:adjustRightInd w:val="0"/>
        <w:snapToGrid w:val="0"/>
        <w:spacing w:line="440" w:lineRule="exact"/>
        <w:ind w:firstLine="360" w:firstLineChars="150"/>
        <w:textAlignment w:val="auto"/>
        <w:rPr>
          <w:rFonts w:hint="eastAsia" w:ascii="宋体" w:hAnsi="宋体" w:eastAsia="宋体" w:cs="宋体"/>
          <w:b/>
          <w:bCs/>
          <w:snapToGrid w:val="0"/>
          <w:color w:val="auto"/>
          <w:kern w:val="0"/>
          <w:sz w:val="24"/>
          <w:szCs w:val="24"/>
          <w:highlight w:val="none"/>
        </w:rPr>
      </w:pPr>
      <w:r>
        <w:rPr>
          <w:rFonts w:hint="eastAsia" w:ascii="宋体" w:hAnsi="宋体" w:eastAsia="宋体" w:cs="宋体"/>
          <w:color w:val="auto"/>
          <w:sz w:val="24"/>
          <w:szCs w:val="24"/>
          <w:highlight w:val="none"/>
        </w:rPr>
        <w:t xml:space="preserve"> 6.2 施工用水：</w:t>
      </w:r>
      <w:r>
        <w:rPr>
          <w:rFonts w:hint="eastAsia" w:ascii="宋体" w:hAnsi="宋体" w:eastAsia="宋体" w:cs="宋体"/>
          <w:color w:val="auto"/>
          <w:sz w:val="24"/>
          <w:szCs w:val="24"/>
          <w:highlight w:val="none"/>
          <w:u w:val="single"/>
        </w:rPr>
        <w:t>招标人协调，</w:t>
      </w:r>
      <w:r>
        <w:rPr>
          <w:rFonts w:hint="eastAsia" w:ascii="宋体" w:hAnsi="宋体" w:eastAsia="宋体" w:cs="宋体"/>
          <w:snapToGrid w:val="0"/>
          <w:color w:val="auto"/>
          <w:kern w:val="0"/>
          <w:sz w:val="24"/>
          <w:szCs w:val="24"/>
          <w:highlight w:val="none"/>
          <w:u w:val="single"/>
        </w:rPr>
        <w:t>施工用水及水源由中标人自行解决，费用含在投标报价中，不另计</w:t>
      </w:r>
      <w:r>
        <w:rPr>
          <w:rFonts w:hint="eastAsia" w:ascii="宋体" w:hAnsi="宋体" w:eastAsia="宋体" w:cs="宋体"/>
          <w:color w:val="auto"/>
          <w:kern w:val="0"/>
          <w:sz w:val="24"/>
          <w:szCs w:val="24"/>
          <w:highlight w:val="none"/>
          <w:u w:val="single"/>
        </w:rPr>
        <w:t>。</w:t>
      </w:r>
    </w:p>
    <w:p w14:paraId="32C56F3F">
      <w:pPr>
        <w:pageBreakBefore w:val="0"/>
        <w:kinsoku/>
        <w:wordWrap w:val="0"/>
        <w:overflowPunct/>
        <w:topLinePunct w:val="0"/>
        <w:bidi w:val="0"/>
        <w:adjustRightInd w:val="0"/>
        <w:snapToGrid w:val="0"/>
        <w:spacing w:line="440" w:lineRule="exact"/>
        <w:ind w:firstLine="480" w:firstLineChars="200"/>
        <w:textAlignment w:val="auto"/>
        <w:rPr>
          <w:rFonts w:hint="eastAsia" w:ascii="宋体" w:hAnsi="宋体" w:eastAsia="宋体" w:cs="宋体"/>
          <w:b/>
          <w:bCs/>
          <w:snapToGrid w:val="0"/>
          <w:color w:val="auto"/>
          <w:kern w:val="0"/>
          <w:sz w:val="24"/>
          <w:szCs w:val="24"/>
          <w:highlight w:val="none"/>
        </w:rPr>
      </w:pPr>
      <w:r>
        <w:rPr>
          <w:rFonts w:hint="eastAsia" w:ascii="宋体" w:hAnsi="宋体" w:eastAsia="宋体" w:cs="宋体"/>
          <w:color w:val="auto"/>
          <w:sz w:val="24"/>
          <w:szCs w:val="24"/>
          <w:highlight w:val="none"/>
        </w:rPr>
        <w:t>6.3 施工用电：</w:t>
      </w:r>
      <w:r>
        <w:rPr>
          <w:rFonts w:hint="eastAsia" w:ascii="宋体" w:hAnsi="宋体" w:eastAsia="宋体" w:cs="宋体"/>
          <w:color w:val="auto"/>
          <w:sz w:val="24"/>
          <w:szCs w:val="24"/>
          <w:highlight w:val="none"/>
          <w:u w:val="single"/>
        </w:rPr>
        <w:t>招标人协调，</w:t>
      </w:r>
      <w:r>
        <w:rPr>
          <w:rFonts w:hint="eastAsia" w:ascii="宋体" w:hAnsi="宋体" w:eastAsia="宋体" w:cs="宋体"/>
          <w:snapToGrid w:val="0"/>
          <w:color w:val="auto"/>
          <w:kern w:val="0"/>
          <w:sz w:val="24"/>
          <w:szCs w:val="24"/>
          <w:highlight w:val="none"/>
          <w:u w:val="single"/>
        </w:rPr>
        <w:t>施工用电及电源由中标人自行解决，费用含在投标报价中，不另计</w:t>
      </w:r>
      <w:r>
        <w:rPr>
          <w:rFonts w:hint="eastAsia" w:ascii="宋体" w:hAnsi="宋体" w:eastAsia="宋体" w:cs="宋体"/>
          <w:color w:val="auto"/>
          <w:kern w:val="0"/>
          <w:sz w:val="24"/>
          <w:szCs w:val="24"/>
          <w:highlight w:val="none"/>
          <w:u w:val="single"/>
        </w:rPr>
        <w:t>。</w:t>
      </w:r>
    </w:p>
    <w:p w14:paraId="0A1C9BF3">
      <w:pPr>
        <w:pStyle w:val="37"/>
        <w:pageBreakBefore w:val="0"/>
        <w:kinsoku/>
        <w:overflowPunct/>
        <w:topLinePunct w:val="0"/>
        <w:bidi w:val="0"/>
        <w:spacing w:line="440" w:lineRule="exac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    6.4施工用水、用电由中标人负责报装并接入施工红线范围，并由中标人负责购置及安装满足施工所需的临时用电变压器、水表、电表，其水、电费按工程所在地</w:t>
      </w:r>
      <w:r>
        <w:rPr>
          <w:rFonts w:hint="eastAsia" w:hAnsi="宋体" w:cs="宋体"/>
          <w:b/>
          <w:bCs/>
          <w:color w:val="auto"/>
          <w:sz w:val="24"/>
          <w:szCs w:val="24"/>
          <w:highlight w:val="none"/>
          <w:u w:val="single"/>
          <w:lang w:eastAsia="zh-CN"/>
        </w:rPr>
        <w:t>韶关</w:t>
      </w:r>
      <w:r>
        <w:rPr>
          <w:rFonts w:hint="eastAsia" w:ascii="宋体" w:hAnsi="宋体" w:eastAsia="宋体" w:cs="宋体"/>
          <w:b/>
          <w:bCs/>
          <w:color w:val="auto"/>
          <w:sz w:val="24"/>
          <w:szCs w:val="24"/>
          <w:highlight w:val="none"/>
          <w:u w:val="single"/>
        </w:rPr>
        <w:t>市</w:t>
      </w:r>
      <w:r>
        <w:rPr>
          <w:rFonts w:hint="eastAsia" w:ascii="宋体" w:hAnsi="宋体" w:eastAsia="宋体" w:cs="宋体"/>
          <w:color w:val="auto"/>
          <w:sz w:val="24"/>
          <w:szCs w:val="24"/>
          <w:highlight w:val="none"/>
        </w:rPr>
        <w:t>基建工程水、电计费标准计算并由中标人缴纳，相关线路、管路费用及安装费用以及购置及安装临时用电变压器的费用由中标人自行承担。</w:t>
      </w:r>
    </w:p>
    <w:p w14:paraId="3ED54B88">
      <w:pPr>
        <w:pStyle w:val="37"/>
        <w:pageBreakBefore w:val="0"/>
        <w:kinsoku/>
        <w:overflowPunct/>
        <w:topLinePunct w:val="0"/>
        <w:bidi w:val="0"/>
        <w:spacing w:line="440" w:lineRule="exac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    6.5招标人不集中现场踏勘，但会在招标文件及有关设计文件中明确告知招标工程的具体位置和周边环境，并在现场设置足以识别的标识或提供足以表明工程具体位置的文字或图片。投标人需要了解现场情况的，可自行进行现场踏勘。</w:t>
      </w:r>
    </w:p>
    <w:p w14:paraId="19F9CC2E">
      <w:pPr>
        <w:pStyle w:val="37"/>
        <w:pageBreakBefore w:val="0"/>
        <w:kinsoku/>
        <w:overflowPunct/>
        <w:topLinePunct w:val="0"/>
        <w:bidi w:val="0"/>
        <w:spacing w:line="440" w:lineRule="exac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    6.6在现场踏勘过程中，投标人应确保自身安全，投标人如果发生人身伤亡、财物或其他损失，法律法规有规定的按有关规定处理，没有规定的由投标人自行负责。</w:t>
      </w:r>
    </w:p>
    <w:p w14:paraId="1EF55CB9">
      <w:pPr>
        <w:pStyle w:val="37"/>
        <w:pageBreakBefore w:val="0"/>
        <w:kinsoku/>
        <w:overflowPunct/>
        <w:topLinePunct w:val="0"/>
        <w:bidi w:val="0"/>
        <w:spacing w:line="440"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6.7现场踏勘期间的交通、食宿由投标人自行安排，费用自理。</w:t>
      </w:r>
    </w:p>
    <w:p w14:paraId="0FC4184B">
      <w:pPr>
        <w:pStyle w:val="39"/>
        <w:keepNext/>
        <w:keepLines/>
        <w:pageBreakBefore w:val="0"/>
        <w:kinsoku/>
        <w:overflowPunct/>
        <w:topLinePunct w:val="0"/>
        <w:bidi w:val="0"/>
        <w:spacing w:line="440" w:lineRule="exact"/>
        <w:ind w:firstLine="480"/>
        <w:jc w:val="both"/>
        <w:textAlignment w:val="auto"/>
        <w:rPr>
          <w:rFonts w:hint="eastAsia" w:ascii="宋体" w:hAnsi="宋体" w:eastAsia="宋体" w:cs="宋体"/>
          <w:b/>
          <w:bCs/>
          <w:color w:val="auto"/>
          <w:sz w:val="24"/>
          <w:szCs w:val="24"/>
          <w:highlight w:val="none"/>
        </w:rPr>
      </w:pPr>
      <w:bookmarkStart w:id="91" w:name="_Toc23962"/>
      <w:bookmarkStart w:id="92" w:name="_Toc5795"/>
      <w:bookmarkStart w:id="93" w:name="_Toc25942"/>
      <w:bookmarkStart w:id="94" w:name="_Toc8518"/>
      <w:bookmarkStart w:id="95" w:name="_Toc3294"/>
      <w:bookmarkStart w:id="96" w:name="_Toc27595"/>
      <w:bookmarkStart w:id="97" w:name="_Toc17548"/>
      <w:bookmarkStart w:id="98" w:name="_Toc17286"/>
      <w:bookmarkStart w:id="99" w:name="_Toc22484"/>
      <w:r>
        <w:rPr>
          <w:rFonts w:hint="eastAsia" w:ascii="宋体" w:hAnsi="宋体" w:eastAsia="宋体" w:cs="宋体"/>
          <w:b/>
          <w:color w:val="auto"/>
          <w:kern w:val="2"/>
          <w:sz w:val="24"/>
          <w:szCs w:val="24"/>
          <w:highlight w:val="none"/>
        </w:rPr>
        <w:t>7</w:t>
      </w:r>
      <w:r>
        <w:rPr>
          <w:rFonts w:hint="eastAsia" w:hAnsi="宋体" w:cs="宋体"/>
          <w:b/>
          <w:color w:val="auto"/>
          <w:kern w:val="2"/>
          <w:sz w:val="24"/>
          <w:szCs w:val="24"/>
          <w:highlight w:val="none"/>
          <w:lang w:eastAsia="zh-CN"/>
        </w:rPr>
        <w:t xml:space="preserve">. </w:t>
      </w:r>
      <w:bookmarkStart w:id="100" w:name="_Toc488220856"/>
      <w:bookmarkStart w:id="101" w:name="_Toc371968705"/>
      <w:r>
        <w:rPr>
          <w:rFonts w:hint="eastAsia" w:ascii="宋体" w:hAnsi="宋体" w:eastAsia="宋体" w:cs="宋体"/>
          <w:b/>
          <w:color w:val="auto"/>
          <w:kern w:val="2"/>
          <w:sz w:val="24"/>
          <w:szCs w:val="24"/>
          <w:highlight w:val="none"/>
        </w:rPr>
        <w:t>其他招标说明</w:t>
      </w:r>
      <w:bookmarkEnd w:id="91"/>
      <w:bookmarkEnd w:id="92"/>
      <w:bookmarkEnd w:id="93"/>
      <w:bookmarkEnd w:id="94"/>
      <w:bookmarkEnd w:id="95"/>
      <w:bookmarkEnd w:id="96"/>
      <w:bookmarkEnd w:id="97"/>
      <w:bookmarkEnd w:id="98"/>
      <w:bookmarkEnd w:id="99"/>
      <w:bookmarkEnd w:id="100"/>
    </w:p>
    <w:bookmarkEnd w:id="101"/>
    <w:p w14:paraId="29E23808">
      <w:pPr>
        <w:pageBreakBefore w:val="0"/>
        <w:kinsoku/>
        <w:wordWrap w:val="0"/>
        <w:overflowPunct/>
        <w:topLinePunct w:val="0"/>
        <w:bidi w:val="0"/>
        <w:snapToGrid w:val="0"/>
        <w:spacing w:line="440" w:lineRule="exact"/>
        <w:ind w:firstLine="480"/>
        <w:textAlignment w:val="auto"/>
        <w:rPr>
          <w:rFonts w:hint="eastAsia" w:ascii="宋体" w:hAnsi="宋体" w:eastAsia="宋体" w:cs="宋体"/>
          <w:b/>
          <w:snapToGrid w:val="0"/>
          <w:color w:val="auto"/>
          <w:sz w:val="24"/>
          <w:szCs w:val="24"/>
          <w:highlight w:val="none"/>
        </w:rPr>
      </w:pPr>
      <w:bookmarkStart w:id="102" w:name="_Toc10210"/>
      <w:bookmarkStart w:id="103" w:name="_Toc28014"/>
      <w:r>
        <w:rPr>
          <w:rFonts w:hint="eastAsia" w:ascii="宋体" w:hAnsi="宋体" w:eastAsia="宋体" w:cs="宋体"/>
          <w:b/>
          <w:snapToGrid w:val="0"/>
          <w:color w:val="auto"/>
          <w:sz w:val="24"/>
          <w:szCs w:val="24"/>
          <w:highlight w:val="none"/>
        </w:rPr>
        <w:t>7.1</w:t>
      </w:r>
      <w:r>
        <w:rPr>
          <w:rFonts w:hint="eastAsia" w:hAnsi="宋体" w:eastAsia="宋体" w:cs="宋体"/>
          <w:b/>
          <w:snapToGrid w:val="0"/>
          <w:color w:val="auto"/>
          <w:sz w:val="24"/>
          <w:szCs w:val="24"/>
          <w:highlight w:val="none"/>
          <w:lang w:eastAsia="zh-CN"/>
        </w:rPr>
        <w:t xml:space="preserve"> </w:t>
      </w:r>
      <w:r>
        <w:rPr>
          <w:rStyle w:val="25"/>
          <w:rFonts w:hint="eastAsia" w:ascii="宋体" w:hAnsi="宋体" w:eastAsia="宋体" w:cs="宋体"/>
          <w:color w:val="auto"/>
          <w:sz w:val="24"/>
          <w:szCs w:val="24"/>
          <w:highlight w:val="none"/>
          <w:shd w:val="clear" w:color="auto" w:fill="FFFFFF"/>
        </w:rPr>
        <w:t>获取招标文件</w:t>
      </w:r>
      <w:bookmarkEnd w:id="102"/>
      <w:bookmarkEnd w:id="103"/>
    </w:p>
    <w:p w14:paraId="380B289C">
      <w:pPr>
        <w:pStyle w:val="20"/>
        <w:pageBreakBefore w:val="0"/>
        <w:widowControl w:val="0"/>
        <w:kinsoku/>
        <w:wordWrap w:val="0"/>
        <w:overflowPunct/>
        <w:topLinePunct w:val="0"/>
        <w:bidi w:val="0"/>
        <w:adjustRightInd w:val="0"/>
        <w:snapToGrid w:val="0"/>
        <w:spacing w:beforeAutospacing="0" w:afterAutospacing="0" w:line="440" w:lineRule="exact"/>
        <w:ind w:firstLine="482" w:firstLineChars="200"/>
        <w:textAlignment w:val="auto"/>
        <w:rPr>
          <w:rFonts w:hint="eastAsia" w:ascii="宋体" w:hAnsi="宋体" w:eastAsia="宋体" w:cs="宋体"/>
          <w:color w:val="auto"/>
          <w:kern w:val="2"/>
          <w:sz w:val="24"/>
          <w:szCs w:val="24"/>
          <w:highlight w:val="none"/>
        </w:rPr>
      </w:pPr>
      <w:r>
        <w:rPr>
          <w:rFonts w:hint="eastAsia" w:ascii="宋体" w:hAnsi="宋体" w:eastAsia="宋体" w:cs="宋体"/>
          <w:b/>
          <w:bCs/>
          <w:snapToGrid w:val="0"/>
          <w:color w:val="auto"/>
          <w:sz w:val="24"/>
          <w:szCs w:val="24"/>
          <w:highlight w:val="none"/>
        </w:rPr>
        <w:t>7.1.1</w:t>
      </w:r>
      <w:r>
        <w:rPr>
          <w:rFonts w:hint="eastAsia" w:ascii="宋体" w:hAnsi="宋体" w:eastAsia="宋体" w:cs="宋体"/>
          <w:snapToGrid w:val="0"/>
          <w:color w:val="auto"/>
          <w:sz w:val="24"/>
          <w:szCs w:val="24"/>
          <w:highlight w:val="none"/>
        </w:rPr>
        <w:t>本次招标实行电子投标。</w:t>
      </w:r>
      <w:r>
        <w:rPr>
          <w:rFonts w:hint="eastAsia" w:ascii="宋体" w:hAnsi="宋体" w:eastAsia="宋体" w:cs="宋体"/>
          <w:color w:val="auto"/>
          <w:sz w:val="24"/>
          <w:szCs w:val="24"/>
          <w:highlight w:val="none"/>
          <w:shd w:val="clear" w:color="auto" w:fill="FFFFFF"/>
        </w:rPr>
        <w:t>本项目招标文件随招标公告一并在</w:t>
      </w:r>
      <w:r>
        <w:rPr>
          <w:rFonts w:hint="eastAsia" w:ascii="宋体" w:hAnsi="宋体" w:eastAsia="宋体" w:cs="宋体"/>
          <w:bCs/>
          <w:snapToGrid w:val="0"/>
          <w:color w:val="auto"/>
          <w:sz w:val="24"/>
          <w:szCs w:val="24"/>
          <w:highlight w:val="none"/>
        </w:rPr>
        <w:t>广东省招标投标监管网</w:t>
      </w:r>
      <w:r>
        <w:rPr>
          <w:rFonts w:hint="eastAsia" w:eastAsia="宋体" w:cs="宋体"/>
          <w:bCs/>
          <w:snapToGrid w:val="0"/>
          <w:color w:val="auto"/>
          <w:sz w:val="24"/>
          <w:szCs w:val="24"/>
          <w:highlight w:val="none"/>
          <w:lang w:eastAsia="zh-CN"/>
        </w:rPr>
        <w:t>（http://zbtb.gd.gov.cn）</w:t>
      </w:r>
      <w:r>
        <w:rPr>
          <w:rFonts w:hint="eastAsia" w:ascii="宋体" w:hAnsi="宋体" w:eastAsia="宋体" w:cs="宋体"/>
          <w:bCs/>
          <w:snapToGrid w:val="0"/>
          <w:color w:val="auto"/>
          <w:sz w:val="24"/>
          <w:szCs w:val="24"/>
          <w:highlight w:val="none"/>
        </w:rPr>
        <w:t>、</w:t>
      </w:r>
      <w:r>
        <w:rPr>
          <w:rFonts w:hint="eastAsia" w:ascii="宋体" w:hAnsi="宋体" w:eastAsia="宋体" w:cs="宋体"/>
          <w:color w:val="auto"/>
          <w:sz w:val="24"/>
          <w:szCs w:val="24"/>
          <w:highlight w:val="none"/>
          <w:shd w:val="clear" w:color="auto" w:fill="FFFFFF"/>
        </w:rPr>
        <w:t>全国公共资源交易平台（广东省</w:t>
      </w:r>
      <w:r>
        <w:rPr>
          <w:rFonts w:hint="eastAsia" w:eastAsia="宋体" w:cs="宋体"/>
          <w:color w:val="auto"/>
          <w:sz w:val="24"/>
          <w:szCs w:val="24"/>
          <w:highlight w:val="none"/>
          <w:shd w:val="clear" w:color="auto" w:fill="FFFFFF"/>
          <w:lang w:eastAsia="zh-CN"/>
        </w:rPr>
        <w:t>·</w:t>
      </w:r>
      <w:r>
        <w:rPr>
          <w:rFonts w:hint="eastAsia" w:ascii="宋体" w:hAnsi="宋体" w:eastAsia="宋体" w:cs="宋体"/>
          <w:color w:val="auto"/>
          <w:sz w:val="24"/>
          <w:szCs w:val="24"/>
          <w:highlight w:val="none"/>
          <w:shd w:val="clear" w:color="auto" w:fill="FFFFFF"/>
        </w:rPr>
        <w:t>韶关市）（https://ygp.gdzwfw.gov.cn/ggzy-portal/#/440200/index）网站发布。招标文件一经在交易平台发布，视为发送投标人，招标文件及相关附件由投标人自行在交易平台网站下载。招标文件获取</w:t>
      </w:r>
      <w:r>
        <w:rPr>
          <w:rFonts w:hint="eastAsia" w:ascii="宋体" w:hAnsi="宋体" w:eastAsia="宋体" w:cs="宋体"/>
          <w:snapToGrid w:val="0"/>
          <w:color w:val="auto"/>
          <w:sz w:val="24"/>
          <w:szCs w:val="24"/>
          <w:highlight w:val="none"/>
        </w:rPr>
        <w:t>期间</w:t>
      </w:r>
      <w:r>
        <w:rPr>
          <w:rFonts w:hint="eastAsia" w:ascii="宋体" w:hAnsi="宋体" w:eastAsia="宋体" w:cs="宋体"/>
          <w:color w:val="auto"/>
          <w:sz w:val="24"/>
          <w:szCs w:val="24"/>
          <w:highlight w:val="none"/>
          <w:shd w:val="clear" w:color="auto" w:fill="FFFFFF"/>
        </w:rPr>
        <w:t>（</w:t>
      </w:r>
      <w:r>
        <w:rPr>
          <w:rFonts w:hint="eastAsia" w:ascii="宋体" w:hAnsi="宋体" w:eastAsia="宋体" w:cs="宋体"/>
          <w:snapToGrid w:val="0"/>
          <w:color w:val="auto"/>
          <w:sz w:val="24"/>
          <w:szCs w:val="24"/>
          <w:highlight w:val="none"/>
        </w:rPr>
        <w:t>见本章第二节“重要事项时间地点一览表”，招标文件获取期间与招标公告发布时间一致</w:t>
      </w:r>
      <w:r>
        <w:rPr>
          <w:rFonts w:hint="eastAsia" w:ascii="宋体" w:hAnsi="宋体" w:eastAsia="宋体" w:cs="宋体"/>
          <w:color w:val="auto"/>
          <w:sz w:val="24"/>
          <w:szCs w:val="24"/>
          <w:highlight w:val="none"/>
          <w:shd w:val="clear" w:color="auto" w:fill="FFFFFF"/>
        </w:rPr>
        <w:t>），投标人须登录全国公共资源交易平台（广东省</w:t>
      </w:r>
      <w:r>
        <w:rPr>
          <w:rFonts w:hint="eastAsia" w:eastAsia="宋体" w:cs="宋体"/>
          <w:color w:val="auto"/>
          <w:sz w:val="24"/>
          <w:szCs w:val="24"/>
          <w:highlight w:val="none"/>
          <w:shd w:val="clear" w:color="auto" w:fill="FFFFFF"/>
          <w:lang w:eastAsia="zh-CN"/>
        </w:rPr>
        <w:t>·</w:t>
      </w:r>
      <w:r>
        <w:rPr>
          <w:rFonts w:hint="eastAsia" w:ascii="宋体" w:hAnsi="宋体" w:eastAsia="宋体" w:cs="宋体"/>
          <w:color w:val="auto"/>
          <w:sz w:val="24"/>
          <w:szCs w:val="24"/>
          <w:highlight w:val="none"/>
          <w:shd w:val="clear" w:color="auto" w:fill="FFFFFF"/>
        </w:rPr>
        <w:t>韶关市）（https://ygp.gdzwfw.gov.cn/ggzy-portal/#/440200/index）</w:t>
      </w:r>
      <w:r>
        <w:rPr>
          <w:rFonts w:hint="eastAsia" w:ascii="宋体" w:hAnsi="宋体" w:eastAsia="宋体" w:cs="宋体"/>
          <w:snapToGrid w:val="0"/>
          <w:color w:val="auto"/>
          <w:sz w:val="24"/>
          <w:szCs w:val="24"/>
          <w:highlight w:val="none"/>
        </w:rPr>
        <w:t>下载</w:t>
      </w:r>
      <w:r>
        <w:rPr>
          <w:rFonts w:hint="eastAsia" w:ascii="宋体" w:hAnsi="宋体" w:eastAsia="宋体" w:cs="宋体"/>
          <w:color w:val="auto"/>
          <w:sz w:val="24"/>
          <w:szCs w:val="24"/>
          <w:highlight w:val="none"/>
          <w:shd w:val="clear" w:color="auto" w:fill="FFFFFF"/>
        </w:rPr>
        <w:t>招标文件及相关附件，并于电子投标截止时间（</w:t>
      </w:r>
      <w:r>
        <w:rPr>
          <w:rFonts w:hint="eastAsia" w:ascii="宋体" w:hAnsi="宋体" w:eastAsia="宋体" w:cs="宋体"/>
          <w:snapToGrid w:val="0"/>
          <w:color w:val="auto"/>
          <w:sz w:val="24"/>
          <w:szCs w:val="24"/>
          <w:highlight w:val="none"/>
        </w:rPr>
        <w:t>见本章第二节“重要事项时间地点一览表”</w:t>
      </w:r>
      <w:r>
        <w:rPr>
          <w:rFonts w:hint="eastAsia" w:ascii="宋体" w:hAnsi="宋体" w:eastAsia="宋体" w:cs="宋体"/>
          <w:color w:val="auto"/>
          <w:sz w:val="24"/>
          <w:szCs w:val="24"/>
          <w:highlight w:val="none"/>
          <w:shd w:val="clear" w:color="auto" w:fill="FFFFFF"/>
        </w:rPr>
        <w:t>）前完成电子投标。投标人可登录全国公共资源交易平台（广东省·韶关市）（https://ygp.gdzwfw.gov.cn/ggzy-portal/#/440200/index），在【服务指南】栏目中下载《韶关市公共资源建设工程交易系统-投标人操作指南（电子评标）》，了解网上获取招标文件操作流程。技术咨询电话：18819797080/0751-8379671 伍先生，业务咨询电话：0751-8633211、8633071。</w:t>
      </w:r>
    </w:p>
    <w:p w14:paraId="13BDCBE6">
      <w:pPr>
        <w:pStyle w:val="40"/>
        <w:pageBreakBefore w:val="0"/>
        <w:kinsoku/>
        <w:wordWrap w:val="0"/>
        <w:overflowPunct/>
        <w:topLinePunct w:val="0"/>
        <w:bidi w:val="0"/>
        <w:adjustRightInd w:val="0"/>
        <w:snapToGrid w:val="0"/>
        <w:spacing w:line="440" w:lineRule="exact"/>
        <w:ind w:firstLine="480"/>
        <w:jc w:val="left"/>
        <w:textAlignment w:val="auto"/>
        <w:rPr>
          <w:rFonts w:hint="eastAsia" w:ascii="宋体" w:hAnsi="宋体" w:eastAsia="宋体" w:cs="宋体"/>
          <w:color w:val="auto"/>
          <w:sz w:val="24"/>
          <w:szCs w:val="24"/>
          <w:highlight w:val="none"/>
          <w:shd w:val="clear" w:color="auto" w:fill="FFFFFF"/>
        </w:rPr>
      </w:pPr>
      <w:r>
        <w:rPr>
          <w:rFonts w:hint="eastAsia" w:ascii="宋体" w:hAnsi="宋体" w:eastAsia="宋体" w:cs="宋体"/>
          <w:b/>
          <w:bCs/>
          <w:snapToGrid w:val="0"/>
          <w:color w:val="auto"/>
          <w:kern w:val="0"/>
          <w:sz w:val="24"/>
          <w:szCs w:val="24"/>
          <w:highlight w:val="none"/>
        </w:rPr>
        <w:t xml:space="preserve">7.1.2 </w:t>
      </w:r>
      <w:r>
        <w:rPr>
          <w:rFonts w:hint="eastAsia" w:ascii="宋体" w:hAnsi="宋体" w:eastAsia="宋体" w:cs="宋体"/>
          <w:color w:val="auto"/>
          <w:sz w:val="24"/>
          <w:szCs w:val="24"/>
          <w:highlight w:val="none"/>
          <w:shd w:val="clear" w:color="auto" w:fill="FFFFFF"/>
        </w:rPr>
        <w:t>只有申领了数字证书（CA）、“粤企签”或GDCA/SZCA/NETCA等符合法律法规规定的电子印章</w:t>
      </w:r>
      <w:r>
        <w:rPr>
          <w:rFonts w:hint="eastAsia" w:ascii="宋体" w:hAnsi="宋体" w:cs="宋体"/>
          <w:color w:val="auto"/>
          <w:sz w:val="24"/>
          <w:szCs w:val="24"/>
          <w:highlight w:val="none"/>
          <w:shd w:val="clear" w:color="auto" w:fill="FFFFFF"/>
          <w:lang w:eastAsia="zh-CN"/>
        </w:rPr>
        <w:t>的投标人，在</w:t>
      </w:r>
      <w:r>
        <w:rPr>
          <w:rFonts w:hint="eastAsia" w:ascii="宋体" w:hAnsi="宋体" w:eastAsia="宋体" w:cs="宋体"/>
          <w:color w:val="auto"/>
          <w:sz w:val="24"/>
          <w:szCs w:val="24"/>
          <w:highlight w:val="none"/>
          <w:shd w:val="clear" w:color="auto" w:fill="FFFFFF"/>
        </w:rPr>
        <w:t>交易平台中完成企业信息数据入库的投标人，方可在交易平台获取招标文件和电子投标。</w:t>
      </w:r>
    </w:p>
    <w:p w14:paraId="09E4F29F">
      <w:pPr>
        <w:pStyle w:val="40"/>
        <w:pageBreakBefore w:val="0"/>
        <w:kinsoku/>
        <w:wordWrap w:val="0"/>
        <w:overflowPunct/>
        <w:topLinePunct w:val="0"/>
        <w:bidi w:val="0"/>
        <w:adjustRightInd w:val="0"/>
        <w:snapToGrid w:val="0"/>
        <w:spacing w:line="440" w:lineRule="exact"/>
        <w:ind w:firstLine="480"/>
        <w:jc w:val="left"/>
        <w:textAlignment w:val="auto"/>
        <w:rPr>
          <w:rFonts w:hint="eastAsia" w:ascii="宋体" w:hAnsi="宋体" w:eastAsia="宋体" w:cs="宋体"/>
          <w:color w:val="auto"/>
          <w:sz w:val="24"/>
          <w:szCs w:val="24"/>
          <w:highlight w:val="none"/>
          <w:shd w:val="clear" w:color="auto" w:fill="FFFFFF"/>
        </w:rPr>
      </w:pPr>
      <w:r>
        <w:rPr>
          <w:rFonts w:hint="eastAsia" w:ascii="宋体" w:hAnsi="宋体" w:eastAsia="宋体" w:cs="宋体"/>
          <w:color w:val="auto"/>
          <w:sz w:val="24"/>
          <w:szCs w:val="24"/>
          <w:highlight w:val="none"/>
          <w:shd w:val="clear" w:color="auto" w:fill="FFFFFF"/>
        </w:rPr>
        <w:t>首次在韶关市参与建设工程招标投标活动的投标人，必须在交易平台上传企业相关资料办理企业入库事宜。投标人可登录全国公共资源交易平台（广东省</w:t>
      </w:r>
      <w:r>
        <w:rPr>
          <w:rFonts w:hint="eastAsia" w:ascii="宋体" w:hAnsi="宋体" w:cs="宋体"/>
          <w:color w:val="auto"/>
          <w:sz w:val="24"/>
          <w:szCs w:val="24"/>
          <w:highlight w:val="none"/>
          <w:shd w:val="clear" w:color="auto" w:fill="FFFFFF"/>
          <w:lang w:eastAsia="zh-CN"/>
        </w:rPr>
        <w:t>·</w:t>
      </w:r>
      <w:r>
        <w:rPr>
          <w:rFonts w:hint="eastAsia" w:ascii="宋体" w:hAnsi="宋体" w:eastAsia="宋体" w:cs="宋体"/>
          <w:color w:val="auto"/>
          <w:sz w:val="24"/>
          <w:szCs w:val="24"/>
          <w:highlight w:val="none"/>
          <w:shd w:val="clear" w:color="auto" w:fill="FFFFFF"/>
        </w:rPr>
        <w:t>韶关市）（https://ygp.gdzwfw.gov.cn/ggzy-portal/#/440200/index）办理企业入库、数字证书及电子印章事宜，具体请在交易平台查阅相应的交易指引。</w:t>
      </w:r>
    </w:p>
    <w:p w14:paraId="7851EBD0">
      <w:pPr>
        <w:pStyle w:val="40"/>
        <w:pageBreakBefore w:val="0"/>
        <w:kinsoku/>
        <w:wordWrap w:val="0"/>
        <w:overflowPunct/>
        <w:topLinePunct w:val="0"/>
        <w:bidi w:val="0"/>
        <w:adjustRightInd w:val="0"/>
        <w:snapToGrid w:val="0"/>
        <w:spacing w:line="440" w:lineRule="exact"/>
        <w:ind w:firstLine="480"/>
        <w:jc w:val="left"/>
        <w:textAlignment w:val="auto"/>
        <w:rPr>
          <w:rFonts w:hint="eastAsia" w:ascii="宋体" w:hAnsi="宋体" w:eastAsia="宋体" w:cs="宋体"/>
          <w:snapToGrid w:val="0"/>
          <w:color w:val="auto"/>
          <w:kern w:val="0"/>
          <w:sz w:val="24"/>
          <w:szCs w:val="24"/>
          <w:highlight w:val="none"/>
        </w:rPr>
      </w:pPr>
      <w:r>
        <w:rPr>
          <w:rFonts w:hint="eastAsia" w:ascii="宋体" w:hAnsi="宋体" w:eastAsia="宋体" w:cs="宋体"/>
          <w:color w:val="auto"/>
          <w:sz w:val="24"/>
          <w:szCs w:val="24"/>
          <w:highlight w:val="none"/>
          <w:shd w:val="clear" w:color="auto" w:fill="FFFFFF"/>
        </w:rPr>
        <w:t>已入库企业有关信息（如单位名称、基本账号、资质、人员等）发生变化的，须及时在交易平台进行相应变更。投标人未及时变更信息而造成的损失和后果，由投标人自行承担。</w:t>
      </w:r>
    </w:p>
    <w:p w14:paraId="68478D5E">
      <w:pPr>
        <w:pageBreakBefore w:val="0"/>
        <w:tabs>
          <w:tab w:val="left" w:pos="7020"/>
        </w:tabs>
        <w:kinsoku/>
        <w:wordWrap w:val="0"/>
        <w:overflowPunct/>
        <w:topLinePunct w:val="0"/>
        <w:bidi w:val="0"/>
        <w:adjustRightInd w:val="0"/>
        <w:snapToGrid w:val="0"/>
        <w:spacing w:line="440" w:lineRule="exact"/>
        <w:ind w:firstLine="480" w:firstLineChars="200"/>
        <w:textAlignment w:val="auto"/>
        <w:rPr>
          <w:rFonts w:hint="eastAsia" w:ascii="宋体" w:hAnsi="宋体" w:eastAsia="宋体" w:cs="宋体"/>
          <w:snapToGrid w:val="0"/>
          <w:color w:val="auto"/>
          <w:kern w:val="0"/>
          <w:sz w:val="24"/>
          <w:szCs w:val="24"/>
          <w:highlight w:val="none"/>
        </w:rPr>
      </w:pPr>
      <w:r>
        <w:rPr>
          <w:rFonts w:hint="eastAsia" w:ascii="宋体" w:hAnsi="宋体" w:eastAsia="宋体" w:cs="宋体"/>
          <w:color w:val="auto"/>
          <w:sz w:val="24"/>
          <w:szCs w:val="24"/>
          <w:highlight w:val="none"/>
          <w:shd w:val="clear" w:color="auto" w:fill="FFFFFF"/>
        </w:rPr>
        <w:t>电子印章是指获得</w:t>
      </w:r>
      <w:r>
        <w:rPr>
          <w:rFonts w:hint="eastAsia" w:hAnsi="宋体" w:eastAsia="宋体" w:cs="宋体"/>
          <w:color w:val="auto"/>
          <w:sz w:val="24"/>
          <w:szCs w:val="24"/>
          <w:highlight w:val="none"/>
          <w:shd w:val="clear" w:color="auto" w:fill="FFFFFF"/>
          <w:lang w:eastAsia="zh-CN"/>
        </w:rPr>
        <w:t>工业和信息化部</w:t>
      </w:r>
      <w:r>
        <w:rPr>
          <w:rFonts w:hint="eastAsia" w:ascii="宋体" w:hAnsi="宋体" w:eastAsia="宋体" w:cs="宋体"/>
          <w:color w:val="auto"/>
          <w:sz w:val="24"/>
          <w:szCs w:val="24"/>
          <w:highlight w:val="none"/>
          <w:shd w:val="clear" w:color="auto" w:fill="FFFFFF"/>
        </w:rPr>
        <w:t>颁发的《电子认证服务许可证》、国家密码管理局颁发的《电子认证服务使用密码许可证》等资质，具备承担因数字证书原因产生纠纷的相关责任的能力，且在广东省内具有数量基础和服务能力的依法设立的电子认证服务机构签发的电子签章认证证书（即CA数字证书）。投标人应当到相关服务机构办理并取得数字证书介质和应用。电子印章包括机构法人电子形式印章，单位法定代表人、被委托人及其他个人的电子形式印章。电子印章与手写签名或者盖章具有同等的法律效力</w:t>
      </w:r>
      <w:r>
        <w:rPr>
          <w:rFonts w:hint="eastAsia" w:ascii="宋体" w:hAnsi="宋体" w:eastAsia="宋体" w:cs="宋体"/>
          <w:snapToGrid w:val="0"/>
          <w:color w:val="auto"/>
          <w:sz w:val="24"/>
          <w:szCs w:val="24"/>
          <w:highlight w:val="none"/>
        </w:rPr>
        <w:t>。</w:t>
      </w:r>
    </w:p>
    <w:p w14:paraId="64197FA6">
      <w:pPr>
        <w:pageBreakBefore w:val="0"/>
        <w:kinsoku/>
        <w:overflowPunct/>
        <w:topLinePunct w:val="0"/>
        <w:bidi w:val="0"/>
        <w:spacing w:line="440"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7.2招标人（或招标代理机构）对投标人的失误不负任何责任，投标人应指定一名投标事务负责人（即授权委托人），专门负责跟踪、签收、阅读和理解招标文件及随后收到的有关资料，向招标人（或招标代理机构）发出疑问，检查投标文件，协助有关人员尽力克服各种投标失误。投标事务负责人（即授权委托人）如有更换，投标人应及时向招标人（或招标代理机构）提交授权委托书。</w:t>
      </w:r>
    </w:p>
    <w:p w14:paraId="5A2D325E">
      <w:pPr>
        <w:pageBreakBefore w:val="0"/>
        <w:kinsoku/>
        <w:overflowPunct/>
        <w:topLinePunct w:val="0"/>
        <w:bidi w:val="0"/>
        <w:spacing w:line="440" w:lineRule="exact"/>
        <w:ind w:firstLine="480" w:firstLineChars="200"/>
        <w:textAlignment w:val="auto"/>
        <w:rPr>
          <w:rFonts w:hint="eastAsia" w:ascii="宋体" w:hAnsi="宋体" w:eastAsia="宋体" w:cs="宋体"/>
          <w:bCs/>
          <w:color w:val="auto"/>
          <w:sz w:val="24"/>
          <w:szCs w:val="24"/>
          <w:highlight w:val="none"/>
        </w:rPr>
      </w:pPr>
      <w:r>
        <w:rPr>
          <w:rFonts w:hint="eastAsia" w:ascii="宋体" w:hAnsi="宋体" w:eastAsia="宋体" w:cs="宋体"/>
          <w:color w:val="auto"/>
          <w:sz w:val="24"/>
          <w:szCs w:val="24"/>
          <w:highlight w:val="none"/>
        </w:rPr>
        <w:t xml:space="preserve">7.3 </w:t>
      </w:r>
      <w:r>
        <w:rPr>
          <w:rFonts w:hint="eastAsia" w:ascii="宋体" w:hAnsi="宋体" w:eastAsia="宋体" w:cs="宋体"/>
          <w:b/>
          <w:bCs/>
          <w:color w:val="auto"/>
          <w:sz w:val="24"/>
          <w:szCs w:val="24"/>
          <w:highlight w:val="none"/>
        </w:rPr>
        <w:t>纪律与保密要求</w:t>
      </w:r>
    </w:p>
    <w:p w14:paraId="144C300C">
      <w:pPr>
        <w:pageBreakBefore w:val="0"/>
        <w:kinsoku/>
        <w:overflowPunct/>
        <w:topLinePunct w:val="0"/>
        <w:bidi w:val="0"/>
        <w:spacing w:line="440" w:lineRule="exact"/>
        <w:ind w:firstLine="495"/>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7.3.1</w:t>
      </w:r>
      <w:r>
        <w:rPr>
          <w:rFonts w:hint="eastAsia" w:hAnsi="宋体" w:eastAsia="宋体" w:cs="宋体"/>
          <w:color w:val="auto"/>
          <w:sz w:val="24"/>
          <w:szCs w:val="24"/>
          <w:highlight w:val="none"/>
          <w:lang w:eastAsia="zh-CN"/>
        </w:rPr>
        <w:t xml:space="preserve"> 对</w:t>
      </w:r>
      <w:r>
        <w:rPr>
          <w:rFonts w:hint="eastAsia" w:ascii="宋体" w:hAnsi="宋体" w:eastAsia="宋体" w:cs="宋体"/>
          <w:b/>
          <w:color w:val="auto"/>
          <w:sz w:val="24"/>
          <w:szCs w:val="24"/>
          <w:highlight w:val="none"/>
        </w:rPr>
        <w:t>招标人的纪律要求</w:t>
      </w:r>
      <w:r>
        <w:rPr>
          <w:rFonts w:hint="eastAsia" w:ascii="宋体" w:hAnsi="宋体" w:eastAsia="宋体" w:cs="宋体"/>
          <w:color w:val="auto"/>
          <w:sz w:val="24"/>
          <w:szCs w:val="24"/>
          <w:highlight w:val="none"/>
        </w:rPr>
        <w:t>：招标人不得泄露招标投标活动中应当保密的情况和资料，不得与投标人串通</w:t>
      </w:r>
      <w:r>
        <w:rPr>
          <w:rFonts w:hint="eastAsia" w:hAnsi="宋体" w:eastAsia="宋体" w:cs="宋体"/>
          <w:color w:val="auto"/>
          <w:sz w:val="24"/>
          <w:szCs w:val="24"/>
          <w:highlight w:val="none"/>
          <w:lang w:eastAsia="zh-CN"/>
        </w:rPr>
        <w:t>，损害</w:t>
      </w:r>
      <w:r>
        <w:rPr>
          <w:rFonts w:hint="eastAsia" w:ascii="宋体" w:hAnsi="宋体" w:eastAsia="宋体" w:cs="宋体"/>
          <w:color w:val="auto"/>
          <w:sz w:val="24"/>
          <w:szCs w:val="24"/>
          <w:highlight w:val="none"/>
        </w:rPr>
        <w:t>国家利益、社会公共利益或者他人合法权益。</w:t>
      </w:r>
    </w:p>
    <w:p w14:paraId="2DD1478A">
      <w:pPr>
        <w:pageBreakBefore w:val="0"/>
        <w:kinsoku/>
        <w:overflowPunct/>
        <w:topLinePunct w:val="0"/>
        <w:bidi w:val="0"/>
        <w:spacing w:line="440" w:lineRule="exact"/>
        <w:ind w:firstLine="495"/>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7.3.2 </w:t>
      </w:r>
      <w:r>
        <w:rPr>
          <w:rFonts w:hint="eastAsia" w:ascii="宋体" w:hAnsi="宋体" w:eastAsia="宋体" w:cs="宋体"/>
          <w:b/>
          <w:color w:val="auto"/>
          <w:sz w:val="24"/>
          <w:szCs w:val="24"/>
          <w:highlight w:val="none"/>
        </w:rPr>
        <w:t>对投标人的纪律要求</w:t>
      </w:r>
      <w:r>
        <w:rPr>
          <w:rFonts w:hint="eastAsia" w:ascii="宋体" w:hAnsi="宋体" w:eastAsia="宋体" w:cs="宋体"/>
          <w:color w:val="auto"/>
          <w:sz w:val="24"/>
          <w:szCs w:val="24"/>
          <w:highlight w:val="none"/>
        </w:rPr>
        <w:t>：投标人不得相互串通投标或者与招标人串通投标，不得向招标人或者评标委员会成员行贿谋取中标，不得以他人名义投标或者以其他方式弄虚作假骗取中标</w:t>
      </w:r>
      <w:r>
        <w:rPr>
          <w:rFonts w:hint="eastAsia" w:hAnsi="宋体" w:eastAsia="宋体" w:cs="宋体"/>
          <w:color w:val="auto"/>
          <w:sz w:val="24"/>
          <w:szCs w:val="24"/>
          <w:highlight w:val="none"/>
          <w:lang w:eastAsia="zh-CN"/>
        </w:rPr>
        <w:t>，</w:t>
      </w:r>
      <w:r>
        <w:rPr>
          <w:rFonts w:hint="eastAsia" w:ascii="宋体" w:hAnsi="宋体" w:eastAsia="宋体" w:cs="宋体"/>
          <w:color w:val="auto"/>
          <w:sz w:val="24"/>
          <w:szCs w:val="24"/>
          <w:highlight w:val="none"/>
        </w:rPr>
        <w:t>不得以任何方式干扰、影响评标工作。</w:t>
      </w:r>
    </w:p>
    <w:p w14:paraId="671F5887">
      <w:pPr>
        <w:pageBreakBefore w:val="0"/>
        <w:kinsoku/>
        <w:overflowPunct/>
        <w:topLinePunct w:val="0"/>
        <w:bidi w:val="0"/>
        <w:spacing w:line="440" w:lineRule="exact"/>
        <w:ind w:firstLine="495"/>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7.3.3 </w:t>
      </w:r>
      <w:r>
        <w:rPr>
          <w:rFonts w:hint="eastAsia" w:ascii="宋体" w:hAnsi="宋体" w:eastAsia="宋体" w:cs="宋体"/>
          <w:color w:val="auto"/>
          <w:spacing w:val="8"/>
          <w:sz w:val="24"/>
          <w:szCs w:val="24"/>
          <w:highlight w:val="none"/>
        </w:rPr>
        <w:t>参与招</w:t>
      </w:r>
      <w:r>
        <w:rPr>
          <w:rFonts w:hint="eastAsia" w:ascii="宋体" w:hAnsi="宋体" w:eastAsia="宋体" w:cs="宋体"/>
          <w:color w:val="auto"/>
          <w:sz w:val="24"/>
          <w:szCs w:val="24"/>
          <w:highlight w:val="none"/>
        </w:rPr>
        <w:t>标</w:t>
      </w:r>
      <w:r>
        <w:rPr>
          <w:rFonts w:hint="eastAsia" w:ascii="宋体" w:hAnsi="宋体" w:eastAsia="宋体" w:cs="宋体"/>
          <w:color w:val="auto"/>
          <w:spacing w:val="8"/>
          <w:sz w:val="24"/>
          <w:szCs w:val="24"/>
          <w:highlight w:val="none"/>
        </w:rPr>
        <w:t>投标活</w:t>
      </w:r>
      <w:r>
        <w:rPr>
          <w:rFonts w:hint="eastAsia" w:ascii="宋体" w:hAnsi="宋体" w:eastAsia="宋体" w:cs="宋体"/>
          <w:color w:val="auto"/>
          <w:sz w:val="24"/>
          <w:szCs w:val="24"/>
          <w:highlight w:val="none"/>
        </w:rPr>
        <w:t>动</w:t>
      </w:r>
      <w:r>
        <w:rPr>
          <w:rFonts w:hint="eastAsia" w:ascii="宋体" w:hAnsi="宋体" w:eastAsia="宋体" w:cs="宋体"/>
          <w:color w:val="auto"/>
          <w:spacing w:val="8"/>
          <w:sz w:val="24"/>
          <w:szCs w:val="24"/>
          <w:highlight w:val="none"/>
        </w:rPr>
        <w:t>的各方</w:t>
      </w:r>
      <w:r>
        <w:rPr>
          <w:rFonts w:hint="eastAsia" w:ascii="宋体" w:hAnsi="宋体" w:eastAsia="宋体" w:cs="宋体"/>
          <w:color w:val="auto"/>
          <w:sz w:val="24"/>
          <w:szCs w:val="24"/>
          <w:highlight w:val="none"/>
        </w:rPr>
        <w:t>应</w:t>
      </w:r>
      <w:r>
        <w:rPr>
          <w:rFonts w:hint="eastAsia" w:ascii="宋体" w:hAnsi="宋体" w:eastAsia="宋体" w:cs="宋体"/>
          <w:color w:val="auto"/>
          <w:spacing w:val="8"/>
          <w:sz w:val="24"/>
          <w:szCs w:val="24"/>
          <w:highlight w:val="none"/>
        </w:rPr>
        <w:t>对招标</w:t>
      </w:r>
      <w:r>
        <w:rPr>
          <w:rFonts w:hint="eastAsia" w:ascii="宋体" w:hAnsi="宋体" w:eastAsia="宋体" w:cs="宋体"/>
          <w:color w:val="auto"/>
          <w:sz w:val="24"/>
          <w:szCs w:val="24"/>
          <w:highlight w:val="none"/>
        </w:rPr>
        <w:t>文</w:t>
      </w:r>
      <w:r>
        <w:rPr>
          <w:rFonts w:hint="eastAsia" w:ascii="宋体" w:hAnsi="宋体" w:eastAsia="宋体" w:cs="宋体"/>
          <w:color w:val="auto"/>
          <w:spacing w:val="8"/>
          <w:sz w:val="24"/>
          <w:szCs w:val="24"/>
          <w:highlight w:val="none"/>
        </w:rPr>
        <w:t>件和投</w:t>
      </w:r>
      <w:r>
        <w:rPr>
          <w:rFonts w:hint="eastAsia" w:ascii="宋体" w:hAnsi="宋体" w:eastAsia="宋体" w:cs="宋体"/>
          <w:color w:val="auto"/>
          <w:sz w:val="24"/>
          <w:szCs w:val="24"/>
          <w:highlight w:val="none"/>
        </w:rPr>
        <w:t>标</w:t>
      </w:r>
      <w:r>
        <w:rPr>
          <w:rFonts w:hint="eastAsia" w:ascii="宋体" w:hAnsi="宋体" w:eastAsia="宋体" w:cs="宋体"/>
          <w:color w:val="auto"/>
          <w:spacing w:val="8"/>
          <w:sz w:val="24"/>
          <w:szCs w:val="24"/>
          <w:highlight w:val="none"/>
        </w:rPr>
        <w:t>文件中</w:t>
      </w:r>
      <w:r>
        <w:rPr>
          <w:rFonts w:hint="eastAsia" w:ascii="宋体" w:hAnsi="宋体" w:eastAsia="宋体" w:cs="宋体"/>
          <w:color w:val="auto"/>
          <w:sz w:val="24"/>
          <w:szCs w:val="24"/>
          <w:highlight w:val="none"/>
        </w:rPr>
        <w:t>的</w:t>
      </w:r>
      <w:r>
        <w:rPr>
          <w:rFonts w:hint="eastAsia" w:ascii="宋体" w:hAnsi="宋体" w:eastAsia="宋体" w:cs="宋体"/>
          <w:color w:val="auto"/>
          <w:spacing w:val="8"/>
          <w:sz w:val="24"/>
          <w:szCs w:val="24"/>
          <w:highlight w:val="none"/>
        </w:rPr>
        <w:t>商业和</w:t>
      </w:r>
      <w:r>
        <w:rPr>
          <w:rFonts w:hint="eastAsia" w:ascii="宋体" w:hAnsi="宋体" w:eastAsia="宋体" w:cs="宋体"/>
          <w:color w:val="auto"/>
          <w:sz w:val="24"/>
          <w:szCs w:val="24"/>
          <w:highlight w:val="none"/>
        </w:rPr>
        <w:t>技</w:t>
      </w:r>
      <w:r>
        <w:rPr>
          <w:rFonts w:hint="eastAsia" w:ascii="宋体" w:hAnsi="宋体" w:eastAsia="宋体" w:cs="宋体"/>
          <w:color w:val="auto"/>
          <w:spacing w:val="8"/>
          <w:sz w:val="24"/>
          <w:szCs w:val="24"/>
          <w:highlight w:val="none"/>
        </w:rPr>
        <w:t>术等秘密</w:t>
      </w:r>
      <w:r>
        <w:rPr>
          <w:rFonts w:hint="eastAsia" w:ascii="宋体" w:hAnsi="宋体" w:eastAsia="宋体" w:cs="宋体"/>
          <w:color w:val="auto"/>
          <w:sz w:val="24"/>
          <w:szCs w:val="24"/>
          <w:highlight w:val="none"/>
        </w:rPr>
        <w:t>保密，违者应对由此造成的后果承担法律责任。</w:t>
      </w:r>
      <w:bookmarkStart w:id="104" w:name="_Toc371968706"/>
    </w:p>
    <w:p w14:paraId="4E9B97A5">
      <w:pPr>
        <w:pageBreakBefore w:val="0"/>
        <w:kinsoku/>
        <w:overflowPunct/>
        <w:topLinePunct w:val="0"/>
        <w:bidi w:val="0"/>
        <w:spacing w:line="440" w:lineRule="exact"/>
        <w:ind w:firstLine="480" w:firstLineChars="200"/>
        <w:textAlignment w:val="auto"/>
        <w:rPr>
          <w:rFonts w:hint="eastAsia" w:ascii="宋体" w:hAnsi="宋体" w:eastAsia="宋体" w:cs="宋体"/>
          <w:b/>
          <w:bCs/>
          <w:color w:val="auto"/>
          <w:sz w:val="24"/>
          <w:szCs w:val="24"/>
          <w:highlight w:val="none"/>
        </w:rPr>
      </w:pPr>
      <w:r>
        <w:rPr>
          <w:rFonts w:hint="eastAsia" w:ascii="宋体" w:hAnsi="宋体" w:eastAsia="宋体" w:cs="宋体"/>
          <w:color w:val="auto"/>
          <w:sz w:val="24"/>
          <w:szCs w:val="24"/>
          <w:highlight w:val="none"/>
        </w:rPr>
        <w:t>7.</w:t>
      </w:r>
      <w:bookmarkStart w:id="105" w:name="_Toc143766459"/>
      <w:bookmarkStart w:id="106" w:name="_Toc353462191"/>
      <w:bookmarkStart w:id="107" w:name="_Toc353462300"/>
      <w:r>
        <w:rPr>
          <w:rFonts w:hint="eastAsia" w:ascii="宋体" w:hAnsi="宋体" w:eastAsia="宋体" w:cs="宋体"/>
          <w:color w:val="auto"/>
          <w:sz w:val="24"/>
          <w:szCs w:val="24"/>
          <w:highlight w:val="none"/>
        </w:rPr>
        <w:t xml:space="preserve">4 </w:t>
      </w:r>
      <w:r>
        <w:rPr>
          <w:rFonts w:hint="eastAsia" w:ascii="宋体" w:hAnsi="宋体" w:eastAsia="宋体" w:cs="宋体"/>
          <w:b/>
          <w:bCs/>
          <w:color w:val="auto"/>
          <w:sz w:val="24"/>
          <w:szCs w:val="24"/>
          <w:highlight w:val="none"/>
        </w:rPr>
        <w:t>语言、计量及投标费用</w:t>
      </w:r>
      <w:bookmarkEnd w:id="104"/>
      <w:bookmarkEnd w:id="105"/>
      <w:bookmarkEnd w:id="106"/>
      <w:bookmarkEnd w:id="107"/>
    </w:p>
    <w:p w14:paraId="68A01875">
      <w:pPr>
        <w:pageBreakBefore w:val="0"/>
        <w:kinsoku/>
        <w:overflowPunct/>
        <w:topLinePunct w:val="0"/>
        <w:bidi w:val="0"/>
        <w:spacing w:line="440" w:lineRule="exac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    7.4.1 除专用术语外</w:t>
      </w:r>
      <w:r>
        <w:rPr>
          <w:rFonts w:hint="eastAsia" w:ascii="宋体" w:hAnsi="宋体" w:eastAsia="宋体" w:cs="宋体"/>
          <w:color w:val="auto"/>
          <w:spacing w:val="-80"/>
          <w:sz w:val="24"/>
          <w:szCs w:val="24"/>
          <w:highlight w:val="none"/>
        </w:rPr>
        <w:t>，</w:t>
      </w:r>
      <w:r>
        <w:rPr>
          <w:rFonts w:hint="eastAsia" w:ascii="宋体" w:hAnsi="宋体" w:eastAsia="宋体" w:cs="宋体"/>
          <w:color w:val="auto"/>
          <w:sz w:val="24"/>
          <w:szCs w:val="24"/>
          <w:highlight w:val="none"/>
        </w:rPr>
        <w:t>与招标投标有关的语言均使用中文</w:t>
      </w:r>
      <w:r>
        <w:rPr>
          <w:rFonts w:hint="eastAsia" w:ascii="宋体" w:hAnsi="宋体" w:eastAsia="宋体" w:cs="宋体"/>
          <w:color w:val="auto"/>
          <w:spacing w:val="-80"/>
          <w:sz w:val="24"/>
          <w:szCs w:val="24"/>
          <w:highlight w:val="none"/>
        </w:rPr>
        <w:t>。</w:t>
      </w:r>
    </w:p>
    <w:p w14:paraId="1961F226">
      <w:pPr>
        <w:pageBreakBefore w:val="0"/>
        <w:kinsoku/>
        <w:overflowPunct/>
        <w:topLinePunct w:val="0"/>
        <w:bidi w:val="0"/>
        <w:spacing w:line="440" w:lineRule="exac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    7.4.2 所有计量均采用中华人民共和国法定计量单位。</w:t>
      </w:r>
    </w:p>
    <w:p w14:paraId="648D1C76">
      <w:pPr>
        <w:pageBreakBefore w:val="0"/>
        <w:kinsoku/>
        <w:overflowPunct/>
        <w:topLinePunct w:val="0"/>
        <w:bidi w:val="0"/>
        <w:spacing w:line="440" w:lineRule="exac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    7.4.3 招标文件、投标文件中所指的币种均为人民币。</w:t>
      </w:r>
    </w:p>
    <w:p w14:paraId="590DFD8F">
      <w:pPr>
        <w:pageBreakBefore w:val="0"/>
        <w:kinsoku/>
        <w:overflowPunct/>
        <w:topLinePunct w:val="0"/>
        <w:bidi w:val="0"/>
        <w:spacing w:line="440" w:lineRule="exac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    7.4.4 投标人准备和参加投标活动发生的所有费用自理。</w:t>
      </w:r>
      <w:bookmarkStart w:id="108" w:name="_Toc371968707"/>
    </w:p>
    <w:p w14:paraId="1468772D">
      <w:pPr>
        <w:pageBreakBefore w:val="0"/>
        <w:kinsoku/>
        <w:overflowPunct/>
        <w:topLinePunct w:val="0"/>
        <w:bidi w:val="0"/>
        <w:spacing w:line="440" w:lineRule="exact"/>
        <w:ind w:firstLine="480" w:firstLineChars="200"/>
        <w:textAlignment w:val="auto"/>
        <w:rPr>
          <w:rFonts w:hint="eastAsia" w:ascii="宋体" w:hAnsi="宋体" w:eastAsia="宋体" w:cs="宋体"/>
          <w:b/>
          <w:bCs/>
          <w:color w:val="auto"/>
          <w:sz w:val="24"/>
          <w:szCs w:val="24"/>
          <w:highlight w:val="none"/>
        </w:rPr>
      </w:pPr>
      <w:r>
        <w:rPr>
          <w:rFonts w:hint="eastAsia" w:ascii="宋体" w:hAnsi="宋体" w:eastAsia="宋体" w:cs="宋体"/>
          <w:color w:val="auto"/>
          <w:sz w:val="24"/>
          <w:szCs w:val="24"/>
          <w:highlight w:val="none"/>
        </w:rPr>
        <w:t>7.5</w:t>
      </w:r>
      <w:r>
        <w:rPr>
          <w:rFonts w:hint="eastAsia" w:hAnsi="宋体" w:eastAsia="宋体" w:cs="宋体"/>
          <w:color w:val="auto"/>
          <w:sz w:val="24"/>
          <w:szCs w:val="24"/>
          <w:highlight w:val="none"/>
          <w:lang w:eastAsia="zh-CN"/>
        </w:rPr>
        <w:t xml:space="preserve"> </w:t>
      </w:r>
      <w:r>
        <w:rPr>
          <w:rFonts w:hint="eastAsia" w:hAnsi="宋体" w:eastAsia="宋体" w:cs="宋体"/>
          <w:b/>
          <w:bCs/>
          <w:color w:val="auto"/>
          <w:sz w:val="24"/>
          <w:szCs w:val="24"/>
          <w:highlight w:val="none"/>
          <w:lang w:eastAsia="zh-CN"/>
        </w:rPr>
        <w:t>知识产权</w:t>
      </w:r>
      <w:r>
        <w:rPr>
          <w:rFonts w:hint="eastAsia" w:ascii="宋体" w:hAnsi="宋体" w:eastAsia="宋体" w:cs="宋体"/>
          <w:b/>
          <w:bCs/>
          <w:color w:val="auto"/>
          <w:sz w:val="24"/>
          <w:szCs w:val="24"/>
          <w:highlight w:val="none"/>
        </w:rPr>
        <w:t>和专利权</w:t>
      </w:r>
      <w:bookmarkEnd w:id="108"/>
    </w:p>
    <w:p w14:paraId="37CDD678">
      <w:pPr>
        <w:pageBreakBefore w:val="0"/>
        <w:kinsoku/>
        <w:overflowPunct/>
        <w:topLinePunct w:val="0"/>
        <w:bidi w:val="0"/>
        <w:spacing w:line="440" w:lineRule="exac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    7.5.1 投标人保证投标文件及资料均未侵犯他人的知识产权，否则必须承担全部责任。若投标人使用了他人的专利、专有技术，涉及的费用由投标人负责。投标价应包括所有应支付的</w:t>
      </w:r>
      <w:r>
        <w:rPr>
          <w:rFonts w:hint="eastAsia" w:hAnsi="宋体" w:eastAsia="宋体" w:cs="宋体"/>
          <w:color w:val="auto"/>
          <w:sz w:val="24"/>
          <w:szCs w:val="24"/>
          <w:highlight w:val="none"/>
          <w:lang w:eastAsia="zh-CN"/>
        </w:rPr>
        <w:t>、因</w:t>
      </w:r>
      <w:r>
        <w:rPr>
          <w:rFonts w:hint="eastAsia" w:ascii="宋体" w:hAnsi="宋体" w:eastAsia="宋体" w:cs="宋体"/>
          <w:color w:val="auto"/>
          <w:sz w:val="24"/>
          <w:szCs w:val="24"/>
          <w:highlight w:val="none"/>
        </w:rPr>
        <w:t>专利权</w:t>
      </w:r>
      <w:r>
        <w:rPr>
          <w:rFonts w:hint="eastAsia" w:hAnsi="宋体" w:eastAsia="宋体" w:cs="宋体"/>
          <w:color w:val="auto"/>
          <w:sz w:val="24"/>
          <w:szCs w:val="24"/>
          <w:highlight w:val="none"/>
          <w:lang w:eastAsia="zh-CN"/>
        </w:rPr>
        <w:t>、</w:t>
      </w:r>
      <w:r>
        <w:rPr>
          <w:rFonts w:hint="eastAsia" w:ascii="宋体" w:hAnsi="宋体" w:eastAsia="宋体" w:cs="宋体"/>
          <w:color w:val="auto"/>
          <w:sz w:val="24"/>
          <w:szCs w:val="24"/>
          <w:highlight w:val="none"/>
        </w:rPr>
        <w:t>版权、设计和其他知识产权而需要向其他方支付的版税。</w:t>
      </w:r>
    </w:p>
    <w:p w14:paraId="24A2F320">
      <w:pPr>
        <w:pageBreakBefore w:val="0"/>
        <w:kinsoku/>
        <w:overflowPunct/>
        <w:topLinePunct w:val="0"/>
        <w:bidi w:val="0"/>
        <w:spacing w:line="440" w:lineRule="exac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    7.5.2 中标人应保证招标人在本项目建设过程中使用其设计文件和设计文件的任何一部分时</w:t>
      </w:r>
      <w:r>
        <w:rPr>
          <w:rFonts w:hint="eastAsia" w:hAnsi="宋体" w:eastAsia="宋体" w:cs="宋体"/>
          <w:color w:val="auto"/>
          <w:sz w:val="24"/>
          <w:szCs w:val="24"/>
          <w:highlight w:val="none"/>
          <w:lang w:eastAsia="zh-CN"/>
        </w:rPr>
        <w:t>，</w:t>
      </w:r>
      <w:r>
        <w:rPr>
          <w:rFonts w:hint="eastAsia" w:ascii="宋体" w:hAnsi="宋体" w:eastAsia="宋体" w:cs="宋体"/>
          <w:color w:val="auto"/>
          <w:sz w:val="24"/>
          <w:szCs w:val="24"/>
          <w:highlight w:val="none"/>
        </w:rPr>
        <w:t>免受第三方提出</w:t>
      </w:r>
      <w:r>
        <w:rPr>
          <w:rFonts w:hint="eastAsia" w:hAnsi="宋体" w:eastAsia="宋体" w:cs="宋体"/>
          <w:color w:val="auto"/>
          <w:sz w:val="24"/>
          <w:szCs w:val="24"/>
          <w:highlight w:val="none"/>
          <w:lang w:eastAsia="zh-CN"/>
        </w:rPr>
        <w:t>的侵犯</w:t>
      </w:r>
      <w:r>
        <w:rPr>
          <w:rFonts w:hint="eastAsia" w:ascii="宋体" w:hAnsi="宋体" w:eastAsia="宋体" w:cs="宋体"/>
          <w:color w:val="auto"/>
          <w:sz w:val="24"/>
          <w:szCs w:val="24"/>
          <w:highlight w:val="none"/>
        </w:rPr>
        <w:t>其专利权、商标权或其他知识产权的</w:t>
      </w:r>
      <w:r>
        <w:rPr>
          <w:rFonts w:hint="eastAsia" w:hAnsi="宋体" w:eastAsia="宋体" w:cs="宋体"/>
          <w:color w:val="auto"/>
          <w:sz w:val="24"/>
          <w:szCs w:val="24"/>
          <w:highlight w:val="none"/>
          <w:lang w:eastAsia="zh-CN"/>
        </w:rPr>
        <w:t>诉讼</w:t>
      </w:r>
      <w:r>
        <w:rPr>
          <w:rFonts w:hint="eastAsia" w:ascii="宋体" w:hAnsi="宋体" w:eastAsia="宋体" w:cs="宋体"/>
          <w:color w:val="auto"/>
          <w:sz w:val="24"/>
          <w:szCs w:val="24"/>
          <w:highlight w:val="none"/>
        </w:rPr>
        <w:t>。</w:t>
      </w:r>
    </w:p>
    <w:p w14:paraId="381DB37D">
      <w:pPr>
        <w:pageBreakBefore w:val="0"/>
        <w:kinsoku/>
        <w:overflowPunct/>
        <w:topLinePunct w:val="0"/>
        <w:bidi w:val="0"/>
        <w:spacing w:line="440" w:lineRule="exac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    7.5.3 中标人提交给招标人的设计文件，其著作权、版权、专利权和使用权归招标人所有（署名权除外）。</w:t>
      </w:r>
    </w:p>
    <w:p w14:paraId="7FF699AE">
      <w:pPr>
        <w:pageBreakBefore w:val="0"/>
        <w:kinsoku/>
        <w:overflowPunct/>
        <w:topLinePunct w:val="0"/>
        <w:bidi w:val="0"/>
        <w:spacing w:line="440" w:lineRule="exact"/>
        <w:ind w:firstLine="480" w:firstLineChars="200"/>
        <w:textAlignment w:val="auto"/>
        <w:rPr>
          <w:rFonts w:hint="eastAsia" w:ascii="宋体" w:hAnsi="宋体" w:eastAsia="宋体" w:cs="宋体"/>
          <w:color w:val="auto"/>
          <w:sz w:val="24"/>
          <w:szCs w:val="24"/>
          <w:highlight w:val="none"/>
        </w:rPr>
      </w:pPr>
      <w:bookmarkStart w:id="109" w:name="_Toc371968708"/>
      <w:r>
        <w:rPr>
          <w:rFonts w:hint="eastAsia" w:ascii="宋体" w:hAnsi="宋体" w:eastAsia="宋体" w:cs="宋体"/>
          <w:color w:val="auto"/>
          <w:sz w:val="24"/>
          <w:szCs w:val="24"/>
          <w:highlight w:val="none"/>
        </w:rPr>
        <w:t>7.</w:t>
      </w:r>
      <w:bookmarkEnd w:id="109"/>
      <w:r>
        <w:rPr>
          <w:rFonts w:hint="eastAsia" w:ascii="宋体" w:hAnsi="宋体" w:eastAsia="宋体" w:cs="宋体"/>
          <w:color w:val="auto"/>
          <w:sz w:val="24"/>
          <w:szCs w:val="24"/>
          <w:highlight w:val="none"/>
        </w:rPr>
        <w:t>6 招标文件是招标人发出的要约邀请，投标人参加投标均视为承认招标公告、招标文件及附件的所有条款，并承诺一旦中标将按招标文件、投标文件、合同条款、技术规范要求的质量和进度完成全部委托任务。</w:t>
      </w:r>
    </w:p>
    <w:p w14:paraId="781AD286">
      <w:pPr>
        <w:pStyle w:val="39"/>
        <w:keepNext/>
        <w:keepLines/>
        <w:pageBreakBefore w:val="0"/>
        <w:kinsoku/>
        <w:overflowPunct/>
        <w:topLinePunct w:val="0"/>
        <w:bidi w:val="0"/>
        <w:spacing w:line="440" w:lineRule="exact"/>
        <w:ind w:firstLine="480"/>
        <w:jc w:val="both"/>
        <w:textAlignment w:val="auto"/>
        <w:rPr>
          <w:rFonts w:hint="eastAsia" w:ascii="宋体" w:hAnsi="宋体" w:eastAsia="宋体" w:cs="宋体"/>
          <w:b/>
          <w:color w:val="auto"/>
          <w:kern w:val="2"/>
          <w:sz w:val="24"/>
          <w:szCs w:val="24"/>
          <w:highlight w:val="none"/>
        </w:rPr>
      </w:pPr>
      <w:bookmarkStart w:id="110" w:name="_Toc20115"/>
      <w:bookmarkStart w:id="111" w:name="_Toc30148"/>
      <w:r>
        <w:rPr>
          <w:rFonts w:hint="eastAsia" w:ascii="宋体" w:hAnsi="宋体" w:eastAsia="宋体" w:cs="宋体"/>
          <w:b/>
          <w:color w:val="auto"/>
          <w:kern w:val="2"/>
          <w:sz w:val="24"/>
          <w:szCs w:val="24"/>
          <w:highlight w:val="none"/>
        </w:rPr>
        <w:t>8</w:t>
      </w:r>
      <w:r>
        <w:rPr>
          <w:rFonts w:hint="eastAsia" w:hAnsi="宋体" w:cs="宋体"/>
          <w:b/>
          <w:color w:val="auto"/>
          <w:kern w:val="2"/>
          <w:sz w:val="24"/>
          <w:szCs w:val="24"/>
          <w:highlight w:val="none"/>
          <w:lang w:eastAsia="zh-CN"/>
        </w:rPr>
        <w:t xml:space="preserve">. </w:t>
      </w:r>
      <w:r>
        <w:rPr>
          <w:rFonts w:hint="eastAsia" w:ascii="宋体" w:hAnsi="宋体" w:eastAsia="宋体" w:cs="宋体"/>
          <w:b/>
          <w:color w:val="auto"/>
          <w:kern w:val="2"/>
          <w:sz w:val="24"/>
          <w:szCs w:val="24"/>
          <w:highlight w:val="none"/>
        </w:rPr>
        <w:t>招标答疑</w:t>
      </w:r>
      <w:bookmarkEnd w:id="110"/>
      <w:bookmarkEnd w:id="111"/>
      <w:bookmarkStart w:id="112" w:name="_Hlt74496410"/>
      <w:bookmarkEnd w:id="112"/>
    </w:p>
    <w:p w14:paraId="7B789A9C">
      <w:pPr>
        <w:pStyle w:val="37"/>
        <w:pageBreakBefore w:val="0"/>
        <w:kinsoku/>
        <w:overflowPunct/>
        <w:topLinePunct w:val="0"/>
        <w:bidi w:val="0"/>
        <w:spacing w:line="440" w:lineRule="exact"/>
        <w:ind w:firstLine="56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8.1</w:t>
      </w:r>
      <w:r>
        <w:rPr>
          <w:rFonts w:hint="eastAsia" w:hAnsi="宋体" w:cs="宋体"/>
          <w:color w:val="auto"/>
          <w:sz w:val="24"/>
          <w:szCs w:val="24"/>
          <w:highlight w:val="none"/>
          <w:lang w:eastAsia="zh-CN"/>
        </w:rPr>
        <w:t xml:space="preserve"> 招标人</w:t>
      </w:r>
      <w:r>
        <w:rPr>
          <w:rFonts w:hint="eastAsia" w:ascii="宋体" w:hAnsi="宋体" w:eastAsia="宋体" w:cs="宋体"/>
          <w:color w:val="auto"/>
          <w:sz w:val="24"/>
          <w:szCs w:val="24"/>
          <w:highlight w:val="none"/>
        </w:rPr>
        <w:t>不集中组织答疑，实行网上答疑。</w:t>
      </w:r>
      <w:r>
        <w:rPr>
          <w:rFonts w:hint="eastAsia" w:ascii="宋体" w:hAnsi="宋体" w:eastAsia="宋体" w:cs="宋体"/>
          <w:snapToGrid w:val="0"/>
          <w:color w:val="auto"/>
          <w:kern w:val="0"/>
          <w:sz w:val="24"/>
          <w:szCs w:val="24"/>
          <w:highlight w:val="none"/>
        </w:rPr>
        <w:t>投标人若对招标文件有疑问</w:t>
      </w:r>
      <w:r>
        <w:rPr>
          <w:rFonts w:hint="eastAsia" w:hAnsi="宋体" w:cs="宋体"/>
          <w:snapToGrid w:val="0"/>
          <w:color w:val="auto"/>
          <w:kern w:val="0"/>
          <w:sz w:val="24"/>
          <w:szCs w:val="24"/>
          <w:highlight w:val="none"/>
          <w:lang w:eastAsia="zh-CN"/>
        </w:rPr>
        <w:t>，应</w:t>
      </w:r>
      <w:r>
        <w:rPr>
          <w:rFonts w:hint="eastAsia" w:ascii="宋体" w:hAnsi="宋体" w:eastAsia="宋体" w:cs="宋体"/>
          <w:color w:val="auto"/>
          <w:sz w:val="24"/>
          <w:szCs w:val="24"/>
          <w:highlight w:val="none"/>
        </w:rPr>
        <w:t>在提问截止时间（</w:t>
      </w:r>
      <w:r>
        <w:rPr>
          <w:rFonts w:hint="eastAsia" w:ascii="宋体" w:hAnsi="宋体" w:eastAsia="宋体" w:cs="宋体"/>
          <w:snapToGrid w:val="0"/>
          <w:color w:val="auto"/>
          <w:kern w:val="0"/>
          <w:sz w:val="24"/>
          <w:szCs w:val="24"/>
          <w:highlight w:val="none"/>
        </w:rPr>
        <w:t>见本章第二节“重要事项时间地点一览表”</w:t>
      </w:r>
      <w:r>
        <w:rPr>
          <w:rFonts w:hint="eastAsia" w:ascii="宋体" w:hAnsi="宋体" w:eastAsia="宋体" w:cs="宋体"/>
          <w:color w:val="auto"/>
          <w:sz w:val="24"/>
          <w:szCs w:val="24"/>
          <w:highlight w:val="none"/>
        </w:rPr>
        <w:t>）前在交易平台提出问题。未在指定时间前</w:t>
      </w:r>
      <w:r>
        <w:rPr>
          <w:rFonts w:hint="eastAsia" w:hAnsi="宋体" w:cs="宋体"/>
          <w:color w:val="auto"/>
          <w:sz w:val="24"/>
          <w:szCs w:val="24"/>
          <w:highlight w:val="none"/>
          <w:lang w:eastAsia="zh-CN"/>
        </w:rPr>
        <w:t>提出、</w:t>
      </w:r>
      <w:r>
        <w:rPr>
          <w:rFonts w:hint="eastAsia" w:ascii="宋体" w:hAnsi="宋体" w:eastAsia="宋体" w:cs="宋体"/>
          <w:color w:val="auto"/>
          <w:sz w:val="24"/>
          <w:szCs w:val="24"/>
          <w:highlight w:val="none"/>
        </w:rPr>
        <w:t>未采用指定方式提出的，招标人不予受理。</w:t>
      </w:r>
    </w:p>
    <w:p w14:paraId="27759506">
      <w:pPr>
        <w:pStyle w:val="37"/>
        <w:pageBreakBefore w:val="0"/>
        <w:kinsoku/>
        <w:overflowPunct/>
        <w:topLinePunct w:val="0"/>
        <w:bidi w:val="0"/>
        <w:spacing w:line="440" w:lineRule="exact"/>
        <w:ind w:firstLine="56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8.2 </w:t>
      </w:r>
      <w:r>
        <w:rPr>
          <w:rFonts w:hint="eastAsia" w:ascii="宋体" w:hAnsi="宋体" w:eastAsia="宋体" w:cs="宋体"/>
          <w:snapToGrid w:val="0"/>
          <w:color w:val="auto"/>
          <w:kern w:val="0"/>
          <w:sz w:val="24"/>
          <w:szCs w:val="24"/>
          <w:highlight w:val="none"/>
        </w:rPr>
        <w:t>招标人在提问截止时间（见本章第二节“重要事项时间地点一览表”）后3日内，一次性对收到的所有问题作出答复，并形成答疑（或修改）公告在发布招标公告的媒介上公开发布。答疑（或修改）公告一旦发布，即</w:t>
      </w:r>
      <w:r>
        <w:rPr>
          <w:rFonts w:hint="eastAsia" w:hAnsi="宋体" w:cs="宋体"/>
          <w:snapToGrid w:val="0"/>
          <w:color w:val="auto"/>
          <w:kern w:val="0"/>
          <w:sz w:val="24"/>
          <w:szCs w:val="24"/>
          <w:highlight w:val="none"/>
          <w:lang w:eastAsia="zh-CN"/>
        </w:rPr>
        <w:t>视为</w:t>
      </w:r>
      <w:r>
        <w:rPr>
          <w:rFonts w:hint="eastAsia" w:ascii="宋体" w:hAnsi="宋体" w:eastAsia="宋体" w:cs="宋体"/>
          <w:snapToGrid w:val="0"/>
          <w:color w:val="auto"/>
          <w:kern w:val="0"/>
          <w:sz w:val="24"/>
          <w:szCs w:val="24"/>
          <w:highlight w:val="none"/>
        </w:rPr>
        <w:t>所有潜在投标人已经知悉答疑（或修改）内容，投标人未及时关注而造成的损失和后果，由投标人自行承担。</w:t>
      </w:r>
    </w:p>
    <w:p w14:paraId="626210EA">
      <w:pPr>
        <w:pStyle w:val="37"/>
        <w:pageBreakBefore w:val="0"/>
        <w:kinsoku/>
        <w:overflowPunct/>
        <w:topLinePunct w:val="0"/>
        <w:bidi w:val="0"/>
        <w:spacing w:line="440" w:lineRule="exact"/>
        <w:ind w:firstLine="56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8.3 答疑书（</w:t>
      </w:r>
      <w:r>
        <w:rPr>
          <w:rFonts w:hint="eastAsia" w:ascii="宋体" w:hAnsi="宋体" w:eastAsia="宋体" w:cs="宋体"/>
          <w:snapToGrid w:val="0"/>
          <w:color w:val="auto"/>
          <w:kern w:val="0"/>
          <w:sz w:val="24"/>
          <w:szCs w:val="24"/>
          <w:highlight w:val="none"/>
        </w:rPr>
        <w:t>或修改</w:t>
      </w:r>
      <w:r>
        <w:rPr>
          <w:rFonts w:hint="eastAsia" w:ascii="宋体" w:hAnsi="宋体" w:eastAsia="宋体" w:cs="宋体"/>
          <w:color w:val="auto"/>
          <w:sz w:val="24"/>
          <w:szCs w:val="24"/>
          <w:highlight w:val="none"/>
        </w:rPr>
        <w:t>）对招标文件的修改或补充内容作为招标文件的组成部分，具有约束作用。招标文件的澄清、修改、补充等内容均以答疑书（</w:t>
      </w:r>
      <w:r>
        <w:rPr>
          <w:rFonts w:hint="eastAsia" w:ascii="宋体" w:hAnsi="宋体" w:eastAsia="宋体" w:cs="宋体"/>
          <w:snapToGrid w:val="0"/>
          <w:color w:val="auto"/>
          <w:kern w:val="0"/>
          <w:sz w:val="24"/>
          <w:szCs w:val="24"/>
          <w:highlight w:val="none"/>
        </w:rPr>
        <w:t>或修改</w:t>
      </w:r>
      <w:r>
        <w:rPr>
          <w:rFonts w:hint="eastAsia" w:ascii="宋体" w:hAnsi="宋体" w:eastAsia="宋体" w:cs="宋体"/>
          <w:color w:val="auto"/>
          <w:sz w:val="24"/>
          <w:szCs w:val="24"/>
          <w:highlight w:val="none"/>
        </w:rPr>
        <w:t>）中明确的内容为准。当招标文件、招标文件的澄清、修改、补充等文件在同一内容的表述上不一致时，以最后发出的答疑书（</w:t>
      </w:r>
      <w:r>
        <w:rPr>
          <w:rFonts w:hint="eastAsia" w:ascii="宋体" w:hAnsi="宋体" w:eastAsia="宋体" w:cs="宋体"/>
          <w:snapToGrid w:val="0"/>
          <w:color w:val="auto"/>
          <w:kern w:val="0"/>
          <w:sz w:val="24"/>
          <w:szCs w:val="24"/>
          <w:highlight w:val="none"/>
        </w:rPr>
        <w:t>或修改</w:t>
      </w:r>
      <w:r>
        <w:rPr>
          <w:rFonts w:hint="eastAsia" w:ascii="宋体" w:hAnsi="宋体" w:eastAsia="宋体" w:cs="宋体"/>
          <w:color w:val="auto"/>
          <w:sz w:val="24"/>
          <w:szCs w:val="24"/>
          <w:highlight w:val="none"/>
        </w:rPr>
        <w:t>）为准。</w:t>
      </w:r>
    </w:p>
    <w:p w14:paraId="714CA24D">
      <w:pPr>
        <w:pStyle w:val="37"/>
        <w:pageBreakBefore w:val="0"/>
        <w:kinsoku/>
        <w:overflowPunct/>
        <w:topLinePunct w:val="0"/>
        <w:bidi w:val="0"/>
        <w:spacing w:line="440" w:lineRule="exact"/>
        <w:ind w:firstLine="56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8.4 投标人在规定的时间内未对招标文件提出澄清或疑问的，招标人将视其为无异议。对招标文件中描述有歧义或前后不一致的地方，评标委员会有权进行评判，但对同一条款的评判应适用于每个投标人。</w:t>
      </w:r>
    </w:p>
    <w:p w14:paraId="38597388">
      <w:pPr>
        <w:pStyle w:val="37"/>
        <w:pageBreakBefore w:val="0"/>
        <w:kinsoku/>
        <w:overflowPunct/>
        <w:topLinePunct w:val="0"/>
        <w:bidi w:val="0"/>
        <w:spacing w:line="440" w:lineRule="exact"/>
        <w:ind w:firstLine="56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8.5 招标人向投标人提供的资料和数据，是招标人现有的能使投标人利用的资料。投标人对招标人提供的招标文件所作出的推论、解释和结论，招标人概不负责；投标人由于对招标文件的任何推论</w:t>
      </w:r>
      <w:r>
        <w:rPr>
          <w:rFonts w:hint="eastAsia" w:hAnsi="宋体" w:cs="宋体"/>
          <w:color w:val="auto"/>
          <w:sz w:val="24"/>
          <w:szCs w:val="24"/>
          <w:highlight w:val="none"/>
          <w:lang w:eastAsia="zh-CN"/>
        </w:rPr>
        <w:t>、</w:t>
      </w:r>
      <w:r>
        <w:rPr>
          <w:rFonts w:hint="eastAsia" w:ascii="宋体" w:hAnsi="宋体" w:eastAsia="宋体" w:cs="宋体"/>
          <w:color w:val="auto"/>
          <w:sz w:val="24"/>
          <w:szCs w:val="24"/>
          <w:highlight w:val="none"/>
        </w:rPr>
        <w:t>误解以及招标人对有关问题的口头解释所造成的后果</w:t>
      </w:r>
      <w:r>
        <w:rPr>
          <w:rFonts w:hint="eastAsia" w:hAnsi="宋体" w:cs="宋体"/>
          <w:color w:val="auto"/>
          <w:sz w:val="24"/>
          <w:szCs w:val="24"/>
          <w:highlight w:val="none"/>
          <w:lang w:eastAsia="zh-CN"/>
        </w:rPr>
        <w:t>，</w:t>
      </w:r>
      <w:r>
        <w:rPr>
          <w:rFonts w:hint="eastAsia" w:ascii="宋体" w:hAnsi="宋体" w:eastAsia="宋体" w:cs="宋体"/>
          <w:color w:val="auto"/>
          <w:sz w:val="24"/>
          <w:szCs w:val="24"/>
          <w:highlight w:val="none"/>
        </w:rPr>
        <w:t>均由投标人自行负责。</w:t>
      </w:r>
    </w:p>
    <w:p w14:paraId="29EC2D4B">
      <w:pPr>
        <w:pStyle w:val="39"/>
        <w:keepNext/>
        <w:keepLines/>
        <w:pageBreakBefore w:val="0"/>
        <w:kinsoku/>
        <w:overflowPunct/>
        <w:topLinePunct w:val="0"/>
        <w:bidi w:val="0"/>
        <w:spacing w:line="440" w:lineRule="exact"/>
        <w:ind w:firstLine="480"/>
        <w:jc w:val="both"/>
        <w:textAlignment w:val="auto"/>
        <w:rPr>
          <w:rFonts w:hint="eastAsia" w:ascii="宋体" w:hAnsi="宋体" w:eastAsia="宋体" w:cs="宋体"/>
          <w:b/>
          <w:color w:val="auto"/>
          <w:kern w:val="2"/>
          <w:sz w:val="24"/>
          <w:szCs w:val="24"/>
          <w:highlight w:val="none"/>
        </w:rPr>
      </w:pPr>
      <w:bookmarkStart w:id="113" w:name="_Hlt92513715"/>
      <w:bookmarkEnd w:id="113"/>
      <w:bookmarkStart w:id="114" w:name="_Hlt92513711"/>
      <w:bookmarkEnd w:id="114"/>
      <w:bookmarkStart w:id="115" w:name="_Hlt69699188"/>
      <w:bookmarkEnd w:id="115"/>
      <w:bookmarkStart w:id="116" w:name="_Toc14533"/>
      <w:bookmarkStart w:id="117" w:name="_Toc15195"/>
      <w:bookmarkStart w:id="118" w:name="_Toc30627"/>
      <w:bookmarkStart w:id="119" w:name="_Toc8032"/>
      <w:bookmarkStart w:id="120" w:name="_Toc28777"/>
      <w:bookmarkStart w:id="121" w:name="_Toc20643"/>
      <w:bookmarkStart w:id="122" w:name="_Toc31064"/>
      <w:bookmarkStart w:id="123" w:name="_Toc25532"/>
      <w:bookmarkStart w:id="124" w:name="_Toc11301"/>
      <w:r>
        <w:rPr>
          <w:rFonts w:hint="eastAsia" w:ascii="宋体" w:hAnsi="宋体" w:eastAsia="宋体" w:cs="宋体"/>
          <w:b/>
          <w:color w:val="auto"/>
          <w:kern w:val="2"/>
          <w:sz w:val="24"/>
          <w:szCs w:val="24"/>
          <w:highlight w:val="none"/>
        </w:rPr>
        <w:t>9</w:t>
      </w:r>
      <w:r>
        <w:rPr>
          <w:rFonts w:hint="eastAsia" w:hAnsi="宋体" w:cs="宋体"/>
          <w:b/>
          <w:color w:val="auto"/>
          <w:kern w:val="2"/>
          <w:sz w:val="24"/>
          <w:szCs w:val="24"/>
          <w:highlight w:val="none"/>
          <w:lang w:eastAsia="zh-CN"/>
        </w:rPr>
        <w:t xml:space="preserve">. </w:t>
      </w:r>
      <w:r>
        <w:rPr>
          <w:rFonts w:hint="eastAsia" w:ascii="宋体" w:hAnsi="宋体" w:eastAsia="宋体" w:cs="宋体"/>
          <w:b/>
          <w:color w:val="auto"/>
          <w:kern w:val="2"/>
          <w:sz w:val="24"/>
          <w:szCs w:val="24"/>
          <w:highlight w:val="none"/>
        </w:rPr>
        <w:t>投标报价的编制</w:t>
      </w:r>
      <w:bookmarkEnd w:id="116"/>
      <w:bookmarkEnd w:id="117"/>
      <w:bookmarkEnd w:id="118"/>
      <w:bookmarkEnd w:id="119"/>
      <w:bookmarkEnd w:id="120"/>
      <w:bookmarkEnd w:id="121"/>
      <w:bookmarkEnd w:id="122"/>
      <w:bookmarkEnd w:id="123"/>
      <w:bookmarkEnd w:id="124"/>
      <w:bookmarkStart w:id="125" w:name="_Hlt74498519"/>
      <w:bookmarkEnd w:id="125"/>
    </w:p>
    <w:p w14:paraId="64EA9DD0">
      <w:pPr>
        <w:pStyle w:val="37"/>
        <w:pageBreakBefore w:val="0"/>
        <w:kinsoku/>
        <w:overflowPunct/>
        <w:topLinePunct w:val="0"/>
        <w:bidi w:val="0"/>
        <w:spacing w:line="440" w:lineRule="exact"/>
        <w:ind w:firstLine="528" w:firstLineChars="200"/>
        <w:textAlignment w:val="auto"/>
        <w:rPr>
          <w:rFonts w:hint="eastAsia" w:ascii="宋体" w:hAnsi="宋体" w:eastAsia="宋体" w:cs="宋体"/>
          <w:color w:val="auto"/>
          <w:spacing w:val="12"/>
          <w:sz w:val="24"/>
          <w:szCs w:val="24"/>
          <w:highlight w:val="none"/>
        </w:rPr>
      </w:pPr>
      <w:r>
        <w:rPr>
          <w:rFonts w:hint="eastAsia" w:ascii="宋体" w:hAnsi="宋体" w:eastAsia="宋体" w:cs="宋体"/>
          <w:color w:val="auto"/>
          <w:spacing w:val="12"/>
          <w:sz w:val="24"/>
          <w:szCs w:val="24"/>
          <w:highlight w:val="none"/>
        </w:rPr>
        <w:t>9.1 本工程计价依据为：</w:t>
      </w:r>
    </w:p>
    <w:p w14:paraId="648B64F1">
      <w:pPr>
        <w:pStyle w:val="37"/>
        <w:pageBreakBefore w:val="0"/>
        <w:kinsoku/>
        <w:overflowPunct/>
        <w:topLinePunct w:val="0"/>
        <w:bidi w:val="0"/>
        <w:spacing w:line="440" w:lineRule="exact"/>
        <w:ind w:firstLine="480" w:firstLineChars="200"/>
        <w:textAlignment w:val="auto"/>
        <w:rPr>
          <w:rFonts w:hint="eastAsia" w:ascii="宋体" w:hAnsi="宋体" w:eastAsia="宋体" w:cs="宋体"/>
          <w:strike/>
          <w:dstrike w:val="0"/>
          <w:color w:val="auto"/>
          <w:sz w:val="24"/>
          <w:szCs w:val="24"/>
          <w:highlight w:val="none"/>
        </w:rPr>
      </w:pPr>
      <w:r>
        <w:rPr>
          <w:rFonts w:hint="eastAsia" w:ascii="宋体" w:hAnsi="宋体" w:eastAsia="宋体" w:cs="宋体"/>
          <w:color w:val="auto"/>
          <w:sz w:val="24"/>
          <w:szCs w:val="24"/>
          <w:highlight w:val="none"/>
        </w:rPr>
        <w:t>（1）</w:t>
      </w:r>
      <w:r>
        <w:rPr>
          <w:rFonts w:hint="eastAsia" w:hAnsi="宋体" w:cs="宋体"/>
          <w:color w:val="auto"/>
          <w:sz w:val="24"/>
          <w:szCs w:val="24"/>
          <w:highlight w:val="none"/>
          <w:lang w:val="en-US" w:eastAsia="zh-CN"/>
        </w:rPr>
        <w:t>参考</w:t>
      </w:r>
      <w:r>
        <w:rPr>
          <w:rFonts w:hint="eastAsia" w:ascii="宋体" w:hAnsi="宋体" w:eastAsia="宋体" w:cs="宋体"/>
          <w:color w:val="auto"/>
          <w:sz w:val="24"/>
          <w:szCs w:val="24"/>
          <w:highlight w:val="none"/>
        </w:rPr>
        <w:t>《工程勘察设计收费管理规定》（计价格〔2002〕10号）</w:t>
      </w:r>
      <w:r>
        <w:rPr>
          <w:rFonts w:hint="eastAsia" w:ascii="宋体" w:hAnsi="宋体" w:eastAsia="宋体" w:cs="宋体"/>
          <w:strike w:val="0"/>
          <w:dstrike w:val="0"/>
          <w:color w:val="auto"/>
          <w:sz w:val="24"/>
          <w:szCs w:val="24"/>
          <w:highlight w:val="none"/>
        </w:rPr>
        <w:t>；</w:t>
      </w:r>
    </w:p>
    <w:p w14:paraId="5BA65C34">
      <w:pPr>
        <w:pStyle w:val="37"/>
        <w:pageBreakBefore w:val="0"/>
        <w:kinsoku/>
        <w:overflowPunct/>
        <w:topLinePunct w:val="0"/>
        <w:bidi w:val="0"/>
        <w:spacing w:line="440"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rPr>
        <w:t>2024版清单计价计算标准</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lang w:val="en-US" w:eastAsia="zh-CN"/>
        </w:rPr>
        <w:t>具体包括：</w:t>
      </w:r>
      <w:r>
        <w:rPr>
          <w:rFonts w:hint="eastAsia" w:ascii="宋体" w:hAnsi="宋体" w:eastAsia="宋体" w:cs="宋体"/>
          <w:color w:val="auto"/>
          <w:sz w:val="24"/>
          <w:szCs w:val="24"/>
          <w:highlight w:val="none"/>
        </w:rPr>
        <w:t>《建设工程工程量清单计价标准》（GB/T 50500-2024）</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rPr>
        <w:t>《房屋建筑与装饰工程工程量计算标准》（GB/T 50854-2024）</w:t>
      </w:r>
      <w:r>
        <w:rPr>
          <w:rFonts w:hint="eastAsia" w:hAnsi="宋体" w:cs="宋体"/>
          <w:color w:val="auto"/>
          <w:sz w:val="24"/>
          <w:szCs w:val="24"/>
          <w:highlight w:val="none"/>
          <w:lang w:eastAsia="zh-CN"/>
        </w:rPr>
        <w:t>、《</w:t>
      </w:r>
      <w:r>
        <w:rPr>
          <w:rFonts w:hint="eastAsia" w:ascii="宋体" w:hAnsi="宋体" w:eastAsia="宋体" w:cs="宋体"/>
          <w:color w:val="auto"/>
          <w:sz w:val="24"/>
          <w:szCs w:val="24"/>
          <w:highlight w:val="none"/>
        </w:rPr>
        <w:t>通用安装工程工程量计算标准》（GB/T 50856-2024）、《市政工程工程量计算标准》（GB/T 50857-2024）、《园林绿化工程工程量计算标准》（GB/T 50858-2024）</w:t>
      </w:r>
      <w:r>
        <w:rPr>
          <w:rFonts w:hint="eastAsia" w:ascii="宋体" w:hAnsi="宋体" w:eastAsia="宋体" w:cs="宋体"/>
          <w:color w:val="auto"/>
          <w:sz w:val="24"/>
          <w:szCs w:val="24"/>
          <w:highlight w:val="none"/>
          <w:lang w:val="en-US" w:eastAsia="zh-CN"/>
        </w:rPr>
        <w:t>等</w:t>
      </w:r>
      <w:r>
        <w:rPr>
          <w:rFonts w:hint="eastAsia" w:ascii="宋体" w:hAnsi="宋体" w:eastAsia="宋体" w:cs="宋体"/>
          <w:color w:val="auto"/>
          <w:sz w:val="24"/>
          <w:szCs w:val="24"/>
          <w:highlight w:val="none"/>
          <w:lang w:eastAsia="zh-CN"/>
        </w:rPr>
        <w:t>；</w:t>
      </w:r>
    </w:p>
    <w:p w14:paraId="769D64A5">
      <w:pPr>
        <w:pStyle w:val="37"/>
        <w:pageBreakBefore w:val="0"/>
        <w:kinsoku/>
        <w:overflowPunct/>
        <w:topLinePunct w:val="0"/>
        <w:bidi w:val="0"/>
        <w:spacing w:line="440"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广东省建设工程计价依据（2018）》。具体包括：《广东省房屋建筑与装饰工程综合定额（2018）》《广东省市政工程综合定额（2018）》《广东省通用安装工程综合定额（2018）》《广东省园林绿化工程综合定额（2018）》《广东省建设工程施工机具台班费用编制规则（2018）》等；</w:t>
      </w:r>
    </w:p>
    <w:p w14:paraId="4C844824">
      <w:pPr>
        <w:pStyle w:val="37"/>
        <w:pageBreakBefore w:val="0"/>
        <w:kinsoku/>
        <w:overflowPunct/>
        <w:topLinePunct w:val="0"/>
        <w:bidi w:val="0"/>
        <w:spacing w:line="440"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lang w:val="en-US" w:eastAsia="zh-CN"/>
        </w:rPr>
        <w:t>4</w:t>
      </w:r>
      <w:r>
        <w:rPr>
          <w:rFonts w:hint="eastAsia" w:ascii="宋体" w:hAnsi="宋体" w:eastAsia="宋体" w:cs="宋体"/>
          <w:color w:val="auto"/>
          <w:sz w:val="24"/>
          <w:szCs w:val="24"/>
          <w:highlight w:val="none"/>
          <w:lang w:eastAsia="zh-CN"/>
        </w:rPr>
        <w:t>）</w:t>
      </w:r>
      <w:r>
        <w:rPr>
          <w:rFonts w:hint="eastAsia" w:ascii="宋体" w:hAnsi="宋体" w:eastAsia="宋体" w:cs="宋体"/>
          <w:snapToGrid w:val="0"/>
          <w:color w:val="auto"/>
          <w:kern w:val="0"/>
          <w:sz w:val="24"/>
          <w:szCs w:val="24"/>
          <w:highlight w:val="none"/>
        </w:rPr>
        <w:t>招标文件及其答疑（或修改）公告</w:t>
      </w:r>
      <w:r>
        <w:rPr>
          <w:rFonts w:hint="eastAsia" w:ascii="宋体" w:hAnsi="宋体" w:eastAsia="宋体" w:cs="宋体"/>
          <w:color w:val="auto"/>
          <w:sz w:val="24"/>
          <w:szCs w:val="24"/>
          <w:highlight w:val="none"/>
        </w:rPr>
        <w:t>；</w:t>
      </w:r>
    </w:p>
    <w:p w14:paraId="6D9F1C12">
      <w:pPr>
        <w:pStyle w:val="37"/>
        <w:pageBreakBefore w:val="0"/>
        <w:kinsoku/>
        <w:overflowPunct/>
        <w:topLinePunct w:val="0"/>
        <w:bidi w:val="0"/>
        <w:spacing w:line="440"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w:t>
      </w:r>
      <w:r>
        <w:rPr>
          <w:rFonts w:hint="eastAsia" w:ascii="宋体" w:hAnsi="宋体" w:eastAsia="宋体" w:cs="宋体"/>
          <w:color w:val="auto"/>
          <w:sz w:val="24"/>
          <w:szCs w:val="24"/>
          <w:highlight w:val="none"/>
          <w:lang w:val="en-US" w:eastAsia="zh-CN"/>
        </w:rPr>
        <w:t>5</w:t>
      </w:r>
      <w:r>
        <w:rPr>
          <w:rFonts w:hint="eastAsia" w:ascii="宋体" w:hAnsi="宋体" w:eastAsia="宋体" w:cs="宋体"/>
          <w:color w:val="auto"/>
          <w:sz w:val="24"/>
          <w:szCs w:val="24"/>
          <w:highlight w:val="none"/>
        </w:rPr>
        <w:t>）施工现场情况、工程特点及常规施工方案；</w:t>
      </w:r>
    </w:p>
    <w:p w14:paraId="434D3441">
      <w:pPr>
        <w:pStyle w:val="37"/>
        <w:pageBreakBefore w:val="0"/>
        <w:kinsoku/>
        <w:overflowPunct/>
        <w:topLinePunct w:val="0"/>
        <w:bidi w:val="0"/>
        <w:spacing w:line="440"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w:t>
      </w:r>
      <w:r>
        <w:rPr>
          <w:rFonts w:hint="eastAsia" w:ascii="宋体" w:hAnsi="宋体" w:eastAsia="宋体" w:cs="宋体"/>
          <w:color w:val="auto"/>
          <w:sz w:val="24"/>
          <w:szCs w:val="24"/>
          <w:highlight w:val="none"/>
          <w:lang w:val="en-US" w:eastAsia="zh-CN"/>
        </w:rPr>
        <w:t>6</w:t>
      </w:r>
      <w:r>
        <w:rPr>
          <w:rFonts w:hint="eastAsia" w:ascii="宋体" w:hAnsi="宋体" w:eastAsia="宋体" w:cs="宋体"/>
          <w:color w:val="auto"/>
          <w:sz w:val="24"/>
          <w:szCs w:val="24"/>
          <w:highlight w:val="none"/>
        </w:rPr>
        <w:t>）项目所在地工程造价管理机构发布的工程造价信息，工程造价信息缺项的，参照市场价格；</w:t>
      </w:r>
    </w:p>
    <w:p w14:paraId="3F2DEB1C">
      <w:pPr>
        <w:pStyle w:val="37"/>
        <w:pageBreakBefore w:val="0"/>
        <w:kinsoku/>
        <w:overflowPunct/>
        <w:topLinePunct w:val="0"/>
        <w:bidi w:val="0"/>
        <w:spacing w:line="440" w:lineRule="exact"/>
        <w:ind w:firstLine="560"/>
        <w:textAlignment w:val="auto"/>
        <w:rPr>
          <w:rFonts w:hint="eastAsia" w:ascii="宋体" w:hAnsi="宋体" w:eastAsia="宋体" w:cs="宋体"/>
          <w:color w:val="auto"/>
          <w:spacing w:val="12"/>
          <w:sz w:val="24"/>
          <w:szCs w:val="24"/>
          <w:highlight w:val="none"/>
          <w:lang w:eastAsia="zh-CN"/>
        </w:rPr>
      </w:pPr>
      <w:r>
        <w:rPr>
          <w:rFonts w:hint="eastAsia" w:ascii="宋体" w:hAnsi="宋体" w:eastAsia="宋体" w:cs="宋体"/>
          <w:color w:val="auto"/>
          <w:sz w:val="24"/>
          <w:szCs w:val="24"/>
          <w:highlight w:val="none"/>
        </w:rPr>
        <w:t>（</w:t>
      </w:r>
      <w:r>
        <w:rPr>
          <w:rFonts w:hint="eastAsia" w:ascii="宋体" w:hAnsi="宋体" w:eastAsia="宋体" w:cs="宋体"/>
          <w:color w:val="auto"/>
          <w:sz w:val="24"/>
          <w:szCs w:val="24"/>
          <w:highlight w:val="none"/>
          <w:lang w:val="en-US" w:eastAsia="zh-CN"/>
        </w:rPr>
        <w:t>7</w:t>
      </w:r>
      <w:r>
        <w:rPr>
          <w:rFonts w:hint="eastAsia" w:ascii="宋体" w:hAnsi="宋体" w:eastAsia="宋体" w:cs="宋体"/>
          <w:color w:val="auto"/>
          <w:sz w:val="24"/>
          <w:szCs w:val="24"/>
          <w:highlight w:val="none"/>
        </w:rPr>
        <w:t>）与建设项目相关的标准、规范、技术资料</w:t>
      </w:r>
      <w:r>
        <w:rPr>
          <w:rFonts w:hint="eastAsia" w:ascii="宋体" w:hAnsi="宋体" w:eastAsia="宋体" w:cs="宋体"/>
          <w:color w:val="auto"/>
          <w:sz w:val="24"/>
          <w:szCs w:val="24"/>
          <w:highlight w:val="none"/>
          <w:lang w:eastAsia="zh-CN"/>
        </w:rPr>
        <w:t>。</w:t>
      </w:r>
    </w:p>
    <w:p w14:paraId="4B8EE770">
      <w:pPr>
        <w:pStyle w:val="37"/>
        <w:pageBreakBefore w:val="0"/>
        <w:kinsoku/>
        <w:overflowPunct/>
        <w:topLinePunct w:val="0"/>
        <w:bidi w:val="0"/>
        <w:spacing w:line="440" w:lineRule="exact"/>
        <w:ind w:firstLine="792" w:firstLineChars="300"/>
        <w:textAlignment w:val="auto"/>
        <w:rPr>
          <w:rFonts w:hint="eastAsia" w:ascii="宋体" w:hAnsi="宋体" w:eastAsia="宋体" w:cs="宋体"/>
          <w:color w:val="auto"/>
          <w:sz w:val="24"/>
          <w:szCs w:val="24"/>
          <w:highlight w:val="none"/>
        </w:rPr>
      </w:pPr>
      <w:r>
        <w:rPr>
          <w:rFonts w:hint="eastAsia" w:ascii="宋体" w:hAnsi="宋体" w:eastAsia="宋体" w:cs="宋体"/>
          <w:color w:val="auto"/>
          <w:spacing w:val="12"/>
          <w:sz w:val="24"/>
          <w:szCs w:val="24"/>
          <w:highlight w:val="none"/>
        </w:rPr>
        <w:t>9.2</w:t>
      </w:r>
      <w:r>
        <w:rPr>
          <w:rFonts w:hint="eastAsia" w:ascii="宋体" w:hAnsi="宋体" w:eastAsia="宋体" w:cs="宋体"/>
          <w:color w:val="auto"/>
          <w:sz w:val="24"/>
          <w:szCs w:val="24"/>
          <w:highlight w:val="none"/>
        </w:rPr>
        <w:t xml:space="preserve"> 本工程投标前，招标人及招标代理机构不集中组织现场踏勘，投标人需要了解现场情况的，可自行进行现场踏勘。各投标人应勘察施工现场及周围环境、地形、地貌、水文、交通等情况，以获得一切可能</w:t>
      </w:r>
      <w:r>
        <w:rPr>
          <w:rFonts w:hint="eastAsia" w:hAnsi="宋体" w:cs="宋体"/>
          <w:color w:val="auto"/>
          <w:sz w:val="24"/>
          <w:szCs w:val="24"/>
          <w:highlight w:val="none"/>
          <w:lang w:eastAsia="zh-CN"/>
        </w:rPr>
        <w:t>影响</w:t>
      </w:r>
      <w:r>
        <w:rPr>
          <w:rFonts w:hint="eastAsia" w:ascii="宋体" w:hAnsi="宋体" w:eastAsia="宋体" w:cs="宋体"/>
          <w:color w:val="auto"/>
          <w:sz w:val="24"/>
          <w:szCs w:val="24"/>
          <w:highlight w:val="none"/>
        </w:rPr>
        <w:t>投标的直</w:t>
      </w:r>
      <w:bookmarkStart w:id="126" w:name="_Hlt66509056"/>
      <w:bookmarkEnd w:id="126"/>
      <w:r>
        <w:rPr>
          <w:rFonts w:hint="eastAsia" w:ascii="宋体" w:hAnsi="宋体" w:eastAsia="宋体" w:cs="宋体"/>
          <w:color w:val="auto"/>
          <w:sz w:val="24"/>
          <w:szCs w:val="24"/>
          <w:highlight w:val="none"/>
        </w:rPr>
        <w:t>接资料。投标人应针对现场情况编制施工组织设计，并在</w:t>
      </w:r>
      <w:r>
        <w:rPr>
          <w:rFonts w:hint="eastAsia" w:hAnsi="宋体" w:cs="宋体"/>
          <w:color w:val="auto"/>
          <w:sz w:val="24"/>
          <w:szCs w:val="24"/>
          <w:highlight w:val="none"/>
          <w:lang w:eastAsia="zh-CN"/>
        </w:rPr>
        <w:t>编制</w:t>
      </w:r>
      <w:r>
        <w:rPr>
          <w:rFonts w:hint="eastAsia" w:ascii="宋体" w:hAnsi="宋体" w:eastAsia="宋体" w:cs="宋体"/>
          <w:color w:val="auto"/>
          <w:sz w:val="24"/>
          <w:szCs w:val="24"/>
          <w:highlight w:val="none"/>
        </w:rPr>
        <w:t>投标报价时考虑现场情况的影响。</w:t>
      </w:r>
    </w:p>
    <w:p w14:paraId="4ECF4AE8">
      <w:pPr>
        <w:pStyle w:val="47"/>
        <w:pageBreakBefore w:val="0"/>
        <w:kinsoku/>
        <w:overflowPunct/>
        <w:topLinePunct w:val="0"/>
        <w:bidi w:val="0"/>
        <w:spacing w:line="440" w:lineRule="exact"/>
        <w:textAlignment w:val="auto"/>
        <w:rPr>
          <w:rFonts w:hint="eastAsia" w:ascii="宋体" w:hAnsi="宋体" w:eastAsia="宋体" w:cs="宋体"/>
          <w:color w:val="auto"/>
          <w:sz w:val="24"/>
          <w:szCs w:val="24"/>
          <w:highlight w:val="none"/>
        </w:rPr>
      </w:pPr>
      <w:r>
        <w:rPr>
          <w:rFonts w:hint="eastAsia" w:ascii="宋体" w:hAnsi="宋体" w:eastAsia="宋体" w:cs="宋体"/>
          <w:color w:val="auto"/>
          <w:spacing w:val="12"/>
          <w:sz w:val="24"/>
          <w:szCs w:val="24"/>
          <w:highlight w:val="none"/>
        </w:rPr>
        <w:t>9.</w:t>
      </w:r>
      <w:bookmarkStart w:id="127" w:name="_Hlt88974322"/>
      <w:r>
        <w:rPr>
          <w:rFonts w:hint="eastAsia" w:ascii="宋体" w:hAnsi="宋体" w:eastAsia="宋体" w:cs="宋体"/>
          <w:color w:val="auto"/>
          <w:spacing w:val="12"/>
          <w:sz w:val="24"/>
          <w:szCs w:val="24"/>
          <w:highlight w:val="none"/>
        </w:rPr>
        <w:t>3</w:t>
      </w:r>
      <w:r>
        <w:rPr>
          <w:rFonts w:hint="eastAsia" w:ascii="宋体" w:hAnsi="宋体" w:eastAsia="宋体" w:cs="宋体"/>
          <w:color w:val="auto"/>
          <w:sz w:val="24"/>
          <w:szCs w:val="24"/>
          <w:highlight w:val="none"/>
        </w:rPr>
        <w:t xml:space="preserve"> 现场踏勘费以及</w:t>
      </w:r>
      <w:r>
        <w:rPr>
          <w:rFonts w:hint="eastAsia" w:hAnsi="宋体" w:cs="宋体"/>
          <w:color w:val="auto"/>
          <w:sz w:val="24"/>
          <w:szCs w:val="24"/>
          <w:highlight w:val="none"/>
          <w:lang w:eastAsia="zh-CN"/>
        </w:rPr>
        <w:t>其他施工</w:t>
      </w:r>
      <w:r>
        <w:rPr>
          <w:rFonts w:hint="eastAsia" w:ascii="宋体" w:hAnsi="宋体" w:eastAsia="宋体" w:cs="宋体"/>
          <w:color w:val="auto"/>
          <w:sz w:val="24"/>
          <w:szCs w:val="24"/>
          <w:highlight w:val="none"/>
        </w:rPr>
        <w:t>措施项目费，由投标人综合考虑。无论投标人是否列出费用，招标人将一律视为已确认所有现场条件和可能发生的异常情况。</w:t>
      </w:r>
    </w:p>
    <w:bookmarkEnd w:id="127"/>
    <w:p w14:paraId="33B3AFF6">
      <w:pPr>
        <w:pStyle w:val="37"/>
        <w:pageBreakBefore w:val="0"/>
        <w:kinsoku/>
        <w:overflowPunct/>
        <w:topLinePunct w:val="0"/>
        <w:bidi w:val="0"/>
        <w:spacing w:line="440" w:lineRule="exact"/>
        <w:ind w:firstLine="56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9.4 招标人向投标人提供的有关现场的数据和资料，是招标人现有的能被投标人利用的资料，招标人对投标人做出的任何推论、理解和结论均不负责任。</w:t>
      </w:r>
    </w:p>
    <w:p w14:paraId="02A6C650">
      <w:pPr>
        <w:pageBreakBefore w:val="0"/>
        <w:kinsoku/>
        <w:overflowPunct/>
        <w:topLinePunct w:val="0"/>
        <w:bidi w:val="0"/>
        <w:spacing w:line="440" w:lineRule="exact"/>
        <w:ind w:firstLine="600"/>
        <w:textAlignment w:val="auto"/>
        <w:rPr>
          <w:rFonts w:hint="eastAsia" w:ascii="宋体" w:hAnsi="宋体" w:eastAsia="宋体" w:cs="宋体"/>
          <w:color w:val="auto"/>
          <w:sz w:val="24"/>
          <w:szCs w:val="24"/>
          <w:highlight w:val="none"/>
          <w:lang w:val="zh-CN"/>
        </w:rPr>
      </w:pPr>
      <w:r>
        <w:rPr>
          <w:rFonts w:hint="eastAsia" w:ascii="宋体" w:hAnsi="宋体" w:eastAsia="宋体" w:cs="宋体"/>
          <w:color w:val="auto"/>
          <w:sz w:val="24"/>
          <w:szCs w:val="24"/>
          <w:highlight w:val="none"/>
        </w:rPr>
        <w:t>9</w:t>
      </w:r>
      <w:r>
        <w:rPr>
          <w:rFonts w:hint="eastAsia" w:ascii="宋体" w:hAnsi="宋体" w:eastAsia="宋体" w:cs="宋体"/>
          <w:color w:val="auto"/>
          <w:sz w:val="24"/>
          <w:szCs w:val="24"/>
          <w:highlight w:val="none"/>
          <w:lang w:val="zh-CN"/>
        </w:rPr>
        <w:t>.</w:t>
      </w:r>
      <w:r>
        <w:rPr>
          <w:rFonts w:hint="eastAsia" w:ascii="宋体" w:hAnsi="宋体" w:eastAsia="宋体" w:cs="宋体"/>
          <w:color w:val="auto"/>
          <w:sz w:val="24"/>
          <w:szCs w:val="24"/>
          <w:highlight w:val="none"/>
        </w:rPr>
        <w:t>5</w:t>
      </w:r>
      <w:r>
        <w:rPr>
          <w:rFonts w:hint="eastAsia" w:hAnsi="宋体" w:eastAsia="宋体" w:cs="宋体"/>
          <w:color w:val="auto"/>
          <w:sz w:val="24"/>
          <w:szCs w:val="24"/>
          <w:highlight w:val="none"/>
          <w:lang w:eastAsia="zh-CN"/>
        </w:rPr>
        <w:t xml:space="preserve"> 投标人</w:t>
      </w:r>
      <w:r>
        <w:rPr>
          <w:rFonts w:hint="eastAsia" w:ascii="宋体" w:hAnsi="宋体" w:eastAsia="宋体" w:cs="宋体"/>
          <w:color w:val="auto"/>
          <w:sz w:val="24"/>
          <w:szCs w:val="24"/>
          <w:highlight w:val="none"/>
          <w:lang w:val="zh-CN"/>
        </w:rPr>
        <w:t>负责协调</w:t>
      </w:r>
      <w:r>
        <w:rPr>
          <w:rFonts w:hint="eastAsia" w:hAnsi="宋体" w:eastAsia="宋体" w:cs="宋体"/>
          <w:color w:val="auto"/>
          <w:sz w:val="24"/>
          <w:szCs w:val="24"/>
          <w:highlight w:val="none"/>
          <w:lang w:val="zh-CN"/>
        </w:rPr>
        <w:t>处理</w:t>
      </w:r>
      <w:r>
        <w:rPr>
          <w:rFonts w:hint="eastAsia" w:ascii="宋体" w:hAnsi="宋体" w:eastAsia="宋体" w:cs="宋体"/>
          <w:color w:val="auto"/>
          <w:sz w:val="24"/>
          <w:szCs w:val="24"/>
          <w:highlight w:val="none"/>
          <w:lang w:val="zh-CN"/>
        </w:rPr>
        <w:t>项目实施与周边企业和村民等</w:t>
      </w:r>
      <w:r>
        <w:rPr>
          <w:rFonts w:hint="eastAsia" w:hAnsi="宋体" w:eastAsia="宋体" w:cs="宋体"/>
          <w:color w:val="auto"/>
          <w:sz w:val="24"/>
          <w:szCs w:val="24"/>
          <w:highlight w:val="none"/>
          <w:lang w:val="zh-CN"/>
        </w:rPr>
        <w:t>的关系</w:t>
      </w:r>
      <w:r>
        <w:rPr>
          <w:rFonts w:hint="eastAsia" w:ascii="宋体" w:hAnsi="宋体" w:eastAsia="宋体" w:cs="宋体"/>
          <w:color w:val="auto"/>
          <w:sz w:val="24"/>
          <w:szCs w:val="24"/>
          <w:highlight w:val="none"/>
          <w:lang w:val="zh-CN"/>
        </w:rPr>
        <w:t>并承担相关费用。</w:t>
      </w:r>
    </w:p>
    <w:p w14:paraId="4116C49B">
      <w:pPr>
        <w:pageBreakBefore w:val="0"/>
        <w:kinsoku/>
        <w:overflowPunct/>
        <w:topLinePunct w:val="0"/>
        <w:bidi w:val="0"/>
        <w:spacing w:line="440" w:lineRule="exact"/>
        <w:ind w:firstLine="600"/>
        <w:textAlignment w:val="auto"/>
        <w:rPr>
          <w:rFonts w:hint="eastAsia" w:ascii="宋体" w:hAnsi="宋体" w:eastAsia="宋体" w:cs="宋体"/>
          <w:color w:val="auto"/>
          <w:sz w:val="24"/>
          <w:szCs w:val="24"/>
          <w:highlight w:val="none"/>
          <w:lang w:val="zh-CN"/>
        </w:rPr>
      </w:pPr>
      <w:r>
        <w:rPr>
          <w:rFonts w:hint="eastAsia" w:ascii="宋体" w:hAnsi="宋体" w:eastAsia="宋体" w:cs="宋体"/>
          <w:color w:val="auto"/>
          <w:sz w:val="24"/>
          <w:szCs w:val="24"/>
          <w:highlight w:val="none"/>
        </w:rPr>
        <w:t>9</w:t>
      </w:r>
      <w:r>
        <w:rPr>
          <w:rFonts w:hint="eastAsia" w:ascii="宋体" w:hAnsi="宋体" w:eastAsia="宋体" w:cs="宋体"/>
          <w:color w:val="auto"/>
          <w:sz w:val="24"/>
          <w:szCs w:val="24"/>
          <w:highlight w:val="none"/>
          <w:lang w:val="zh-CN"/>
        </w:rPr>
        <w:t>.</w:t>
      </w:r>
      <w:r>
        <w:rPr>
          <w:rFonts w:hint="eastAsia" w:ascii="宋体" w:hAnsi="宋体" w:eastAsia="宋体" w:cs="宋体"/>
          <w:color w:val="auto"/>
          <w:sz w:val="24"/>
          <w:szCs w:val="24"/>
          <w:highlight w:val="none"/>
        </w:rPr>
        <w:t>6</w:t>
      </w:r>
      <w:r>
        <w:rPr>
          <w:rFonts w:hint="eastAsia" w:hAnsi="宋体" w:eastAsia="宋体" w:cs="宋体"/>
          <w:color w:val="auto"/>
          <w:sz w:val="24"/>
          <w:szCs w:val="24"/>
          <w:highlight w:val="none"/>
          <w:lang w:eastAsia="zh-CN"/>
        </w:rPr>
        <w:t xml:space="preserve"> 投标人</w:t>
      </w:r>
      <w:r>
        <w:rPr>
          <w:rFonts w:hint="eastAsia" w:ascii="宋体" w:hAnsi="宋体" w:eastAsia="宋体" w:cs="宋体"/>
          <w:color w:val="auto"/>
          <w:sz w:val="24"/>
          <w:szCs w:val="24"/>
          <w:highlight w:val="none"/>
          <w:lang w:val="zh-CN"/>
        </w:rPr>
        <w:t>应采取设计优化的方式，通过土方平衡方法解决弃土问题，若仍有弃土，按实结算。</w:t>
      </w:r>
    </w:p>
    <w:p w14:paraId="2D505F66">
      <w:pPr>
        <w:pageBreakBefore w:val="0"/>
        <w:kinsoku/>
        <w:overflowPunct/>
        <w:topLinePunct w:val="0"/>
        <w:bidi w:val="0"/>
        <w:spacing w:line="440" w:lineRule="exact"/>
        <w:ind w:firstLine="570"/>
        <w:textAlignment w:val="auto"/>
        <w:rPr>
          <w:rFonts w:hint="eastAsia" w:ascii="宋体" w:hAnsi="宋体" w:eastAsia="宋体" w:cs="宋体"/>
          <w:b/>
          <w:bCs/>
          <w:color w:val="auto"/>
          <w:sz w:val="28"/>
          <w:szCs w:val="28"/>
          <w:highlight w:val="none"/>
          <w:u w:val="double"/>
        </w:rPr>
      </w:pPr>
      <w:r>
        <w:rPr>
          <w:rFonts w:hint="eastAsia" w:ascii="宋体" w:hAnsi="宋体" w:eastAsia="宋体" w:cs="宋体"/>
          <w:b/>
          <w:bCs/>
          <w:color w:val="auto"/>
          <w:sz w:val="28"/>
          <w:szCs w:val="28"/>
          <w:highlight w:val="none"/>
        </w:rPr>
        <w:t>9</w:t>
      </w:r>
      <w:r>
        <w:rPr>
          <w:rFonts w:hint="eastAsia" w:ascii="宋体" w:hAnsi="宋体" w:eastAsia="宋体" w:cs="宋体"/>
          <w:b/>
          <w:bCs/>
          <w:color w:val="auto"/>
          <w:sz w:val="28"/>
          <w:szCs w:val="28"/>
          <w:highlight w:val="none"/>
          <w:lang w:val="zh-CN"/>
        </w:rPr>
        <w:t>.</w:t>
      </w:r>
      <w:bookmarkStart w:id="128" w:name="_Toc319917951"/>
      <w:r>
        <w:rPr>
          <w:rFonts w:hint="eastAsia" w:ascii="宋体" w:hAnsi="宋体" w:eastAsia="宋体" w:cs="宋体"/>
          <w:b/>
          <w:bCs/>
          <w:color w:val="auto"/>
          <w:sz w:val="28"/>
          <w:szCs w:val="28"/>
          <w:highlight w:val="none"/>
        </w:rPr>
        <w:t>7</w:t>
      </w:r>
      <w:r>
        <w:rPr>
          <w:rFonts w:hint="eastAsia" w:hAnsi="宋体" w:eastAsia="宋体" w:cs="宋体"/>
          <w:b/>
          <w:bCs/>
          <w:color w:val="auto"/>
          <w:sz w:val="28"/>
          <w:szCs w:val="28"/>
          <w:highlight w:val="none"/>
          <w:lang w:eastAsia="zh-CN"/>
        </w:rPr>
        <w:t xml:space="preserve"> 投标人</w:t>
      </w:r>
      <w:r>
        <w:rPr>
          <w:rFonts w:hint="eastAsia" w:ascii="宋体" w:hAnsi="宋体" w:eastAsia="宋体" w:cs="宋体"/>
          <w:b/>
          <w:bCs/>
          <w:color w:val="auto"/>
          <w:sz w:val="28"/>
          <w:szCs w:val="28"/>
          <w:highlight w:val="none"/>
          <w:u w:val="double"/>
        </w:rPr>
        <w:t>的投标报价不得超过招标人公布的最高投标限价。本项目为限额设计，工程结算总造价不得超过中标价。</w:t>
      </w:r>
    </w:p>
    <w:p w14:paraId="7F83A8A7">
      <w:pPr>
        <w:pageBreakBefore w:val="0"/>
        <w:kinsoku/>
        <w:overflowPunct/>
        <w:topLinePunct w:val="0"/>
        <w:bidi w:val="0"/>
        <w:spacing w:line="440" w:lineRule="exact"/>
        <w:ind w:firstLine="570"/>
        <w:textAlignment w:val="auto"/>
        <w:rPr>
          <w:rFonts w:hint="eastAsia" w:ascii="宋体" w:hAnsi="宋体" w:eastAsia="宋体" w:cs="宋体"/>
          <w:color w:val="auto"/>
          <w:sz w:val="24"/>
          <w:szCs w:val="24"/>
          <w:highlight w:val="none"/>
          <w:lang w:val="zh-CN"/>
        </w:rPr>
      </w:pPr>
      <w:r>
        <w:rPr>
          <w:rFonts w:hint="eastAsia" w:ascii="宋体" w:hAnsi="宋体" w:eastAsia="宋体" w:cs="宋体"/>
          <w:color w:val="auto"/>
          <w:sz w:val="24"/>
          <w:szCs w:val="24"/>
          <w:highlight w:val="none"/>
        </w:rPr>
        <w:t>9.8</w:t>
      </w:r>
      <w:r>
        <w:rPr>
          <w:rFonts w:hint="eastAsia" w:hAnsi="宋体" w:eastAsia="宋体" w:cs="宋体"/>
          <w:color w:val="auto"/>
          <w:sz w:val="24"/>
          <w:szCs w:val="24"/>
          <w:highlight w:val="none"/>
          <w:lang w:eastAsia="zh-CN"/>
        </w:rPr>
        <w:t xml:space="preserve"> 投标</w:t>
      </w:r>
      <w:r>
        <w:rPr>
          <w:rFonts w:hint="eastAsia" w:ascii="宋体" w:hAnsi="宋体" w:eastAsia="宋体" w:cs="宋体"/>
          <w:b/>
          <w:color w:val="auto"/>
          <w:sz w:val="24"/>
          <w:szCs w:val="24"/>
          <w:highlight w:val="none"/>
          <w:lang w:val="zh-CN"/>
        </w:rPr>
        <w:t>单位应充分考虑本招标文件“第二章 拟签订合同的主要条款”所列的结算原则</w:t>
      </w:r>
      <w:r>
        <w:rPr>
          <w:rFonts w:hint="eastAsia" w:hAnsi="宋体" w:eastAsia="宋体" w:cs="宋体"/>
          <w:b/>
          <w:color w:val="auto"/>
          <w:sz w:val="24"/>
          <w:szCs w:val="24"/>
          <w:highlight w:val="none"/>
          <w:lang w:val="zh-CN"/>
        </w:rPr>
        <w:t>，进行</w:t>
      </w:r>
      <w:r>
        <w:rPr>
          <w:rFonts w:hint="eastAsia" w:ascii="宋体" w:hAnsi="宋体" w:eastAsia="宋体" w:cs="宋体"/>
          <w:b/>
          <w:color w:val="auto"/>
          <w:sz w:val="24"/>
          <w:szCs w:val="24"/>
          <w:highlight w:val="none"/>
          <w:lang w:val="zh-CN"/>
        </w:rPr>
        <w:t>投标及报价。</w:t>
      </w:r>
      <w:bookmarkEnd w:id="128"/>
    </w:p>
    <w:p w14:paraId="6FA24D4F">
      <w:pPr>
        <w:pageBreakBefore w:val="0"/>
        <w:kinsoku/>
        <w:overflowPunct/>
        <w:topLinePunct w:val="0"/>
        <w:bidi w:val="0"/>
        <w:spacing w:line="440" w:lineRule="exact"/>
        <w:ind w:firstLine="570"/>
        <w:textAlignment w:val="auto"/>
        <w:rPr>
          <w:rFonts w:hint="eastAsia" w:ascii="宋体" w:hAnsi="宋体" w:eastAsia="宋体" w:cs="宋体"/>
          <w:color w:val="auto"/>
          <w:sz w:val="24"/>
          <w:szCs w:val="24"/>
          <w:highlight w:val="none"/>
          <w:lang w:val="zh-CN"/>
        </w:rPr>
      </w:pPr>
      <w:r>
        <w:rPr>
          <w:rFonts w:hint="eastAsia" w:ascii="宋体" w:hAnsi="宋体" w:eastAsia="宋体" w:cs="宋体"/>
          <w:color w:val="auto"/>
          <w:sz w:val="24"/>
          <w:szCs w:val="24"/>
          <w:highlight w:val="none"/>
        </w:rPr>
        <w:t>9</w:t>
      </w:r>
      <w:r>
        <w:rPr>
          <w:rFonts w:hint="eastAsia" w:ascii="宋体" w:hAnsi="宋体" w:eastAsia="宋体" w:cs="宋体"/>
          <w:color w:val="auto"/>
          <w:sz w:val="24"/>
          <w:szCs w:val="24"/>
          <w:highlight w:val="none"/>
          <w:lang w:val="zh-CN"/>
        </w:rPr>
        <w:t>.</w:t>
      </w:r>
      <w:r>
        <w:rPr>
          <w:rFonts w:hint="eastAsia" w:ascii="宋体" w:hAnsi="宋体" w:eastAsia="宋体" w:cs="宋体"/>
          <w:color w:val="auto"/>
          <w:sz w:val="24"/>
          <w:szCs w:val="24"/>
          <w:highlight w:val="none"/>
        </w:rPr>
        <w:t>9</w:t>
      </w:r>
      <w:r>
        <w:rPr>
          <w:rFonts w:hint="eastAsia" w:hAnsi="宋体" w:eastAsia="宋体" w:cs="宋体"/>
          <w:color w:val="auto"/>
          <w:sz w:val="24"/>
          <w:szCs w:val="24"/>
          <w:highlight w:val="none"/>
          <w:lang w:eastAsia="zh-CN"/>
        </w:rPr>
        <w:t xml:space="preserve"> 投标人</w:t>
      </w:r>
      <w:r>
        <w:rPr>
          <w:rFonts w:hint="eastAsia" w:ascii="宋体" w:hAnsi="宋体" w:eastAsia="宋体" w:cs="宋体"/>
          <w:color w:val="auto"/>
          <w:sz w:val="24"/>
          <w:szCs w:val="24"/>
          <w:highlight w:val="none"/>
          <w:lang w:val="zh-CN"/>
        </w:rPr>
        <w:t>的投标总报价应考虑完成招标文件中招标规模、内容及设计任务书所规定的所有工程及设备的费用，并承担结算原则中规定的一切风险，还应考虑预算编制费、报建和施工时应由施工单位承担的一切费用。各项费用的主要内容及其报价方式：</w:t>
      </w:r>
    </w:p>
    <w:p w14:paraId="6923820F">
      <w:pPr>
        <w:pageBreakBefore w:val="0"/>
        <w:kinsoku/>
        <w:overflowPunct/>
        <w:topLinePunct w:val="0"/>
        <w:bidi w:val="0"/>
        <w:spacing w:line="440" w:lineRule="exact"/>
        <w:ind w:firstLine="570"/>
        <w:textAlignment w:val="auto"/>
        <w:rPr>
          <w:rFonts w:hint="eastAsia" w:ascii="宋体" w:hAnsi="宋体" w:eastAsia="宋体" w:cs="宋体"/>
          <w:color w:val="auto"/>
          <w:sz w:val="24"/>
          <w:szCs w:val="24"/>
          <w:highlight w:val="none"/>
          <w:lang w:val="zh-CN"/>
        </w:rPr>
      </w:pPr>
      <w:r>
        <w:rPr>
          <w:rFonts w:hint="eastAsia" w:ascii="宋体" w:hAnsi="宋体" w:eastAsia="宋体" w:cs="宋体"/>
          <w:b/>
          <w:bCs/>
          <w:color w:val="auto"/>
          <w:sz w:val="24"/>
          <w:szCs w:val="24"/>
          <w:highlight w:val="none"/>
        </w:rPr>
        <w:t>9</w:t>
      </w:r>
      <w:r>
        <w:rPr>
          <w:rFonts w:hint="eastAsia" w:ascii="宋体" w:hAnsi="宋体" w:eastAsia="宋体" w:cs="宋体"/>
          <w:b/>
          <w:bCs/>
          <w:color w:val="auto"/>
          <w:sz w:val="24"/>
          <w:szCs w:val="24"/>
          <w:highlight w:val="none"/>
          <w:lang w:val="zh-CN"/>
        </w:rPr>
        <w:t>.</w:t>
      </w:r>
      <w:r>
        <w:rPr>
          <w:rFonts w:hint="eastAsia" w:ascii="宋体" w:hAnsi="宋体" w:eastAsia="宋体" w:cs="宋体"/>
          <w:b/>
          <w:bCs/>
          <w:color w:val="auto"/>
          <w:sz w:val="24"/>
          <w:szCs w:val="24"/>
          <w:highlight w:val="none"/>
        </w:rPr>
        <w:t>9</w:t>
      </w:r>
      <w:r>
        <w:rPr>
          <w:rFonts w:hint="eastAsia" w:ascii="宋体" w:hAnsi="宋体" w:eastAsia="宋体" w:cs="宋体"/>
          <w:b/>
          <w:bCs/>
          <w:color w:val="auto"/>
          <w:sz w:val="24"/>
          <w:szCs w:val="24"/>
          <w:highlight w:val="none"/>
          <w:lang w:val="zh-CN"/>
        </w:rPr>
        <w:t>.1</w:t>
      </w:r>
      <w:r>
        <w:rPr>
          <w:rFonts w:hint="eastAsia" w:hAnsi="宋体" w:eastAsia="宋体" w:cs="宋体"/>
          <w:b/>
          <w:bCs/>
          <w:color w:val="auto"/>
          <w:sz w:val="24"/>
          <w:szCs w:val="24"/>
          <w:highlight w:val="none"/>
          <w:lang w:val="zh-CN"/>
        </w:rPr>
        <w:t xml:space="preserve"> 设计费</w:t>
      </w:r>
      <w:r>
        <w:rPr>
          <w:rFonts w:hint="eastAsia" w:ascii="宋体" w:hAnsi="宋体" w:eastAsia="宋体" w:cs="宋体"/>
          <w:b/>
          <w:bCs/>
          <w:color w:val="auto"/>
          <w:sz w:val="24"/>
          <w:szCs w:val="24"/>
          <w:highlight w:val="none"/>
          <w:lang w:val="zh-CN"/>
        </w:rPr>
        <w:t>投标报价</w:t>
      </w:r>
      <w:r>
        <w:rPr>
          <w:rFonts w:hint="eastAsia" w:ascii="宋体" w:hAnsi="宋体" w:eastAsia="宋体" w:cs="宋体"/>
          <w:b/>
          <w:bCs/>
          <w:color w:val="auto"/>
          <w:sz w:val="24"/>
          <w:szCs w:val="24"/>
          <w:highlight w:val="none"/>
        </w:rPr>
        <w:t>：</w:t>
      </w:r>
      <w:r>
        <w:rPr>
          <w:rFonts w:hint="eastAsia" w:ascii="宋体" w:hAnsi="宋体" w:eastAsia="宋体" w:cs="宋体"/>
          <w:color w:val="auto"/>
          <w:sz w:val="24"/>
          <w:szCs w:val="24"/>
          <w:highlight w:val="none"/>
          <w:lang w:val="zh-CN"/>
        </w:rPr>
        <w:t>在最高投标限价范围内，投标人自行报总价，结算按设计费的中标价包干不作任何调整。设计费的报价应包含各个不同专业的施工图设计费用、</w:t>
      </w:r>
      <w:r>
        <w:rPr>
          <w:rFonts w:hint="eastAsia" w:ascii="宋体" w:hAnsi="宋体" w:eastAsia="宋体" w:cs="宋体"/>
          <w:color w:val="auto"/>
          <w:sz w:val="24"/>
          <w:szCs w:val="24"/>
          <w:highlight w:val="none"/>
        </w:rPr>
        <w:t>第三方施工图审查费</w:t>
      </w:r>
      <w:r>
        <w:rPr>
          <w:rFonts w:hint="eastAsia" w:hAnsi="宋体" w:eastAsia="宋体" w:cs="宋体"/>
          <w:color w:val="auto"/>
          <w:sz w:val="24"/>
          <w:szCs w:val="24"/>
          <w:highlight w:val="none"/>
          <w:lang w:eastAsia="zh-CN"/>
        </w:rPr>
        <w:t>、</w:t>
      </w:r>
      <w:r>
        <w:rPr>
          <w:rFonts w:hint="eastAsia" w:ascii="宋体" w:hAnsi="宋体" w:eastAsia="宋体" w:cs="宋体"/>
          <w:color w:val="auto"/>
          <w:sz w:val="24"/>
          <w:szCs w:val="24"/>
          <w:highlight w:val="none"/>
          <w:lang w:val="zh-CN"/>
        </w:rPr>
        <w:t>进行优化设计或修改设计所增加的设计费用、各项专家评审的专家费用、预算编制费等，由投标人自行考虑所有设计工作的辅助费用。如其他专业需要分包的，需向招标人报备。另外，中标人需向招标人提供合格施工图一式</w:t>
      </w:r>
      <w:r>
        <w:rPr>
          <w:rFonts w:hint="eastAsia" w:hAnsi="宋体" w:eastAsia="宋体" w:cs="宋体"/>
          <w:color w:val="auto"/>
          <w:sz w:val="24"/>
          <w:szCs w:val="24"/>
          <w:highlight w:val="none"/>
          <w:lang w:val="en-US" w:eastAsia="zh-CN"/>
        </w:rPr>
        <w:t>8</w:t>
      </w:r>
      <w:r>
        <w:rPr>
          <w:rFonts w:hint="eastAsia" w:ascii="宋体" w:hAnsi="宋体" w:eastAsia="宋体" w:cs="宋体"/>
          <w:color w:val="auto"/>
          <w:sz w:val="24"/>
          <w:szCs w:val="24"/>
          <w:highlight w:val="none"/>
          <w:lang w:val="zh-CN"/>
        </w:rPr>
        <w:t>份。</w:t>
      </w:r>
    </w:p>
    <w:p w14:paraId="45C4E81F">
      <w:pPr>
        <w:pageBreakBefore w:val="0"/>
        <w:kinsoku/>
        <w:overflowPunct/>
        <w:topLinePunct w:val="0"/>
        <w:bidi w:val="0"/>
        <w:spacing w:line="440" w:lineRule="exact"/>
        <w:ind w:firstLine="570"/>
        <w:textAlignment w:val="auto"/>
        <w:rPr>
          <w:rFonts w:hint="eastAsia" w:ascii="宋体" w:hAnsi="宋体" w:eastAsia="宋体" w:cs="宋体"/>
          <w:b/>
          <w:bCs/>
          <w:color w:val="auto"/>
          <w:sz w:val="24"/>
          <w:szCs w:val="24"/>
          <w:highlight w:val="none"/>
          <w:lang w:val="zh-CN"/>
        </w:rPr>
      </w:pPr>
      <w:r>
        <w:rPr>
          <w:rFonts w:hint="eastAsia" w:ascii="宋体" w:hAnsi="宋体" w:eastAsia="宋体" w:cs="宋体"/>
          <w:b/>
          <w:bCs/>
          <w:color w:val="auto"/>
          <w:sz w:val="24"/>
          <w:szCs w:val="24"/>
          <w:highlight w:val="none"/>
          <w:lang w:val="zh-CN"/>
        </w:rPr>
        <w:t>本项目在实施过程中可能出现设计成果已通过确认，</w:t>
      </w:r>
      <w:r>
        <w:rPr>
          <w:rFonts w:hint="eastAsia" w:hAnsi="宋体" w:eastAsia="宋体" w:cs="宋体"/>
          <w:b/>
          <w:bCs/>
          <w:color w:val="auto"/>
          <w:sz w:val="24"/>
          <w:szCs w:val="24"/>
          <w:highlight w:val="none"/>
          <w:lang w:val="zh-CN"/>
        </w:rPr>
        <w:t>但仍</w:t>
      </w:r>
      <w:r>
        <w:rPr>
          <w:rFonts w:hint="eastAsia" w:ascii="宋体" w:hAnsi="宋体" w:eastAsia="宋体" w:cs="宋体"/>
          <w:b/>
          <w:bCs/>
          <w:color w:val="auto"/>
          <w:sz w:val="24"/>
          <w:szCs w:val="24"/>
          <w:highlight w:val="none"/>
          <w:lang w:val="zh-CN"/>
        </w:rPr>
        <w:t>需进行设计变更、修改、调整等情况，不另行增加</w:t>
      </w:r>
      <w:r>
        <w:rPr>
          <w:rFonts w:hint="eastAsia" w:hAnsi="宋体" w:eastAsia="宋体" w:cs="宋体"/>
          <w:b/>
          <w:bCs/>
          <w:color w:val="auto"/>
          <w:sz w:val="24"/>
          <w:szCs w:val="24"/>
          <w:highlight w:val="none"/>
          <w:lang w:val="zh-CN"/>
        </w:rPr>
        <w:t>设计费用</w:t>
      </w:r>
      <w:r>
        <w:rPr>
          <w:rFonts w:hint="eastAsia" w:ascii="宋体" w:hAnsi="宋体" w:eastAsia="宋体" w:cs="宋体"/>
          <w:b/>
          <w:bCs/>
          <w:color w:val="auto"/>
          <w:sz w:val="24"/>
          <w:szCs w:val="24"/>
          <w:highlight w:val="none"/>
          <w:lang w:val="zh-CN"/>
        </w:rPr>
        <w:t>。</w:t>
      </w:r>
    </w:p>
    <w:p w14:paraId="708C9506">
      <w:pPr>
        <w:pageBreakBefore w:val="0"/>
        <w:kinsoku/>
        <w:overflowPunct/>
        <w:topLinePunct w:val="0"/>
        <w:bidi w:val="0"/>
        <w:spacing w:line="440" w:lineRule="exact"/>
        <w:ind w:firstLine="590" w:firstLineChars="245"/>
        <w:textAlignment w:val="auto"/>
        <w:rPr>
          <w:rFonts w:hint="eastAsia" w:ascii="宋体" w:hAnsi="宋体" w:eastAsia="宋体" w:cs="宋体"/>
          <w:color w:val="auto"/>
          <w:sz w:val="24"/>
          <w:szCs w:val="24"/>
          <w:highlight w:val="none"/>
        </w:rPr>
      </w:pPr>
      <w:r>
        <w:rPr>
          <w:rFonts w:hint="eastAsia" w:ascii="宋体" w:hAnsi="宋体" w:eastAsia="宋体" w:cs="宋体"/>
          <w:b/>
          <w:bCs/>
          <w:color w:val="auto"/>
          <w:sz w:val="24"/>
          <w:szCs w:val="24"/>
          <w:highlight w:val="none"/>
        </w:rPr>
        <w:t>9</w:t>
      </w:r>
      <w:r>
        <w:rPr>
          <w:rFonts w:hint="eastAsia" w:ascii="宋体" w:hAnsi="宋体" w:eastAsia="宋体" w:cs="宋体"/>
          <w:b/>
          <w:bCs/>
          <w:color w:val="auto"/>
          <w:sz w:val="24"/>
          <w:szCs w:val="24"/>
          <w:highlight w:val="none"/>
          <w:lang w:val="zh-CN"/>
        </w:rPr>
        <w:t>.</w:t>
      </w:r>
      <w:r>
        <w:rPr>
          <w:rFonts w:hint="eastAsia" w:ascii="宋体" w:hAnsi="宋体" w:eastAsia="宋体" w:cs="宋体"/>
          <w:b/>
          <w:bCs/>
          <w:color w:val="auto"/>
          <w:sz w:val="24"/>
          <w:szCs w:val="24"/>
          <w:highlight w:val="none"/>
        </w:rPr>
        <w:t>9</w:t>
      </w:r>
      <w:r>
        <w:rPr>
          <w:rFonts w:hint="eastAsia" w:ascii="宋体" w:hAnsi="宋体" w:eastAsia="宋体" w:cs="宋体"/>
          <w:b/>
          <w:bCs/>
          <w:color w:val="auto"/>
          <w:sz w:val="24"/>
          <w:szCs w:val="24"/>
          <w:highlight w:val="none"/>
          <w:lang w:val="zh-CN"/>
        </w:rPr>
        <w:t>.</w:t>
      </w:r>
      <w:r>
        <w:rPr>
          <w:rFonts w:hint="eastAsia" w:ascii="宋体" w:hAnsi="宋体" w:eastAsia="宋体" w:cs="宋体"/>
          <w:b/>
          <w:bCs/>
          <w:color w:val="auto"/>
          <w:sz w:val="24"/>
          <w:szCs w:val="24"/>
          <w:highlight w:val="none"/>
        </w:rPr>
        <w:t>2</w:t>
      </w:r>
      <w:r>
        <w:rPr>
          <w:rFonts w:hint="eastAsia" w:ascii="宋体" w:hAnsi="宋体" w:eastAsia="宋体" w:cs="宋体"/>
          <w:b/>
          <w:bCs/>
          <w:color w:val="auto"/>
          <w:sz w:val="24"/>
          <w:szCs w:val="24"/>
          <w:highlight w:val="none"/>
          <w:lang w:val="zh-CN"/>
        </w:rPr>
        <w:t>建安</w:t>
      </w:r>
      <w:r>
        <w:rPr>
          <w:rFonts w:hint="eastAsia" w:ascii="宋体" w:hAnsi="宋体" w:eastAsia="宋体" w:cs="宋体"/>
          <w:b/>
          <w:bCs/>
          <w:color w:val="auto"/>
          <w:sz w:val="24"/>
          <w:szCs w:val="24"/>
          <w:highlight w:val="none"/>
        </w:rPr>
        <w:t>工程费用</w:t>
      </w:r>
      <w:r>
        <w:rPr>
          <w:rFonts w:hint="eastAsia" w:ascii="宋体" w:hAnsi="宋体" w:eastAsia="宋体" w:cs="宋体"/>
          <w:b/>
          <w:bCs/>
          <w:color w:val="auto"/>
          <w:sz w:val="24"/>
          <w:szCs w:val="24"/>
          <w:highlight w:val="none"/>
          <w:lang w:val="zh-CN"/>
        </w:rPr>
        <w:t>：</w:t>
      </w:r>
      <w:r>
        <w:rPr>
          <w:rFonts w:hint="eastAsia" w:ascii="宋体" w:hAnsi="宋体" w:eastAsia="宋体" w:cs="宋体"/>
          <w:color w:val="auto"/>
          <w:sz w:val="24"/>
          <w:szCs w:val="24"/>
          <w:highlight w:val="none"/>
          <w:lang w:val="zh-CN"/>
        </w:rPr>
        <w:t>采用下浮率的方式进行报价</w:t>
      </w:r>
      <w:r>
        <w:rPr>
          <w:rFonts w:hint="eastAsia" w:ascii="宋体" w:hAnsi="宋体" w:eastAsia="宋体" w:cs="宋体"/>
          <w:color w:val="auto"/>
          <w:sz w:val="24"/>
          <w:szCs w:val="24"/>
          <w:highlight w:val="none"/>
        </w:rPr>
        <w:t>，结算时按招标文件有关结算原则计算后再按报价</w:t>
      </w:r>
      <w:r>
        <w:rPr>
          <w:rFonts w:hint="eastAsia" w:ascii="宋体" w:hAnsi="宋体" w:eastAsia="宋体" w:cs="宋体"/>
          <w:color w:val="auto"/>
          <w:sz w:val="24"/>
          <w:szCs w:val="24"/>
          <w:highlight w:val="none"/>
          <w:lang w:val="zh-CN"/>
        </w:rPr>
        <w:t>下浮率</w:t>
      </w:r>
      <w:r>
        <w:rPr>
          <w:rFonts w:hint="eastAsia" w:ascii="宋体" w:hAnsi="宋体" w:eastAsia="宋体" w:cs="宋体"/>
          <w:color w:val="auto"/>
          <w:sz w:val="24"/>
          <w:szCs w:val="24"/>
          <w:highlight w:val="none"/>
        </w:rPr>
        <w:t>下浮。</w:t>
      </w:r>
      <w:r>
        <w:rPr>
          <w:rFonts w:hint="eastAsia" w:ascii="宋体" w:hAnsi="宋体" w:eastAsia="宋体" w:cs="宋体"/>
          <w:b/>
          <w:bCs/>
          <w:color w:val="auto"/>
          <w:sz w:val="24"/>
          <w:szCs w:val="24"/>
          <w:highlight w:val="none"/>
        </w:rPr>
        <w:t>建安工程费投标报价=计算基数×（1-下浮率）。</w:t>
      </w:r>
    </w:p>
    <w:p w14:paraId="352397D4">
      <w:pPr>
        <w:pageBreakBefore w:val="0"/>
        <w:kinsoku/>
        <w:overflowPunct/>
        <w:topLinePunct w:val="0"/>
        <w:bidi w:val="0"/>
        <w:spacing w:line="440" w:lineRule="exact"/>
        <w:ind w:firstLine="588" w:firstLineChars="245"/>
        <w:textAlignment w:val="auto"/>
        <w:rPr>
          <w:rFonts w:hint="eastAsia" w:ascii="宋体" w:hAnsi="宋体" w:eastAsia="宋体" w:cs="宋体"/>
          <w:strike/>
          <w:color w:val="auto"/>
          <w:sz w:val="24"/>
          <w:szCs w:val="24"/>
          <w:highlight w:val="none"/>
        </w:rPr>
      </w:pPr>
      <w:r>
        <w:rPr>
          <w:rFonts w:hint="eastAsia" w:ascii="宋体" w:hAnsi="宋体" w:eastAsia="宋体" w:cs="宋体"/>
          <w:color w:val="auto"/>
          <w:sz w:val="24"/>
          <w:szCs w:val="24"/>
          <w:highlight w:val="none"/>
        </w:rPr>
        <w:t>如投标人的建安工程费用投标报价</w:t>
      </w:r>
      <w:r>
        <w:rPr>
          <w:rFonts w:hint="eastAsia" w:ascii="宋体" w:hAnsi="宋体" w:eastAsia="宋体" w:cs="宋体"/>
          <w:color w:val="auto"/>
          <w:sz w:val="24"/>
          <w:szCs w:val="24"/>
          <w:highlight w:val="none"/>
          <w:lang w:val="zh-CN"/>
        </w:rPr>
        <w:t>下浮率</w:t>
      </w:r>
      <w:r>
        <w:rPr>
          <w:rFonts w:hint="eastAsia" w:ascii="宋体" w:hAnsi="宋体" w:eastAsia="宋体" w:cs="宋体"/>
          <w:color w:val="auto"/>
          <w:sz w:val="24"/>
          <w:szCs w:val="24"/>
          <w:highlight w:val="none"/>
        </w:rPr>
        <w:t>高于15%时，投标人必须在投标报价书中另行作出详细合理的书面说明并提供相关证明材料供评标委员会评审，否则评标委员会将认定该投标人以低于成本报价竞标。</w:t>
      </w:r>
    </w:p>
    <w:p w14:paraId="1502B1DF">
      <w:pPr>
        <w:pStyle w:val="32"/>
        <w:pageBreakBefore w:val="0"/>
        <w:kinsoku/>
        <w:overflowPunct/>
        <w:topLinePunct w:val="0"/>
        <w:bidi w:val="0"/>
        <w:spacing w:line="440" w:lineRule="exact"/>
        <w:jc w:val="left"/>
        <w:textAlignment w:val="auto"/>
        <w:rPr>
          <w:rFonts w:hint="eastAsia" w:ascii="宋体" w:hAnsi="宋体" w:eastAsia="宋体" w:cs="宋体"/>
          <w:color w:val="auto"/>
          <w:sz w:val="24"/>
          <w:szCs w:val="24"/>
          <w:highlight w:val="none"/>
        </w:rPr>
      </w:pPr>
      <w:r>
        <w:rPr>
          <w:rFonts w:hint="eastAsia" w:ascii="宋体" w:hAnsi="宋体" w:eastAsia="宋体" w:cs="宋体"/>
          <w:bCs/>
          <w:snapToGrid w:val="0"/>
          <w:color w:val="auto"/>
          <w:kern w:val="0"/>
          <w:sz w:val="24"/>
          <w:szCs w:val="24"/>
          <w:highlight w:val="none"/>
        </w:rPr>
        <w:t xml:space="preserve">    建安工程费的报价应考虑完成招标文件中招标规模、内容及设计任务书所规定的所有工程的费用，并承担结算原则中规定的一切风险，还应包含工程报建和施工时应由施工单位承担的一切费用。</w:t>
      </w:r>
    </w:p>
    <w:p w14:paraId="7DC4D899">
      <w:pPr>
        <w:pageBreakBefore w:val="0"/>
        <w:kinsoku/>
        <w:overflowPunct/>
        <w:topLinePunct w:val="0"/>
        <w:bidi w:val="0"/>
        <w:spacing w:line="440" w:lineRule="exact"/>
        <w:ind w:firstLine="588" w:firstLineChars="245"/>
        <w:textAlignment w:val="auto"/>
        <w:rPr>
          <w:rFonts w:hint="eastAsia" w:ascii="宋体" w:hAnsi="宋体" w:eastAsia="宋体" w:cs="宋体"/>
          <w:b/>
          <w:bCs/>
          <w:color w:val="auto"/>
          <w:sz w:val="24"/>
          <w:szCs w:val="24"/>
          <w:highlight w:val="none"/>
          <w:lang w:eastAsia="zh-CN"/>
        </w:rPr>
      </w:pPr>
      <w:r>
        <w:rPr>
          <w:rFonts w:hint="eastAsia" w:ascii="宋体" w:hAnsi="宋体" w:eastAsia="宋体" w:cs="宋体"/>
          <w:color w:val="auto"/>
          <w:sz w:val="24"/>
          <w:szCs w:val="24"/>
          <w:highlight w:val="none"/>
        </w:rPr>
        <w:t>9.9.3预算包干费：根据2018年《广东省市政工程综合定额》、2018年《广东省房屋建筑与装饰工程综合定额》、2018年《广东省传统建筑保护修复工程综合定额》</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rPr>
        <w:t>2018年《广东省通用安装工程综合定额》、2018年《广东省园林绿化工程综合定额》，以各专业分部分项的人工费与施工机具费之和为基础计算预算包干费。本工程的预算包干内容包括：按《广东省建设工程计价依据（2018）》</w:t>
      </w:r>
      <w:r>
        <w:rPr>
          <w:rFonts w:hint="eastAsia" w:hAnsi="宋体" w:eastAsia="宋体" w:cs="宋体"/>
          <w:color w:val="auto"/>
          <w:sz w:val="24"/>
          <w:szCs w:val="24"/>
          <w:highlight w:val="none"/>
          <w:lang w:eastAsia="zh-CN"/>
        </w:rPr>
        <w:t>的相关</w:t>
      </w:r>
      <w:r>
        <w:rPr>
          <w:rFonts w:hint="eastAsia" w:ascii="宋体" w:hAnsi="宋体" w:eastAsia="宋体" w:cs="宋体"/>
          <w:color w:val="auto"/>
          <w:sz w:val="24"/>
          <w:szCs w:val="24"/>
          <w:highlight w:val="none"/>
        </w:rPr>
        <w:t>规定</w:t>
      </w:r>
      <w:r>
        <w:rPr>
          <w:rFonts w:hint="eastAsia" w:ascii="宋体" w:hAnsi="宋体" w:eastAsia="宋体" w:cs="宋体"/>
          <w:color w:val="auto"/>
          <w:sz w:val="24"/>
          <w:szCs w:val="24"/>
          <w:highlight w:val="none"/>
          <w:lang w:eastAsia="zh-CN"/>
        </w:rPr>
        <w:t>。</w:t>
      </w:r>
    </w:p>
    <w:p w14:paraId="3713BDC9">
      <w:pPr>
        <w:pageBreakBefore w:val="0"/>
        <w:kinsoku/>
        <w:overflowPunct/>
        <w:topLinePunct w:val="0"/>
        <w:bidi w:val="0"/>
        <w:spacing w:line="440" w:lineRule="exact"/>
        <w:ind w:firstLine="588" w:firstLineChars="245"/>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9.9.4投标人在投标报价时，自行考虑高温补贴费、施工视频监控系统费用，专业分包的总包服务及配合费，预算（含工程量清单编制费）等，并承担相应风险，结算时不另行计取。</w:t>
      </w:r>
    </w:p>
    <w:p w14:paraId="4AA75616">
      <w:pPr>
        <w:pageBreakBefore w:val="0"/>
        <w:kinsoku/>
        <w:overflowPunct/>
        <w:topLinePunct w:val="0"/>
        <w:bidi w:val="0"/>
        <w:spacing w:line="440" w:lineRule="exact"/>
        <w:ind w:firstLine="588" w:firstLineChars="245"/>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9</w:t>
      </w:r>
      <w:r>
        <w:rPr>
          <w:rFonts w:hint="eastAsia" w:ascii="宋体" w:hAnsi="宋体" w:eastAsia="宋体" w:cs="宋体"/>
          <w:color w:val="auto"/>
          <w:sz w:val="24"/>
          <w:szCs w:val="24"/>
          <w:highlight w:val="none"/>
          <w:lang w:val="zh-CN"/>
        </w:rPr>
        <w:t>.</w:t>
      </w:r>
      <w:r>
        <w:rPr>
          <w:rFonts w:hint="eastAsia" w:ascii="宋体" w:hAnsi="宋体" w:eastAsia="宋体" w:cs="宋体"/>
          <w:color w:val="auto"/>
          <w:sz w:val="24"/>
          <w:szCs w:val="24"/>
          <w:highlight w:val="none"/>
        </w:rPr>
        <w:t xml:space="preserve">9.5 </w:t>
      </w:r>
      <w:r>
        <w:rPr>
          <w:rFonts w:hint="eastAsia" w:ascii="宋体" w:hAnsi="宋体" w:eastAsia="宋体" w:cs="宋体"/>
          <w:bCs/>
          <w:color w:val="auto"/>
          <w:sz w:val="24"/>
          <w:szCs w:val="24"/>
          <w:highlight w:val="none"/>
        </w:rPr>
        <w:t>招标人可根据本项目实际情况对规模及内容进行调整</w:t>
      </w:r>
      <w:r>
        <w:rPr>
          <w:rFonts w:hint="eastAsia" w:ascii="宋体" w:hAnsi="宋体" w:eastAsia="宋体" w:cs="宋体"/>
          <w:color w:val="auto"/>
          <w:sz w:val="24"/>
          <w:szCs w:val="24"/>
          <w:highlight w:val="none"/>
        </w:rPr>
        <w:t>或减少，投标人中标后不得因此调整或减少向招标人索赔，并且必须按调整或减少后的规模及内容完成工程建设。投标人在投标报价时需综合考虑该因素并报价</w:t>
      </w:r>
      <w:r>
        <w:rPr>
          <w:rFonts w:hint="eastAsia" w:ascii="宋体" w:hAnsi="宋体" w:eastAsia="宋体" w:cs="宋体"/>
          <w:bCs/>
          <w:color w:val="auto"/>
          <w:sz w:val="24"/>
          <w:szCs w:val="24"/>
          <w:highlight w:val="none"/>
        </w:rPr>
        <w:t>。</w:t>
      </w:r>
    </w:p>
    <w:p w14:paraId="3F16BC19">
      <w:pPr>
        <w:pageBreakBefore w:val="0"/>
        <w:kinsoku/>
        <w:overflowPunct/>
        <w:topLinePunct w:val="0"/>
        <w:bidi w:val="0"/>
        <w:spacing w:line="440" w:lineRule="exact"/>
        <w:ind w:firstLine="470" w:firstLineChars="196"/>
        <w:textAlignment w:val="auto"/>
        <w:rPr>
          <w:rFonts w:hint="eastAsia" w:ascii="宋体" w:hAnsi="宋体" w:eastAsia="宋体" w:cs="宋体"/>
          <w:bCs/>
          <w:color w:val="auto"/>
          <w:sz w:val="24"/>
          <w:szCs w:val="24"/>
          <w:highlight w:val="none"/>
        </w:rPr>
      </w:pPr>
      <w:r>
        <w:rPr>
          <w:rFonts w:hint="eastAsia" w:ascii="宋体" w:hAnsi="宋体" w:eastAsia="宋体" w:cs="宋体"/>
          <w:color w:val="auto"/>
          <w:sz w:val="24"/>
          <w:szCs w:val="24"/>
          <w:highlight w:val="none"/>
        </w:rPr>
        <w:t>9.9.6</w:t>
      </w:r>
      <w:r>
        <w:rPr>
          <w:rFonts w:hint="eastAsia" w:ascii="宋体" w:hAnsi="宋体" w:eastAsia="宋体" w:cs="宋体"/>
          <w:bCs/>
          <w:color w:val="auto"/>
          <w:sz w:val="24"/>
          <w:szCs w:val="24"/>
          <w:highlight w:val="none"/>
        </w:rPr>
        <w:t>绿化种植物种植的养护期为一年（即本项目整体验收合格满一年后再移交给招标人或管护接收单位），由投标人在投标报价时综合考虑在内，不另行增加其他费用。在绿化工程养护期内，中标人必须无条件对绿化工程进行养护和打理；对在养护期内未成活的苗木，必须及时更换并补种同等规格苗木（补种的养护期为一年，补种养护移交时间相应延长）。待养护</w:t>
      </w:r>
      <w:r>
        <w:rPr>
          <w:rFonts w:hint="eastAsia" w:hAnsi="宋体" w:eastAsia="宋体" w:cs="宋体"/>
          <w:bCs/>
          <w:color w:val="auto"/>
          <w:sz w:val="24"/>
          <w:szCs w:val="24"/>
          <w:highlight w:val="none"/>
          <w:lang w:eastAsia="zh-CN"/>
        </w:rPr>
        <w:t>期满</w:t>
      </w:r>
      <w:r>
        <w:rPr>
          <w:rFonts w:hint="eastAsia" w:ascii="宋体" w:hAnsi="宋体" w:eastAsia="宋体" w:cs="宋体"/>
          <w:bCs/>
          <w:color w:val="auto"/>
          <w:sz w:val="24"/>
          <w:szCs w:val="24"/>
          <w:highlight w:val="none"/>
        </w:rPr>
        <w:t>后，由中标人移交给招标人或管护接收单位进行管理。</w:t>
      </w:r>
    </w:p>
    <w:p w14:paraId="1AF20516">
      <w:pPr>
        <w:pageBreakBefore w:val="0"/>
        <w:kinsoku/>
        <w:overflowPunct/>
        <w:topLinePunct w:val="0"/>
        <w:bidi w:val="0"/>
        <w:spacing w:line="440" w:lineRule="exact"/>
        <w:ind w:firstLine="588" w:firstLineChars="245"/>
        <w:textAlignment w:val="auto"/>
        <w:rPr>
          <w:rFonts w:hint="eastAsia" w:ascii="宋体" w:hAnsi="宋体" w:eastAsia="宋体" w:cs="宋体"/>
          <w:color w:val="auto"/>
          <w:sz w:val="24"/>
          <w:szCs w:val="24"/>
          <w:highlight w:val="none"/>
        </w:rPr>
      </w:pPr>
    </w:p>
    <w:p w14:paraId="2841E835">
      <w:pPr>
        <w:pStyle w:val="39"/>
        <w:keepNext/>
        <w:keepLines/>
        <w:pageBreakBefore w:val="0"/>
        <w:kinsoku/>
        <w:overflowPunct/>
        <w:topLinePunct w:val="0"/>
        <w:bidi w:val="0"/>
        <w:spacing w:line="360" w:lineRule="auto"/>
        <w:ind w:firstLine="480"/>
        <w:jc w:val="both"/>
        <w:textAlignment w:val="auto"/>
        <w:rPr>
          <w:rFonts w:hint="eastAsia" w:ascii="宋体" w:hAnsi="宋体" w:eastAsia="宋体" w:cs="宋体"/>
          <w:b/>
          <w:color w:val="auto"/>
          <w:sz w:val="24"/>
          <w:szCs w:val="24"/>
          <w:highlight w:val="none"/>
        </w:rPr>
      </w:pPr>
      <w:bookmarkStart w:id="129" w:name="_Toc32465"/>
      <w:r>
        <w:rPr>
          <w:rFonts w:hint="eastAsia" w:hAnsi="宋体" w:cs="宋体"/>
          <w:b/>
          <w:color w:val="auto"/>
          <w:sz w:val="24"/>
          <w:szCs w:val="24"/>
          <w:highlight w:val="none"/>
          <w:lang w:eastAsia="zh-CN"/>
        </w:rPr>
        <w:t>10.</w:t>
      </w:r>
      <w:r>
        <w:rPr>
          <w:rFonts w:hint="eastAsia" w:ascii="宋体" w:hAnsi="宋体" w:eastAsia="宋体" w:cs="宋体"/>
          <w:b/>
          <w:color w:val="auto"/>
          <w:sz w:val="24"/>
          <w:szCs w:val="24"/>
          <w:highlight w:val="none"/>
        </w:rPr>
        <w:t xml:space="preserve"> 最高</w:t>
      </w:r>
      <w:r>
        <w:rPr>
          <w:rFonts w:hint="eastAsia" w:ascii="宋体" w:hAnsi="宋体" w:eastAsia="宋体" w:cs="宋体"/>
          <w:b/>
          <w:color w:val="auto"/>
          <w:kern w:val="2"/>
          <w:sz w:val="24"/>
          <w:szCs w:val="24"/>
          <w:highlight w:val="none"/>
        </w:rPr>
        <w:t>投标</w:t>
      </w:r>
      <w:r>
        <w:rPr>
          <w:rFonts w:hint="eastAsia" w:ascii="宋体" w:hAnsi="宋体" w:eastAsia="宋体" w:cs="宋体"/>
          <w:b/>
          <w:color w:val="auto"/>
          <w:sz w:val="24"/>
          <w:szCs w:val="24"/>
          <w:highlight w:val="none"/>
        </w:rPr>
        <w:t>限价的确定</w:t>
      </w:r>
      <w:bookmarkEnd w:id="129"/>
      <w:bookmarkStart w:id="130" w:name="_Hlt69335617"/>
      <w:bookmarkStart w:id="131" w:name="_Hlt121629839"/>
    </w:p>
    <w:p w14:paraId="03C6DB0A">
      <w:pPr>
        <w:spacing w:line="360" w:lineRule="auto"/>
        <w:ind w:firstLine="480" w:firstLineChars="200"/>
        <w:rPr>
          <w:rFonts w:hint="eastAsia"/>
          <w:b/>
          <w:bCs/>
          <w:color w:val="auto"/>
          <w:highlight w:val="none"/>
        </w:rPr>
      </w:pPr>
      <w:bookmarkStart w:id="132" w:name="_Toc13350"/>
      <w:bookmarkStart w:id="133" w:name="_Toc15152"/>
      <w:bookmarkStart w:id="134" w:name="_Toc5483"/>
      <w:bookmarkStart w:id="135" w:name="_Toc32578"/>
      <w:bookmarkStart w:id="136" w:name="_Toc4604"/>
      <w:bookmarkStart w:id="137" w:name="_Toc24510"/>
      <w:bookmarkStart w:id="138" w:name="_Toc29734"/>
      <w:bookmarkStart w:id="139" w:name="_Toc7307"/>
      <w:r>
        <w:rPr>
          <w:rFonts w:hint="eastAsia"/>
          <w:b/>
          <w:bCs/>
          <w:color w:val="auto"/>
          <w:highlight w:val="none"/>
        </w:rPr>
        <w:t>本项目最高投标限价在投标截止时间15天前以补充公告的形式在广东省招标投标监管网http://zbtb.gd.gov.cn、全国公共资源交易平台(广东省·韶关市)https://ygp.gdzwfw.gov.cn/ggzy-portal/#/440200/index公布，各投标人应自行下载。</w:t>
      </w:r>
    </w:p>
    <w:p w14:paraId="5E706C91">
      <w:pPr>
        <w:pStyle w:val="39"/>
        <w:keepNext/>
        <w:keepLines/>
        <w:pageBreakBefore w:val="0"/>
        <w:kinsoku/>
        <w:overflowPunct/>
        <w:topLinePunct w:val="0"/>
        <w:bidi w:val="0"/>
        <w:spacing w:line="440" w:lineRule="exact"/>
        <w:ind w:firstLine="480"/>
        <w:jc w:val="both"/>
        <w:textAlignment w:val="auto"/>
        <w:rPr>
          <w:rFonts w:hint="eastAsia" w:ascii="宋体" w:hAnsi="宋体" w:eastAsia="宋体" w:cs="宋体"/>
          <w:b/>
          <w:color w:val="auto"/>
          <w:sz w:val="24"/>
          <w:szCs w:val="24"/>
          <w:highlight w:val="none"/>
        </w:rPr>
      </w:pPr>
      <w:bookmarkStart w:id="140" w:name="_Toc27317"/>
      <w:r>
        <w:rPr>
          <w:rFonts w:hint="eastAsia" w:hAnsi="宋体" w:cs="宋体"/>
          <w:b/>
          <w:color w:val="auto"/>
          <w:sz w:val="24"/>
          <w:szCs w:val="24"/>
          <w:highlight w:val="none"/>
          <w:lang w:eastAsia="zh-CN"/>
        </w:rPr>
        <w:t>11.</w:t>
      </w:r>
      <w:r>
        <w:rPr>
          <w:rFonts w:hint="eastAsia" w:ascii="宋体" w:hAnsi="宋体" w:eastAsia="宋体" w:cs="宋体"/>
          <w:b/>
          <w:color w:val="auto"/>
          <w:kern w:val="2"/>
          <w:sz w:val="24"/>
          <w:szCs w:val="24"/>
          <w:highlight w:val="none"/>
        </w:rPr>
        <w:t>投标</w:t>
      </w:r>
      <w:r>
        <w:rPr>
          <w:rFonts w:hint="eastAsia" w:ascii="宋体" w:hAnsi="宋体" w:eastAsia="宋体" w:cs="宋体"/>
          <w:b/>
          <w:color w:val="auto"/>
          <w:sz w:val="24"/>
          <w:szCs w:val="24"/>
          <w:highlight w:val="none"/>
        </w:rPr>
        <w:t>文件的编制</w:t>
      </w:r>
      <w:bookmarkStart w:id="141" w:name="_Hlt69208262"/>
      <w:bookmarkEnd w:id="141"/>
      <w:bookmarkStart w:id="142" w:name="_Hlt69332370"/>
      <w:bookmarkEnd w:id="142"/>
      <w:r>
        <w:rPr>
          <w:rFonts w:hint="eastAsia" w:ascii="宋体" w:hAnsi="宋体" w:eastAsia="宋体" w:cs="宋体"/>
          <w:b/>
          <w:color w:val="auto"/>
          <w:sz w:val="24"/>
          <w:szCs w:val="24"/>
          <w:highlight w:val="none"/>
        </w:rPr>
        <w:t>要求</w:t>
      </w:r>
      <w:bookmarkEnd w:id="132"/>
      <w:bookmarkEnd w:id="133"/>
      <w:bookmarkEnd w:id="134"/>
      <w:bookmarkEnd w:id="135"/>
      <w:bookmarkEnd w:id="136"/>
      <w:bookmarkEnd w:id="137"/>
      <w:bookmarkEnd w:id="138"/>
      <w:bookmarkEnd w:id="139"/>
      <w:bookmarkEnd w:id="140"/>
    </w:p>
    <w:p w14:paraId="2E82B3FB">
      <w:pPr>
        <w:ind w:firstLine="480" w:firstLineChars="200"/>
        <w:rPr>
          <w:rFonts w:hint="eastAsia"/>
          <w:b/>
          <w:bCs/>
          <w:color w:val="auto"/>
          <w:highlight w:val="none"/>
        </w:rPr>
      </w:pPr>
      <w:bookmarkStart w:id="143" w:name="_Hlt74497202"/>
      <w:bookmarkEnd w:id="143"/>
      <w:bookmarkStart w:id="144" w:name="_Hlt78768224"/>
      <w:bookmarkEnd w:id="144"/>
      <w:bookmarkStart w:id="145" w:name="_Hlt74495594"/>
      <w:bookmarkEnd w:id="145"/>
      <w:bookmarkStart w:id="146" w:name="_Toc5812"/>
      <w:bookmarkStart w:id="147" w:name="_Toc29847"/>
      <w:bookmarkStart w:id="148" w:name="_Toc13676"/>
      <w:bookmarkStart w:id="149" w:name="_Toc10996"/>
      <w:bookmarkStart w:id="150" w:name="_Toc32061"/>
      <w:bookmarkStart w:id="151" w:name="_Toc12050"/>
      <w:bookmarkStart w:id="152" w:name="_Toc31856"/>
      <w:bookmarkStart w:id="153" w:name="_Toc437"/>
      <w:bookmarkStart w:id="154" w:name="_Toc13462"/>
      <w:bookmarkStart w:id="155" w:name="_Toc2841"/>
      <w:bookmarkStart w:id="156" w:name="_Toc17330"/>
      <w:bookmarkStart w:id="157" w:name="_Toc25295"/>
      <w:bookmarkStart w:id="158" w:name="_Toc20091"/>
      <w:bookmarkStart w:id="159" w:name="_Toc9696"/>
      <w:bookmarkStart w:id="160" w:name="_Toc20541"/>
      <w:bookmarkStart w:id="161" w:name="_Toc6695"/>
      <w:r>
        <w:rPr>
          <w:rFonts w:hint="eastAsia"/>
          <w:b/>
          <w:bCs/>
          <w:color w:val="auto"/>
          <w:highlight w:val="none"/>
        </w:rPr>
        <w:t>11.1 一般要求</w:t>
      </w:r>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p>
    <w:p w14:paraId="0907E9A5">
      <w:pPr>
        <w:pStyle w:val="46"/>
        <w:pageBreakBefore w:val="0"/>
        <w:kinsoku/>
        <w:overflowPunct/>
        <w:topLinePunct w:val="0"/>
        <w:bidi w:val="0"/>
        <w:spacing w:line="440" w:lineRule="exact"/>
        <w:ind w:firstLineChars="0"/>
        <w:textAlignment w:val="auto"/>
        <w:rPr>
          <w:rFonts w:hint="eastAsia" w:ascii="宋体" w:hAnsi="宋体" w:eastAsia="宋体" w:cs="宋体"/>
          <w:color w:val="auto"/>
          <w:sz w:val="24"/>
          <w:szCs w:val="24"/>
          <w:highlight w:val="none"/>
        </w:rPr>
      </w:pPr>
      <w:r>
        <w:rPr>
          <w:rFonts w:hint="eastAsia" w:ascii="宋体" w:hAnsi="宋体" w:eastAsia="宋体" w:cs="宋体"/>
          <w:snapToGrid w:val="0"/>
          <w:color w:val="auto"/>
          <w:kern w:val="0"/>
          <w:sz w:val="24"/>
          <w:szCs w:val="24"/>
          <w:highlight w:val="none"/>
        </w:rPr>
        <w:t>投标文件应按第七章投标文件格式规定的内容，投标人提交的投标文件应当使用招标文件所提供的投标文件全部格式。</w:t>
      </w:r>
    </w:p>
    <w:p w14:paraId="363520FC">
      <w:pPr>
        <w:pStyle w:val="37"/>
        <w:pageBreakBefore w:val="0"/>
        <w:kinsoku/>
        <w:overflowPunct/>
        <w:topLinePunct w:val="0"/>
        <w:bidi w:val="0"/>
        <w:spacing w:line="440" w:lineRule="exact"/>
        <w:ind w:firstLine="560"/>
        <w:textAlignment w:val="auto"/>
        <w:rPr>
          <w:rFonts w:hint="eastAsia" w:ascii="宋体" w:hAnsi="宋体" w:eastAsia="宋体" w:cs="宋体"/>
          <w:snapToGrid w:val="0"/>
          <w:color w:val="auto"/>
          <w:kern w:val="0"/>
          <w:sz w:val="24"/>
          <w:szCs w:val="24"/>
          <w:highlight w:val="none"/>
        </w:rPr>
      </w:pPr>
      <w:r>
        <w:rPr>
          <w:rFonts w:hint="eastAsia" w:ascii="宋体" w:hAnsi="宋体" w:eastAsia="宋体" w:cs="宋体"/>
          <w:color w:val="auto"/>
          <w:sz w:val="24"/>
          <w:szCs w:val="24"/>
          <w:highlight w:val="none"/>
        </w:rPr>
        <w:t>11.1.1</w:t>
      </w:r>
      <w:r>
        <w:rPr>
          <w:rFonts w:hint="eastAsia" w:ascii="宋体" w:hAnsi="宋体" w:eastAsia="宋体" w:cs="宋体"/>
          <w:snapToGrid w:val="0"/>
          <w:color w:val="auto"/>
          <w:kern w:val="0"/>
          <w:sz w:val="24"/>
          <w:szCs w:val="24"/>
          <w:highlight w:val="none"/>
        </w:rPr>
        <w:t>投标人必须响应招标文件，并在充分理解招标人提供的全部文件、设计图纸、资料及现场条件的基础上编制投标文件。因投标文件不符合招标文件的要求而造成的损失和后果，由投标人自行承担。</w:t>
      </w:r>
    </w:p>
    <w:p w14:paraId="3B7A1BF3">
      <w:pPr>
        <w:pStyle w:val="37"/>
        <w:pageBreakBefore w:val="0"/>
        <w:kinsoku/>
        <w:overflowPunct/>
        <w:topLinePunct w:val="0"/>
        <w:bidi w:val="0"/>
        <w:spacing w:line="440" w:lineRule="exact"/>
        <w:ind w:firstLine="56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11.1.2</w:t>
      </w:r>
      <w:r>
        <w:rPr>
          <w:rFonts w:hint="eastAsia" w:ascii="宋体" w:hAnsi="宋体" w:eastAsia="宋体" w:cs="宋体"/>
          <w:b w:val="0"/>
          <w:bCs w:val="0"/>
          <w:color w:val="auto"/>
          <w:sz w:val="24"/>
          <w:highlight w:val="none"/>
        </w:rPr>
        <w:t>投标文件包括商务</w:t>
      </w:r>
      <w:r>
        <w:rPr>
          <w:rFonts w:hint="eastAsia" w:ascii="宋体" w:hAnsi="宋体" w:eastAsia="宋体" w:cs="宋体"/>
          <w:b w:val="0"/>
          <w:bCs w:val="0"/>
          <w:color w:val="auto"/>
          <w:sz w:val="24"/>
          <w:highlight w:val="none"/>
          <w:lang w:eastAsia="zh-CN"/>
        </w:rPr>
        <w:t>经济</w:t>
      </w:r>
      <w:r>
        <w:rPr>
          <w:rFonts w:hint="eastAsia" w:ascii="宋体" w:hAnsi="宋体" w:eastAsia="宋体" w:cs="宋体"/>
          <w:b w:val="0"/>
          <w:bCs w:val="0"/>
          <w:color w:val="auto"/>
          <w:sz w:val="24"/>
          <w:highlight w:val="none"/>
        </w:rPr>
        <w:t>标书、</w:t>
      </w:r>
      <w:r>
        <w:rPr>
          <w:rFonts w:hint="eastAsia" w:ascii="宋体" w:hAnsi="宋体" w:eastAsia="宋体" w:cs="宋体"/>
          <w:b w:val="0"/>
          <w:bCs w:val="0"/>
          <w:color w:val="auto"/>
          <w:sz w:val="24"/>
          <w:highlight w:val="none"/>
          <w:lang w:eastAsia="zh-CN"/>
        </w:rPr>
        <w:t>技术标书</w:t>
      </w:r>
      <w:r>
        <w:rPr>
          <w:rFonts w:hint="eastAsia" w:ascii="宋体" w:hAnsi="宋体" w:eastAsia="宋体" w:cs="宋体"/>
          <w:b w:val="0"/>
          <w:bCs w:val="0"/>
          <w:color w:val="auto"/>
          <w:sz w:val="24"/>
          <w:highlight w:val="none"/>
          <w:lang w:val="en-US" w:eastAsia="zh-CN"/>
        </w:rPr>
        <w:t>和定标文件</w:t>
      </w:r>
      <w:r>
        <w:rPr>
          <w:rFonts w:hint="eastAsia" w:hAnsi="宋体" w:cs="宋体"/>
          <w:b w:val="0"/>
          <w:bCs w:val="0"/>
          <w:color w:val="auto"/>
          <w:sz w:val="24"/>
          <w:highlight w:val="none"/>
          <w:lang w:val="en-US" w:eastAsia="zh-CN"/>
        </w:rPr>
        <w:t>三</w:t>
      </w:r>
      <w:r>
        <w:rPr>
          <w:rFonts w:hint="eastAsia" w:ascii="宋体" w:hAnsi="宋体" w:eastAsia="宋体" w:cs="宋体"/>
          <w:b w:val="0"/>
          <w:bCs w:val="0"/>
          <w:color w:val="auto"/>
          <w:sz w:val="24"/>
          <w:highlight w:val="none"/>
        </w:rPr>
        <w:t>个分册。投标文件在电子投标时全部采用电子文档，投标文件所附证书证件均为彩色扫描件，并采用单位数字证书，按招标文件要求在相应位置加盖电子印章。投标文件中需个人签字或盖章的，应加盖个人电子印章或在线下完成后扫描上传。按照交易平台关于全流程电子化项目的相关指南进行操作。详见</w:t>
      </w:r>
      <w:r>
        <w:rPr>
          <w:rFonts w:hint="eastAsia" w:hAnsi="宋体" w:cs="宋体"/>
          <w:b w:val="0"/>
          <w:bCs w:val="0"/>
          <w:color w:val="auto"/>
          <w:sz w:val="24"/>
          <w:highlight w:val="none"/>
          <w:lang w:eastAsia="zh-CN"/>
        </w:rPr>
        <w:t>：</w:t>
      </w:r>
      <w:r>
        <w:rPr>
          <w:rFonts w:hint="eastAsia" w:ascii="宋体" w:hAnsi="宋体" w:eastAsia="宋体" w:cs="宋体"/>
          <w:b w:val="0"/>
          <w:bCs w:val="0"/>
          <w:color w:val="auto"/>
          <w:sz w:val="24"/>
          <w:highlight w:val="none"/>
        </w:rPr>
        <w:t>全国公共资源交易平台</w:t>
      </w:r>
      <w:r>
        <w:rPr>
          <w:rFonts w:hint="eastAsia" w:hAnsi="宋体" w:cs="宋体"/>
          <w:b w:val="0"/>
          <w:bCs w:val="0"/>
          <w:color w:val="auto"/>
          <w:sz w:val="24"/>
          <w:highlight w:val="none"/>
          <w:lang w:eastAsia="zh-CN"/>
        </w:rPr>
        <w:t>（</w:t>
      </w:r>
      <w:r>
        <w:rPr>
          <w:rFonts w:hint="eastAsia" w:ascii="宋体" w:hAnsi="宋体" w:eastAsia="宋体" w:cs="宋体"/>
          <w:b w:val="0"/>
          <w:bCs w:val="0"/>
          <w:color w:val="auto"/>
          <w:sz w:val="24"/>
          <w:highlight w:val="none"/>
        </w:rPr>
        <w:t>广东省韶关市</w:t>
      </w:r>
      <w:r>
        <w:rPr>
          <w:rFonts w:hint="eastAsia" w:hAnsi="宋体" w:cs="宋体"/>
          <w:b w:val="0"/>
          <w:bCs w:val="0"/>
          <w:color w:val="auto"/>
          <w:sz w:val="24"/>
          <w:highlight w:val="none"/>
          <w:lang w:eastAsia="zh-CN"/>
        </w:rPr>
        <w:t>）</w:t>
      </w:r>
      <w:r>
        <w:rPr>
          <w:rFonts w:hint="eastAsia" w:ascii="宋体" w:hAnsi="宋体" w:eastAsia="宋体" w:cs="宋体"/>
          <w:b w:val="0"/>
          <w:bCs w:val="0"/>
          <w:color w:val="auto"/>
          <w:sz w:val="24"/>
          <w:highlight w:val="none"/>
        </w:rPr>
        <w:t>交易指引</w:t>
      </w:r>
      <w:r>
        <w:rPr>
          <w:rFonts w:hint="eastAsia" w:ascii="宋体" w:hAnsi="宋体" w:eastAsia="宋体" w:cs="宋体"/>
          <w:color w:val="auto"/>
          <w:sz w:val="24"/>
          <w:szCs w:val="24"/>
          <w:highlight w:val="none"/>
        </w:rPr>
        <w:t>。</w:t>
      </w:r>
    </w:p>
    <w:p w14:paraId="6C2980CD">
      <w:pPr>
        <w:pStyle w:val="37"/>
        <w:pageBreakBefore w:val="0"/>
        <w:kinsoku/>
        <w:overflowPunct/>
        <w:topLinePunct w:val="0"/>
        <w:bidi w:val="0"/>
        <w:spacing w:line="440" w:lineRule="exact"/>
        <w:ind w:firstLine="560"/>
        <w:textAlignment w:val="auto"/>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11.1.3 投标文件需按以下要求签字、盖章：</w:t>
      </w:r>
    </w:p>
    <w:p w14:paraId="5FBEA6A6">
      <w:pPr>
        <w:pStyle w:val="37"/>
        <w:pageBreakBefore w:val="0"/>
        <w:kinsoku/>
        <w:overflowPunct/>
        <w:topLinePunct w:val="0"/>
        <w:bidi w:val="0"/>
        <w:spacing w:line="440" w:lineRule="exact"/>
        <w:ind w:firstLine="560"/>
        <w:textAlignment w:val="auto"/>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电子投标文件：</w:t>
      </w:r>
    </w:p>
    <w:p w14:paraId="0723EF3D">
      <w:pPr>
        <w:pStyle w:val="37"/>
        <w:pageBreakBefore w:val="0"/>
        <w:kinsoku/>
        <w:overflowPunct/>
        <w:topLinePunct w:val="0"/>
        <w:bidi w:val="0"/>
        <w:spacing w:line="440" w:lineRule="exact"/>
        <w:ind w:firstLine="560"/>
        <w:textAlignment w:val="auto"/>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11.1.3.1 投标文件封面、组成内容中凡注明“签字”处由要求的人员签字或电子签章；凡注明“签字或盖章”处由要求的人员签字或盖其私章（电子印章）；凡注明“签字并盖执业印章”处由要求的人员签字并盖其执业印章。</w:t>
      </w:r>
    </w:p>
    <w:p w14:paraId="0CA05BE1">
      <w:pPr>
        <w:pStyle w:val="37"/>
        <w:pageBreakBefore w:val="0"/>
        <w:kinsoku/>
        <w:overflowPunct/>
        <w:topLinePunct w:val="0"/>
        <w:bidi w:val="0"/>
        <w:spacing w:line="440" w:lineRule="exact"/>
        <w:ind w:firstLine="560"/>
        <w:textAlignment w:val="auto"/>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11.1.3.2 投标文件封套、封面、组成内容中凡要求录入投标人名称且注明“盖单位章”处盖单位法人公章（电子印章</w:t>
      </w:r>
      <w:r>
        <w:rPr>
          <w:rFonts w:hint="eastAsia" w:hAnsi="宋体" w:cs="宋体"/>
          <w:snapToGrid w:val="0"/>
          <w:color w:val="auto"/>
          <w:kern w:val="0"/>
          <w:sz w:val="24"/>
          <w:szCs w:val="24"/>
          <w:highlight w:val="none"/>
          <w:lang w:eastAsia="zh-CN"/>
        </w:rPr>
        <w:t>）。</w:t>
      </w:r>
    </w:p>
    <w:p w14:paraId="5CB594DB">
      <w:pPr>
        <w:pStyle w:val="37"/>
        <w:pageBreakBefore w:val="0"/>
        <w:kinsoku/>
        <w:overflowPunct/>
        <w:topLinePunct w:val="0"/>
        <w:bidi w:val="0"/>
        <w:spacing w:line="440" w:lineRule="exact"/>
        <w:ind w:firstLine="560"/>
        <w:textAlignment w:val="auto"/>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11.1.3.3 投标文件的签字均为签字人本人亲笔署名或签章（电子印章），其余部分的彩色扫描件无须另行签字、盖章。</w:t>
      </w:r>
    </w:p>
    <w:p w14:paraId="11B21431">
      <w:pPr>
        <w:pStyle w:val="37"/>
        <w:pageBreakBefore w:val="0"/>
        <w:kinsoku/>
        <w:overflowPunct/>
        <w:topLinePunct w:val="0"/>
        <w:bidi w:val="0"/>
        <w:spacing w:line="440" w:lineRule="exact"/>
        <w:ind w:firstLine="560"/>
        <w:textAlignment w:val="auto"/>
        <w:rPr>
          <w:rFonts w:hint="eastAsia" w:ascii="宋体" w:hAnsi="宋体" w:eastAsia="宋体" w:cs="宋体"/>
          <w:b/>
          <w:color w:val="auto"/>
          <w:sz w:val="24"/>
          <w:szCs w:val="24"/>
          <w:highlight w:val="none"/>
        </w:rPr>
      </w:pPr>
      <w:r>
        <w:rPr>
          <w:rFonts w:hint="eastAsia" w:ascii="宋体" w:hAnsi="宋体" w:eastAsia="宋体" w:cs="宋体"/>
          <w:snapToGrid w:val="0"/>
          <w:color w:val="auto"/>
          <w:kern w:val="0"/>
          <w:sz w:val="24"/>
          <w:szCs w:val="24"/>
          <w:highlight w:val="none"/>
        </w:rPr>
        <w:t>11.1.3.4 联合体投标的，除《联合体协议书》外，由联合体牵头人按以上要求签字（电子印章）、盖章（电子印章）即可。</w:t>
      </w:r>
      <w:bookmarkStart w:id="162" w:name="_Toc274313880"/>
      <w:bookmarkStart w:id="163" w:name="_Toc257031159"/>
    </w:p>
    <w:p w14:paraId="28B7DCE5">
      <w:pPr>
        <w:ind w:firstLine="482" w:firstLineChars="200"/>
        <w:rPr>
          <w:rFonts w:hint="eastAsia" w:ascii="宋体" w:hAnsi="宋体" w:eastAsia="宋体" w:cs="宋体"/>
          <w:b/>
          <w:color w:val="auto"/>
          <w:sz w:val="24"/>
          <w:szCs w:val="24"/>
          <w:highlight w:val="none"/>
        </w:rPr>
      </w:pPr>
      <w:bookmarkStart w:id="164" w:name="_Toc6622"/>
      <w:bookmarkStart w:id="165" w:name="_Toc18076"/>
      <w:bookmarkStart w:id="166" w:name="_Toc16107"/>
      <w:bookmarkStart w:id="167" w:name="_Toc8355"/>
      <w:bookmarkStart w:id="168" w:name="_Toc27606"/>
      <w:bookmarkStart w:id="169" w:name="_Toc26859"/>
      <w:bookmarkStart w:id="170" w:name="_Toc38"/>
      <w:bookmarkStart w:id="171" w:name="_Toc27670"/>
      <w:bookmarkStart w:id="172" w:name="_Toc4699"/>
      <w:bookmarkStart w:id="173" w:name="_Toc7654"/>
      <w:bookmarkStart w:id="174" w:name="_Toc23484"/>
      <w:bookmarkStart w:id="175" w:name="_Toc18670"/>
      <w:bookmarkStart w:id="176" w:name="_Toc17946"/>
      <w:bookmarkStart w:id="177" w:name="_Toc15270"/>
      <w:bookmarkStart w:id="178" w:name="_Toc26289"/>
      <w:bookmarkStart w:id="179" w:name="_Toc29894"/>
      <w:r>
        <w:rPr>
          <w:rFonts w:hint="eastAsia" w:ascii="宋体" w:hAnsi="宋体" w:eastAsia="宋体" w:cs="宋体"/>
          <w:b/>
          <w:color w:val="auto"/>
          <w:sz w:val="24"/>
          <w:szCs w:val="24"/>
          <w:highlight w:val="none"/>
        </w:rPr>
        <w:t xml:space="preserve">11.2 </w:t>
      </w:r>
      <w:bookmarkEnd w:id="162"/>
      <w:bookmarkEnd w:id="163"/>
      <w:bookmarkEnd w:id="164"/>
      <w:bookmarkEnd w:id="165"/>
      <w:bookmarkEnd w:id="166"/>
      <w:bookmarkEnd w:id="167"/>
      <w:bookmarkEnd w:id="168"/>
      <w:bookmarkEnd w:id="169"/>
      <w:bookmarkEnd w:id="170"/>
      <w:bookmarkEnd w:id="171"/>
      <w:r>
        <w:rPr>
          <w:rFonts w:hint="eastAsia" w:ascii="宋体" w:hAnsi="宋体" w:eastAsia="宋体" w:cs="宋体"/>
          <w:b w:val="0"/>
          <w:bCs w:val="0"/>
          <w:color w:val="auto"/>
          <w:sz w:val="24"/>
          <w:highlight w:val="none"/>
        </w:rPr>
        <w:t>商务</w:t>
      </w:r>
      <w:r>
        <w:rPr>
          <w:rFonts w:hint="eastAsia" w:ascii="宋体" w:hAnsi="宋体" w:eastAsia="宋体" w:cs="宋体"/>
          <w:b w:val="0"/>
          <w:bCs w:val="0"/>
          <w:color w:val="auto"/>
          <w:sz w:val="24"/>
          <w:highlight w:val="none"/>
          <w:lang w:eastAsia="zh-CN"/>
        </w:rPr>
        <w:t>经济</w:t>
      </w:r>
      <w:r>
        <w:rPr>
          <w:rFonts w:hint="eastAsia" w:ascii="宋体" w:hAnsi="宋体" w:eastAsia="宋体" w:cs="宋体"/>
          <w:b w:val="0"/>
          <w:bCs w:val="0"/>
          <w:color w:val="auto"/>
          <w:sz w:val="24"/>
          <w:highlight w:val="none"/>
        </w:rPr>
        <w:t>标书</w:t>
      </w:r>
      <w:r>
        <w:rPr>
          <w:rFonts w:hint="eastAsia" w:ascii="宋体" w:hAnsi="宋体" w:eastAsia="宋体" w:cs="宋体"/>
          <w:b/>
          <w:color w:val="auto"/>
          <w:sz w:val="24"/>
          <w:szCs w:val="24"/>
          <w:highlight w:val="none"/>
        </w:rPr>
        <w:t>的编制要求</w:t>
      </w:r>
      <w:bookmarkEnd w:id="172"/>
      <w:bookmarkEnd w:id="173"/>
      <w:bookmarkEnd w:id="174"/>
      <w:bookmarkEnd w:id="175"/>
      <w:bookmarkEnd w:id="176"/>
      <w:bookmarkEnd w:id="177"/>
      <w:bookmarkEnd w:id="178"/>
      <w:bookmarkEnd w:id="179"/>
    </w:p>
    <w:p w14:paraId="693F42B3">
      <w:pPr>
        <w:pStyle w:val="37"/>
        <w:pageBreakBefore w:val="0"/>
        <w:kinsoku/>
        <w:overflowPunct/>
        <w:topLinePunct w:val="0"/>
        <w:bidi w:val="0"/>
        <w:spacing w:line="440" w:lineRule="exact"/>
        <w:ind w:firstLine="561"/>
        <w:textAlignment w:val="auto"/>
        <w:rPr>
          <w:rFonts w:hint="eastAsia" w:ascii="宋体" w:hAnsi="宋体" w:eastAsia="宋体" w:cs="宋体"/>
          <w:color w:val="auto"/>
          <w:sz w:val="24"/>
          <w:szCs w:val="24"/>
          <w:highlight w:val="none"/>
          <w:u w:val="single"/>
        </w:rPr>
      </w:pPr>
      <w:r>
        <w:rPr>
          <w:rFonts w:hint="eastAsia" w:ascii="宋体" w:hAnsi="宋体" w:eastAsia="宋体" w:cs="宋体"/>
          <w:color w:val="auto"/>
          <w:sz w:val="24"/>
          <w:szCs w:val="24"/>
          <w:highlight w:val="none"/>
        </w:rPr>
        <w:t xml:space="preserve">11.2.1 </w:t>
      </w:r>
      <w:r>
        <w:rPr>
          <w:rFonts w:hint="eastAsia" w:ascii="宋体" w:hAnsi="宋体" w:eastAsia="宋体" w:cs="宋体"/>
          <w:b w:val="0"/>
          <w:bCs w:val="0"/>
          <w:color w:val="auto"/>
          <w:sz w:val="24"/>
          <w:highlight w:val="none"/>
        </w:rPr>
        <w:t>商务</w:t>
      </w:r>
      <w:r>
        <w:rPr>
          <w:rFonts w:hint="eastAsia" w:ascii="宋体" w:hAnsi="宋体" w:eastAsia="宋体" w:cs="宋体"/>
          <w:b w:val="0"/>
          <w:bCs w:val="0"/>
          <w:color w:val="auto"/>
          <w:sz w:val="24"/>
          <w:highlight w:val="none"/>
          <w:lang w:eastAsia="zh-CN"/>
        </w:rPr>
        <w:t>经济</w:t>
      </w:r>
      <w:r>
        <w:rPr>
          <w:rFonts w:hint="eastAsia" w:ascii="宋体" w:hAnsi="宋体" w:eastAsia="宋体" w:cs="宋体"/>
          <w:b w:val="0"/>
          <w:bCs w:val="0"/>
          <w:color w:val="auto"/>
          <w:sz w:val="24"/>
          <w:highlight w:val="none"/>
        </w:rPr>
        <w:t>标书</w:t>
      </w:r>
      <w:r>
        <w:rPr>
          <w:rFonts w:hint="eastAsia" w:ascii="宋体" w:hAnsi="宋体" w:eastAsia="宋体" w:cs="宋体"/>
          <w:color w:val="auto"/>
          <w:sz w:val="24"/>
          <w:szCs w:val="24"/>
          <w:highlight w:val="none"/>
        </w:rPr>
        <w:t>包括但不限于以下内容：</w:t>
      </w:r>
    </w:p>
    <w:p w14:paraId="63CA7725">
      <w:pPr>
        <w:pageBreakBefore w:val="0"/>
        <w:kinsoku/>
        <w:wordWrap w:val="0"/>
        <w:overflowPunct/>
        <w:topLinePunct w:val="0"/>
        <w:bidi w:val="0"/>
        <w:adjustRightInd w:val="0"/>
        <w:snapToGrid w:val="0"/>
        <w:spacing w:line="440" w:lineRule="exact"/>
        <w:ind w:firstLine="480" w:firstLineChars="200"/>
        <w:textAlignment w:val="auto"/>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（1）封面（格式一）；</w:t>
      </w:r>
    </w:p>
    <w:p w14:paraId="128E35B5">
      <w:pPr>
        <w:pageBreakBefore w:val="0"/>
        <w:kinsoku/>
        <w:wordWrap w:val="0"/>
        <w:overflowPunct/>
        <w:topLinePunct w:val="0"/>
        <w:bidi w:val="0"/>
        <w:adjustRightInd w:val="0"/>
        <w:snapToGrid w:val="0"/>
        <w:spacing w:line="440" w:lineRule="exact"/>
        <w:ind w:firstLine="480" w:firstLineChars="200"/>
        <w:textAlignment w:val="auto"/>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 xml:space="preserve">（2）目录； </w:t>
      </w:r>
    </w:p>
    <w:p w14:paraId="703DCCE4">
      <w:pPr>
        <w:pageBreakBefore w:val="0"/>
        <w:kinsoku/>
        <w:wordWrap w:val="0"/>
        <w:overflowPunct/>
        <w:topLinePunct w:val="0"/>
        <w:bidi w:val="0"/>
        <w:adjustRightInd w:val="0"/>
        <w:snapToGrid w:val="0"/>
        <w:spacing w:line="440"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snapToGrid w:val="0"/>
          <w:color w:val="auto"/>
          <w:kern w:val="0"/>
          <w:sz w:val="24"/>
          <w:szCs w:val="24"/>
          <w:highlight w:val="none"/>
        </w:rPr>
        <w:t>（3）《投标函》及《工程项目总价表》（格式二）；</w:t>
      </w:r>
    </w:p>
    <w:p w14:paraId="58A1C746">
      <w:pPr>
        <w:pageBreakBefore w:val="0"/>
        <w:kinsoku/>
        <w:wordWrap w:val="0"/>
        <w:overflowPunct/>
        <w:topLinePunct w:val="0"/>
        <w:bidi w:val="0"/>
        <w:adjustRightInd w:val="0"/>
        <w:snapToGrid w:val="0"/>
        <w:spacing w:line="440" w:lineRule="exact"/>
        <w:ind w:firstLine="480" w:firstLineChars="200"/>
        <w:textAlignment w:val="auto"/>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（4）《各项承诺一览表》（格式三）；</w:t>
      </w:r>
    </w:p>
    <w:p w14:paraId="0CB981A2">
      <w:pPr>
        <w:pageBreakBefore w:val="0"/>
        <w:kinsoku/>
        <w:wordWrap w:val="0"/>
        <w:overflowPunct/>
        <w:topLinePunct w:val="0"/>
        <w:bidi w:val="0"/>
        <w:adjustRightInd w:val="0"/>
        <w:snapToGrid w:val="0"/>
        <w:spacing w:line="440" w:lineRule="exact"/>
        <w:ind w:firstLine="480" w:firstLineChars="200"/>
        <w:textAlignment w:val="auto"/>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（5）《授权委托书》（格式四）；</w:t>
      </w:r>
    </w:p>
    <w:p w14:paraId="7398876B">
      <w:pPr>
        <w:pageBreakBefore w:val="0"/>
        <w:kinsoku/>
        <w:wordWrap w:val="0"/>
        <w:overflowPunct/>
        <w:topLinePunct w:val="0"/>
        <w:bidi w:val="0"/>
        <w:adjustRightInd w:val="0"/>
        <w:snapToGrid w:val="0"/>
        <w:spacing w:line="440" w:lineRule="exact"/>
        <w:ind w:firstLine="480" w:firstLineChars="200"/>
        <w:textAlignment w:val="auto"/>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（6）《法定代表人身份证明》（格式五）；</w:t>
      </w:r>
    </w:p>
    <w:p w14:paraId="136F6917">
      <w:pPr>
        <w:pageBreakBefore w:val="0"/>
        <w:kinsoku/>
        <w:wordWrap w:val="0"/>
        <w:overflowPunct/>
        <w:topLinePunct w:val="0"/>
        <w:bidi w:val="0"/>
        <w:adjustRightInd w:val="0"/>
        <w:snapToGrid w:val="0"/>
        <w:spacing w:line="440" w:lineRule="exact"/>
        <w:ind w:firstLine="480" w:firstLineChars="200"/>
        <w:textAlignment w:val="auto"/>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（7）《联合体协议书》（格式六）及所附资料；</w:t>
      </w:r>
    </w:p>
    <w:p w14:paraId="08A32D9B">
      <w:pPr>
        <w:pageBreakBefore w:val="0"/>
        <w:kinsoku/>
        <w:wordWrap w:val="0"/>
        <w:overflowPunct/>
        <w:topLinePunct w:val="0"/>
        <w:bidi w:val="0"/>
        <w:adjustRightInd w:val="0"/>
        <w:snapToGrid w:val="0"/>
        <w:spacing w:line="440" w:lineRule="exact"/>
        <w:ind w:firstLine="480" w:firstLineChars="200"/>
        <w:textAlignment w:val="auto"/>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（8）投标保</w:t>
      </w:r>
      <w:r>
        <w:rPr>
          <w:rFonts w:hint="eastAsia" w:hAnsi="宋体" w:eastAsia="宋体" w:cs="宋体"/>
          <w:snapToGrid w:val="0"/>
          <w:color w:val="auto"/>
          <w:kern w:val="0"/>
          <w:sz w:val="24"/>
          <w:szCs w:val="24"/>
          <w:highlight w:val="none"/>
          <w:lang w:eastAsia="zh-CN"/>
        </w:rPr>
        <w:t>证金</w:t>
      </w:r>
      <w:r>
        <w:rPr>
          <w:rFonts w:hint="eastAsia" w:ascii="宋体" w:hAnsi="宋体" w:eastAsia="宋体" w:cs="宋体"/>
          <w:snapToGrid w:val="0"/>
          <w:color w:val="auto"/>
          <w:kern w:val="0"/>
          <w:sz w:val="24"/>
          <w:szCs w:val="24"/>
          <w:highlight w:val="none"/>
        </w:rPr>
        <w:t>缴纳证明（投标人采用投标保证金的，附建设工程交易系统《缴纳投标保证金通知书》页面截图和银行转账单彩色扫描件；采用投标保证担保的，附银行保函彩色扫描件；采用投标保证保险的，附电子保单和</w:t>
      </w:r>
      <w:r>
        <w:rPr>
          <w:rFonts w:hint="eastAsia" w:ascii="宋体" w:hAnsi="宋体" w:eastAsia="宋体" w:cs="宋体"/>
          <w:b/>
          <w:bCs/>
          <w:color w:val="auto"/>
          <w:sz w:val="24"/>
          <w:szCs w:val="24"/>
          <w:highlight w:val="none"/>
        </w:rPr>
        <w:t>《韶关市公共资源交易一体化平台保证金缴纳信息》</w:t>
      </w:r>
      <w:r>
        <w:rPr>
          <w:rFonts w:hint="eastAsia" w:ascii="宋体" w:hAnsi="宋体" w:eastAsia="宋体" w:cs="宋体"/>
          <w:b/>
          <w:bCs/>
          <w:snapToGrid w:val="0"/>
          <w:color w:val="auto"/>
          <w:kern w:val="0"/>
          <w:sz w:val="24"/>
          <w:szCs w:val="24"/>
          <w:highlight w:val="none"/>
        </w:rPr>
        <w:t>页面截图</w:t>
      </w:r>
      <w:r>
        <w:rPr>
          <w:rFonts w:hint="eastAsia" w:ascii="宋体" w:hAnsi="宋体" w:eastAsia="宋体" w:cs="宋体"/>
          <w:snapToGrid w:val="0"/>
          <w:color w:val="auto"/>
          <w:kern w:val="0"/>
          <w:sz w:val="24"/>
          <w:szCs w:val="24"/>
          <w:highlight w:val="none"/>
        </w:rPr>
        <w:t>）。</w:t>
      </w:r>
    </w:p>
    <w:p w14:paraId="42CF697B">
      <w:pPr>
        <w:pageBreakBefore w:val="0"/>
        <w:kinsoku/>
        <w:wordWrap w:val="0"/>
        <w:overflowPunct/>
        <w:topLinePunct w:val="0"/>
        <w:bidi w:val="0"/>
        <w:adjustRightInd w:val="0"/>
        <w:snapToGrid w:val="0"/>
        <w:spacing w:line="440"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snapToGrid w:val="0"/>
          <w:color w:val="auto"/>
          <w:kern w:val="0"/>
          <w:sz w:val="24"/>
          <w:szCs w:val="24"/>
          <w:highlight w:val="none"/>
        </w:rPr>
        <w:t>（9）《投标人基本情况表》（格式七）及所附资料；</w:t>
      </w:r>
    </w:p>
    <w:p w14:paraId="0DF6606A">
      <w:pPr>
        <w:pageBreakBefore w:val="0"/>
        <w:kinsoku/>
        <w:wordWrap w:val="0"/>
        <w:overflowPunct/>
        <w:topLinePunct w:val="0"/>
        <w:bidi w:val="0"/>
        <w:adjustRightInd w:val="0"/>
        <w:snapToGrid w:val="0"/>
        <w:spacing w:line="440" w:lineRule="exact"/>
        <w:ind w:firstLine="480" w:firstLineChars="200"/>
        <w:textAlignment w:val="auto"/>
        <w:rPr>
          <w:rFonts w:hint="eastAsia" w:ascii="宋体" w:hAnsi="宋体" w:eastAsia="宋体" w:cs="宋体"/>
          <w:strike/>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（10）《项目经理简历表》（格式八）及所附资料；</w:t>
      </w:r>
    </w:p>
    <w:p w14:paraId="50C7516E">
      <w:pPr>
        <w:pageBreakBefore w:val="0"/>
        <w:kinsoku/>
        <w:wordWrap w:val="0"/>
        <w:overflowPunct/>
        <w:topLinePunct w:val="0"/>
        <w:bidi w:val="0"/>
        <w:adjustRightInd w:val="0"/>
        <w:snapToGrid w:val="0"/>
        <w:spacing w:line="440" w:lineRule="exact"/>
        <w:ind w:firstLine="480" w:firstLineChars="200"/>
        <w:textAlignment w:val="auto"/>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（11）《项目经理任职声明》（格式九）；</w:t>
      </w:r>
    </w:p>
    <w:p w14:paraId="2429E608">
      <w:pPr>
        <w:pageBreakBefore w:val="0"/>
        <w:kinsoku/>
        <w:wordWrap w:val="0"/>
        <w:overflowPunct/>
        <w:topLinePunct w:val="0"/>
        <w:bidi w:val="0"/>
        <w:adjustRightInd w:val="0"/>
        <w:snapToGrid w:val="0"/>
        <w:spacing w:line="440" w:lineRule="exact"/>
        <w:ind w:firstLine="480" w:firstLineChars="200"/>
        <w:textAlignment w:val="auto"/>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（12）《项目技术负责人简历表》（格式十）及所附资料；</w:t>
      </w:r>
    </w:p>
    <w:p w14:paraId="6118605D">
      <w:pPr>
        <w:pageBreakBefore w:val="0"/>
        <w:kinsoku/>
        <w:wordWrap w:val="0"/>
        <w:overflowPunct/>
        <w:topLinePunct w:val="0"/>
        <w:bidi w:val="0"/>
        <w:adjustRightInd w:val="0"/>
        <w:snapToGrid w:val="0"/>
        <w:spacing w:line="440" w:lineRule="exact"/>
        <w:ind w:firstLine="480" w:firstLineChars="200"/>
        <w:textAlignment w:val="auto"/>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（13）《项目设计负责人简历表》（格式十一）及所附资料；</w:t>
      </w:r>
    </w:p>
    <w:p w14:paraId="6FDC66C8">
      <w:pPr>
        <w:pageBreakBefore w:val="0"/>
        <w:kinsoku/>
        <w:wordWrap w:val="0"/>
        <w:overflowPunct/>
        <w:topLinePunct w:val="0"/>
        <w:bidi w:val="0"/>
        <w:adjustRightInd w:val="0"/>
        <w:snapToGrid w:val="0"/>
        <w:spacing w:line="440" w:lineRule="exact"/>
        <w:ind w:firstLine="480" w:firstLineChars="200"/>
        <w:textAlignment w:val="auto"/>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（14）《项目管理机构组成表》（格式十二）及所附资料；</w:t>
      </w:r>
    </w:p>
    <w:p w14:paraId="4AA5DCF2">
      <w:pPr>
        <w:pageBreakBefore w:val="0"/>
        <w:kinsoku/>
        <w:wordWrap w:val="0"/>
        <w:overflowPunct/>
        <w:topLinePunct w:val="0"/>
        <w:bidi w:val="0"/>
        <w:adjustRightInd w:val="0"/>
        <w:snapToGrid w:val="0"/>
        <w:spacing w:line="440" w:lineRule="exact"/>
        <w:ind w:firstLine="480" w:firstLineChars="200"/>
        <w:textAlignment w:val="auto"/>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（15）本章第14.2目“评标方法”要求提供的评审资料（如有）；</w:t>
      </w:r>
    </w:p>
    <w:p w14:paraId="2DB95EC2">
      <w:pPr>
        <w:pStyle w:val="37"/>
        <w:pageBreakBefore w:val="0"/>
        <w:kinsoku/>
        <w:overflowPunct/>
        <w:topLinePunct w:val="0"/>
        <w:bidi w:val="0"/>
        <w:spacing w:line="440"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snapToGrid w:val="0"/>
          <w:color w:val="auto"/>
          <w:kern w:val="0"/>
          <w:sz w:val="24"/>
          <w:szCs w:val="24"/>
          <w:highlight w:val="none"/>
        </w:rPr>
        <w:t>（16）投标人认为有必要补充的其他资料。（例如投标人</w:t>
      </w:r>
      <w:r>
        <w:rPr>
          <w:rFonts w:hint="eastAsia" w:hAnsi="宋体" w:cs="宋体"/>
          <w:snapToGrid w:val="0"/>
          <w:color w:val="auto"/>
          <w:kern w:val="0"/>
          <w:sz w:val="24"/>
          <w:szCs w:val="24"/>
          <w:highlight w:val="none"/>
          <w:lang w:eastAsia="zh-CN"/>
        </w:rPr>
        <w:t>已完成</w:t>
      </w:r>
      <w:r>
        <w:rPr>
          <w:rFonts w:hint="eastAsia" w:ascii="宋体" w:hAnsi="宋体" w:eastAsia="宋体" w:cs="宋体"/>
          <w:snapToGrid w:val="0"/>
          <w:color w:val="auto"/>
          <w:kern w:val="0"/>
          <w:sz w:val="24"/>
          <w:szCs w:val="24"/>
          <w:highlight w:val="none"/>
        </w:rPr>
        <w:t>工商变更，但其企业资质证书、安全生产许可证或其员工执业资格注册证书上的企业名称未能在投标期间完成变更的书面说明和佐证材料；外省企业所在省、地级市住建部门或其授权的组织（机构）关于企业资质、人员资格有效期自动顺延或延期办理的相关文件等；关于投标总价下浮率超过15%的书面说明和佐证材料）。</w:t>
      </w:r>
    </w:p>
    <w:p w14:paraId="1D5FEAF1">
      <w:pPr>
        <w:pageBreakBefore w:val="0"/>
        <w:kinsoku/>
        <w:wordWrap w:val="0"/>
        <w:overflowPunct/>
        <w:topLinePunct w:val="0"/>
        <w:bidi w:val="0"/>
        <w:adjustRightInd w:val="0"/>
        <w:snapToGrid w:val="0"/>
        <w:spacing w:line="440" w:lineRule="exact"/>
        <w:ind w:firstLine="480" w:firstLineChars="200"/>
        <w:textAlignment w:val="auto"/>
        <w:rPr>
          <w:rFonts w:hint="eastAsia" w:ascii="宋体" w:hAnsi="宋体" w:eastAsia="宋体" w:cs="宋体"/>
          <w:snapToGrid w:val="0"/>
          <w:color w:val="auto"/>
          <w:kern w:val="0"/>
          <w:sz w:val="24"/>
          <w:szCs w:val="24"/>
          <w:highlight w:val="none"/>
        </w:rPr>
      </w:pPr>
      <w:r>
        <w:rPr>
          <w:rFonts w:hint="eastAsia" w:ascii="宋体" w:hAnsi="宋体" w:eastAsia="宋体" w:cs="宋体"/>
          <w:color w:val="auto"/>
          <w:sz w:val="24"/>
          <w:szCs w:val="24"/>
          <w:highlight w:val="none"/>
        </w:rPr>
        <w:t>11.2.</w:t>
      </w:r>
      <w:r>
        <w:rPr>
          <w:rFonts w:hint="eastAsia" w:ascii="宋体" w:hAnsi="宋体" w:eastAsia="宋体" w:cs="宋体"/>
          <w:snapToGrid w:val="0"/>
          <w:color w:val="auto"/>
          <w:kern w:val="0"/>
          <w:sz w:val="24"/>
          <w:szCs w:val="24"/>
          <w:highlight w:val="none"/>
        </w:rPr>
        <w:t>2 本章第</w:t>
      </w:r>
      <w:r>
        <w:rPr>
          <w:rFonts w:hint="eastAsia" w:ascii="宋体" w:hAnsi="宋体" w:eastAsia="宋体" w:cs="宋体"/>
          <w:b/>
          <w:bCs/>
          <w:snapToGrid w:val="0"/>
          <w:color w:val="auto"/>
          <w:kern w:val="0"/>
          <w:sz w:val="24"/>
          <w:szCs w:val="24"/>
          <w:highlight w:val="none"/>
        </w:rPr>
        <w:t>11.2.1</w:t>
      </w:r>
      <w:r>
        <w:rPr>
          <w:rFonts w:hint="eastAsia" w:ascii="宋体" w:hAnsi="宋体" w:eastAsia="宋体" w:cs="宋体"/>
          <w:snapToGrid w:val="0"/>
          <w:color w:val="auto"/>
          <w:kern w:val="0"/>
          <w:sz w:val="24"/>
          <w:szCs w:val="24"/>
          <w:highlight w:val="none"/>
        </w:rPr>
        <w:t>目中所列出的</w:t>
      </w:r>
      <w:r>
        <w:rPr>
          <w:rFonts w:hint="eastAsia" w:ascii="宋体" w:hAnsi="宋体" w:eastAsia="宋体" w:cs="宋体"/>
          <w:b w:val="0"/>
          <w:bCs w:val="0"/>
          <w:color w:val="auto"/>
          <w:sz w:val="24"/>
          <w:highlight w:val="none"/>
          <w:lang w:eastAsia="zh-CN"/>
        </w:rPr>
        <w:t>商务经济标书</w:t>
      </w:r>
      <w:r>
        <w:rPr>
          <w:rFonts w:hint="eastAsia" w:ascii="宋体" w:hAnsi="宋体" w:eastAsia="宋体" w:cs="宋体"/>
          <w:snapToGrid w:val="0"/>
          <w:color w:val="auto"/>
          <w:kern w:val="0"/>
          <w:sz w:val="24"/>
          <w:szCs w:val="24"/>
          <w:highlight w:val="none"/>
        </w:rPr>
        <w:t>组成内容中，第（1）至第（15）项所有投标人均应提供，</w:t>
      </w:r>
      <w:r>
        <w:rPr>
          <w:rFonts w:hint="eastAsia" w:ascii="宋体" w:hAnsi="宋体" w:eastAsia="宋体" w:cs="宋体"/>
          <w:b/>
          <w:bCs/>
          <w:snapToGrid w:val="0"/>
          <w:color w:val="auto"/>
          <w:kern w:val="0"/>
          <w:sz w:val="24"/>
          <w:szCs w:val="24"/>
          <w:highlight w:val="none"/>
        </w:rPr>
        <w:t>但非联合体投标的，无需提供第（7）项内容。</w:t>
      </w:r>
    </w:p>
    <w:p w14:paraId="7A8C495A">
      <w:pPr>
        <w:pageBreakBefore w:val="0"/>
        <w:kinsoku/>
        <w:wordWrap w:val="0"/>
        <w:overflowPunct/>
        <w:topLinePunct w:val="0"/>
        <w:bidi w:val="0"/>
        <w:adjustRightInd w:val="0"/>
        <w:snapToGrid w:val="0"/>
        <w:spacing w:line="440" w:lineRule="exact"/>
        <w:ind w:firstLine="480" w:firstLineChars="200"/>
        <w:textAlignment w:val="auto"/>
        <w:rPr>
          <w:rFonts w:hint="eastAsia" w:ascii="宋体" w:hAnsi="宋体" w:eastAsia="宋体" w:cs="宋体"/>
          <w:b/>
          <w:bCs/>
          <w:snapToGrid w:val="0"/>
          <w:color w:val="auto"/>
          <w:kern w:val="0"/>
          <w:sz w:val="24"/>
          <w:szCs w:val="24"/>
          <w:highlight w:val="none"/>
        </w:rPr>
      </w:pPr>
      <w:r>
        <w:rPr>
          <w:rFonts w:hint="eastAsia" w:ascii="宋体" w:hAnsi="宋体" w:eastAsia="宋体" w:cs="宋体"/>
          <w:color w:val="auto"/>
          <w:sz w:val="24"/>
          <w:szCs w:val="24"/>
          <w:highlight w:val="none"/>
        </w:rPr>
        <w:t>11.2.</w:t>
      </w:r>
      <w:r>
        <w:rPr>
          <w:rFonts w:hint="eastAsia" w:ascii="宋体" w:hAnsi="宋体" w:eastAsia="宋体" w:cs="宋体"/>
          <w:snapToGrid w:val="0"/>
          <w:color w:val="auto"/>
          <w:kern w:val="0"/>
          <w:sz w:val="24"/>
          <w:szCs w:val="24"/>
          <w:highlight w:val="none"/>
        </w:rPr>
        <w:t xml:space="preserve">3 </w:t>
      </w:r>
      <w:r>
        <w:rPr>
          <w:rFonts w:hint="eastAsia" w:ascii="宋体" w:hAnsi="宋体" w:eastAsia="宋体" w:cs="宋体"/>
          <w:b w:val="0"/>
          <w:bCs w:val="0"/>
          <w:color w:val="auto"/>
          <w:sz w:val="24"/>
          <w:highlight w:val="none"/>
          <w:lang w:eastAsia="zh-CN"/>
        </w:rPr>
        <w:t>商务经济标书</w:t>
      </w:r>
      <w:r>
        <w:rPr>
          <w:rFonts w:hint="eastAsia" w:ascii="宋体" w:hAnsi="宋体" w:eastAsia="宋体" w:cs="宋体"/>
          <w:snapToGrid w:val="0"/>
          <w:color w:val="auto"/>
          <w:kern w:val="0"/>
          <w:sz w:val="24"/>
          <w:szCs w:val="24"/>
          <w:highlight w:val="none"/>
        </w:rPr>
        <w:t>的组成内容按本章第</w:t>
      </w:r>
      <w:r>
        <w:rPr>
          <w:rFonts w:hint="eastAsia" w:ascii="宋体" w:hAnsi="宋体" w:eastAsia="宋体" w:cs="宋体"/>
          <w:b/>
          <w:bCs/>
          <w:snapToGrid w:val="0"/>
          <w:color w:val="auto"/>
          <w:kern w:val="0"/>
          <w:sz w:val="24"/>
          <w:szCs w:val="24"/>
          <w:highlight w:val="none"/>
        </w:rPr>
        <w:t>11.2.1</w:t>
      </w:r>
      <w:r>
        <w:rPr>
          <w:rFonts w:hint="eastAsia" w:ascii="宋体" w:hAnsi="宋体" w:eastAsia="宋体" w:cs="宋体"/>
          <w:snapToGrid w:val="0"/>
          <w:color w:val="auto"/>
          <w:kern w:val="0"/>
          <w:sz w:val="24"/>
          <w:szCs w:val="24"/>
          <w:highlight w:val="none"/>
        </w:rPr>
        <w:t>目规定的顺序整理、编排后，逐页连续标记页码。</w:t>
      </w:r>
    </w:p>
    <w:p w14:paraId="0CA8BE9B">
      <w:pPr>
        <w:ind w:firstLine="482" w:firstLineChars="200"/>
        <w:rPr>
          <w:rFonts w:hint="eastAsia" w:ascii="宋体" w:hAnsi="宋体" w:eastAsia="宋体" w:cs="宋体"/>
          <w:b/>
          <w:bCs/>
          <w:color w:val="auto"/>
          <w:sz w:val="24"/>
          <w:highlight w:val="none"/>
        </w:rPr>
      </w:pPr>
      <w:bookmarkStart w:id="180" w:name="_Toc27751"/>
      <w:bookmarkStart w:id="181" w:name="_Toc16279"/>
      <w:r>
        <w:rPr>
          <w:rFonts w:hint="eastAsia" w:hAnsi="宋体" w:eastAsia="宋体" w:cs="宋体"/>
          <w:b/>
          <w:bCs/>
          <w:color w:val="auto"/>
          <w:sz w:val="24"/>
          <w:highlight w:val="none"/>
          <w:lang w:val="en-US" w:eastAsia="zh-CN"/>
        </w:rPr>
        <w:t>11</w:t>
      </w:r>
      <w:r>
        <w:rPr>
          <w:rFonts w:hint="eastAsia" w:ascii="宋体" w:hAnsi="宋体" w:eastAsia="宋体" w:cs="宋体"/>
          <w:b/>
          <w:bCs/>
          <w:color w:val="auto"/>
          <w:sz w:val="24"/>
          <w:highlight w:val="none"/>
          <w:lang w:val="en-US" w:eastAsia="zh-CN"/>
        </w:rPr>
        <w:t>.</w:t>
      </w:r>
      <w:r>
        <w:rPr>
          <w:rFonts w:hint="eastAsia" w:hAnsi="宋体" w:eastAsia="宋体" w:cs="宋体"/>
          <w:b/>
          <w:bCs/>
          <w:color w:val="auto"/>
          <w:sz w:val="24"/>
          <w:highlight w:val="none"/>
          <w:lang w:val="en-US" w:eastAsia="zh-CN"/>
        </w:rPr>
        <w:t>3</w:t>
      </w:r>
      <w:r>
        <w:rPr>
          <w:rFonts w:hint="eastAsia" w:ascii="宋体" w:hAnsi="宋体" w:eastAsia="宋体" w:cs="宋体"/>
          <w:b/>
          <w:bCs/>
          <w:color w:val="auto"/>
          <w:sz w:val="24"/>
          <w:highlight w:val="none"/>
        </w:rPr>
        <w:t xml:space="preserve"> </w:t>
      </w:r>
      <w:r>
        <w:rPr>
          <w:rFonts w:hint="eastAsia" w:ascii="宋体" w:hAnsi="宋体" w:eastAsia="宋体" w:cs="宋体"/>
          <w:b/>
          <w:bCs/>
          <w:color w:val="auto"/>
          <w:sz w:val="24"/>
          <w:highlight w:val="none"/>
          <w:lang w:eastAsia="zh-CN"/>
        </w:rPr>
        <w:t>技术标书</w:t>
      </w:r>
      <w:r>
        <w:rPr>
          <w:rFonts w:hint="eastAsia" w:ascii="宋体" w:hAnsi="宋体" w:eastAsia="宋体" w:cs="宋体"/>
          <w:b/>
          <w:bCs/>
          <w:color w:val="auto"/>
          <w:sz w:val="24"/>
          <w:highlight w:val="none"/>
        </w:rPr>
        <w:t>的编制要求</w:t>
      </w:r>
      <w:bookmarkEnd w:id="180"/>
      <w:bookmarkEnd w:id="181"/>
    </w:p>
    <w:p w14:paraId="4674C24E">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80" w:firstLineChars="200"/>
        <w:jc w:val="both"/>
        <w:textAlignment w:val="auto"/>
        <w:outlineLvl w:val="9"/>
        <w:rPr>
          <w:rFonts w:hint="eastAsia" w:ascii="宋体" w:hAnsi="宋体" w:eastAsia="宋体" w:cs="宋体"/>
          <w:b w:val="0"/>
          <w:bCs w:val="0"/>
          <w:color w:val="auto"/>
          <w:sz w:val="24"/>
          <w:highlight w:val="none"/>
        </w:rPr>
      </w:pPr>
      <w:r>
        <w:rPr>
          <w:rFonts w:hint="eastAsia" w:hAnsi="宋体" w:eastAsia="宋体" w:cs="宋体"/>
          <w:b w:val="0"/>
          <w:bCs w:val="0"/>
          <w:color w:val="auto"/>
          <w:sz w:val="24"/>
          <w:highlight w:val="none"/>
          <w:lang w:val="en-US" w:eastAsia="zh-CN"/>
        </w:rPr>
        <w:t>11</w:t>
      </w:r>
      <w:r>
        <w:rPr>
          <w:rFonts w:hint="eastAsia" w:ascii="宋体" w:hAnsi="宋体" w:eastAsia="宋体" w:cs="宋体"/>
          <w:b w:val="0"/>
          <w:bCs w:val="0"/>
          <w:color w:val="auto"/>
          <w:sz w:val="24"/>
          <w:highlight w:val="none"/>
          <w:lang w:val="en-US" w:eastAsia="zh-CN"/>
        </w:rPr>
        <w:t>.</w:t>
      </w:r>
      <w:r>
        <w:rPr>
          <w:rFonts w:hint="eastAsia" w:hAnsi="宋体" w:eastAsia="宋体" w:cs="宋体"/>
          <w:b w:val="0"/>
          <w:bCs w:val="0"/>
          <w:color w:val="auto"/>
          <w:sz w:val="24"/>
          <w:highlight w:val="none"/>
          <w:lang w:val="en-US" w:eastAsia="zh-CN"/>
        </w:rPr>
        <w:t>3</w:t>
      </w:r>
      <w:r>
        <w:rPr>
          <w:rFonts w:hint="eastAsia" w:ascii="宋体" w:hAnsi="宋体" w:eastAsia="宋体" w:cs="宋体"/>
          <w:b w:val="0"/>
          <w:bCs w:val="0"/>
          <w:color w:val="auto"/>
          <w:sz w:val="24"/>
          <w:highlight w:val="none"/>
        </w:rPr>
        <w:t xml:space="preserve">.1 </w:t>
      </w:r>
      <w:r>
        <w:rPr>
          <w:rFonts w:hint="eastAsia" w:ascii="宋体" w:hAnsi="宋体" w:eastAsia="宋体" w:cs="宋体"/>
          <w:b w:val="0"/>
          <w:bCs w:val="0"/>
          <w:color w:val="auto"/>
          <w:sz w:val="24"/>
          <w:highlight w:val="none"/>
          <w:lang w:eastAsia="zh-CN"/>
        </w:rPr>
        <w:t>技术标书</w:t>
      </w:r>
      <w:r>
        <w:rPr>
          <w:rFonts w:hint="eastAsia" w:ascii="宋体" w:hAnsi="宋体" w:eastAsia="宋体" w:cs="宋体"/>
          <w:b w:val="0"/>
          <w:bCs w:val="0"/>
          <w:color w:val="auto"/>
          <w:sz w:val="24"/>
          <w:highlight w:val="none"/>
        </w:rPr>
        <w:t>的编制依据包括且不限于：</w:t>
      </w:r>
    </w:p>
    <w:p w14:paraId="1D4EE19B">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80" w:firstLineChars="200"/>
        <w:jc w:val="both"/>
        <w:textAlignment w:val="auto"/>
        <w:outlineLvl w:val="9"/>
        <w:rPr>
          <w:rFonts w:hint="eastAsia" w:ascii="宋体" w:hAnsi="宋体" w:eastAsia="宋体" w:cs="宋体"/>
          <w:b w:val="0"/>
          <w:bCs w:val="0"/>
          <w:color w:val="auto"/>
          <w:sz w:val="24"/>
          <w:highlight w:val="none"/>
        </w:rPr>
      </w:pPr>
      <w:r>
        <w:rPr>
          <w:rFonts w:hint="eastAsia" w:ascii="宋体" w:hAnsi="宋体" w:eastAsia="宋体" w:cs="宋体"/>
          <w:b w:val="0"/>
          <w:bCs w:val="0"/>
          <w:color w:val="auto"/>
          <w:sz w:val="24"/>
          <w:highlight w:val="none"/>
        </w:rPr>
        <w:t>（1）招标文件及其答疑（或修改）公告；</w:t>
      </w:r>
    </w:p>
    <w:p w14:paraId="302A1856">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80" w:firstLineChars="200"/>
        <w:jc w:val="both"/>
        <w:textAlignment w:val="auto"/>
        <w:outlineLvl w:val="9"/>
        <w:rPr>
          <w:rFonts w:hint="eastAsia" w:ascii="宋体" w:hAnsi="宋体" w:eastAsia="宋体" w:cs="宋体"/>
          <w:b w:val="0"/>
          <w:bCs w:val="0"/>
          <w:color w:val="auto"/>
          <w:sz w:val="24"/>
          <w:highlight w:val="none"/>
        </w:rPr>
      </w:pPr>
      <w:r>
        <w:rPr>
          <w:rFonts w:hint="eastAsia" w:ascii="宋体" w:hAnsi="宋体" w:eastAsia="宋体" w:cs="宋体"/>
          <w:b w:val="0"/>
          <w:bCs w:val="0"/>
          <w:color w:val="auto"/>
          <w:sz w:val="24"/>
          <w:highlight w:val="none"/>
        </w:rPr>
        <w:t>（2）</w:t>
      </w:r>
      <w:r>
        <w:rPr>
          <w:rFonts w:hint="eastAsia" w:hAnsi="宋体" w:eastAsia="宋体" w:cs="宋体"/>
          <w:color w:val="auto"/>
          <w:sz w:val="24"/>
          <w:highlight w:val="none"/>
          <w:lang w:eastAsia="zh-CN"/>
        </w:rPr>
        <w:t>初步设计</w:t>
      </w:r>
      <w:r>
        <w:rPr>
          <w:rFonts w:hint="eastAsia" w:ascii="宋体" w:hAnsi="宋体" w:eastAsia="宋体" w:cs="宋体"/>
          <w:b w:val="0"/>
          <w:bCs w:val="0"/>
          <w:color w:val="auto"/>
          <w:sz w:val="24"/>
          <w:highlight w:val="none"/>
        </w:rPr>
        <w:t>及相关资料；</w:t>
      </w:r>
    </w:p>
    <w:p w14:paraId="5EE53933">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80" w:firstLineChars="200"/>
        <w:jc w:val="both"/>
        <w:textAlignment w:val="auto"/>
        <w:outlineLvl w:val="9"/>
        <w:rPr>
          <w:rFonts w:hint="eastAsia" w:ascii="宋体" w:hAnsi="宋体" w:eastAsia="宋体" w:cs="宋体"/>
          <w:b w:val="0"/>
          <w:bCs w:val="0"/>
          <w:color w:val="auto"/>
          <w:sz w:val="24"/>
          <w:highlight w:val="none"/>
        </w:rPr>
      </w:pPr>
      <w:r>
        <w:rPr>
          <w:rFonts w:hint="eastAsia" w:ascii="宋体" w:hAnsi="宋体" w:eastAsia="宋体" w:cs="宋体"/>
          <w:b w:val="0"/>
          <w:bCs w:val="0"/>
          <w:color w:val="auto"/>
          <w:sz w:val="24"/>
          <w:highlight w:val="none"/>
        </w:rPr>
        <w:t>（3）施工现场情况、工程特点；</w:t>
      </w:r>
    </w:p>
    <w:p w14:paraId="5C2FD054">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80" w:firstLineChars="200"/>
        <w:jc w:val="both"/>
        <w:textAlignment w:val="auto"/>
        <w:outlineLvl w:val="9"/>
        <w:rPr>
          <w:rFonts w:hint="eastAsia" w:ascii="宋体" w:hAnsi="宋体" w:eastAsia="宋体" w:cs="宋体"/>
          <w:b w:val="0"/>
          <w:bCs w:val="0"/>
          <w:color w:val="auto"/>
          <w:sz w:val="24"/>
          <w:highlight w:val="none"/>
        </w:rPr>
      </w:pPr>
      <w:r>
        <w:rPr>
          <w:rFonts w:hint="eastAsia" w:ascii="宋体" w:hAnsi="宋体" w:eastAsia="宋体" w:cs="宋体"/>
          <w:b w:val="0"/>
          <w:bCs w:val="0"/>
          <w:color w:val="auto"/>
          <w:sz w:val="24"/>
          <w:highlight w:val="none"/>
        </w:rPr>
        <w:t>（4）相关</w:t>
      </w:r>
      <w:r>
        <w:rPr>
          <w:rFonts w:hint="eastAsia" w:hAnsi="宋体" w:eastAsia="宋体" w:cs="宋体"/>
          <w:b w:val="0"/>
          <w:bCs w:val="0"/>
          <w:color w:val="auto"/>
          <w:sz w:val="24"/>
          <w:highlight w:val="none"/>
          <w:lang w:eastAsia="zh-CN"/>
        </w:rPr>
        <w:t>法律法规</w:t>
      </w:r>
      <w:r>
        <w:rPr>
          <w:rFonts w:hint="eastAsia" w:ascii="宋体" w:hAnsi="宋体" w:eastAsia="宋体" w:cs="宋体"/>
          <w:b w:val="0"/>
          <w:bCs w:val="0"/>
          <w:color w:val="auto"/>
          <w:sz w:val="24"/>
          <w:highlight w:val="none"/>
        </w:rPr>
        <w:t>、规定；</w:t>
      </w:r>
    </w:p>
    <w:p w14:paraId="67E0C34E">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80" w:firstLineChars="200"/>
        <w:jc w:val="both"/>
        <w:textAlignment w:val="auto"/>
        <w:outlineLvl w:val="9"/>
        <w:rPr>
          <w:rFonts w:hint="eastAsia" w:ascii="宋体" w:hAnsi="宋体" w:eastAsia="宋体" w:cs="宋体"/>
          <w:b w:val="0"/>
          <w:bCs w:val="0"/>
          <w:color w:val="auto"/>
          <w:sz w:val="24"/>
          <w:highlight w:val="none"/>
        </w:rPr>
      </w:pPr>
      <w:r>
        <w:rPr>
          <w:rFonts w:hint="eastAsia" w:ascii="宋体" w:hAnsi="宋体" w:eastAsia="宋体" w:cs="宋体"/>
          <w:b w:val="0"/>
          <w:bCs w:val="0"/>
          <w:color w:val="auto"/>
          <w:sz w:val="24"/>
          <w:highlight w:val="none"/>
        </w:rPr>
        <w:t>（5）国家、广东省、韶关市关于施工现场管理、施工工艺、绿色施工、安全防护、文明施工、环境保护等方面的标准、规范、技术资料。如《广东省住房和城乡建设厅绿色施工导则》《广东省建设工程施工扬尘污染防治管理办法（试行）》等；</w:t>
      </w:r>
    </w:p>
    <w:p w14:paraId="371F8755">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80" w:firstLineChars="200"/>
        <w:jc w:val="both"/>
        <w:textAlignment w:val="auto"/>
        <w:outlineLvl w:val="9"/>
        <w:rPr>
          <w:rFonts w:hint="eastAsia" w:ascii="宋体" w:hAnsi="宋体" w:eastAsia="宋体" w:cs="宋体"/>
          <w:b w:val="0"/>
          <w:bCs w:val="0"/>
          <w:color w:val="auto"/>
          <w:sz w:val="24"/>
          <w:highlight w:val="none"/>
        </w:rPr>
      </w:pPr>
      <w:r>
        <w:rPr>
          <w:rFonts w:hint="eastAsia" w:ascii="宋体" w:hAnsi="宋体" w:eastAsia="宋体" w:cs="宋体"/>
          <w:b w:val="0"/>
          <w:bCs w:val="0"/>
          <w:color w:val="auto"/>
          <w:sz w:val="24"/>
          <w:highlight w:val="none"/>
        </w:rPr>
        <w:t>（6）企业内部标准、工法。</w:t>
      </w:r>
    </w:p>
    <w:p w14:paraId="5221B989">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80" w:firstLineChars="200"/>
        <w:jc w:val="both"/>
        <w:textAlignment w:val="auto"/>
        <w:outlineLvl w:val="9"/>
        <w:rPr>
          <w:rFonts w:hint="eastAsia" w:ascii="宋体" w:hAnsi="宋体" w:eastAsia="宋体" w:cs="宋体"/>
          <w:b w:val="0"/>
          <w:bCs w:val="0"/>
          <w:color w:val="auto"/>
          <w:sz w:val="24"/>
          <w:highlight w:val="none"/>
        </w:rPr>
      </w:pPr>
      <w:r>
        <w:rPr>
          <w:rFonts w:hint="eastAsia" w:hAnsi="宋体" w:eastAsia="宋体" w:cs="宋体"/>
          <w:b w:val="0"/>
          <w:bCs w:val="0"/>
          <w:color w:val="auto"/>
          <w:sz w:val="24"/>
          <w:highlight w:val="none"/>
          <w:lang w:val="en-US" w:eastAsia="zh-CN"/>
        </w:rPr>
        <w:t>11</w:t>
      </w:r>
      <w:r>
        <w:rPr>
          <w:rFonts w:hint="eastAsia" w:ascii="宋体" w:hAnsi="宋体" w:eastAsia="宋体" w:cs="宋体"/>
          <w:b w:val="0"/>
          <w:bCs w:val="0"/>
          <w:color w:val="auto"/>
          <w:sz w:val="24"/>
          <w:highlight w:val="none"/>
          <w:lang w:val="en-US" w:eastAsia="zh-CN"/>
        </w:rPr>
        <w:t>.</w:t>
      </w:r>
      <w:r>
        <w:rPr>
          <w:rFonts w:hint="eastAsia" w:hAnsi="宋体" w:eastAsia="宋体" w:cs="宋体"/>
          <w:b w:val="0"/>
          <w:bCs w:val="0"/>
          <w:color w:val="auto"/>
          <w:sz w:val="24"/>
          <w:highlight w:val="none"/>
          <w:lang w:val="en-US" w:eastAsia="zh-CN"/>
        </w:rPr>
        <w:t>3.2</w:t>
      </w:r>
      <w:r>
        <w:rPr>
          <w:rFonts w:hint="eastAsia" w:ascii="宋体" w:hAnsi="宋体" w:eastAsia="宋体" w:cs="宋体"/>
          <w:b w:val="0"/>
          <w:bCs w:val="0"/>
          <w:color w:val="auto"/>
          <w:sz w:val="24"/>
          <w:highlight w:val="none"/>
        </w:rPr>
        <w:t xml:space="preserve"> </w:t>
      </w:r>
      <w:r>
        <w:rPr>
          <w:rFonts w:hint="eastAsia" w:ascii="宋体" w:hAnsi="宋体" w:eastAsia="宋体" w:cs="宋体"/>
          <w:b w:val="0"/>
          <w:bCs w:val="0"/>
          <w:color w:val="auto"/>
          <w:sz w:val="24"/>
          <w:highlight w:val="none"/>
          <w:lang w:eastAsia="zh-CN"/>
        </w:rPr>
        <w:t>技术标书</w:t>
      </w:r>
      <w:r>
        <w:rPr>
          <w:rFonts w:hint="eastAsia" w:ascii="宋体" w:hAnsi="宋体" w:eastAsia="宋体" w:cs="宋体"/>
          <w:b w:val="0"/>
          <w:bCs w:val="0"/>
          <w:color w:val="auto"/>
          <w:sz w:val="24"/>
          <w:highlight w:val="none"/>
        </w:rPr>
        <w:t>包括但不限于以下内容：</w:t>
      </w:r>
    </w:p>
    <w:p w14:paraId="77EC2396">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80" w:firstLineChars="200"/>
        <w:jc w:val="both"/>
        <w:textAlignment w:val="auto"/>
        <w:outlineLvl w:val="9"/>
        <w:rPr>
          <w:rFonts w:hint="eastAsia" w:ascii="宋体" w:hAnsi="宋体" w:eastAsia="宋体" w:cs="宋体"/>
          <w:b w:val="0"/>
          <w:bCs w:val="0"/>
          <w:color w:val="auto"/>
          <w:sz w:val="24"/>
          <w:highlight w:val="none"/>
        </w:rPr>
      </w:pPr>
      <w:r>
        <w:rPr>
          <w:rFonts w:hint="eastAsia" w:ascii="宋体" w:hAnsi="宋体" w:eastAsia="宋体" w:cs="宋体"/>
          <w:b w:val="0"/>
          <w:bCs w:val="0"/>
          <w:color w:val="auto"/>
          <w:sz w:val="24"/>
          <w:highlight w:val="none"/>
        </w:rPr>
        <w:t>（1）封面（格式一</w:t>
      </w:r>
      <w:r>
        <w:rPr>
          <w:rFonts w:hint="eastAsia" w:hAnsi="宋体" w:eastAsia="宋体" w:cs="宋体"/>
          <w:b w:val="0"/>
          <w:bCs w:val="0"/>
          <w:color w:val="auto"/>
          <w:sz w:val="24"/>
          <w:highlight w:val="none"/>
          <w:lang w:eastAsia="zh-CN"/>
        </w:rPr>
        <w:t>）；</w:t>
      </w:r>
    </w:p>
    <w:p w14:paraId="0D0AD268">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80" w:firstLineChars="200"/>
        <w:jc w:val="both"/>
        <w:textAlignment w:val="auto"/>
        <w:outlineLvl w:val="9"/>
        <w:rPr>
          <w:rFonts w:hint="eastAsia" w:ascii="宋体" w:hAnsi="宋体" w:eastAsia="宋体" w:cs="宋体"/>
          <w:b w:val="0"/>
          <w:bCs w:val="0"/>
          <w:color w:val="auto"/>
          <w:sz w:val="24"/>
          <w:highlight w:val="none"/>
        </w:rPr>
      </w:pPr>
      <w:r>
        <w:rPr>
          <w:rFonts w:hint="eastAsia" w:ascii="宋体" w:hAnsi="宋体" w:eastAsia="宋体" w:cs="宋体"/>
          <w:b w:val="0"/>
          <w:bCs w:val="0"/>
          <w:color w:val="auto"/>
          <w:sz w:val="24"/>
          <w:highlight w:val="none"/>
        </w:rPr>
        <w:t>（2）目录；</w:t>
      </w:r>
    </w:p>
    <w:p w14:paraId="7F138C85">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80" w:firstLineChars="200"/>
        <w:jc w:val="both"/>
        <w:textAlignment w:val="auto"/>
        <w:outlineLvl w:val="9"/>
        <w:rPr>
          <w:rFonts w:hint="eastAsia" w:ascii="宋体" w:hAnsi="宋体" w:eastAsia="宋体" w:cs="宋体"/>
          <w:b w:val="0"/>
          <w:bCs w:val="0"/>
          <w:color w:val="auto"/>
          <w:sz w:val="24"/>
          <w:highlight w:val="none"/>
        </w:rPr>
      </w:pPr>
      <w:r>
        <w:rPr>
          <w:rFonts w:hint="eastAsia" w:ascii="宋体" w:hAnsi="宋体" w:eastAsia="宋体" w:cs="宋体"/>
          <w:b w:val="0"/>
          <w:bCs w:val="0"/>
          <w:color w:val="auto"/>
          <w:sz w:val="24"/>
          <w:highlight w:val="none"/>
        </w:rPr>
        <w:t>（3）</w:t>
      </w:r>
      <w:r>
        <w:rPr>
          <w:rFonts w:hint="eastAsia" w:ascii="宋体" w:hAnsi="宋体" w:eastAsia="宋体" w:cs="宋体"/>
          <w:b w:val="0"/>
          <w:bCs w:val="0"/>
          <w:color w:val="auto"/>
          <w:sz w:val="24"/>
          <w:highlight w:val="none"/>
          <w:lang w:val="en-US" w:eastAsia="en-US"/>
        </w:rPr>
        <w:t>设计管理方案和工作计划</w:t>
      </w:r>
      <w:r>
        <w:rPr>
          <w:rFonts w:hint="eastAsia" w:ascii="宋体" w:hAnsi="宋体" w:eastAsia="宋体" w:cs="宋体"/>
          <w:b w:val="0"/>
          <w:bCs w:val="0"/>
          <w:color w:val="auto"/>
          <w:sz w:val="24"/>
          <w:highlight w:val="none"/>
        </w:rPr>
        <w:t>；</w:t>
      </w:r>
    </w:p>
    <w:p w14:paraId="0055B0FF">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80" w:firstLineChars="200"/>
        <w:jc w:val="both"/>
        <w:textAlignment w:val="auto"/>
        <w:outlineLvl w:val="9"/>
        <w:rPr>
          <w:rFonts w:hint="eastAsia" w:ascii="宋体" w:hAnsi="宋体" w:eastAsia="宋体" w:cs="宋体"/>
          <w:b w:val="0"/>
          <w:bCs w:val="0"/>
          <w:color w:val="auto"/>
          <w:sz w:val="24"/>
          <w:highlight w:val="none"/>
        </w:rPr>
      </w:pPr>
      <w:r>
        <w:rPr>
          <w:rFonts w:hint="eastAsia" w:ascii="宋体" w:hAnsi="宋体" w:eastAsia="宋体" w:cs="宋体"/>
          <w:b w:val="0"/>
          <w:bCs w:val="0"/>
          <w:color w:val="auto"/>
          <w:sz w:val="24"/>
          <w:highlight w:val="none"/>
        </w:rPr>
        <w:t>（4）</w:t>
      </w:r>
      <w:r>
        <w:rPr>
          <w:rFonts w:hint="eastAsia" w:ascii="宋体" w:hAnsi="宋体" w:eastAsia="宋体" w:cs="宋体"/>
          <w:b w:val="0"/>
          <w:bCs w:val="0"/>
          <w:color w:val="auto"/>
          <w:sz w:val="24"/>
          <w:highlight w:val="none"/>
          <w:lang w:eastAsia="zh-CN"/>
        </w:rPr>
        <w:t>工期</w:t>
      </w:r>
      <w:r>
        <w:rPr>
          <w:rFonts w:hint="eastAsia" w:ascii="宋体" w:hAnsi="宋体" w:eastAsia="宋体" w:cs="宋体"/>
          <w:b w:val="0"/>
          <w:bCs w:val="0"/>
          <w:color w:val="auto"/>
          <w:sz w:val="24"/>
          <w:highlight w:val="none"/>
        </w:rPr>
        <w:t>进度计划及保证措施；</w:t>
      </w:r>
    </w:p>
    <w:p w14:paraId="42E4314B">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80" w:firstLineChars="200"/>
        <w:jc w:val="both"/>
        <w:textAlignment w:val="auto"/>
        <w:outlineLvl w:val="9"/>
        <w:rPr>
          <w:rFonts w:hint="eastAsia" w:ascii="宋体" w:hAnsi="宋体" w:eastAsia="宋体" w:cs="宋体"/>
          <w:b w:val="0"/>
          <w:bCs w:val="0"/>
          <w:color w:val="auto"/>
          <w:sz w:val="24"/>
          <w:highlight w:val="none"/>
        </w:rPr>
      </w:pPr>
      <w:r>
        <w:rPr>
          <w:rFonts w:hint="eastAsia" w:ascii="宋体" w:hAnsi="宋体" w:eastAsia="宋体" w:cs="宋体"/>
          <w:b w:val="0"/>
          <w:bCs w:val="0"/>
          <w:color w:val="auto"/>
          <w:sz w:val="24"/>
          <w:highlight w:val="none"/>
        </w:rPr>
        <w:t>（5）</w:t>
      </w:r>
      <w:r>
        <w:rPr>
          <w:rFonts w:hint="eastAsia" w:ascii="宋体" w:hAnsi="宋体" w:eastAsia="宋体" w:cs="宋体"/>
          <w:b w:val="0"/>
          <w:bCs w:val="0"/>
          <w:color w:val="auto"/>
          <w:sz w:val="24"/>
          <w:highlight w:val="none"/>
          <w:lang w:eastAsia="zh-CN"/>
        </w:rPr>
        <w:t>施工</w:t>
      </w:r>
      <w:r>
        <w:rPr>
          <w:rFonts w:hint="eastAsia" w:ascii="宋体" w:hAnsi="宋体" w:eastAsia="宋体" w:cs="宋体"/>
          <w:b w:val="0"/>
          <w:bCs w:val="0"/>
          <w:color w:val="auto"/>
          <w:sz w:val="24"/>
          <w:highlight w:val="none"/>
        </w:rPr>
        <w:t>质量保证措施；</w:t>
      </w:r>
    </w:p>
    <w:p w14:paraId="2EF8C36A">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80" w:firstLineChars="200"/>
        <w:jc w:val="both"/>
        <w:textAlignment w:val="auto"/>
        <w:outlineLvl w:val="9"/>
        <w:rPr>
          <w:rFonts w:hint="eastAsia" w:ascii="宋体" w:hAnsi="宋体" w:eastAsia="宋体" w:cs="宋体"/>
          <w:b w:val="0"/>
          <w:bCs w:val="0"/>
          <w:color w:val="auto"/>
          <w:sz w:val="24"/>
          <w:highlight w:val="none"/>
        </w:rPr>
      </w:pPr>
      <w:r>
        <w:rPr>
          <w:rFonts w:hint="eastAsia" w:ascii="宋体" w:hAnsi="宋体" w:eastAsia="宋体" w:cs="宋体"/>
          <w:b w:val="0"/>
          <w:bCs w:val="0"/>
          <w:color w:val="auto"/>
          <w:sz w:val="24"/>
          <w:highlight w:val="none"/>
        </w:rPr>
        <w:t>（</w:t>
      </w:r>
      <w:r>
        <w:rPr>
          <w:rFonts w:hint="eastAsia" w:ascii="宋体" w:hAnsi="宋体" w:eastAsia="宋体" w:cs="宋体"/>
          <w:b w:val="0"/>
          <w:bCs w:val="0"/>
          <w:color w:val="auto"/>
          <w:sz w:val="24"/>
          <w:highlight w:val="none"/>
          <w:lang w:val="en-US" w:eastAsia="zh-CN"/>
        </w:rPr>
        <w:t>6</w:t>
      </w:r>
      <w:r>
        <w:rPr>
          <w:rFonts w:hint="eastAsia" w:ascii="宋体" w:hAnsi="宋体" w:eastAsia="宋体" w:cs="宋体"/>
          <w:b w:val="0"/>
          <w:bCs w:val="0"/>
          <w:color w:val="auto"/>
          <w:sz w:val="24"/>
          <w:highlight w:val="none"/>
        </w:rPr>
        <w:t>）</w:t>
      </w:r>
      <w:r>
        <w:rPr>
          <w:rFonts w:hint="eastAsia" w:ascii="宋体" w:hAnsi="宋体" w:eastAsia="宋体" w:cs="宋体"/>
          <w:b w:val="0"/>
          <w:bCs w:val="0"/>
          <w:color w:val="auto"/>
          <w:sz w:val="24"/>
          <w:highlight w:val="none"/>
          <w:lang w:val="en-US" w:eastAsia="zh-CN"/>
        </w:rPr>
        <w:t>项目组织机构及人员配置、机械设备、劳动力投入计划</w:t>
      </w:r>
      <w:r>
        <w:rPr>
          <w:rFonts w:hint="eastAsia" w:ascii="宋体" w:hAnsi="宋体" w:eastAsia="宋体" w:cs="宋体"/>
          <w:b w:val="0"/>
          <w:bCs w:val="0"/>
          <w:color w:val="auto"/>
          <w:sz w:val="24"/>
          <w:highlight w:val="none"/>
        </w:rPr>
        <w:t>；</w:t>
      </w:r>
    </w:p>
    <w:p w14:paraId="1639546A">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80" w:firstLineChars="200"/>
        <w:jc w:val="both"/>
        <w:textAlignment w:val="auto"/>
        <w:outlineLvl w:val="9"/>
        <w:rPr>
          <w:rFonts w:hint="eastAsia" w:ascii="宋体" w:hAnsi="宋体" w:eastAsia="宋体" w:cs="宋体"/>
          <w:b w:val="0"/>
          <w:bCs w:val="0"/>
          <w:color w:val="auto"/>
          <w:sz w:val="24"/>
          <w:highlight w:val="none"/>
        </w:rPr>
      </w:pPr>
      <w:r>
        <w:rPr>
          <w:rFonts w:hint="eastAsia" w:ascii="宋体" w:hAnsi="宋体" w:eastAsia="宋体" w:cs="宋体"/>
          <w:b w:val="0"/>
          <w:bCs w:val="0"/>
          <w:color w:val="auto"/>
          <w:sz w:val="24"/>
          <w:highlight w:val="none"/>
        </w:rPr>
        <w:t>（</w:t>
      </w:r>
      <w:r>
        <w:rPr>
          <w:rFonts w:hint="eastAsia" w:ascii="宋体" w:hAnsi="宋体" w:eastAsia="宋体" w:cs="宋体"/>
          <w:b w:val="0"/>
          <w:bCs w:val="0"/>
          <w:color w:val="auto"/>
          <w:sz w:val="24"/>
          <w:highlight w:val="none"/>
          <w:lang w:val="en-US" w:eastAsia="zh-CN"/>
        </w:rPr>
        <w:t>7</w:t>
      </w:r>
      <w:r>
        <w:rPr>
          <w:rFonts w:hint="eastAsia" w:ascii="宋体" w:hAnsi="宋体" w:eastAsia="宋体" w:cs="宋体"/>
          <w:b w:val="0"/>
          <w:bCs w:val="0"/>
          <w:color w:val="auto"/>
          <w:sz w:val="24"/>
          <w:highlight w:val="none"/>
        </w:rPr>
        <w:t>）投标人认为有必要补充的其他内容。</w:t>
      </w:r>
    </w:p>
    <w:p w14:paraId="47CFE885">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80" w:firstLineChars="200"/>
        <w:jc w:val="both"/>
        <w:textAlignment w:val="auto"/>
        <w:outlineLvl w:val="9"/>
        <w:rPr>
          <w:rFonts w:hint="eastAsia" w:ascii="宋体" w:hAnsi="宋体" w:eastAsia="宋体" w:cs="宋体"/>
          <w:b w:val="0"/>
          <w:bCs w:val="0"/>
          <w:color w:val="auto"/>
          <w:sz w:val="24"/>
          <w:highlight w:val="none"/>
        </w:rPr>
      </w:pPr>
      <w:r>
        <w:rPr>
          <w:rFonts w:hint="eastAsia" w:hAnsi="宋体" w:eastAsia="宋体" w:cs="宋体"/>
          <w:b w:val="0"/>
          <w:bCs w:val="0"/>
          <w:color w:val="auto"/>
          <w:sz w:val="24"/>
          <w:highlight w:val="none"/>
          <w:lang w:val="en-US" w:eastAsia="zh-CN"/>
        </w:rPr>
        <w:t>11</w:t>
      </w:r>
      <w:r>
        <w:rPr>
          <w:rFonts w:hint="eastAsia" w:ascii="宋体" w:hAnsi="宋体" w:eastAsia="宋体" w:cs="宋体"/>
          <w:b w:val="0"/>
          <w:bCs w:val="0"/>
          <w:color w:val="auto"/>
          <w:sz w:val="24"/>
          <w:highlight w:val="none"/>
          <w:lang w:val="en-US" w:eastAsia="zh-CN"/>
        </w:rPr>
        <w:t>.</w:t>
      </w:r>
      <w:r>
        <w:rPr>
          <w:rFonts w:hint="eastAsia" w:hAnsi="宋体" w:eastAsia="宋体" w:cs="宋体"/>
          <w:b w:val="0"/>
          <w:bCs w:val="0"/>
          <w:color w:val="auto"/>
          <w:sz w:val="24"/>
          <w:highlight w:val="none"/>
          <w:lang w:val="en-US" w:eastAsia="zh-CN"/>
        </w:rPr>
        <w:t>3</w:t>
      </w:r>
      <w:r>
        <w:rPr>
          <w:rFonts w:hint="eastAsia" w:ascii="宋体" w:hAnsi="宋体" w:eastAsia="宋体" w:cs="宋体"/>
          <w:b w:val="0"/>
          <w:bCs w:val="0"/>
          <w:color w:val="auto"/>
          <w:sz w:val="24"/>
          <w:highlight w:val="none"/>
        </w:rPr>
        <w:t>.3 本节第</w:t>
      </w:r>
      <w:r>
        <w:rPr>
          <w:rFonts w:hint="eastAsia" w:hAnsi="宋体" w:eastAsia="宋体" w:cs="宋体"/>
          <w:b w:val="0"/>
          <w:bCs w:val="0"/>
          <w:color w:val="auto"/>
          <w:sz w:val="24"/>
          <w:highlight w:val="none"/>
          <w:lang w:val="en-US" w:eastAsia="zh-CN"/>
        </w:rPr>
        <w:t>11</w:t>
      </w:r>
      <w:r>
        <w:rPr>
          <w:rFonts w:hint="eastAsia" w:ascii="宋体" w:hAnsi="宋体" w:eastAsia="宋体" w:cs="宋体"/>
          <w:b w:val="0"/>
          <w:bCs w:val="0"/>
          <w:color w:val="auto"/>
          <w:sz w:val="24"/>
          <w:highlight w:val="none"/>
          <w:lang w:val="en-US" w:eastAsia="zh-CN"/>
        </w:rPr>
        <w:t>.</w:t>
      </w:r>
      <w:r>
        <w:rPr>
          <w:rFonts w:hint="eastAsia" w:hAnsi="宋体" w:eastAsia="宋体" w:cs="宋体"/>
          <w:b w:val="0"/>
          <w:bCs w:val="0"/>
          <w:color w:val="auto"/>
          <w:sz w:val="24"/>
          <w:highlight w:val="none"/>
          <w:lang w:val="en-US" w:eastAsia="zh-CN"/>
        </w:rPr>
        <w:t>3</w:t>
      </w:r>
      <w:r>
        <w:rPr>
          <w:rFonts w:hint="eastAsia" w:ascii="宋体" w:hAnsi="宋体" w:eastAsia="宋体" w:cs="宋体"/>
          <w:b w:val="0"/>
          <w:bCs w:val="0"/>
          <w:color w:val="auto"/>
          <w:sz w:val="24"/>
          <w:highlight w:val="none"/>
        </w:rPr>
        <w:t>.2目中所列出的</w:t>
      </w:r>
      <w:r>
        <w:rPr>
          <w:rFonts w:hint="eastAsia" w:ascii="宋体" w:hAnsi="宋体" w:eastAsia="宋体" w:cs="宋体"/>
          <w:b w:val="0"/>
          <w:bCs w:val="0"/>
          <w:color w:val="auto"/>
          <w:sz w:val="24"/>
          <w:highlight w:val="none"/>
          <w:lang w:eastAsia="zh-CN"/>
        </w:rPr>
        <w:t>技术标书</w:t>
      </w:r>
      <w:r>
        <w:rPr>
          <w:rFonts w:hint="eastAsia" w:ascii="宋体" w:hAnsi="宋体" w:eastAsia="宋体" w:cs="宋体"/>
          <w:b w:val="0"/>
          <w:bCs w:val="0"/>
          <w:color w:val="auto"/>
          <w:sz w:val="24"/>
          <w:highlight w:val="none"/>
        </w:rPr>
        <w:t>组成内容中，第（1）至第（</w:t>
      </w:r>
      <w:r>
        <w:rPr>
          <w:rFonts w:hint="eastAsia" w:ascii="宋体" w:hAnsi="宋体" w:eastAsia="宋体" w:cs="宋体"/>
          <w:b w:val="0"/>
          <w:bCs w:val="0"/>
          <w:color w:val="auto"/>
          <w:sz w:val="24"/>
          <w:highlight w:val="none"/>
          <w:lang w:val="en-US" w:eastAsia="zh-CN"/>
        </w:rPr>
        <w:t>6</w:t>
      </w:r>
      <w:r>
        <w:rPr>
          <w:rFonts w:hint="eastAsia" w:ascii="宋体" w:hAnsi="宋体" w:eastAsia="宋体" w:cs="宋体"/>
          <w:b w:val="0"/>
          <w:bCs w:val="0"/>
          <w:color w:val="auto"/>
          <w:sz w:val="24"/>
          <w:highlight w:val="none"/>
        </w:rPr>
        <w:t>）项所有投标人均应提供。</w:t>
      </w:r>
    </w:p>
    <w:p w14:paraId="6DCFAAC1">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80" w:firstLineChars="200"/>
        <w:jc w:val="both"/>
        <w:textAlignment w:val="auto"/>
        <w:outlineLvl w:val="9"/>
        <w:rPr>
          <w:rFonts w:hint="eastAsia" w:ascii="宋体" w:hAnsi="宋体" w:eastAsia="宋体" w:cs="宋体"/>
          <w:b w:val="0"/>
          <w:bCs w:val="0"/>
          <w:color w:val="auto"/>
          <w:sz w:val="24"/>
          <w:highlight w:val="none"/>
        </w:rPr>
      </w:pPr>
      <w:r>
        <w:rPr>
          <w:rFonts w:hint="eastAsia" w:hAnsi="宋体" w:eastAsia="宋体" w:cs="宋体"/>
          <w:b w:val="0"/>
          <w:bCs w:val="0"/>
          <w:color w:val="auto"/>
          <w:sz w:val="24"/>
          <w:highlight w:val="none"/>
          <w:lang w:val="en-US" w:eastAsia="zh-CN"/>
        </w:rPr>
        <w:t>11</w:t>
      </w:r>
      <w:r>
        <w:rPr>
          <w:rFonts w:hint="eastAsia" w:ascii="宋体" w:hAnsi="宋体" w:eastAsia="宋体" w:cs="宋体"/>
          <w:b w:val="0"/>
          <w:bCs w:val="0"/>
          <w:color w:val="auto"/>
          <w:sz w:val="24"/>
          <w:highlight w:val="none"/>
          <w:lang w:val="en-US" w:eastAsia="zh-CN"/>
        </w:rPr>
        <w:t>.</w:t>
      </w:r>
      <w:r>
        <w:rPr>
          <w:rFonts w:hint="eastAsia" w:hAnsi="宋体" w:eastAsia="宋体" w:cs="宋体"/>
          <w:b w:val="0"/>
          <w:bCs w:val="0"/>
          <w:color w:val="auto"/>
          <w:sz w:val="24"/>
          <w:highlight w:val="none"/>
          <w:lang w:val="en-US" w:eastAsia="zh-CN"/>
        </w:rPr>
        <w:t>3</w:t>
      </w:r>
      <w:r>
        <w:rPr>
          <w:rFonts w:hint="eastAsia" w:ascii="宋体" w:hAnsi="宋体" w:eastAsia="宋体" w:cs="宋体"/>
          <w:b w:val="0"/>
          <w:bCs w:val="0"/>
          <w:color w:val="auto"/>
          <w:sz w:val="24"/>
          <w:highlight w:val="none"/>
        </w:rPr>
        <w:t xml:space="preserve">.4 </w:t>
      </w:r>
      <w:r>
        <w:rPr>
          <w:rFonts w:hint="eastAsia" w:ascii="宋体" w:hAnsi="宋体" w:eastAsia="宋体" w:cs="宋体"/>
          <w:b w:val="0"/>
          <w:bCs w:val="0"/>
          <w:color w:val="auto"/>
          <w:sz w:val="24"/>
          <w:highlight w:val="none"/>
          <w:lang w:eastAsia="zh-CN"/>
        </w:rPr>
        <w:t>技术标书</w:t>
      </w:r>
      <w:r>
        <w:rPr>
          <w:rFonts w:hint="eastAsia" w:ascii="宋体" w:hAnsi="宋体" w:eastAsia="宋体" w:cs="宋体"/>
          <w:b w:val="0"/>
          <w:bCs w:val="0"/>
          <w:color w:val="auto"/>
          <w:sz w:val="24"/>
          <w:highlight w:val="none"/>
        </w:rPr>
        <w:t>的组成内容按本节第</w:t>
      </w:r>
      <w:r>
        <w:rPr>
          <w:rFonts w:hint="eastAsia" w:hAnsi="宋体" w:eastAsia="宋体" w:cs="宋体"/>
          <w:b w:val="0"/>
          <w:bCs w:val="0"/>
          <w:color w:val="auto"/>
          <w:sz w:val="24"/>
          <w:highlight w:val="none"/>
          <w:lang w:val="en-US" w:eastAsia="zh-CN"/>
        </w:rPr>
        <w:t>11</w:t>
      </w:r>
      <w:r>
        <w:rPr>
          <w:rFonts w:hint="eastAsia" w:ascii="宋体" w:hAnsi="宋体" w:eastAsia="宋体" w:cs="宋体"/>
          <w:b w:val="0"/>
          <w:bCs w:val="0"/>
          <w:color w:val="auto"/>
          <w:sz w:val="24"/>
          <w:highlight w:val="none"/>
          <w:lang w:val="en-US" w:eastAsia="zh-CN"/>
        </w:rPr>
        <w:t>.</w:t>
      </w:r>
      <w:r>
        <w:rPr>
          <w:rFonts w:hint="eastAsia" w:hAnsi="宋体" w:eastAsia="宋体" w:cs="宋体"/>
          <w:b w:val="0"/>
          <w:bCs w:val="0"/>
          <w:color w:val="auto"/>
          <w:sz w:val="24"/>
          <w:highlight w:val="none"/>
          <w:lang w:val="en-US" w:eastAsia="zh-CN"/>
        </w:rPr>
        <w:t>3</w:t>
      </w:r>
      <w:r>
        <w:rPr>
          <w:rFonts w:hint="eastAsia" w:ascii="宋体" w:hAnsi="宋体" w:eastAsia="宋体" w:cs="宋体"/>
          <w:b w:val="0"/>
          <w:bCs w:val="0"/>
          <w:color w:val="auto"/>
          <w:sz w:val="24"/>
          <w:highlight w:val="none"/>
        </w:rPr>
        <w:t>.2目规定的顺序整理、编排后，逐页（页码起始从封面开始）连续标记页码。</w:t>
      </w:r>
    </w:p>
    <w:p w14:paraId="6FF874BD">
      <w:pPr>
        <w:pStyle w:val="51"/>
        <w:pageBreakBefore w:val="0"/>
        <w:kinsoku/>
        <w:overflowPunct/>
        <w:topLinePunct w:val="0"/>
        <w:bidi w:val="0"/>
        <w:spacing w:line="440" w:lineRule="exact"/>
        <w:ind w:firstLine="480" w:firstLineChars="200"/>
        <w:textAlignment w:val="auto"/>
        <w:rPr>
          <w:rFonts w:hint="eastAsia" w:ascii="宋体" w:hAnsi="宋体" w:eastAsia="宋体" w:cs="宋体"/>
          <w:b/>
          <w:bCs/>
          <w:color w:val="auto"/>
          <w:sz w:val="24"/>
          <w:szCs w:val="24"/>
          <w:highlight w:val="none"/>
          <w:u w:val="none"/>
        </w:rPr>
      </w:pPr>
      <w:r>
        <w:rPr>
          <w:rFonts w:hint="eastAsia" w:hAnsi="宋体" w:cs="宋体"/>
          <w:b w:val="0"/>
          <w:bCs w:val="0"/>
          <w:color w:val="auto"/>
          <w:sz w:val="24"/>
          <w:highlight w:val="none"/>
          <w:lang w:val="en-US" w:eastAsia="zh-CN"/>
        </w:rPr>
        <w:t>11</w:t>
      </w:r>
      <w:r>
        <w:rPr>
          <w:rFonts w:hint="eastAsia" w:ascii="宋体" w:hAnsi="宋体" w:eastAsia="宋体" w:cs="宋体"/>
          <w:b w:val="0"/>
          <w:bCs w:val="0"/>
          <w:color w:val="auto"/>
          <w:sz w:val="24"/>
          <w:highlight w:val="none"/>
          <w:lang w:val="en-US" w:eastAsia="zh-CN"/>
        </w:rPr>
        <w:t>.</w:t>
      </w:r>
      <w:r>
        <w:rPr>
          <w:rFonts w:hint="eastAsia" w:hAnsi="宋体" w:cs="宋体"/>
          <w:b w:val="0"/>
          <w:bCs w:val="0"/>
          <w:color w:val="auto"/>
          <w:sz w:val="24"/>
          <w:highlight w:val="none"/>
          <w:lang w:val="en-US" w:eastAsia="zh-CN"/>
        </w:rPr>
        <w:t>3</w:t>
      </w:r>
      <w:r>
        <w:rPr>
          <w:rFonts w:hint="eastAsia" w:ascii="宋体" w:hAnsi="宋体" w:eastAsia="宋体" w:cs="宋体"/>
          <w:b w:val="0"/>
          <w:bCs w:val="0"/>
          <w:color w:val="auto"/>
          <w:sz w:val="24"/>
          <w:highlight w:val="none"/>
          <w:lang w:val="en-US" w:eastAsia="zh-CN"/>
        </w:rPr>
        <w:t xml:space="preserve">.5 </w:t>
      </w:r>
      <w:r>
        <w:rPr>
          <w:rFonts w:hint="eastAsia" w:ascii="宋体" w:hAnsi="宋体" w:eastAsia="宋体" w:cs="宋体"/>
          <w:b w:val="0"/>
          <w:bCs w:val="0"/>
          <w:color w:val="auto"/>
          <w:sz w:val="24"/>
          <w:highlight w:val="none"/>
          <w:lang w:eastAsia="zh-CN"/>
        </w:rPr>
        <w:t>技术标书</w:t>
      </w:r>
      <w:r>
        <w:rPr>
          <w:rFonts w:hint="eastAsia" w:ascii="宋体" w:hAnsi="宋体" w:eastAsia="宋体" w:cs="宋体"/>
          <w:b w:val="0"/>
          <w:bCs w:val="0"/>
          <w:color w:val="auto"/>
          <w:sz w:val="24"/>
          <w:highlight w:val="none"/>
          <w:lang w:val="en-US" w:eastAsia="zh-CN"/>
        </w:rPr>
        <w:t>的正文建议不</w:t>
      </w:r>
      <w:r>
        <w:rPr>
          <w:rFonts w:hint="eastAsia" w:hAnsi="宋体" w:cs="宋体"/>
          <w:b w:val="0"/>
          <w:bCs w:val="0"/>
          <w:color w:val="auto"/>
          <w:sz w:val="24"/>
          <w:highlight w:val="none"/>
          <w:lang w:val="en-US" w:eastAsia="zh-CN"/>
        </w:rPr>
        <w:t>超过15</w:t>
      </w:r>
      <w:r>
        <w:rPr>
          <w:rFonts w:hint="eastAsia" w:ascii="宋体" w:hAnsi="宋体" w:eastAsia="宋体" w:cs="宋体"/>
          <w:b w:val="0"/>
          <w:bCs w:val="0"/>
          <w:color w:val="auto"/>
          <w:sz w:val="24"/>
          <w:highlight w:val="none"/>
          <w:lang w:val="en-US" w:eastAsia="zh-CN"/>
        </w:rPr>
        <w:t>0页</w:t>
      </w:r>
      <w:r>
        <w:rPr>
          <w:rFonts w:hint="eastAsia" w:ascii="宋体" w:hAnsi="宋体" w:eastAsia="宋体" w:cs="宋体"/>
          <w:b/>
          <w:bCs/>
          <w:color w:val="auto"/>
          <w:sz w:val="24"/>
          <w:szCs w:val="24"/>
          <w:highlight w:val="none"/>
          <w:u w:val="none"/>
        </w:rPr>
        <w:t xml:space="preserve">。 </w:t>
      </w:r>
      <w:bookmarkStart w:id="182" w:name="_Toc14130"/>
      <w:bookmarkStart w:id="183" w:name="_Toc1583"/>
      <w:bookmarkStart w:id="184" w:name="_Toc17459"/>
      <w:bookmarkStart w:id="185" w:name="_Toc11313"/>
      <w:bookmarkStart w:id="186" w:name="_Toc13003"/>
      <w:bookmarkStart w:id="187" w:name="_Toc27175"/>
      <w:bookmarkStart w:id="188" w:name="_Toc11926"/>
      <w:bookmarkStart w:id="189" w:name="_Toc17812"/>
    </w:p>
    <w:p w14:paraId="07131DCC">
      <w:pPr>
        <w:ind w:firstLine="482" w:firstLineChars="200"/>
        <w:rPr>
          <w:rFonts w:hint="eastAsia" w:ascii="宋体" w:hAnsi="宋体" w:eastAsia="宋体" w:cs="宋体"/>
          <w:b/>
          <w:color w:val="auto"/>
          <w:sz w:val="24"/>
          <w:szCs w:val="24"/>
          <w:highlight w:val="none"/>
        </w:rPr>
      </w:pPr>
      <w:bookmarkStart w:id="190" w:name="_Toc17579"/>
      <w:bookmarkStart w:id="191" w:name="_Toc9889"/>
    </w:p>
    <w:p w14:paraId="4C3F0A78">
      <w:pPr>
        <w:ind w:firstLine="482" w:firstLineChars="200"/>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rPr>
        <w:t>11.</w:t>
      </w:r>
      <w:r>
        <w:rPr>
          <w:rFonts w:hint="eastAsia" w:ascii="宋体" w:hAnsi="宋体" w:eastAsia="宋体" w:cs="宋体"/>
          <w:b/>
          <w:color w:val="auto"/>
          <w:sz w:val="24"/>
          <w:szCs w:val="24"/>
          <w:highlight w:val="none"/>
          <w:lang w:val="en-US" w:eastAsia="zh-CN"/>
        </w:rPr>
        <w:t>4</w:t>
      </w:r>
      <w:r>
        <w:rPr>
          <w:rFonts w:hint="eastAsia" w:hAnsi="宋体" w:eastAsia="宋体" w:cs="宋体"/>
          <w:b/>
          <w:color w:val="auto"/>
          <w:sz w:val="24"/>
          <w:szCs w:val="24"/>
          <w:highlight w:val="none"/>
          <w:lang w:val="en-US" w:eastAsia="zh-CN"/>
        </w:rPr>
        <w:t xml:space="preserve"> 定标</w:t>
      </w:r>
      <w:r>
        <w:rPr>
          <w:rFonts w:hint="eastAsia" w:ascii="宋体" w:hAnsi="宋体" w:eastAsia="宋体" w:cs="宋体"/>
          <w:b/>
          <w:color w:val="auto"/>
          <w:sz w:val="24"/>
          <w:szCs w:val="24"/>
          <w:highlight w:val="none"/>
          <w:lang w:val="en-US" w:eastAsia="zh-CN"/>
        </w:rPr>
        <w:t>文件</w:t>
      </w:r>
      <w:r>
        <w:rPr>
          <w:rFonts w:hint="eastAsia" w:ascii="宋体" w:hAnsi="宋体" w:eastAsia="宋体" w:cs="宋体"/>
          <w:b/>
          <w:color w:val="auto"/>
          <w:sz w:val="24"/>
          <w:szCs w:val="24"/>
          <w:highlight w:val="none"/>
        </w:rPr>
        <w:t>的编制要求</w:t>
      </w:r>
      <w:bookmarkEnd w:id="190"/>
      <w:bookmarkEnd w:id="191"/>
    </w:p>
    <w:p w14:paraId="2AAFAFA1">
      <w:pPr>
        <w:keepNext w:val="0"/>
        <w:keepLines w:val="0"/>
        <w:pageBreakBefore w:val="0"/>
        <w:widowControl w:val="0"/>
        <w:kinsoku/>
        <w:wordWrap/>
        <w:overflowPunct/>
        <w:topLinePunct w:val="0"/>
        <w:autoSpaceDE/>
        <w:autoSpaceDN/>
        <w:bidi w:val="0"/>
        <w:adjustRightInd/>
        <w:snapToGrid/>
        <w:spacing w:line="440" w:lineRule="exact"/>
        <w:ind w:left="0" w:leftChars="0" w:right="0" w:rightChars="0" w:firstLine="480" w:firstLineChars="200"/>
        <w:jc w:val="both"/>
        <w:textAlignment w:val="auto"/>
        <w:outlineLvl w:val="9"/>
        <w:rPr>
          <w:rFonts w:hint="eastAsia" w:ascii="宋体" w:hAnsi="宋体" w:eastAsia="宋体" w:cs="宋体"/>
          <w:color w:val="auto"/>
          <w:sz w:val="24"/>
          <w:szCs w:val="24"/>
          <w:highlight w:val="none"/>
        </w:rPr>
      </w:pPr>
      <w:r>
        <w:rPr>
          <w:rFonts w:hint="eastAsia" w:ascii="宋体" w:hAnsi="宋体" w:eastAsia="宋体" w:cs="宋体"/>
          <w:b w:val="0"/>
          <w:bCs w:val="0"/>
          <w:color w:val="auto"/>
          <w:sz w:val="24"/>
          <w:szCs w:val="24"/>
          <w:highlight w:val="none"/>
        </w:rPr>
        <w:t>1</w:t>
      </w:r>
      <w:r>
        <w:rPr>
          <w:rFonts w:hint="eastAsia" w:ascii="宋体" w:hAnsi="宋体" w:eastAsia="宋体" w:cs="宋体"/>
          <w:b w:val="0"/>
          <w:bCs w:val="0"/>
          <w:color w:val="auto"/>
          <w:sz w:val="24"/>
          <w:szCs w:val="24"/>
          <w:highlight w:val="none"/>
          <w:lang w:val="en-US" w:eastAsia="zh-CN"/>
        </w:rPr>
        <w:t>1.</w:t>
      </w:r>
      <w:r>
        <w:rPr>
          <w:rFonts w:hint="eastAsia" w:hAnsi="宋体" w:eastAsia="宋体" w:cs="宋体"/>
          <w:b w:val="0"/>
          <w:bCs w:val="0"/>
          <w:color w:val="auto"/>
          <w:sz w:val="24"/>
          <w:szCs w:val="24"/>
          <w:highlight w:val="none"/>
          <w:lang w:val="en-US" w:eastAsia="zh-CN"/>
        </w:rPr>
        <w:t>4</w:t>
      </w:r>
      <w:r>
        <w:rPr>
          <w:rFonts w:hint="eastAsia" w:ascii="宋体" w:hAnsi="宋体" w:eastAsia="宋体" w:cs="宋体"/>
          <w:b w:val="0"/>
          <w:bCs w:val="0"/>
          <w:color w:val="auto"/>
          <w:sz w:val="24"/>
          <w:szCs w:val="24"/>
          <w:highlight w:val="none"/>
        </w:rPr>
        <w:t xml:space="preserve">.1 </w:t>
      </w:r>
      <w:r>
        <w:rPr>
          <w:rFonts w:hint="eastAsia" w:ascii="宋体" w:hAnsi="宋体" w:eastAsia="宋体" w:cs="宋体"/>
          <w:b w:val="0"/>
          <w:bCs w:val="0"/>
          <w:color w:val="auto"/>
          <w:sz w:val="24"/>
          <w:szCs w:val="24"/>
          <w:highlight w:val="none"/>
          <w:lang w:val="en-US" w:eastAsia="zh-CN"/>
        </w:rPr>
        <w:t>定标文件</w:t>
      </w:r>
      <w:r>
        <w:rPr>
          <w:rFonts w:hint="eastAsia" w:ascii="宋体" w:hAnsi="宋体" w:eastAsia="宋体" w:cs="宋体"/>
          <w:b w:val="0"/>
          <w:bCs w:val="0"/>
          <w:color w:val="auto"/>
          <w:sz w:val="24"/>
          <w:szCs w:val="24"/>
          <w:highlight w:val="none"/>
        </w:rPr>
        <w:t>包括以下内容：</w:t>
      </w:r>
    </w:p>
    <w:p w14:paraId="00DED2AB">
      <w:pPr>
        <w:keepNext w:val="0"/>
        <w:keepLines w:val="0"/>
        <w:pageBreakBefore w:val="0"/>
        <w:widowControl w:val="0"/>
        <w:kinsoku/>
        <w:wordWrap/>
        <w:overflowPunct/>
        <w:topLinePunct w:val="0"/>
        <w:autoSpaceDE/>
        <w:autoSpaceDN/>
        <w:bidi w:val="0"/>
        <w:adjustRightInd/>
        <w:snapToGrid/>
        <w:spacing w:line="440" w:lineRule="exact"/>
        <w:ind w:left="0" w:leftChars="0" w:right="0" w:rightChars="0" w:firstLine="480" w:firstLineChars="200"/>
        <w:jc w:val="both"/>
        <w:textAlignment w:val="auto"/>
        <w:outlineLvl w:val="9"/>
        <w:rPr>
          <w:rFonts w:hint="eastAsia" w:ascii="宋体" w:hAnsi="宋体" w:eastAsia="宋体" w:cs="宋体"/>
          <w:b w:val="0"/>
          <w:bCs w:val="0"/>
          <w:color w:val="auto"/>
          <w:sz w:val="24"/>
          <w:szCs w:val="24"/>
          <w:highlight w:val="none"/>
          <w:lang w:val="en-US" w:eastAsia="zh-CN"/>
        </w:rPr>
      </w:pPr>
      <w:r>
        <w:rPr>
          <w:rFonts w:hint="eastAsia" w:ascii="宋体" w:hAnsi="宋体" w:eastAsia="宋体" w:cs="宋体"/>
          <w:b w:val="0"/>
          <w:bCs w:val="0"/>
          <w:color w:val="auto"/>
          <w:sz w:val="24"/>
          <w:szCs w:val="24"/>
          <w:highlight w:val="none"/>
          <w:lang w:val="en-US" w:eastAsia="zh-CN"/>
        </w:rPr>
        <w:t>（1）封面（格式一）</w:t>
      </w:r>
    </w:p>
    <w:p w14:paraId="6751A5B3">
      <w:pPr>
        <w:keepNext w:val="0"/>
        <w:keepLines w:val="0"/>
        <w:pageBreakBefore w:val="0"/>
        <w:widowControl w:val="0"/>
        <w:kinsoku/>
        <w:wordWrap/>
        <w:overflowPunct/>
        <w:topLinePunct w:val="0"/>
        <w:autoSpaceDE/>
        <w:autoSpaceDN/>
        <w:bidi w:val="0"/>
        <w:adjustRightInd/>
        <w:snapToGrid/>
        <w:spacing w:line="440" w:lineRule="exact"/>
        <w:ind w:left="0" w:leftChars="0" w:right="0" w:rightChars="0" w:firstLine="480" w:firstLineChars="200"/>
        <w:jc w:val="both"/>
        <w:textAlignment w:val="auto"/>
        <w:outlineLvl w:val="9"/>
        <w:rPr>
          <w:rFonts w:hint="eastAsia" w:ascii="宋体" w:hAnsi="宋体" w:eastAsia="宋体" w:cs="宋体"/>
          <w:b w:val="0"/>
          <w:bCs w:val="0"/>
          <w:color w:val="auto"/>
          <w:sz w:val="24"/>
          <w:szCs w:val="24"/>
          <w:highlight w:val="none"/>
          <w:lang w:val="en-US" w:eastAsia="zh-CN"/>
        </w:rPr>
      </w:pPr>
      <w:r>
        <w:rPr>
          <w:rFonts w:hint="eastAsia" w:ascii="宋体" w:hAnsi="宋体" w:eastAsia="宋体" w:cs="宋体"/>
          <w:b w:val="0"/>
          <w:bCs w:val="0"/>
          <w:color w:val="auto"/>
          <w:sz w:val="24"/>
          <w:szCs w:val="24"/>
          <w:highlight w:val="none"/>
          <w:lang w:val="en-US" w:eastAsia="zh-CN"/>
        </w:rPr>
        <w:t>（2）目录（格式自拟）；</w:t>
      </w:r>
    </w:p>
    <w:p w14:paraId="722FF429">
      <w:pPr>
        <w:keepNext w:val="0"/>
        <w:keepLines w:val="0"/>
        <w:pageBreakBefore w:val="0"/>
        <w:widowControl w:val="0"/>
        <w:kinsoku/>
        <w:wordWrap/>
        <w:overflowPunct/>
        <w:topLinePunct w:val="0"/>
        <w:autoSpaceDE/>
        <w:autoSpaceDN/>
        <w:bidi w:val="0"/>
        <w:adjustRightInd/>
        <w:snapToGrid/>
        <w:spacing w:line="440" w:lineRule="exact"/>
        <w:ind w:right="0" w:rightChars="0" w:firstLine="480" w:firstLineChars="200"/>
        <w:jc w:val="both"/>
        <w:textAlignment w:val="auto"/>
        <w:outlineLvl w:val="9"/>
        <w:rPr>
          <w:rFonts w:hint="eastAsia" w:ascii="宋体" w:hAnsi="宋体" w:eastAsia="宋体" w:cs="宋体"/>
          <w:b w:val="0"/>
          <w:bCs w:val="0"/>
          <w:color w:val="auto"/>
          <w:sz w:val="24"/>
          <w:szCs w:val="24"/>
          <w:highlight w:val="none"/>
          <w:lang w:val="en-US" w:eastAsia="zh-CN"/>
        </w:rPr>
      </w:pPr>
      <w:r>
        <w:rPr>
          <w:rFonts w:hint="eastAsia" w:ascii="宋体" w:hAnsi="宋体" w:eastAsia="宋体" w:cs="宋体"/>
          <w:b w:val="0"/>
          <w:bCs w:val="0"/>
          <w:color w:val="auto"/>
          <w:sz w:val="24"/>
          <w:szCs w:val="24"/>
          <w:highlight w:val="none"/>
          <w:lang w:val="en-US" w:eastAsia="zh-CN"/>
        </w:rPr>
        <w:t>（3）定标因素评审资料（格式十四）。</w:t>
      </w:r>
    </w:p>
    <w:p w14:paraId="4407D9AE">
      <w:pPr>
        <w:keepNext w:val="0"/>
        <w:keepLines w:val="0"/>
        <w:pageBreakBefore w:val="0"/>
        <w:widowControl w:val="0"/>
        <w:kinsoku/>
        <w:wordWrap/>
        <w:overflowPunct/>
        <w:topLinePunct w:val="0"/>
        <w:autoSpaceDE/>
        <w:autoSpaceDN/>
        <w:bidi w:val="0"/>
        <w:adjustRightInd/>
        <w:snapToGrid/>
        <w:spacing w:line="440" w:lineRule="exact"/>
        <w:ind w:left="0" w:leftChars="0" w:right="0" w:rightChars="0" w:firstLine="480" w:firstLineChars="200"/>
        <w:jc w:val="both"/>
        <w:textAlignment w:val="auto"/>
        <w:outlineLvl w:val="9"/>
        <w:rPr>
          <w:rFonts w:hint="eastAsia" w:ascii="宋体" w:hAnsi="宋体" w:eastAsia="宋体" w:cs="宋体"/>
          <w:b w:val="0"/>
          <w:bCs w:val="0"/>
          <w:color w:val="auto"/>
          <w:sz w:val="24"/>
          <w:szCs w:val="24"/>
          <w:highlight w:val="none"/>
          <w:lang w:val="en-US" w:eastAsia="zh-CN"/>
        </w:rPr>
      </w:pPr>
      <w:r>
        <w:rPr>
          <w:rFonts w:hint="eastAsia" w:ascii="宋体" w:hAnsi="宋体" w:eastAsia="宋体" w:cs="宋体"/>
          <w:b w:val="0"/>
          <w:bCs w:val="0"/>
          <w:color w:val="auto"/>
          <w:sz w:val="24"/>
          <w:szCs w:val="24"/>
          <w:highlight w:val="none"/>
        </w:rPr>
        <w:t>1</w:t>
      </w:r>
      <w:r>
        <w:rPr>
          <w:rFonts w:hint="eastAsia" w:ascii="宋体" w:hAnsi="宋体" w:eastAsia="宋体" w:cs="宋体"/>
          <w:b w:val="0"/>
          <w:bCs w:val="0"/>
          <w:color w:val="auto"/>
          <w:sz w:val="24"/>
          <w:szCs w:val="24"/>
          <w:highlight w:val="none"/>
          <w:lang w:val="en-US" w:eastAsia="zh-CN"/>
        </w:rPr>
        <w:t>1.</w:t>
      </w:r>
      <w:r>
        <w:rPr>
          <w:rFonts w:hint="eastAsia" w:hAnsi="宋体" w:eastAsia="宋体" w:cs="宋体"/>
          <w:b w:val="0"/>
          <w:bCs w:val="0"/>
          <w:color w:val="auto"/>
          <w:sz w:val="24"/>
          <w:szCs w:val="24"/>
          <w:highlight w:val="none"/>
          <w:lang w:val="en-US" w:eastAsia="zh-CN"/>
        </w:rPr>
        <w:t>4</w:t>
      </w:r>
      <w:r>
        <w:rPr>
          <w:rFonts w:hint="eastAsia" w:ascii="宋体" w:hAnsi="宋体" w:eastAsia="宋体" w:cs="宋体"/>
          <w:b w:val="0"/>
          <w:bCs w:val="0"/>
          <w:color w:val="auto"/>
          <w:sz w:val="24"/>
          <w:szCs w:val="24"/>
          <w:highlight w:val="none"/>
        </w:rPr>
        <w:t>.</w:t>
      </w:r>
      <w:r>
        <w:rPr>
          <w:rFonts w:hint="eastAsia" w:ascii="宋体" w:hAnsi="宋体" w:eastAsia="宋体" w:cs="宋体"/>
          <w:b w:val="0"/>
          <w:bCs w:val="0"/>
          <w:color w:val="auto"/>
          <w:sz w:val="24"/>
          <w:szCs w:val="24"/>
          <w:highlight w:val="none"/>
          <w:lang w:val="en-US" w:eastAsia="zh-CN"/>
        </w:rPr>
        <w:t>2</w:t>
      </w:r>
      <w:r>
        <w:rPr>
          <w:rFonts w:hint="eastAsia" w:ascii="宋体" w:hAnsi="宋体" w:eastAsia="宋体" w:cs="宋体"/>
          <w:b w:val="0"/>
          <w:bCs w:val="0"/>
          <w:color w:val="auto"/>
          <w:sz w:val="24"/>
          <w:szCs w:val="24"/>
          <w:highlight w:val="none"/>
        </w:rPr>
        <w:t xml:space="preserve"> 本节第1</w:t>
      </w:r>
      <w:r>
        <w:rPr>
          <w:rFonts w:hint="eastAsia" w:ascii="宋体" w:hAnsi="宋体" w:eastAsia="宋体" w:cs="宋体"/>
          <w:b w:val="0"/>
          <w:bCs w:val="0"/>
          <w:color w:val="auto"/>
          <w:sz w:val="24"/>
          <w:szCs w:val="24"/>
          <w:highlight w:val="none"/>
          <w:lang w:val="en-US" w:eastAsia="zh-CN"/>
        </w:rPr>
        <w:t>1.</w:t>
      </w:r>
      <w:r>
        <w:rPr>
          <w:rFonts w:hint="eastAsia" w:hAnsi="宋体" w:eastAsia="宋体" w:cs="宋体"/>
          <w:b w:val="0"/>
          <w:bCs w:val="0"/>
          <w:color w:val="auto"/>
          <w:sz w:val="24"/>
          <w:szCs w:val="24"/>
          <w:highlight w:val="none"/>
          <w:lang w:val="en-US" w:eastAsia="zh-CN"/>
        </w:rPr>
        <w:t>4</w:t>
      </w:r>
      <w:r>
        <w:rPr>
          <w:rFonts w:hint="eastAsia" w:ascii="宋体" w:hAnsi="宋体" w:eastAsia="宋体" w:cs="宋体"/>
          <w:b w:val="0"/>
          <w:bCs w:val="0"/>
          <w:color w:val="auto"/>
          <w:sz w:val="24"/>
          <w:szCs w:val="24"/>
          <w:highlight w:val="none"/>
        </w:rPr>
        <w:t>.</w:t>
      </w:r>
      <w:r>
        <w:rPr>
          <w:rFonts w:hint="eastAsia" w:ascii="宋体" w:hAnsi="宋体" w:eastAsia="宋体" w:cs="宋体"/>
          <w:b w:val="0"/>
          <w:bCs w:val="0"/>
          <w:color w:val="auto"/>
          <w:sz w:val="24"/>
          <w:szCs w:val="24"/>
          <w:highlight w:val="none"/>
          <w:lang w:val="en-US" w:eastAsia="zh-CN"/>
        </w:rPr>
        <w:t>1</w:t>
      </w:r>
      <w:r>
        <w:rPr>
          <w:rFonts w:hint="eastAsia" w:ascii="宋体" w:hAnsi="宋体" w:eastAsia="宋体" w:cs="宋体"/>
          <w:b w:val="0"/>
          <w:bCs w:val="0"/>
          <w:color w:val="auto"/>
          <w:sz w:val="24"/>
          <w:szCs w:val="24"/>
          <w:highlight w:val="none"/>
        </w:rPr>
        <w:t>目中所列出的组成内容中，第</w:t>
      </w:r>
      <w:r>
        <w:rPr>
          <w:rFonts w:hint="eastAsia" w:ascii="宋体" w:hAnsi="宋体" w:eastAsia="宋体" w:cs="宋体"/>
          <w:b w:val="0"/>
          <w:bCs w:val="0"/>
          <w:color w:val="auto"/>
          <w:sz w:val="24"/>
          <w:szCs w:val="24"/>
          <w:highlight w:val="none"/>
          <w:lang w:val="en-US" w:eastAsia="zh-CN"/>
        </w:rPr>
        <w:t>（1）至</w:t>
      </w:r>
      <w:r>
        <w:rPr>
          <w:rFonts w:hint="eastAsia" w:ascii="宋体" w:hAnsi="宋体" w:eastAsia="宋体" w:cs="宋体"/>
          <w:b w:val="0"/>
          <w:bCs w:val="0"/>
          <w:color w:val="auto"/>
          <w:sz w:val="24"/>
          <w:szCs w:val="24"/>
          <w:highlight w:val="none"/>
        </w:rPr>
        <w:t>（</w:t>
      </w:r>
      <w:r>
        <w:rPr>
          <w:rFonts w:hint="eastAsia" w:ascii="宋体" w:hAnsi="宋体" w:eastAsia="宋体" w:cs="宋体"/>
          <w:b w:val="0"/>
          <w:bCs w:val="0"/>
          <w:color w:val="auto"/>
          <w:sz w:val="24"/>
          <w:szCs w:val="24"/>
          <w:highlight w:val="none"/>
          <w:lang w:val="en-US" w:eastAsia="zh-CN"/>
        </w:rPr>
        <w:t>3</w:t>
      </w:r>
      <w:r>
        <w:rPr>
          <w:rFonts w:hint="eastAsia" w:ascii="宋体" w:hAnsi="宋体" w:eastAsia="宋体" w:cs="宋体"/>
          <w:b w:val="0"/>
          <w:bCs w:val="0"/>
          <w:color w:val="auto"/>
          <w:sz w:val="24"/>
          <w:szCs w:val="24"/>
          <w:highlight w:val="none"/>
        </w:rPr>
        <w:t>）项所有投标人均应提供。</w:t>
      </w:r>
    </w:p>
    <w:p w14:paraId="2EA63207">
      <w:pPr>
        <w:pStyle w:val="51"/>
        <w:pageBreakBefore w:val="0"/>
        <w:kinsoku/>
        <w:overflowPunct/>
        <w:topLinePunct w:val="0"/>
        <w:bidi w:val="0"/>
        <w:spacing w:line="440" w:lineRule="exact"/>
        <w:ind w:firstLine="482" w:firstLineChars="200"/>
        <w:textAlignment w:val="auto"/>
        <w:rPr>
          <w:rFonts w:hint="eastAsia" w:ascii="宋体" w:hAnsi="宋体" w:eastAsia="宋体" w:cs="宋体"/>
          <w:b/>
          <w:snapToGrid w:val="0"/>
          <w:color w:val="auto"/>
          <w:sz w:val="24"/>
          <w:szCs w:val="24"/>
          <w:highlight w:val="none"/>
        </w:rPr>
      </w:pPr>
      <w:r>
        <w:rPr>
          <w:rFonts w:hint="eastAsia" w:ascii="宋体" w:hAnsi="宋体" w:eastAsia="宋体" w:cs="宋体"/>
          <w:b/>
          <w:color w:val="auto"/>
          <w:sz w:val="24"/>
          <w:szCs w:val="24"/>
          <w:highlight w:val="none"/>
        </w:rPr>
        <w:t>11.</w:t>
      </w:r>
      <w:bookmarkEnd w:id="182"/>
      <w:bookmarkEnd w:id="183"/>
      <w:bookmarkEnd w:id="184"/>
      <w:bookmarkEnd w:id="185"/>
      <w:bookmarkEnd w:id="186"/>
      <w:bookmarkEnd w:id="187"/>
      <w:bookmarkEnd w:id="188"/>
      <w:bookmarkEnd w:id="189"/>
      <w:r>
        <w:rPr>
          <w:rFonts w:hint="eastAsia" w:hAnsi="宋体" w:cs="宋体"/>
          <w:b/>
          <w:color w:val="auto"/>
          <w:sz w:val="24"/>
          <w:szCs w:val="24"/>
          <w:highlight w:val="none"/>
          <w:lang w:val="en-US" w:eastAsia="zh-CN"/>
        </w:rPr>
        <w:t>5</w:t>
      </w:r>
      <w:r>
        <w:rPr>
          <w:rFonts w:hint="eastAsia" w:ascii="宋体" w:hAnsi="宋体" w:eastAsia="宋体" w:cs="宋体"/>
          <w:b/>
          <w:snapToGrid w:val="0"/>
          <w:color w:val="auto"/>
          <w:sz w:val="24"/>
          <w:szCs w:val="24"/>
          <w:highlight w:val="none"/>
        </w:rPr>
        <w:t>电子投标</w:t>
      </w:r>
      <w:bookmarkStart w:id="192" w:name="_Hlt66200498"/>
      <w:bookmarkEnd w:id="192"/>
      <w:bookmarkStart w:id="193" w:name="_Hlt66511038"/>
      <w:bookmarkEnd w:id="193"/>
      <w:bookmarkStart w:id="194" w:name="_Hlt88627590"/>
      <w:bookmarkEnd w:id="194"/>
      <w:bookmarkStart w:id="195" w:name="_Toc27961"/>
    </w:p>
    <w:p w14:paraId="24F2ACC7">
      <w:pPr>
        <w:pStyle w:val="51"/>
        <w:pageBreakBefore w:val="0"/>
        <w:kinsoku/>
        <w:overflowPunct/>
        <w:topLinePunct w:val="0"/>
        <w:bidi w:val="0"/>
        <w:spacing w:line="440" w:lineRule="exact"/>
        <w:ind w:firstLine="480" w:firstLineChars="200"/>
        <w:textAlignment w:val="auto"/>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11.</w:t>
      </w:r>
      <w:r>
        <w:rPr>
          <w:rFonts w:hint="eastAsia" w:hAnsi="宋体" w:cs="宋体"/>
          <w:bCs/>
          <w:color w:val="auto"/>
          <w:sz w:val="24"/>
          <w:szCs w:val="24"/>
          <w:highlight w:val="none"/>
          <w:lang w:val="en-US" w:eastAsia="zh-CN"/>
        </w:rPr>
        <w:t>5</w:t>
      </w:r>
      <w:r>
        <w:rPr>
          <w:rFonts w:hint="eastAsia" w:ascii="宋体" w:hAnsi="宋体" w:eastAsia="宋体" w:cs="宋体"/>
          <w:bCs/>
          <w:color w:val="auto"/>
          <w:sz w:val="24"/>
          <w:szCs w:val="24"/>
          <w:highlight w:val="none"/>
        </w:rPr>
        <w:t>.1</w:t>
      </w:r>
      <w:r>
        <w:rPr>
          <w:rFonts w:hint="eastAsia" w:hAnsi="宋体" w:cs="宋体"/>
          <w:bCs/>
          <w:color w:val="auto"/>
          <w:sz w:val="24"/>
          <w:szCs w:val="24"/>
          <w:highlight w:val="none"/>
          <w:lang w:eastAsia="zh-CN"/>
        </w:rPr>
        <w:t xml:space="preserve"> </w:t>
      </w:r>
      <w:r>
        <w:rPr>
          <w:rFonts w:hint="eastAsia" w:ascii="宋体" w:hAnsi="宋体" w:eastAsia="宋体" w:cs="宋体"/>
          <w:bCs/>
          <w:color w:val="auto"/>
          <w:sz w:val="24"/>
          <w:szCs w:val="24"/>
          <w:highlight w:val="none"/>
        </w:rPr>
        <w:t>在交易平台上传加盖了电子印章的投标文件</w:t>
      </w:r>
      <w:r>
        <w:rPr>
          <w:rFonts w:hint="eastAsia" w:hAnsi="宋体" w:cs="宋体"/>
          <w:bCs/>
          <w:color w:val="auto"/>
          <w:sz w:val="24"/>
          <w:szCs w:val="24"/>
          <w:highlight w:val="none"/>
          <w:lang w:eastAsia="zh-CN"/>
        </w:rPr>
        <w:t>，</w:t>
      </w:r>
      <w:r>
        <w:rPr>
          <w:rFonts w:hint="eastAsia" w:ascii="宋体" w:hAnsi="宋体" w:eastAsia="宋体" w:cs="宋体"/>
          <w:bCs/>
          <w:color w:val="auto"/>
          <w:sz w:val="24"/>
          <w:szCs w:val="24"/>
          <w:highlight w:val="none"/>
        </w:rPr>
        <w:t>录入相关信息及标书页码信息，并提交投标标书（页码起始从封面开始）。提交标书为已加密投标文件。具体操作参照《韶关市公共资源建设工程交易系统-投标人操作指南（电子评标）》。</w:t>
      </w:r>
    </w:p>
    <w:p w14:paraId="3B72529E">
      <w:pPr>
        <w:pStyle w:val="51"/>
        <w:pageBreakBefore w:val="0"/>
        <w:kinsoku/>
        <w:overflowPunct/>
        <w:topLinePunct w:val="0"/>
        <w:bidi w:val="0"/>
        <w:spacing w:line="440" w:lineRule="exact"/>
        <w:ind w:firstLine="480" w:firstLineChars="200"/>
        <w:textAlignment w:val="auto"/>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本项目评标采用全流程电子化进行招标投标（投标人应在交易平台进行编辑投标相关内容、按招标文件电子投标要求上传已加盖电子印章的投标文件，否则将自行承担不利后果）。投标人在交易平台按要求上传加盖电子印章并经加密的电子投标文件，并在交易平台录入准确的页码信息即可完成在线投标。由于投标人原因导致未按投标</w:t>
      </w:r>
      <w:r>
        <w:rPr>
          <w:rFonts w:hint="eastAsia" w:hAnsi="宋体" w:cs="宋体"/>
          <w:bCs/>
          <w:color w:val="auto"/>
          <w:sz w:val="24"/>
          <w:szCs w:val="24"/>
          <w:highlight w:val="none"/>
          <w:lang w:eastAsia="zh-CN"/>
        </w:rPr>
        <w:t>截止</w:t>
      </w:r>
      <w:r>
        <w:rPr>
          <w:rFonts w:hint="eastAsia" w:ascii="宋体" w:hAnsi="宋体" w:eastAsia="宋体" w:cs="宋体"/>
          <w:bCs/>
          <w:color w:val="auto"/>
          <w:sz w:val="24"/>
          <w:szCs w:val="24"/>
          <w:highlight w:val="none"/>
        </w:rPr>
        <w:t>时限上传完整投标文件、在交易平台中上传的投标文件无法解密、投标文件损坏或格式不正确、投标文件未按招标文件要求加盖电子印章或电子印章不完整、电子投标文件解密失败且未按要求上传备用投标文件等情形导致投标无效的，由投标人自行负责。</w:t>
      </w:r>
    </w:p>
    <w:p w14:paraId="637E0111">
      <w:pPr>
        <w:pStyle w:val="51"/>
        <w:pageBreakBefore w:val="0"/>
        <w:kinsoku/>
        <w:overflowPunct/>
        <w:topLinePunct w:val="0"/>
        <w:bidi w:val="0"/>
        <w:spacing w:line="440" w:lineRule="exact"/>
        <w:ind w:firstLine="480" w:firstLineChars="200"/>
        <w:textAlignment w:val="auto"/>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投标文件完成上传后，投标人应使用 CA 数字证书对投标文件进行文件加密，形成加密的投标文件并提交标书。</w:t>
      </w:r>
    </w:p>
    <w:p w14:paraId="6475C2F0">
      <w:pPr>
        <w:pStyle w:val="51"/>
        <w:pageBreakBefore w:val="0"/>
        <w:kinsoku/>
        <w:overflowPunct/>
        <w:topLinePunct w:val="0"/>
        <w:bidi w:val="0"/>
        <w:spacing w:line="440" w:lineRule="exact"/>
        <w:ind w:firstLine="480" w:firstLineChars="200"/>
        <w:textAlignment w:val="auto"/>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11.</w:t>
      </w:r>
      <w:r>
        <w:rPr>
          <w:rFonts w:hint="eastAsia" w:hAnsi="宋体" w:cs="宋体"/>
          <w:bCs/>
          <w:color w:val="auto"/>
          <w:sz w:val="24"/>
          <w:szCs w:val="24"/>
          <w:highlight w:val="none"/>
          <w:lang w:val="en-US" w:eastAsia="zh-CN"/>
        </w:rPr>
        <w:t>5</w:t>
      </w:r>
      <w:r>
        <w:rPr>
          <w:rFonts w:hint="eastAsia" w:ascii="宋体" w:hAnsi="宋体" w:eastAsia="宋体" w:cs="宋体"/>
          <w:bCs/>
          <w:color w:val="auto"/>
          <w:sz w:val="24"/>
          <w:szCs w:val="24"/>
          <w:highlight w:val="none"/>
        </w:rPr>
        <w:t>.2电子投标文件的修改、撤回：在提交投标文件截止时间前，投标人可以修改或撤回未解密的电子投标文件，并于提交投标文件截止时间前将重新上传修改后的电子投标文件至交易平台</w:t>
      </w:r>
      <w:r>
        <w:rPr>
          <w:rFonts w:hint="eastAsia" w:hAnsi="宋体" w:cs="宋体"/>
          <w:bCs/>
          <w:color w:val="auto"/>
          <w:sz w:val="24"/>
          <w:szCs w:val="24"/>
          <w:highlight w:val="none"/>
          <w:lang w:eastAsia="zh-CN"/>
        </w:rPr>
        <w:t>。</w:t>
      </w:r>
      <w:r>
        <w:rPr>
          <w:rFonts w:hint="eastAsia" w:ascii="宋体" w:hAnsi="宋体" w:eastAsia="宋体" w:cs="宋体"/>
          <w:bCs/>
          <w:color w:val="auto"/>
          <w:sz w:val="24"/>
          <w:szCs w:val="24"/>
          <w:highlight w:val="none"/>
        </w:rPr>
        <w:t>到达投标文件提交截止时间后</w:t>
      </w:r>
      <w:r>
        <w:rPr>
          <w:rFonts w:hint="eastAsia" w:hAnsi="宋体" w:cs="宋体"/>
          <w:bCs/>
          <w:color w:val="auto"/>
          <w:sz w:val="24"/>
          <w:szCs w:val="24"/>
          <w:highlight w:val="none"/>
          <w:lang w:eastAsia="zh-CN"/>
        </w:rPr>
        <w:t>，投标人</w:t>
      </w:r>
      <w:r>
        <w:rPr>
          <w:rFonts w:hint="eastAsia" w:ascii="宋体" w:hAnsi="宋体" w:eastAsia="宋体" w:cs="宋体"/>
          <w:bCs/>
          <w:color w:val="auto"/>
          <w:sz w:val="24"/>
          <w:szCs w:val="24"/>
          <w:highlight w:val="none"/>
        </w:rPr>
        <w:t>不得撤回、补充、修改和更换投标文件。</w:t>
      </w:r>
    </w:p>
    <w:p w14:paraId="3DEBFB55">
      <w:pPr>
        <w:pStyle w:val="51"/>
        <w:pageBreakBefore w:val="0"/>
        <w:kinsoku/>
        <w:overflowPunct/>
        <w:topLinePunct w:val="0"/>
        <w:bidi w:val="0"/>
        <w:spacing w:line="440" w:lineRule="exact"/>
        <w:ind w:firstLine="480" w:firstLineChars="200"/>
        <w:textAlignment w:val="auto"/>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11.</w:t>
      </w:r>
      <w:r>
        <w:rPr>
          <w:rFonts w:hint="eastAsia" w:hAnsi="宋体" w:cs="宋体"/>
          <w:bCs/>
          <w:color w:val="auto"/>
          <w:sz w:val="24"/>
          <w:szCs w:val="24"/>
          <w:highlight w:val="none"/>
          <w:lang w:val="en-US" w:eastAsia="zh-CN"/>
        </w:rPr>
        <w:t>5</w:t>
      </w:r>
      <w:r>
        <w:rPr>
          <w:rFonts w:hint="eastAsia" w:ascii="宋体" w:hAnsi="宋体" w:eastAsia="宋体" w:cs="宋体"/>
          <w:bCs/>
          <w:color w:val="auto"/>
          <w:sz w:val="24"/>
          <w:szCs w:val="24"/>
          <w:highlight w:val="none"/>
        </w:rPr>
        <w:t>.3电子投标及投标解密失败及突发情况的补救方案</w:t>
      </w:r>
    </w:p>
    <w:p w14:paraId="5F2CA8A2">
      <w:pPr>
        <w:pStyle w:val="51"/>
        <w:pageBreakBefore w:val="0"/>
        <w:kinsoku/>
        <w:overflowPunct/>
        <w:topLinePunct w:val="0"/>
        <w:bidi w:val="0"/>
        <w:spacing w:line="440" w:lineRule="exact"/>
        <w:ind w:firstLine="480" w:firstLineChars="200"/>
        <w:textAlignment w:val="auto"/>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11.</w:t>
      </w:r>
      <w:r>
        <w:rPr>
          <w:rFonts w:hint="eastAsia" w:hAnsi="宋体" w:cs="宋体"/>
          <w:bCs/>
          <w:color w:val="auto"/>
          <w:sz w:val="24"/>
          <w:szCs w:val="24"/>
          <w:highlight w:val="none"/>
          <w:lang w:val="en-US" w:eastAsia="zh-CN"/>
        </w:rPr>
        <w:t>5</w:t>
      </w:r>
      <w:r>
        <w:rPr>
          <w:rFonts w:hint="eastAsia" w:ascii="宋体" w:hAnsi="宋体" w:eastAsia="宋体" w:cs="宋体"/>
          <w:bCs/>
          <w:color w:val="auto"/>
          <w:sz w:val="24"/>
          <w:szCs w:val="24"/>
          <w:highlight w:val="none"/>
        </w:rPr>
        <w:t>.3.1</w:t>
      </w:r>
      <w:r>
        <w:rPr>
          <w:rFonts w:hint="eastAsia" w:hAnsi="宋体" w:cs="宋体"/>
          <w:bCs/>
          <w:color w:val="auto"/>
          <w:sz w:val="24"/>
          <w:szCs w:val="24"/>
          <w:highlight w:val="none"/>
          <w:lang w:eastAsia="zh-CN"/>
        </w:rPr>
        <w:t xml:space="preserve"> 按照</w:t>
      </w:r>
      <w:r>
        <w:rPr>
          <w:rFonts w:hint="eastAsia" w:ascii="宋体" w:hAnsi="宋体" w:eastAsia="宋体" w:cs="宋体"/>
          <w:bCs/>
          <w:color w:val="auto"/>
          <w:sz w:val="24"/>
          <w:szCs w:val="24"/>
          <w:highlight w:val="none"/>
        </w:rPr>
        <w:t>交易平台关于全流程电子化项目的相关指南进行操作</w:t>
      </w:r>
      <w:r>
        <w:rPr>
          <w:rFonts w:hint="eastAsia" w:hAnsi="宋体" w:cs="宋体"/>
          <w:bCs/>
          <w:color w:val="auto"/>
          <w:sz w:val="24"/>
          <w:szCs w:val="24"/>
          <w:highlight w:val="none"/>
          <w:lang w:eastAsia="zh-CN"/>
        </w:rPr>
        <w:t>，</w:t>
      </w:r>
      <w:r>
        <w:rPr>
          <w:rFonts w:hint="eastAsia" w:ascii="宋体" w:hAnsi="宋体" w:eastAsia="宋体" w:cs="宋体"/>
          <w:bCs/>
          <w:color w:val="auto"/>
          <w:sz w:val="24"/>
          <w:szCs w:val="24"/>
          <w:highlight w:val="none"/>
        </w:rPr>
        <w:t>详见全国公共资源交易平台（广东省·韶关市）发布的最新版操作指南。</w:t>
      </w:r>
    </w:p>
    <w:p w14:paraId="25C8E7E9">
      <w:pPr>
        <w:pStyle w:val="51"/>
        <w:pageBreakBefore w:val="0"/>
        <w:kinsoku/>
        <w:overflowPunct/>
        <w:topLinePunct w:val="0"/>
        <w:bidi w:val="0"/>
        <w:spacing w:line="440" w:lineRule="exact"/>
        <w:ind w:firstLine="480" w:firstLineChars="200"/>
        <w:textAlignment w:val="auto"/>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11.</w:t>
      </w:r>
      <w:r>
        <w:rPr>
          <w:rFonts w:hint="eastAsia" w:hAnsi="宋体" w:cs="宋体"/>
          <w:bCs/>
          <w:color w:val="auto"/>
          <w:sz w:val="24"/>
          <w:szCs w:val="24"/>
          <w:highlight w:val="none"/>
          <w:lang w:val="en-US" w:eastAsia="zh-CN"/>
        </w:rPr>
        <w:t>5</w:t>
      </w:r>
      <w:r>
        <w:rPr>
          <w:rFonts w:hint="eastAsia" w:ascii="宋体" w:hAnsi="宋体" w:eastAsia="宋体" w:cs="宋体"/>
          <w:bCs/>
          <w:color w:val="auto"/>
          <w:sz w:val="24"/>
          <w:szCs w:val="24"/>
          <w:highlight w:val="none"/>
        </w:rPr>
        <w:t>.3.2</w:t>
      </w:r>
      <w:r>
        <w:rPr>
          <w:rFonts w:hint="eastAsia" w:hAnsi="宋体" w:cs="宋体"/>
          <w:bCs/>
          <w:color w:val="auto"/>
          <w:sz w:val="24"/>
          <w:szCs w:val="24"/>
          <w:highlight w:val="none"/>
          <w:lang w:eastAsia="zh-CN"/>
        </w:rPr>
        <w:t xml:space="preserve"> 补救</w:t>
      </w:r>
      <w:r>
        <w:rPr>
          <w:rFonts w:hint="eastAsia" w:ascii="宋体" w:hAnsi="宋体" w:eastAsia="宋体" w:cs="宋体"/>
          <w:bCs/>
          <w:color w:val="auto"/>
          <w:sz w:val="24"/>
          <w:szCs w:val="24"/>
          <w:highlight w:val="none"/>
        </w:rPr>
        <w:t>方案</w:t>
      </w:r>
    </w:p>
    <w:p w14:paraId="0400F9C4">
      <w:pPr>
        <w:pStyle w:val="51"/>
        <w:pageBreakBefore w:val="0"/>
        <w:numPr>
          <w:ilvl w:val="0"/>
          <w:numId w:val="3"/>
        </w:numPr>
        <w:kinsoku/>
        <w:overflowPunct/>
        <w:topLinePunct w:val="0"/>
        <w:bidi w:val="0"/>
        <w:spacing w:line="440" w:lineRule="exact"/>
        <w:ind w:firstLine="480" w:firstLineChars="200"/>
        <w:textAlignment w:val="auto"/>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投标文件解密失败的补救方案：</w:t>
      </w:r>
      <w:bookmarkStart w:id="196" w:name="_Toc28927"/>
    </w:p>
    <w:p w14:paraId="293D593D">
      <w:pPr>
        <w:pStyle w:val="51"/>
        <w:pageBreakBefore w:val="0"/>
        <w:kinsoku/>
        <w:overflowPunct/>
        <w:topLinePunct w:val="0"/>
        <w:bidi w:val="0"/>
        <w:spacing w:line="440" w:lineRule="exact"/>
        <w:ind w:firstLine="720" w:firstLineChars="300"/>
        <w:textAlignment w:val="auto"/>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在规定时间内，因投标人之外原因</w:t>
      </w:r>
      <w:r>
        <w:rPr>
          <w:rFonts w:hint="eastAsia" w:hAnsi="宋体" w:cs="宋体"/>
          <w:bCs/>
          <w:color w:val="auto"/>
          <w:sz w:val="24"/>
          <w:szCs w:val="24"/>
          <w:highlight w:val="none"/>
          <w:lang w:eastAsia="zh-CN"/>
        </w:rPr>
        <w:t>（</w:t>
      </w:r>
      <w:r>
        <w:rPr>
          <w:rFonts w:hint="eastAsia" w:ascii="宋体" w:hAnsi="宋体" w:eastAsia="宋体" w:cs="宋体"/>
          <w:bCs/>
          <w:color w:val="auto"/>
          <w:sz w:val="24"/>
          <w:szCs w:val="24"/>
          <w:highlight w:val="none"/>
        </w:rPr>
        <w:t>指网络瘫痪、服务器损坏、交易系统故障短期无法恢复</w:t>
      </w:r>
      <w:r>
        <w:rPr>
          <w:rFonts w:hint="eastAsia" w:hAnsi="宋体" w:cs="宋体"/>
          <w:bCs/>
          <w:color w:val="auto"/>
          <w:sz w:val="24"/>
          <w:szCs w:val="24"/>
          <w:highlight w:val="none"/>
          <w:lang w:eastAsia="zh-CN"/>
        </w:rPr>
        <w:t>）</w:t>
      </w:r>
      <w:r>
        <w:rPr>
          <w:rFonts w:hint="eastAsia" w:ascii="宋体" w:hAnsi="宋体" w:eastAsia="宋体" w:cs="宋体"/>
          <w:bCs/>
          <w:color w:val="auto"/>
          <w:sz w:val="24"/>
          <w:szCs w:val="24"/>
          <w:highlight w:val="none"/>
        </w:rPr>
        <w:t>等导致的电子投标文件解密失败，在开标现场解密环节由代理</w:t>
      </w:r>
      <w:r>
        <w:rPr>
          <w:rFonts w:hint="eastAsia" w:hAnsi="宋体" w:cs="宋体"/>
          <w:bCs/>
          <w:color w:val="auto"/>
          <w:sz w:val="24"/>
          <w:szCs w:val="24"/>
          <w:highlight w:val="none"/>
          <w:lang w:eastAsia="zh-CN"/>
        </w:rPr>
        <w:t>机构授权</w:t>
      </w:r>
      <w:r>
        <w:rPr>
          <w:rFonts w:hint="eastAsia" w:ascii="宋体" w:hAnsi="宋体" w:eastAsia="宋体" w:cs="宋体"/>
          <w:bCs/>
          <w:color w:val="auto"/>
          <w:sz w:val="24"/>
          <w:szCs w:val="24"/>
          <w:highlight w:val="none"/>
        </w:rPr>
        <w:t>后，解密失败</w:t>
      </w:r>
      <w:r>
        <w:rPr>
          <w:rFonts w:hint="eastAsia" w:hAnsi="宋体" w:cs="宋体"/>
          <w:bCs/>
          <w:color w:val="auto"/>
          <w:sz w:val="24"/>
          <w:szCs w:val="24"/>
          <w:highlight w:val="none"/>
          <w:lang w:eastAsia="zh-CN"/>
        </w:rPr>
        <w:t>的投标人</w:t>
      </w:r>
      <w:r>
        <w:rPr>
          <w:rFonts w:hint="eastAsia" w:ascii="宋体" w:hAnsi="宋体" w:eastAsia="宋体" w:cs="宋体"/>
          <w:bCs/>
          <w:color w:val="auto"/>
          <w:sz w:val="24"/>
          <w:szCs w:val="24"/>
          <w:highlight w:val="none"/>
        </w:rPr>
        <w:t>可在建设工程</w:t>
      </w:r>
      <w:r>
        <w:rPr>
          <w:rFonts w:hint="eastAsia" w:hAnsi="宋体" w:cs="宋体"/>
          <w:bCs/>
          <w:color w:val="auto"/>
          <w:sz w:val="24"/>
          <w:szCs w:val="24"/>
          <w:highlight w:val="none"/>
          <w:lang w:eastAsia="zh-CN"/>
        </w:rPr>
        <w:t>交易系统</w:t>
      </w:r>
      <w:r>
        <w:rPr>
          <w:rFonts w:hint="eastAsia" w:ascii="宋体" w:hAnsi="宋体" w:eastAsia="宋体" w:cs="宋体"/>
          <w:bCs/>
          <w:color w:val="auto"/>
          <w:sz w:val="24"/>
          <w:szCs w:val="24"/>
          <w:highlight w:val="none"/>
        </w:rPr>
        <w:t>规定时间（代理机构授权后30分钟内）内重新提交投标文件</w:t>
      </w:r>
      <w:r>
        <w:rPr>
          <w:rFonts w:hint="eastAsia" w:hAnsi="宋体" w:cs="宋体"/>
          <w:bCs/>
          <w:color w:val="auto"/>
          <w:sz w:val="24"/>
          <w:szCs w:val="24"/>
          <w:highlight w:val="none"/>
          <w:lang w:eastAsia="zh-CN"/>
        </w:rPr>
        <w:t>，继续</w:t>
      </w:r>
      <w:r>
        <w:rPr>
          <w:rFonts w:hint="eastAsia" w:ascii="宋体" w:hAnsi="宋体" w:eastAsia="宋体" w:cs="宋体"/>
          <w:bCs/>
          <w:color w:val="auto"/>
          <w:sz w:val="24"/>
          <w:szCs w:val="24"/>
          <w:highlight w:val="none"/>
        </w:rPr>
        <w:t>开标程序。电子投标文件解密失败且未在规定的时限内按要求成功上传未加密的备用投标文件的，视为无效投标。</w:t>
      </w:r>
      <w:bookmarkEnd w:id="196"/>
      <w:bookmarkStart w:id="197" w:name="_Toc9612"/>
    </w:p>
    <w:p w14:paraId="41539B7B">
      <w:pPr>
        <w:pStyle w:val="51"/>
        <w:pageBreakBefore w:val="0"/>
        <w:numPr>
          <w:ilvl w:val="0"/>
          <w:numId w:val="3"/>
        </w:numPr>
        <w:kinsoku/>
        <w:overflowPunct/>
        <w:topLinePunct w:val="0"/>
        <w:bidi w:val="0"/>
        <w:spacing w:line="440" w:lineRule="exact"/>
        <w:ind w:firstLine="480" w:firstLineChars="200"/>
        <w:textAlignment w:val="auto"/>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评标时突发情况的补救方案</w:t>
      </w:r>
      <w:bookmarkEnd w:id="197"/>
      <w:bookmarkStart w:id="198" w:name="_Toc6314"/>
      <w:r>
        <w:rPr>
          <w:rFonts w:hint="eastAsia" w:ascii="宋体" w:hAnsi="宋体" w:eastAsia="宋体" w:cs="宋体"/>
          <w:bCs/>
          <w:color w:val="auto"/>
          <w:sz w:val="24"/>
          <w:szCs w:val="24"/>
          <w:highlight w:val="none"/>
        </w:rPr>
        <w:t>：</w:t>
      </w:r>
    </w:p>
    <w:p w14:paraId="448873A6">
      <w:pPr>
        <w:pStyle w:val="51"/>
        <w:pageBreakBefore w:val="0"/>
        <w:kinsoku/>
        <w:overflowPunct/>
        <w:topLinePunct w:val="0"/>
        <w:bidi w:val="0"/>
        <w:spacing w:line="440" w:lineRule="exact"/>
        <w:ind w:firstLine="480" w:firstLineChars="200"/>
        <w:textAlignment w:val="auto"/>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在评标过程中，因主场或副场网络故障、电子设备或者评标系统故障，以及其他原因导致无法继续进行评标时，在4小时以内解除故障的可继续评标，超过4小时无法解除故障的，由招标人确定是否进行评标。如延期评标，招标人及参与评标活动的各方主体及其有关工作人员应当配合主场、副场做好招投标资料的封存和保密工作，另行组建评标委员会重新评标。原评标委员会成员应当对评标情况保密，不得对外透露与评标有关的任何信息与情况。</w:t>
      </w:r>
      <w:bookmarkEnd w:id="198"/>
      <w:bookmarkStart w:id="199" w:name="_Toc10157"/>
    </w:p>
    <w:p w14:paraId="21BE15E9">
      <w:pPr>
        <w:pStyle w:val="51"/>
        <w:pageBreakBefore w:val="0"/>
        <w:numPr>
          <w:ilvl w:val="0"/>
          <w:numId w:val="3"/>
        </w:numPr>
        <w:kinsoku/>
        <w:overflowPunct/>
        <w:topLinePunct w:val="0"/>
        <w:bidi w:val="0"/>
        <w:spacing w:line="440" w:lineRule="exact"/>
        <w:ind w:firstLine="480" w:firstLineChars="200"/>
        <w:textAlignment w:val="auto"/>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除发生上述情况外，开标评标均以投标人通过交易平台网上递交的电子投标文件为准。</w:t>
      </w:r>
      <w:bookmarkEnd w:id="199"/>
      <w:bookmarkStart w:id="200" w:name="_Toc12675"/>
    </w:p>
    <w:p w14:paraId="53A1A9CF">
      <w:pPr>
        <w:pStyle w:val="51"/>
        <w:pageBreakBefore w:val="0"/>
        <w:kinsoku/>
        <w:overflowPunct/>
        <w:topLinePunct w:val="0"/>
        <w:bidi w:val="0"/>
        <w:spacing w:line="440" w:lineRule="exact"/>
        <w:ind w:firstLine="482" w:firstLineChars="200"/>
        <w:textAlignment w:val="auto"/>
        <w:rPr>
          <w:rFonts w:hint="eastAsia" w:ascii="宋体" w:hAnsi="宋体" w:eastAsia="宋体" w:cs="宋体"/>
          <w:b/>
          <w:snapToGrid w:val="0"/>
          <w:color w:val="auto"/>
          <w:sz w:val="24"/>
          <w:szCs w:val="24"/>
          <w:highlight w:val="none"/>
        </w:rPr>
      </w:pPr>
      <w:r>
        <w:rPr>
          <w:rFonts w:hint="eastAsia" w:ascii="宋体" w:hAnsi="宋体" w:eastAsia="宋体" w:cs="宋体"/>
          <w:b/>
          <w:snapToGrid w:val="0"/>
          <w:color w:val="auto"/>
          <w:sz w:val="24"/>
          <w:szCs w:val="24"/>
          <w:highlight w:val="none"/>
        </w:rPr>
        <w:t>11.</w:t>
      </w:r>
      <w:r>
        <w:rPr>
          <w:rFonts w:hint="eastAsia" w:ascii="宋体" w:hAnsi="宋体" w:eastAsia="宋体" w:cs="宋体"/>
          <w:b/>
          <w:snapToGrid w:val="0"/>
          <w:color w:val="auto"/>
          <w:sz w:val="24"/>
          <w:szCs w:val="24"/>
          <w:highlight w:val="none"/>
          <w:lang w:val="en-US" w:eastAsia="zh-CN"/>
        </w:rPr>
        <w:t>6</w:t>
      </w:r>
      <w:r>
        <w:rPr>
          <w:rFonts w:hint="eastAsia" w:ascii="宋体" w:hAnsi="宋体" w:eastAsia="宋体" w:cs="宋体"/>
          <w:b/>
          <w:snapToGrid w:val="0"/>
          <w:color w:val="auto"/>
          <w:sz w:val="24"/>
          <w:szCs w:val="24"/>
          <w:highlight w:val="none"/>
        </w:rPr>
        <w:t xml:space="preserve"> 投标文件的提交</w:t>
      </w:r>
      <w:bookmarkEnd w:id="195"/>
      <w:bookmarkEnd w:id="200"/>
      <w:bookmarkStart w:id="201" w:name="_Hlt69699424"/>
      <w:bookmarkEnd w:id="201"/>
      <w:bookmarkStart w:id="202" w:name="_Hlt66608380"/>
      <w:bookmarkEnd w:id="202"/>
      <w:bookmarkStart w:id="203" w:name="_Hlt92512875"/>
      <w:bookmarkEnd w:id="203"/>
      <w:bookmarkStart w:id="204" w:name="_Hlt74494779"/>
      <w:bookmarkEnd w:id="204"/>
      <w:bookmarkStart w:id="205" w:name="_Hlt75685366"/>
      <w:bookmarkEnd w:id="205"/>
      <w:bookmarkStart w:id="206" w:name="_Toc24469"/>
      <w:bookmarkStart w:id="207" w:name="_Toc104711075"/>
      <w:bookmarkStart w:id="208" w:name="_Toc7631"/>
      <w:bookmarkStart w:id="209" w:name="_Toc24322"/>
      <w:bookmarkStart w:id="210" w:name="_Toc30635"/>
      <w:bookmarkStart w:id="211" w:name="_Toc4483"/>
      <w:bookmarkStart w:id="212" w:name="_Toc3050"/>
      <w:bookmarkStart w:id="213" w:name="_Toc22741"/>
      <w:bookmarkStart w:id="214" w:name="_Toc9838"/>
      <w:bookmarkStart w:id="215" w:name="_Toc28454"/>
      <w:bookmarkStart w:id="216" w:name="_Toc106418820"/>
    </w:p>
    <w:bookmarkEnd w:id="206"/>
    <w:p w14:paraId="0D5AE4EC">
      <w:pPr>
        <w:keepNext w:val="0"/>
        <w:keepLines w:val="0"/>
        <w:pageBreakBefore w:val="0"/>
        <w:widowControl w:val="0"/>
        <w:kinsoku/>
        <w:wordWrap w:val="0"/>
        <w:overflowPunct/>
        <w:topLinePunct/>
        <w:autoSpaceDE/>
        <w:autoSpaceDN/>
        <w:bidi w:val="0"/>
        <w:adjustRightInd w:val="0"/>
        <w:snapToGrid w:val="0"/>
        <w:spacing w:line="360" w:lineRule="auto"/>
        <w:ind w:left="13" w:right="96" w:rightChars="40" w:firstLine="482"/>
        <w:rPr>
          <w:rFonts w:hint="eastAsia" w:ascii="宋体" w:hAnsi="宋体" w:eastAsia="宋体" w:cs="宋体"/>
          <w:color w:val="auto"/>
          <w:sz w:val="24"/>
          <w:szCs w:val="24"/>
          <w:highlight w:val="none"/>
        </w:rPr>
      </w:pPr>
      <w:bookmarkStart w:id="217" w:name="_Toc30936"/>
      <w:bookmarkStart w:id="218" w:name="_Toc26444"/>
      <w:bookmarkStart w:id="219" w:name="_Toc19725"/>
      <w:bookmarkStart w:id="220" w:name="_Toc21719"/>
      <w:bookmarkStart w:id="221" w:name="_Toc1851"/>
      <w:bookmarkStart w:id="222" w:name="_Toc13"/>
      <w:r>
        <w:rPr>
          <w:rFonts w:hint="eastAsia" w:ascii="宋体" w:hAnsi="宋体" w:eastAsia="宋体" w:cs="宋体"/>
          <w:b/>
          <w:bCs/>
          <w:color w:val="auto"/>
          <w:spacing w:val="-11"/>
          <w:sz w:val="24"/>
          <w:szCs w:val="24"/>
          <w:highlight w:val="none"/>
        </w:rPr>
        <w:t>1</w:t>
      </w:r>
      <w:r>
        <w:rPr>
          <w:rFonts w:hint="eastAsia" w:hAnsi="宋体" w:eastAsia="宋体" w:cs="宋体"/>
          <w:b/>
          <w:bCs/>
          <w:color w:val="auto"/>
          <w:spacing w:val="-11"/>
          <w:sz w:val="24"/>
          <w:szCs w:val="24"/>
          <w:highlight w:val="none"/>
          <w:lang w:val="en-US" w:eastAsia="zh-CN"/>
        </w:rPr>
        <w:t>1</w:t>
      </w:r>
      <w:r>
        <w:rPr>
          <w:rFonts w:hint="eastAsia" w:ascii="宋体" w:hAnsi="宋体" w:eastAsia="宋体" w:cs="宋体"/>
          <w:b/>
          <w:bCs/>
          <w:color w:val="auto"/>
          <w:spacing w:val="-11"/>
          <w:sz w:val="24"/>
          <w:szCs w:val="24"/>
          <w:highlight w:val="none"/>
        </w:rPr>
        <w:t>.</w:t>
      </w:r>
      <w:r>
        <w:rPr>
          <w:rFonts w:hint="eastAsia" w:hAnsi="宋体" w:eastAsia="宋体" w:cs="宋体"/>
          <w:b/>
          <w:bCs/>
          <w:color w:val="auto"/>
          <w:spacing w:val="-11"/>
          <w:sz w:val="24"/>
          <w:szCs w:val="24"/>
          <w:highlight w:val="none"/>
          <w:lang w:val="en-US" w:eastAsia="zh-CN"/>
        </w:rPr>
        <w:t>6.1</w:t>
      </w:r>
      <w:r>
        <w:rPr>
          <w:rFonts w:hint="eastAsia" w:ascii="宋体" w:hAnsi="宋体" w:eastAsia="宋体" w:cs="宋体"/>
          <w:b/>
          <w:bCs/>
          <w:color w:val="auto"/>
          <w:spacing w:val="-11"/>
          <w:sz w:val="24"/>
          <w:szCs w:val="24"/>
          <w:highlight w:val="none"/>
        </w:rPr>
        <w:t xml:space="preserve">  </w:t>
      </w:r>
      <w:r>
        <w:rPr>
          <w:rFonts w:hint="eastAsia" w:ascii="宋体" w:hAnsi="宋体" w:eastAsia="宋体" w:cs="宋体"/>
          <w:color w:val="auto"/>
          <w:spacing w:val="-11"/>
          <w:sz w:val="24"/>
          <w:szCs w:val="24"/>
          <w:highlight w:val="none"/>
        </w:rPr>
        <w:t>在投标文件提交截止时间前，投标人通过全国公共资源交易平台（</w:t>
      </w:r>
      <w:r>
        <w:rPr>
          <w:rFonts w:hint="eastAsia" w:ascii="宋体" w:hAnsi="宋体" w:eastAsia="宋体" w:cs="宋体"/>
          <w:color w:val="auto"/>
          <w:spacing w:val="-12"/>
          <w:sz w:val="24"/>
          <w:szCs w:val="24"/>
          <w:highlight w:val="none"/>
        </w:rPr>
        <w:t>广东省·韶</w:t>
      </w:r>
      <w:r>
        <w:rPr>
          <w:rFonts w:hint="eastAsia" w:ascii="宋体" w:hAnsi="宋体" w:eastAsia="宋体" w:cs="宋体"/>
          <w:color w:val="auto"/>
          <w:spacing w:val="-1"/>
          <w:sz w:val="24"/>
          <w:szCs w:val="24"/>
          <w:highlight w:val="none"/>
        </w:rPr>
        <w:t>关市）提交已加密投标文件。逾期提交的电子投标文</w:t>
      </w:r>
      <w:r>
        <w:rPr>
          <w:rFonts w:hint="eastAsia" w:ascii="宋体" w:hAnsi="宋体" w:eastAsia="宋体" w:cs="宋体"/>
          <w:color w:val="auto"/>
          <w:spacing w:val="-2"/>
          <w:sz w:val="24"/>
          <w:szCs w:val="24"/>
          <w:highlight w:val="none"/>
        </w:rPr>
        <w:t>件，全国公共资源交易平台（广</w:t>
      </w:r>
      <w:r>
        <w:rPr>
          <w:rFonts w:hint="eastAsia" w:ascii="宋体" w:hAnsi="宋体" w:eastAsia="宋体" w:cs="宋体"/>
          <w:color w:val="auto"/>
          <w:spacing w:val="-9"/>
          <w:sz w:val="24"/>
          <w:szCs w:val="24"/>
          <w:highlight w:val="none"/>
        </w:rPr>
        <w:t>东省·韶关市）将予以拒收。</w:t>
      </w:r>
    </w:p>
    <w:p w14:paraId="74C3D235">
      <w:pPr>
        <w:keepNext w:val="0"/>
        <w:keepLines w:val="0"/>
        <w:pageBreakBefore w:val="0"/>
        <w:widowControl w:val="0"/>
        <w:kinsoku/>
        <w:wordWrap w:val="0"/>
        <w:overflowPunct/>
        <w:topLinePunct/>
        <w:autoSpaceDE/>
        <w:autoSpaceDN/>
        <w:bidi w:val="0"/>
        <w:adjustRightInd w:val="0"/>
        <w:snapToGrid w:val="0"/>
        <w:spacing w:line="360" w:lineRule="auto"/>
        <w:ind w:left="496" w:right="96" w:rightChars="40"/>
        <w:rPr>
          <w:rFonts w:hint="eastAsia" w:ascii="宋体" w:hAnsi="宋体" w:eastAsia="宋体" w:cs="宋体"/>
          <w:color w:val="auto"/>
          <w:sz w:val="24"/>
          <w:szCs w:val="24"/>
          <w:highlight w:val="none"/>
        </w:rPr>
      </w:pPr>
      <w:r>
        <w:rPr>
          <w:rFonts w:hint="eastAsia" w:ascii="宋体" w:hAnsi="宋体" w:eastAsia="宋体" w:cs="宋体"/>
          <w:b/>
          <w:bCs/>
          <w:color w:val="auto"/>
          <w:spacing w:val="-11"/>
          <w:sz w:val="24"/>
          <w:szCs w:val="24"/>
          <w:highlight w:val="none"/>
        </w:rPr>
        <w:t>1</w:t>
      </w:r>
      <w:r>
        <w:rPr>
          <w:rFonts w:hint="eastAsia" w:hAnsi="宋体" w:eastAsia="宋体" w:cs="宋体"/>
          <w:b/>
          <w:bCs/>
          <w:color w:val="auto"/>
          <w:spacing w:val="-11"/>
          <w:sz w:val="24"/>
          <w:szCs w:val="24"/>
          <w:highlight w:val="none"/>
          <w:lang w:val="en-US" w:eastAsia="zh-CN"/>
        </w:rPr>
        <w:t>1</w:t>
      </w:r>
      <w:r>
        <w:rPr>
          <w:rFonts w:hint="eastAsia" w:ascii="宋体" w:hAnsi="宋体" w:eastAsia="宋体" w:cs="宋体"/>
          <w:b/>
          <w:bCs/>
          <w:color w:val="auto"/>
          <w:spacing w:val="-11"/>
          <w:sz w:val="24"/>
          <w:szCs w:val="24"/>
          <w:highlight w:val="none"/>
        </w:rPr>
        <w:t>.</w:t>
      </w:r>
      <w:r>
        <w:rPr>
          <w:rFonts w:hint="eastAsia" w:hAnsi="宋体" w:eastAsia="宋体" w:cs="宋体"/>
          <w:b/>
          <w:bCs/>
          <w:color w:val="auto"/>
          <w:spacing w:val="-11"/>
          <w:sz w:val="24"/>
          <w:szCs w:val="24"/>
          <w:highlight w:val="none"/>
          <w:lang w:val="en-US" w:eastAsia="zh-CN"/>
        </w:rPr>
        <w:t>6.</w:t>
      </w:r>
      <w:r>
        <w:rPr>
          <w:rFonts w:hint="eastAsia" w:ascii="宋体" w:hAnsi="宋体" w:eastAsia="宋体" w:cs="宋体"/>
          <w:b/>
          <w:bCs/>
          <w:color w:val="auto"/>
          <w:spacing w:val="2"/>
          <w:sz w:val="24"/>
          <w:szCs w:val="24"/>
          <w:highlight w:val="none"/>
        </w:rPr>
        <w:t xml:space="preserve">2  </w:t>
      </w:r>
      <w:r>
        <w:rPr>
          <w:rFonts w:hint="eastAsia" w:ascii="宋体" w:hAnsi="宋体" w:eastAsia="宋体" w:cs="宋体"/>
          <w:color w:val="auto"/>
          <w:spacing w:val="2"/>
          <w:sz w:val="24"/>
          <w:szCs w:val="24"/>
          <w:highlight w:val="none"/>
        </w:rPr>
        <w:t>提交时间和地点：见本章第二节“重要事项时间地点一览表</w:t>
      </w:r>
      <w:r>
        <w:rPr>
          <w:rFonts w:hint="eastAsia" w:ascii="宋体" w:hAnsi="宋体" w:eastAsia="宋体" w:cs="宋体"/>
          <w:color w:val="auto"/>
          <w:spacing w:val="-88"/>
          <w:sz w:val="24"/>
          <w:szCs w:val="24"/>
          <w:highlight w:val="none"/>
        </w:rPr>
        <w:t xml:space="preserve"> </w:t>
      </w:r>
      <w:r>
        <w:rPr>
          <w:rFonts w:hint="eastAsia" w:ascii="宋体" w:hAnsi="宋体" w:eastAsia="宋体" w:cs="宋体"/>
          <w:color w:val="auto"/>
          <w:spacing w:val="2"/>
          <w:sz w:val="24"/>
          <w:szCs w:val="24"/>
          <w:highlight w:val="none"/>
        </w:rPr>
        <w:t>”</w:t>
      </w:r>
    </w:p>
    <w:p w14:paraId="605E90F8">
      <w:pPr>
        <w:keepNext w:val="0"/>
        <w:keepLines w:val="0"/>
        <w:pageBreakBefore w:val="0"/>
        <w:widowControl w:val="0"/>
        <w:kinsoku/>
        <w:wordWrap w:val="0"/>
        <w:overflowPunct/>
        <w:topLinePunct/>
        <w:autoSpaceDE/>
        <w:autoSpaceDN/>
        <w:bidi w:val="0"/>
        <w:adjustRightInd w:val="0"/>
        <w:snapToGrid w:val="0"/>
        <w:spacing w:line="360" w:lineRule="auto"/>
        <w:ind w:left="9" w:right="96" w:rightChars="40" w:firstLine="486"/>
        <w:rPr>
          <w:rFonts w:hint="eastAsia" w:ascii="宋体" w:hAnsi="宋体" w:eastAsia="宋体" w:cs="宋体"/>
          <w:color w:val="auto"/>
          <w:sz w:val="24"/>
          <w:szCs w:val="24"/>
          <w:highlight w:val="none"/>
        </w:rPr>
      </w:pPr>
      <w:r>
        <w:rPr>
          <w:rFonts w:hint="eastAsia" w:ascii="宋体" w:hAnsi="宋体" w:eastAsia="宋体" w:cs="宋体"/>
          <w:b/>
          <w:bCs/>
          <w:color w:val="auto"/>
          <w:spacing w:val="-11"/>
          <w:sz w:val="24"/>
          <w:szCs w:val="24"/>
          <w:highlight w:val="none"/>
        </w:rPr>
        <w:t>1</w:t>
      </w:r>
      <w:r>
        <w:rPr>
          <w:rFonts w:hint="eastAsia" w:hAnsi="宋体" w:eastAsia="宋体" w:cs="宋体"/>
          <w:b/>
          <w:bCs/>
          <w:color w:val="auto"/>
          <w:spacing w:val="-11"/>
          <w:sz w:val="24"/>
          <w:szCs w:val="24"/>
          <w:highlight w:val="none"/>
          <w:lang w:val="en-US" w:eastAsia="zh-CN"/>
        </w:rPr>
        <w:t>1</w:t>
      </w:r>
      <w:r>
        <w:rPr>
          <w:rFonts w:hint="eastAsia" w:ascii="宋体" w:hAnsi="宋体" w:eastAsia="宋体" w:cs="宋体"/>
          <w:b/>
          <w:bCs/>
          <w:color w:val="auto"/>
          <w:spacing w:val="-11"/>
          <w:sz w:val="24"/>
          <w:szCs w:val="24"/>
          <w:highlight w:val="none"/>
        </w:rPr>
        <w:t>.</w:t>
      </w:r>
      <w:r>
        <w:rPr>
          <w:rFonts w:hint="eastAsia" w:hAnsi="宋体" w:eastAsia="宋体" w:cs="宋体"/>
          <w:b/>
          <w:bCs/>
          <w:color w:val="auto"/>
          <w:spacing w:val="-11"/>
          <w:sz w:val="24"/>
          <w:szCs w:val="24"/>
          <w:highlight w:val="none"/>
          <w:lang w:val="en-US" w:eastAsia="zh-CN"/>
        </w:rPr>
        <w:t>6</w:t>
      </w:r>
      <w:r>
        <w:rPr>
          <w:rFonts w:hint="eastAsia" w:ascii="宋体" w:hAnsi="宋体" w:eastAsia="宋体" w:cs="宋体"/>
          <w:b/>
          <w:bCs/>
          <w:color w:val="auto"/>
          <w:spacing w:val="-1"/>
          <w:sz w:val="24"/>
          <w:szCs w:val="24"/>
          <w:highlight w:val="none"/>
        </w:rPr>
        <w:t xml:space="preserve">.3  </w:t>
      </w:r>
      <w:r>
        <w:rPr>
          <w:rFonts w:hint="eastAsia" w:ascii="宋体" w:hAnsi="宋体" w:eastAsia="宋体" w:cs="宋体"/>
          <w:color w:val="auto"/>
          <w:spacing w:val="-1"/>
          <w:sz w:val="24"/>
          <w:szCs w:val="24"/>
          <w:highlight w:val="none"/>
        </w:rPr>
        <w:t>递交时间和地点：投标人如有招标</w:t>
      </w:r>
      <w:r>
        <w:rPr>
          <w:rFonts w:hint="eastAsia" w:ascii="宋体" w:hAnsi="宋体" w:eastAsia="宋体" w:cs="宋体"/>
          <w:color w:val="auto"/>
          <w:spacing w:val="-2"/>
          <w:sz w:val="24"/>
          <w:szCs w:val="24"/>
          <w:highlight w:val="none"/>
        </w:rPr>
        <w:t>文件要求提交的用于评审的证书、证件、证明原件（附一式两份清单</w:t>
      </w:r>
      <w:r>
        <w:rPr>
          <w:rFonts w:hint="eastAsia" w:ascii="宋体" w:hAnsi="宋体" w:eastAsia="宋体" w:cs="宋体"/>
          <w:color w:val="auto"/>
          <w:spacing w:val="11"/>
          <w:sz w:val="24"/>
          <w:szCs w:val="24"/>
          <w:highlight w:val="none"/>
        </w:rPr>
        <w:t>），</w:t>
      </w:r>
      <w:r>
        <w:rPr>
          <w:rFonts w:hint="eastAsia" w:ascii="宋体" w:hAnsi="宋体" w:eastAsia="宋体" w:cs="宋体"/>
          <w:color w:val="auto"/>
          <w:spacing w:val="-2"/>
          <w:sz w:val="24"/>
          <w:szCs w:val="24"/>
          <w:highlight w:val="none"/>
        </w:rPr>
        <w:t>由投标人法定代表人或其委托代理人在指定的时间和</w:t>
      </w:r>
      <w:r>
        <w:rPr>
          <w:rFonts w:hint="eastAsia" w:ascii="宋体" w:hAnsi="宋体" w:eastAsia="宋体" w:cs="宋体"/>
          <w:color w:val="auto"/>
          <w:spacing w:val="-1"/>
          <w:sz w:val="24"/>
          <w:szCs w:val="24"/>
          <w:highlight w:val="none"/>
        </w:rPr>
        <w:t>地点递交（见“重要事项时间地点一览表</w:t>
      </w:r>
      <w:r>
        <w:rPr>
          <w:rFonts w:hint="eastAsia" w:ascii="宋体" w:hAnsi="宋体" w:eastAsia="宋体" w:cs="宋体"/>
          <w:color w:val="auto"/>
          <w:spacing w:val="-77"/>
          <w:sz w:val="24"/>
          <w:szCs w:val="24"/>
          <w:highlight w:val="none"/>
        </w:rPr>
        <w:t xml:space="preserve"> </w:t>
      </w:r>
      <w:r>
        <w:rPr>
          <w:rFonts w:hint="eastAsia" w:ascii="宋体" w:hAnsi="宋体" w:eastAsia="宋体" w:cs="宋体"/>
          <w:color w:val="auto"/>
          <w:spacing w:val="-1"/>
          <w:sz w:val="24"/>
          <w:szCs w:val="24"/>
          <w:highlight w:val="none"/>
        </w:rPr>
        <w:t>”</w:t>
      </w:r>
      <w:r>
        <w:rPr>
          <w:rFonts w:hint="eastAsia" w:ascii="宋体" w:hAnsi="宋体" w:eastAsia="宋体" w:cs="宋体"/>
          <w:color w:val="auto"/>
          <w:spacing w:val="-2"/>
          <w:sz w:val="24"/>
          <w:szCs w:val="24"/>
          <w:highlight w:val="none"/>
        </w:rPr>
        <w:t>）。</w:t>
      </w:r>
    </w:p>
    <w:p w14:paraId="7324AA62">
      <w:pPr>
        <w:keepNext w:val="0"/>
        <w:keepLines w:val="0"/>
        <w:pageBreakBefore w:val="0"/>
        <w:widowControl w:val="0"/>
        <w:kinsoku/>
        <w:wordWrap w:val="0"/>
        <w:overflowPunct/>
        <w:topLinePunct/>
        <w:autoSpaceDE/>
        <w:autoSpaceDN/>
        <w:bidi w:val="0"/>
        <w:adjustRightInd w:val="0"/>
        <w:snapToGrid w:val="0"/>
        <w:spacing w:line="360" w:lineRule="auto"/>
        <w:ind w:right="96" w:rightChars="40" w:firstLine="438" w:firstLineChars="200"/>
        <w:jc w:val="both"/>
        <w:rPr>
          <w:rFonts w:hint="eastAsia" w:ascii="宋体" w:hAnsi="宋体" w:eastAsia="宋体" w:cs="宋体"/>
          <w:color w:val="auto"/>
          <w:sz w:val="24"/>
          <w:szCs w:val="24"/>
          <w:highlight w:val="none"/>
        </w:rPr>
      </w:pPr>
      <w:r>
        <w:rPr>
          <w:rFonts w:hint="eastAsia" w:ascii="宋体" w:hAnsi="宋体" w:eastAsia="宋体" w:cs="宋体"/>
          <w:b/>
          <w:bCs/>
          <w:color w:val="auto"/>
          <w:spacing w:val="-11"/>
          <w:sz w:val="24"/>
          <w:szCs w:val="24"/>
          <w:highlight w:val="none"/>
        </w:rPr>
        <w:t>1</w:t>
      </w:r>
      <w:r>
        <w:rPr>
          <w:rFonts w:hint="eastAsia" w:hAnsi="宋体" w:eastAsia="宋体" w:cs="宋体"/>
          <w:b/>
          <w:bCs/>
          <w:color w:val="auto"/>
          <w:spacing w:val="-11"/>
          <w:sz w:val="24"/>
          <w:szCs w:val="24"/>
          <w:highlight w:val="none"/>
          <w:lang w:val="en-US" w:eastAsia="zh-CN"/>
        </w:rPr>
        <w:t>1</w:t>
      </w:r>
      <w:r>
        <w:rPr>
          <w:rFonts w:hint="eastAsia" w:ascii="宋体" w:hAnsi="宋体" w:eastAsia="宋体" w:cs="宋体"/>
          <w:b/>
          <w:bCs/>
          <w:color w:val="auto"/>
          <w:spacing w:val="-11"/>
          <w:sz w:val="24"/>
          <w:szCs w:val="24"/>
          <w:highlight w:val="none"/>
        </w:rPr>
        <w:t>.</w:t>
      </w:r>
      <w:r>
        <w:rPr>
          <w:rFonts w:hint="eastAsia" w:hAnsi="宋体" w:eastAsia="宋体" w:cs="宋体"/>
          <w:b/>
          <w:bCs/>
          <w:color w:val="auto"/>
          <w:spacing w:val="-11"/>
          <w:sz w:val="24"/>
          <w:szCs w:val="24"/>
          <w:highlight w:val="none"/>
          <w:lang w:val="en-US" w:eastAsia="zh-CN"/>
        </w:rPr>
        <w:t>6</w:t>
      </w:r>
      <w:r>
        <w:rPr>
          <w:rFonts w:hint="eastAsia" w:ascii="宋体" w:hAnsi="宋体" w:eastAsia="宋体" w:cs="宋体"/>
          <w:b/>
          <w:bCs/>
          <w:color w:val="auto"/>
          <w:spacing w:val="-1"/>
          <w:sz w:val="24"/>
          <w:szCs w:val="24"/>
          <w:highlight w:val="none"/>
        </w:rPr>
        <w:t xml:space="preserve">.4  </w:t>
      </w:r>
      <w:r>
        <w:rPr>
          <w:rFonts w:hint="eastAsia" w:ascii="宋体" w:hAnsi="宋体" w:eastAsia="宋体" w:cs="宋体"/>
          <w:color w:val="auto"/>
          <w:spacing w:val="-1"/>
          <w:sz w:val="24"/>
          <w:szCs w:val="24"/>
          <w:highlight w:val="none"/>
        </w:rPr>
        <w:t>代理机构对因不可抗力事件造成的投</w:t>
      </w:r>
      <w:r>
        <w:rPr>
          <w:rFonts w:hint="eastAsia" w:ascii="宋体" w:hAnsi="宋体" w:eastAsia="宋体" w:cs="宋体"/>
          <w:color w:val="auto"/>
          <w:spacing w:val="-2"/>
          <w:sz w:val="24"/>
          <w:szCs w:val="24"/>
          <w:highlight w:val="none"/>
        </w:rPr>
        <w:t>标文件的损坏、丢失的，不承担责任。</w:t>
      </w:r>
    </w:p>
    <w:p w14:paraId="3039A9F1">
      <w:pPr>
        <w:keepNext w:val="0"/>
        <w:keepLines w:val="0"/>
        <w:pageBreakBefore w:val="0"/>
        <w:widowControl w:val="0"/>
        <w:kinsoku/>
        <w:wordWrap w:val="0"/>
        <w:overflowPunct/>
        <w:topLinePunct/>
        <w:autoSpaceDE/>
        <w:autoSpaceDN/>
        <w:bidi w:val="0"/>
        <w:adjustRightInd w:val="0"/>
        <w:snapToGrid w:val="0"/>
        <w:spacing w:line="360" w:lineRule="auto"/>
        <w:ind w:left="496" w:right="96" w:rightChars="40"/>
        <w:rPr>
          <w:rFonts w:hint="eastAsia" w:ascii="宋体" w:hAnsi="宋体" w:eastAsia="宋体" w:cs="宋体"/>
          <w:color w:val="auto"/>
          <w:sz w:val="24"/>
          <w:szCs w:val="24"/>
          <w:highlight w:val="none"/>
        </w:rPr>
      </w:pPr>
      <w:r>
        <w:rPr>
          <w:rFonts w:hint="eastAsia" w:ascii="宋体" w:hAnsi="宋体" w:eastAsia="宋体" w:cs="宋体"/>
          <w:b/>
          <w:bCs/>
          <w:color w:val="auto"/>
          <w:spacing w:val="-11"/>
          <w:sz w:val="24"/>
          <w:szCs w:val="24"/>
          <w:highlight w:val="none"/>
        </w:rPr>
        <w:t>1</w:t>
      </w:r>
      <w:r>
        <w:rPr>
          <w:rFonts w:hint="eastAsia" w:hAnsi="宋体" w:eastAsia="宋体" w:cs="宋体"/>
          <w:b/>
          <w:bCs/>
          <w:color w:val="auto"/>
          <w:spacing w:val="-11"/>
          <w:sz w:val="24"/>
          <w:szCs w:val="24"/>
          <w:highlight w:val="none"/>
          <w:lang w:val="en-US" w:eastAsia="zh-CN"/>
        </w:rPr>
        <w:t>1</w:t>
      </w:r>
      <w:r>
        <w:rPr>
          <w:rFonts w:hint="eastAsia" w:ascii="宋体" w:hAnsi="宋体" w:eastAsia="宋体" w:cs="宋体"/>
          <w:b/>
          <w:bCs/>
          <w:color w:val="auto"/>
          <w:spacing w:val="-11"/>
          <w:sz w:val="24"/>
          <w:szCs w:val="24"/>
          <w:highlight w:val="none"/>
        </w:rPr>
        <w:t>.</w:t>
      </w:r>
      <w:r>
        <w:rPr>
          <w:rFonts w:hint="eastAsia" w:hAnsi="宋体" w:eastAsia="宋体" w:cs="宋体"/>
          <w:b/>
          <w:bCs/>
          <w:color w:val="auto"/>
          <w:spacing w:val="-11"/>
          <w:sz w:val="24"/>
          <w:szCs w:val="24"/>
          <w:highlight w:val="none"/>
          <w:lang w:val="en-US" w:eastAsia="zh-CN"/>
        </w:rPr>
        <w:t>6</w:t>
      </w:r>
      <w:r>
        <w:rPr>
          <w:rFonts w:hint="eastAsia" w:ascii="宋体" w:hAnsi="宋体" w:eastAsia="宋体" w:cs="宋体"/>
          <w:b/>
          <w:bCs/>
          <w:color w:val="auto"/>
          <w:spacing w:val="-1"/>
          <w:sz w:val="24"/>
          <w:szCs w:val="24"/>
          <w:highlight w:val="none"/>
        </w:rPr>
        <w:t>.5</w:t>
      </w:r>
      <w:r>
        <w:rPr>
          <w:rFonts w:hint="eastAsia" w:ascii="宋体" w:hAnsi="宋体" w:eastAsia="宋体" w:cs="宋体"/>
          <w:b/>
          <w:bCs/>
          <w:color w:val="auto"/>
          <w:spacing w:val="15"/>
          <w:sz w:val="24"/>
          <w:szCs w:val="24"/>
          <w:highlight w:val="none"/>
        </w:rPr>
        <w:t xml:space="preserve">  </w:t>
      </w:r>
      <w:r>
        <w:rPr>
          <w:rFonts w:hint="eastAsia" w:ascii="宋体" w:hAnsi="宋体" w:eastAsia="宋体" w:cs="宋体"/>
          <w:color w:val="auto"/>
          <w:spacing w:val="-1"/>
          <w:sz w:val="24"/>
          <w:szCs w:val="24"/>
          <w:highlight w:val="none"/>
        </w:rPr>
        <w:t>出现下述情形之一，属于未成功提</w:t>
      </w:r>
      <w:r>
        <w:rPr>
          <w:rFonts w:hint="eastAsia" w:ascii="宋体" w:hAnsi="宋体" w:eastAsia="宋体" w:cs="宋体"/>
          <w:color w:val="auto"/>
          <w:spacing w:val="-2"/>
          <w:sz w:val="24"/>
          <w:szCs w:val="24"/>
          <w:highlight w:val="none"/>
        </w:rPr>
        <w:t>交投标文件，按无效投标处理：</w:t>
      </w:r>
    </w:p>
    <w:p w14:paraId="64673FC6">
      <w:pPr>
        <w:keepNext w:val="0"/>
        <w:keepLines w:val="0"/>
        <w:pageBreakBefore w:val="0"/>
        <w:widowControl w:val="0"/>
        <w:kinsoku/>
        <w:wordWrap w:val="0"/>
        <w:overflowPunct/>
        <w:topLinePunct/>
        <w:autoSpaceDE/>
        <w:autoSpaceDN/>
        <w:bidi w:val="0"/>
        <w:adjustRightInd w:val="0"/>
        <w:snapToGrid w:val="0"/>
        <w:spacing w:line="360" w:lineRule="auto"/>
        <w:ind w:left="741" w:right="96" w:rightChars="40"/>
        <w:rPr>
          <w:rFonts w:hint="eastAsia" w:ascii="宋体" w:hAnsi="宋体" w:eastAsia="宋体" w:cs="宋体"/>
          <w:color w:val="auto"/>
          <w:sz w:val="24"/>
          <w:szCs w:val="24"/>
          <w:highlight w:val="none"/>
        </w:rPr>
      </w:pPr>
      <w:r>
        <w:rPr>
          <w:rFonts w:hint="eastAsia" w:ascii="宋体" w:hAnsi="宋体" w:eastAsia="宋体" w:cs="宋体"/>
          <w:color w:val="auto"/>
          <w:spacing w:val="-1"/>
          <w:sz w:val="24"/>
          <w:szCs w:val="24"/>
          <w:highlight w:val="none"/>
        </w:rPr>
        <w:t>（1）至提交投标文件截止时，投标文件未完整上传及提交标书；</w:t>
      </w:r>
    </w:p>
    <w:p w14:paraId="1803C23B">
      <w:pPr>
        <w:keepNext w:val="0"/>
        <w:keepLines w:val="0"/>
        <w:pageBreakBefore w:val="0"/>
        <w:widowControl w:val="0"/>
        <w:kinsoku/>
        <w:wordWrap w:val="0"/>
        <w:overflowPunct/>
        <w:topLinePunct/>
        <w:autoSpaceDE/>
        <w:autoSpaceDN/>
        <w:bidi w:val="0"/>
        <w:adjustRightInd w:val="0"/>
        <w:snapToGrid w:val="0"/>
        <w:spacing w:line="360" w:lineRule="auto"/>
        <w:ind w:left="741" w:right="96" w:rightChars="40"/>
        <w:rPr>
          <w:rFonts w:hint="eastAsia" w:ascii="宋体" w:hAnsi="宋体" w:eastAsia="宋体" w:cs="宋体"/>
          <w:color w:val="auto"/>
          <w:sz w:val="24"/>
          <w:szCs w:val="24"/>
          <w:highlight w:val="none"/>
        </w:rPr>
      </w:pPr>
      <w:r>
        <w:rPr>
          <w:rFonts w:hint="eastAsia" w:ascii="宋体" w:hAnsi="宋体" w:eastAsia="宋体" w:cs="宋体"/>
          <w:color w:val="auto"/>
          <w:spacing w:val="-1"/>
          <w:sz w:val="24"/>
          <w:szCs w:val="24"/>
          <w:highlight w:val="none"/>
        </w:rPr>
        <w:t>（2）解密失败且在规定时间内未重新提交投标文件的；</w:t>
      </w:r>
    </w:p>
    <w:p w14:paraId="5AF39989">
      <w:pPr>
        <w:keepNext w:val="0"/>
        <w:keepLines w:val="0"/>
        <w:pageBreakBefore w:val="0"/>
        <w:widowControl w:val="0"/>
        <w:kinsoku/>
        <w:wordWrap w:val="0"/>
        <w:overflowPunct/>
        <w:topLinePunct/>
        <w:autoSpaceDE/>
        <w:autoSpaceDN/>
        <w:bidi w:val="0"/>
        <w:adjustRightInd w:val="0"/>
        <w:snapToGrid w:val="0"/>
        <w:spacing w:line="360" w:lineRule="auto"/>
        <w:ind w:left="741" w:right="96" w:rightChars="40"/>
        <w:rPr>
          <w:rFonts w:hint="eastAsia" w:ascii="宋体" w:hAnsi="宋体" w:eastAsia="宋体" w:cs="宋体"/>
          <w:color w:val="auto"/>
          <w:sz w:val="24"/>
          <w:szCs w:val="24"/>
          <w:highlight w:val="none"/>
        </w:rPr>
      </w:pPr>
      <w:r>
        <w:rPr>
          <w:rFonts w:hint="eastAsia" w:ascii="宋体" w:hAnsi="宋体" w:eastAsia="宋体" w:cs="宋体"/>
          <w:color w:val="auto"/>
          <w:spacing w:val="-2"/>
          <w:sz w:val="24"/>
          <w:szCs w:val="24"/>
          <w:highlight w:val="none"/>
        </w:rPr>
        <w:t>（3）投标文件损坏或格式不正确的；</w:t>
      </w:r>
    </w:p>
    <w:p w14:paraId="6FE24E2C">
      <w:pPr>
        <w:keepNext w:val="0"/>
        <w:keepLines w:val="0"/>
        <w:pageBreakBefore w:val="0"/>
        <w:widowControl w:val="0"/>
        <w:kinsoku/>
        <w:wordWrap w:val="0"/>
        <w:overflowPunct/>
        <w:topLinePunct/>
        <w:autoSpaceDE/>
        <w:autoSpaceDN/>
        <w:bidi w:val="0"/>
        <w:adjustRightInd w:val="0"/>
        <w:snapToGrid w:val="0"/>
        <w:spacing w:line="360" w:lineRule="auto"/>
        <w:ind w:left="496" w:right="96" w:rightChars="40"/>
        <w:rPr>
          <w:rFonts w:hint="eastAsia" w:ascii="宋体" w:hAnsi="宋体" w:eastAsia="宋体" w:cs="宋体"/>
          <w:color w:val="auto"/>
          <w:sz w:val="24"/>
          <w:szCs w:val="24"/>
          <w:highlight w:val="none"/>
        </w:rPr>
      </w:pPr>
      <w:r>
        <w:rPr>
          <w:rFonts w:hint="eastAsia" w:ascii="宋体" w:hAnsi="宋体" w:eastAsia="宋体" w:cs="宋体"/>
          <w:b/>
          <w:bCs/>
          <w:color w:val="auto"/>
          <w:spacing w:val="-11"/>
          <w:sz w:val="24"/>
          <w:szCs w:val="24"/>
          <w:highlight w:val="none"/>
        </w:rPr>
        <w:t>1</w:t>
      </w:r>
      <w:r>
        <w:rPr>
          <w:rFonts w:hint="eastAsia" w:hAnsi="宋体" w:eastAsia="宋体" w:cs="宋体"/>
          <w:b/>
          <w:bCs/>
          <w:color w:val="auto"/>
          <w:spacing w:val="-11"/>
          <w:sz w:val="24"/>
          <w:szCs w:val="24"/>
          <w:highlight w:val="none"/>
          <w:lang w:val="en-US" w:eastAsia="zh-CN"/>
        </w:rPr>
        <w:t>1</w:t>
      </w:r>
      <w:r>
        <w:rPr>
          <w:rFonts w:hint="eastAsia" w:ascii="宋体" w:hAnsi="宋体" w:eastAsia="宋体" w:cs="宋体"/>
          <w:b/>
          <w:bCs/>
          <w:color w:val="auto"/>
          <w:spacing w:val="-11"/>
          <w:sz w:val="24"/>
          <w:szCs w:val="24"/>
          <w:highlight w:val="none"/>
        </w:rPr>
        <w:t>.</w:t>
      </w:r>
      <w:r>
        <w:rPr>
          <w:rFonts w:hint="eastAsia" w:hAnsi="宋体" w:eastAsia="宋体" w:cs="宋体"/>
          <w:b/>
          <w:bCs/>
          <w:color w:val="auto"/>
          <w:spacing w:val="-11"/>
          <w:sz w:val="24"/>
          <w:szCs w:val="24"/>
          <w:highlight w:val="none"/>
          <w:lang w:val="en-US" w:eastAsia="zh-CN"/>
        </w:rPr>
        <w:t>6</w:t>
      </w:r>
      <w:r>
        <w:rPr>
          <w:rFonts w:hint="eastAsia" w:ascii="宋体" w:hAnsi="宋体" w:eastAsia="宋体" w:cs="宋体"/>
          <w:b/>
          <w:bCs/>
          <w:color w:val="auto"/>
          <w:spacing w:val="-1"/>
          <w:sz w:val="24"/>
          <w:szCs w:val="24"/>
          <w:highlight w:val="none"/>
        </w:rPr>
        <w:t xml:space="preserve">.6  </w:t>
      </w:r>
      <w:r>
        <w:rPr>
          <w:rFonts w:hint="eastAsia" w:ascii="宋体" w:hAnsi="宋体" w:eastAsia="宋体" w:cs="宋体"/>
          <w:color w:val="auto"/>
          <w:spacing w:val="-1"/>
          <w:sz w:val="24"/>
          <w:szCs w:val="24"/>
          <w:highlight w:val="none"/>
        </w:rPr>
        <w:t>联合体投标的，由联合体牵头人按以上要求递交相关资料。</w:t>
      </w:r>
    </w:p>
    <w:p w14:paraId="6A8CDBAB">
      <w:pPr>
        <w:keepNext w:val="0"/>
        <w:keepLines w:val="0"/>
        <w:pageBreakBefore w:val="0"/>
        <w:widowControl w:val="0"/>
        <w:kinsoku/>
        <w:wordWrap w:val="0"/>
        <w:overflowPunct/>
        <w:topLinePunct/>
        <w:autoSpaceDE/>
        <w:autoSpaceDN/>
        <w:bidi w:val="0"/>
        <w:adjustRightInd w:val="0"/>
        <w:snapToGrid w:val="0"/>
        <w:spacing w:line="360" w:lineRule="auto"/>
        <w:ind w:left="496" w:right="96" w:rightChars="40"/>
        <w:rPr>
          <w:rFonts w:hint="eastAsia" w:ascii="宋体" w:hAnsi="宋体" w:eastAsia="宋体" w:cs="宋体"/>
          <w:bCs/>
          <w:color w:val="auto"/>
          <w:kern w:val="2"/>
          <w:sz w:val="24"/>
          <w:szCs w:val="24"/>
          <w:highlight w:val="none"/>
        </w:rPr>
      </w:pPr>
      <w:r>
        <w:rPr>
          <w:rFonts w:hint="eastAsia" w:ascii="宋体" w:hAnsi="宋体" w:eastAsia="宋体" w:cs="宋体"/>
          <w:b/>
          <w:bCs/>
          <w:color w:val="auto"/>
          <w:spacing w:val="-11"/>
          <w:sz w:val="24"/>
          <w:szCs w:val="24"/>
          <w:highlight w:val="none"/>
        </w:rPr>
        <w:t>1</w:t>
      </w:r>
      <w:r>
        <w:rPr>
          <w:rFonts w:hint="eastAsia" w:hAnsi="宋体" w:eastAsia="宋体" w:cs="宋体"/>
          <w:b/>
          <w:bCs/>
          <w:color w:val="auto"/>
          <w:spacing w:val="-11"/>
          <w:sz w:val="24"/>
          <w:szCs w:val="24"/>
          <w:highlight w:val="none"/>
          <w:lang w:val="en-US" w:eastAsia="zh-CN"/>
        </w:rPr>
        <w:t>1</w:t>
      </w:r>
      <w:r>
        <w:rPr>
          <w:rFonts w:hint="eastAsia" w:ascii="宋体" w:hAnsi="宋体" w:eastAsia="宋体" w:cs="宋体"/>
          <w:b/>
          <w:bCs/>
          <w:color w:val="auto"/>
          <w:spacing w:val="-11"/>
          <w:sz w:val="24"/>
          <w:szCs w:val="24"/>
          <w:highlight w:val="none"/>
        </w:rPr>
        <w:t>.</w:t>
      </w:r>
      <w:r>
        <w:rPr>
          <w:rFonts w:hint="eastAsia" w:hAnsi="宋体" w:eastAsia="宋体" w:cs="宋体"/>
          <w:b/>
          <w:bCs/>
          <w:color w:val="auto"/>
          <w:spacing w:val="-11"/>
          <w:sz w:val="24"/>
          <w:szCs w:val="24"/>
          <w:highlight w:val="none"/>
          <w:lang w:val="en-US" w:eastAsia="zh-CN"/>
        </w:rPr>
        <w:t>6</w:t>
      </w:r>
      <w:r>
        <w:rPr>
          <w:rFonts w:hint="eastAsia" w:ascii="宋体" w:hAnsi="宋体" w:eastAsia="宋体" w:cs="宋体"/>
          <w:b/>
          <w:bCs/>
          <w:color w:val="auto"/>
          <w:spacing w:val="-2"/>
          <w:sz w:val="24"/>
          <w:szCs w:val="24"/>
          <w:highlight w:val="none"/>
        </w:rPr>
        <w:t xml:space="preserve">.7  </w:t>
      </w:r>
      <w:r>
        <w:rPr>
          <w:rFonts w:hint="eastAsia" w:ascii="宋体" w:hAnsi="宋体" w:eastAsia="宋体" w:cs="宋体"/>
          <w:color w:val="auto"/>
          <w:spacing w:val="-2"/>
          <w:sz w:val="24"/>
          <w:szCs w:val="24"/>
          <w:highlight w:val="none"/>
        </w:rPr>
        <w:t>招标人或其授权的招标代理机构核对、接收投标人递交的投标相关资料后，</w:t>
      </w:r>
      <w:r>
        <w:rPr>
          <w:rFonts w:hint="eastAsia" w:ascii="宋体" w:hAnsi="宋体" w:eastAsia="宋体" w:cs="宋体"/>
          <w:color w:val="auto"/>
          <w:spacing w:val="-1"/>
          <w:sz w:val="24"/>
          <w:szCs w:val="24"/>
          <w:highlight w:val="none"/>
        </w:rPr>
        <w:t>应向投标人出具标明签收</w:t>
      </w:r>
      <w:r>
        <w:rPr>
          <w:rFonts w:hint="eastAsia" w:ascii="宋体" w:hAnsi="宋体" w:eastAsia="宋体" w:cs="宋体"/>
          <w:color w:val="auto"/>
          <w:spacing w:val="-2"/>
          <w:sz w:val="24"/>
          <w:szCs w:val="24"/>
          <w:highlight w:val="none"/>
        </w:rPr>
        <w:t>人和签收时间的凭证，并妥善保管</w:t>
      </w:r>
      <w:r>
        <w:rPr>
          <w:rFonts w:hint="eastAsia" w:ascii="宋体" w:hAnsi="宋体" w:eastAsia="宋体" w:cs="宋体"/>
          <w:bCs/>
          <w:color w:val="auto"/>
          <w:kern w:val="2"/>
          <w:sz w:val="24"/>
          <w:szCs w:val="24"/>
          <w:highlight w:val="none"/>
        </w:rPr>
        <w:t>。</w:t>
      </w:r>
      <w:bookmarkEnd w:id="217"/>
      <w:bookmarkEnd w:id="218"/>
      <w:bookmarkEnd w:id="219"/>
      <w:bookmarkEnd w:id="220"/>
      <w:bookmarkEnd w:id="221"/>
      <w:bookmarkEnd w:id="222"/>
    </w:p>
    <w:p w14:paraId="0A065718">
      <w:pPr>
        <w:pStyle w:val="39"/>
        <w:keepNext/>
        <w:keepLines/>
        <w:pageBreakBefore w:val="0"/>
        <w:kinsoku/>
        <w:overflowPunct/>
        <w:topLinePunct w:val="0"/>
        <w:bidi w:val="0"/>
        <w:spacing w:line="440" w:lineRule="exact"/>
        <w:ind w:firstLine="480"/>
        <w:jc w:val="both"/>
        <w:textAlignment w:val="auto"/>
        <w:rPr>
          <w:rFonts w:hint="eastAsia" w:ascii="宋体" w:hAnsi="宋体" w:eastAsia="宋体" w:cs="宋体"/>
          <w:b/>
          <w:color w:val="auto"/>
          <w:kern w:val="2"/>
          <w:sz w:val="24"/>
          <w:szCs w:val="24"/>
          <w:highlight w:val="none"/>
        </w:rPr>
      </w:pPr>
      <w:bookmarkStart w:id="223" w:name="_Toc18718"/>
      <w:bookmarkStart w:id="224" w:name="_Toc23010"/>
      <w:r>
        <w:rPr>
          <w:rFonts w:hint="eastAsia" w:hAnsi="宋体" w:cs="宋体"/>
          <w:b/>
          <w:color w:val="auto"/>
          <w:kern w:val="2"/>
          <w:sz w:val="24"/>
          <w:szCs w:val="24"/>
          <w:highlight w:val="none"/>
          <w:lang w:eastAsia="zh-CN"/>
        </w:rPr>
        <w:t>12.</w:t>
      </w:r>
      <w:r>
        <w:rPr>
          <w:rFonts w:hint="eastAsia" w:ascii="宋体" w:hAnsi="宋体" w:eastAsia="宋体" w:cs="宋体"/>
          <w:b/>
          <w:color w:val="auto"/>
          <w:kern w:val="2"/>
          <w:sz w:val="24"/>
          <w:szCs w:val="24"/>
          <w:highlight w:val="none"/>
        </w:rPr>
        <w:t xml:space="preserve"> 投标有效期及对投标人的其他要求</w:t>
      </w:r>
      <w:bookmarkEnd w:id="207"/>
      <w:bookmarkEnd w:id="208"/>
      <w:bookmarkEnd w:id="209"/>
      <w:bookmarkEnd w:id="210"/>
      <w:bookmarkEnd w:id="211"/>
      <w:bookmarkEnd w:id="212"/>
      <w:bookmarkEnd w:id="213"/>
      <w:bookmarkEnd w:id="214"/>
      <w:bookmarkEnd w:id="215"/>
      <w:bookmarkEnd w:id="216"/>
      <w:bookmarkEnd w:id="223"/>
      <w:bookmarkEnd w:id="224"/>
    </w:p>
    <w:p w14:paraId="7E77DEAF">
      <w:pPr>
        <w:pStyle w:val="37"/>
        <w:pageBreakBefore w:val="0"/>
        <w:kinsoku/>
        <w:overflowPunct/>
        <w:topLinePunct w:val="0"/>
        <w:bidi w:val="0"/>
        <w:spacing w:line="440" w:lineRule="exact"/>
        <w:ind w:firstLine="480" w:firstLineChars="200"/>
        <w:textAlignment w:val="auto"/>
        <w:rPr>
          <w:rFonts w:hint="eastAsia" w:ascii="宋体" w:hAnsi="宋体" w:eastAsia="宋体" w:cs="宋体"/>
          <w:color w:val="auto"/>
          <w:kern w:val="0"/>
          <w:sz w:val="24"/>
          <w:szCs w:val="24"/>
          <w:highlight w:val="none"/>
        </w:rPr>
      </w:pPr>
      <w:r>
        <w:rPr>
          <w:rFonts w:hint="eastAsia" w:ascii="宋体" w:hAnsi="宋体" w:eastAsia="宋体" w:cs="宋体"/>
          <w:snapToGrid w:val="0"/>
          <w:color w:val="auto"/>
          <w:kern w:val="0"/>
          <w:sz w:val="24"/>
          <w:szCs w:val="24"/>
          <w:highlight w:val="none"/>
        </w:rPr>
        <w:t>本次招标投标有效期为</w:t>
      </w:r>
      <w:r>
        <w:rPr>
          <w:rFonts w:hint="eastAsia" w:ascii="宋体" w:hAnsi="宋体" w:eastAsia="宋体" w:cs="宋体"/>
          <w:snapToGrid w:val="0"/>
          <w:color w:val="auto"/>
          <w:kern w:val="0"/>
          <w:sz w:val="24"/>
          <w:szCs w:val="24"/>
          <w:highlight w:val="none"/>
          <w:u w:val="single"/>
        </w:rPr>
        <w:t xml:space="preserve"> 120 </w:t>
      </w:r>
      <w:r>
        <w:rPr>
          <w:rFonts w:hint="eastAsia" w:ascii="宋体" w:hAnsi="宋体" w:eastAsia="宋体" w:cs="宋体"/>
          <w:snapToGrid w:val="0"/>
          <w:color w:val="auto"/>
          <w:kern w:val="0"/>
          <w:sz w:val="24"/>
          <w:szCs w:val="24"/>
          <w:highlight w:val="none"/>
        </w:rPr>
        <w:t>个日历天，投标有效期从提交投标文件的截止之日起计算。在此期间，投标人不得撤销或修改其投标文件，否则其投标保证不予退还。</w:t>
      </w:r>
    </w:p>
    <w:bookmarkEnd w:id="130"/>
    <w:p w14:paraId="26831656">
      <w:pPr>
        <w:pStyle w:val="39"/>
        <w:keepNext/>
        <w:keepLines/>
        <w:pageBreakBefore w:val="0"/>
        <w:kinsoku/>
        <w:overflowPunct/>
        <w:topLinePunct w:val="0"/>
        <w:bidi w:val="0"/>
        <w:spacing w:line="440" w:lineRule="exact"/>
        <w:ind w:firstLine="480"/>
        <w:jc w:val="both"/>
        <w:textAlignment w:val="auto"/>
        <w:rPr>
          <w:rFonts w:hint="eastAsia" w:ascii="宋体" w:hAnsi="宋体" w:eastAsia="宋体" w:cs="宋体"/>
          <w:b/>
          <w:color w:val="auto"/>
          <w:kern w:val="2"/>
          <w:sz w:val="24"/>
          <w:szCs w:val="24"/>
          <w:highlight w:val="none"/>
        </w:rPr>
      </w:pPr>
      <w:bookmarkStart w:id="225" w:name="_Hlt111081624"/>
      <w:bookmarkEnd w:id="225"/>
      <w:bookmarkStart w:id="226" w:name="_Toc29464"/>
      <w:r>
        <w:rPr>
          <w:rFonts w:hint="eastAsia" w:hAnsi="宋体" w:cs="宋体"/>
          <w:b/>
          <w:color w:val="auto"/>
          <w:kern w:val="2"/>
          <w:sz w:val="24"/>
          <w:szCs w:val="24"/>
          <w:highlight w:val="none"/>
          <w:lang w:eastAsia="zh-CN"/>
        </w:rPr>
        <w:t>13.</w:t>
      </w:r>
      <w:r>
        <w:rPr>
          <w:rFonts w:hint="eastAsia" w:ascii="宋体" w:hAnsi="宋体" w:eastAsia="宋体" w:cs="宋体"/>
          <w:b/>
          <w:color w:val="auto"/>
          <w:kern w:val="2"/>
          <w:sz w:val="24"/>
          <w:szCs w:val="24"/>
          <w:highlight w:val="none"/>
        </w:rPr>
        <w:t>开标</w:t>
      </w:r>
      <w:bookmarkEnd w:id="226"/>
    </w:p>
    <w:p w14:paraId="003B03F1">
      <w:pPr>
        <w:pStyle w:val="37"/>
        <w:pageBreakBefore w:val="0"/>
        <w:kinsoku/>
        <w:overflowPunct/>
        <w:topLinePunct w:val="0"/>
        <w:autoSpaceDE w:val="0"/>
        <w:autoSpaceDN w:val="0"/>
        <w:bidi w:val="0"/>
        <w:adjustRightInd w:val="0"/>
        <w:spacing w:line="440" w:lineRule="exact"/>
        <w:ind w:firstLine="480" w:firstLineChars="200"/>
        <w:textAlignment w:val="auto"/>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13.1 招标人邀请所有正确完成了网上获取招标文件、电子投标、缴纳投标保</w:t>
      </w:r>
      <w:r>
        <w:rPr>
          <w:rFonts w:hint="eastAsia" w:hAnsi="宋体" w:cs="宋体"/>
          <w:bCs/>
          <w:color w:val="auto"/>
          <w:sz w:val="24"/>
          <w:szCs w:val="24"/>
          <w:highlight w:val="none"/>
          <w:lang w:eastAsia="zh-CN"/>
        </w:rPr>
        <w:t>证金</w:t>
      </w:r>
      <w:r>
        <w:rPr>
          <w:rFonts w:hint="eastAsia" w:ascii="宋体" w:hAnsi="宋体" w:eastAsia="宋体" w:cs="宋体"/>
          <w:bCs/>
          <w:color w:val="auto"/>
          <w:sz w:val="24"/>
          <w:szCs w:val="24"/>
          <w:highlight w:val="none"/>
        </w:rPr>
        <w:t>、递交投标文件的投标人参加开标，投标人可自主决定是否参加。投标人不参加开标的，视其默认开标结果，以及放弃在开标期间见证、监督、投诉、申辩的权利。</w:t>
      </w:r>
    </w:p>
    <w:p w14:paraId="5DA4ABA3">
      <w:pPr>
        <w:pStyle w:val="37"/>
        <w:pageBreakBefore w:val="0"/>
        <w:kinsoku/>
        <w:overflowPunct/>
        <w:topLinePunct w:val="0"/>
        <w:autoSpaceDE w:val="0"/>
        <w:autoSpaceDN w:val="0"/>
        <w:bidi w:val="0"/>
        <w:adjustRightInd w:val="0"/>
        <w:spacing w:line="440" w:lineRule="exact"/>
        <w:ind w:firstLine="480" w:firstLineChars="200"/>
        <w:textAlignment w:val="auto"/>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13.1.1 开标时间和地点：见本章第二节“重要事项时间地点一览表”。</w:t>
      </w:r>
    </w:p>
    <w:p w14:paraId="44D0A81C">
      <w:pPr>
        <w:pStyle w:val="37"/>
        <w:pageBreakBefore w:val="0"/>
        <w:kinsoku/>
        <w:wordWrap w:val="0"/>
        <w:overflowPunct/>
        <w:topLinePunct w:val="0"/>
        <w:autoSpaceDE w:val="0"/>
        <w:autoSpaceDN w:val="0"/>
        <w:bidi w:val="0"/>
        <w:adjustRightInd w:val="0"/>
        <w:spacing w:line="440" w:lineRule="exact"/>
        <w:ind w:firstLine="480" w:firstLineChars="200"/>
        <w:textAlignment w:val="auto"/>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13.1.2 开标前24小时，若交易平台显示缴纳投标保证（包括投标保证金、投标保证担保、投标保证保险）的投标人数量不足3个时，招标人将取消原定于次日召开的开标活动。投标人可在投标保</w:t>
      </w:r>
      <w:r>
        <w:rPr>
          <w:rFonts w:hint="eastAsia" w:hAnsi="宋体" w:cs="宋体"/>
          <w:bCs/>
          <w:color w:val="auto"/>
          <w:sz w:val="24"/>
          <w:szCs w:val="24"/>
          <w:highlight w:val="none"/>
          <w:lang w:eastAsia="zh-CN"/>
        </w:rPr>
        <w:t>证金</w:t>
      </w:r>
      <w:r>
        <w:rPr>
          <w:rFonts w:hint="eastAsia" w:ascii="宋体" w:hAnsi="宋体" w:eastAsia="宋体" w:cs="宋体"/>
          <w:bCs/>
          <w:color w:val="auto"/>
          <w:sz w:val="24"/>
          <w:szCs w:val="24"/>
          <w:highlight w:val="none"/>
        </w:rPr>
        <w:t>缴纳截止时间（见本章第二节“重要事项时间地点一览表”）至电子投标截止时间（见本章第二节“重要事项时间地点一览表”）期间登录全国公共资源交易平台（广东省·韶关市）（https://ygp.gdzwfw.gov.cn/ggzy-portal/#/440200/index）查询是否发布了取消开标活动的相关信息。</w:t>
      </w:r>
    </w:p>
    <w:p w14:paraId="466B4D4E">
      <w:pPr>
        <w:pStyle w:val="37"/>
        <w:pageBreakBefore w:val="0"/>
        <w:kinsoku/>
        <w:overflowPunct/>
        <w:topLinePunct w:val="0"/>
        <w:autoSpaceDE w:val="0"/>
        <w:autoSpaceDN w:val="0"/>
        <w:bidi w:val="0"/>
        <w:adjustRightInd w:val="0"/>
        <w:spacing w:line="440" w:lineRule="exact"/>
        <w:ind w:firstLine="480" w:firstLineChars="200"/>
        <w:textAlignment w:val="auto"/>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13.1.3</w:t>
      </w:r>
      <w:r>
        <w:rPr>
          <w:rFonts w:hint="eastAsia" w:hAnsi="宋体" w:cs="宋体"/>
          <w:bCs/>
          <w:color w:val="auto"/>
          <w:sz w:val="24"/>
          <w:szCs w:val="24"/>
          <w:highlight w:val="none"/>
          <w:lang w:eastAsia="zh-CN"/>
        </w:rPr>
        <w:t xml:space="preserve"> 本</w:t>
      </w:r>
      <w:r>
        <w:rPr>
          <w:rFonts w:hint="eastAsia" w:ascii="宋体" w:hAnsi="宋体" w:eastAsia="宋体" w:cs="宋体"/>
          <w:bCs/>
          <w:color w:val="auto"/>
          <w:sz w:val="24"/>
          <w:szCs w:val="24"/>
          <w:highlight w:val="none"/>
        </w:rPr>
        <w:t>项目实行全流程电子化招标投标，投标人在交易平台按要求上传加盖电子印章并经加密的电子投标文件，并在交易平台录入准确的页码信息即可完成在线投标。由于投标人原因导致未按投标</w:t>
      </w:r>
      <w:r>
        <w:rPr>
          <w:rFonts w:hint="eastAsia" w:hAnsi="宋体" w:cs="宋体"/>
          <w:bCs/>
          <w:color w:val="auto"/>
          <w:sz w:val="24"/>
          <w:szCs w:val="24"/>
          <w:highlight w:val="none"/>
          <w:lang w:eastAsia="zh-CN"/>
        </w:rPr>
        <w:t>截止</w:t>
      </w:r>
      <w:r>
        <w:rPr>
          <w:rFonts w:hint="eastAsia" w:ascii="宋体" w:hAnsi="宋体" w:eastAsia="宋体" w:cs="宋体"/>
          <w:bCs/>
          <w:color w:val="auto"/>
          <w:sz w:val="24"/>
          <w:szCs w:val="24"/>
          <w:highlight w:val="none"/>
        </w:rPr>
        <w:t>时限上传完整投标文件、在交易平台中上传的投标文件无法解密、投标文件损坏或格式不正确、投标文件未按招标文件要求加盖电子印章或电子印章不完整、电子投标文件解密失败且未按要求上传备用投标文件等情形导致投标无效的，由投标人自行负责。</w:t>
      </w:r>
    </w:p>
    <w:p w14:paraId="07CD175E">
      <w:pPr>
        <w:pStyle w:val="37"/>
        <w:pageBreakBefore w:val="0"/>
        <w:kinsoku/>
        <w:overflowPunct/>
        <w:topLinePunct w:val="0"/>
        <w:autoSpaceDE w:val="0"/>
        <w:autoSpaceDN w:val="0"/>
        <w:bidi w:val="0"/>
        <w:adjustRightInd w:val="0"/>
        <w:spacing w:line="440" w:lineRule="exact"/>
        <w:ind w:firstLine="480" w:firstLineChars="200"/>
        <w:textAlignment w:val="auto"/>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13.2 开标程序</w:t>
      </w:r>
    </w:p>
    <w:p w14:paraId="3FD6F5DD">
      <w:pPr>
        <w:pStyle w:val="37"/>
        <w:pageBreakBefore w:val="0"/>
        <w:kinsoku/>
        <w:overflowPunct/>
        <w:topLinePunct w:val="0"/>
        <w:autoSpaceDE w:val="0"/>
        <w:autoSpaceDN w:val="0"/>
        <w:bidi w:val="0"/>
        <w:adjustRightInd w:val="0"/>
        <w:spacing w:line="440" w:lineRule="exact"/>
        <w:ind w:firstLine="480" w:firstLineChars="200"/>
        <w:textAlignment w:val="auto"/>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（1）主持人（招标人代表或招标人授权的招标代理机构人员）宣读开标纪律。</w:t>
      </w:r>
    </w:p>
    <w:p w14:paraId="7307D00D">
      <w:pPr>
        <w:pStyle w:val="37"/>
        <w:pageBreakBefore w:val="0"/>
        <w:kinsoku/>
        <w:overflowPunct/>
        <w:topLinePunct w:val="0"/>
        <w:autoSpaceDE w:val="0"/>
        <w:autoSpaceDN w:val="0"/>
        <w:bidi w:val="0"/>
        <w:adjustRightInd w:val="0"/>
        <w:spacing w:line="440" w:lineRule="exact"/>
        <w:ind w:firstLine="480" w:firstLineChars="200"/>
        <w:textAlignment w:val="auto"/>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（2）主持人宣布唱标人、记录人、见证人、监督人等有关人员姓名。</w:t>
      </w:r>
    </w:p>
    <w:p w14:paraId="23E11803">
      <w:pPr>
        <w:pStyle w:val="37"/>
        <w:pageBreakBefore w:val="0"/>
        <w:kinsoku/>
        <w:overflowPunct/>
        <w:topLinePunct w:val="0"/>
        <w:autoSpaceDE w:val="0"/>
        <w:autoSpaceDN w:val="0"/>
        <w:bidi w:val="0"/>
        <w:adjustRightInd w:val="0"/>
        <w:spacing w:line="440" w:lineRule="exact"/>
        <w:ind w:firstLine="480" w:firstLineChars="200"/>
        <w:textAlignment w:val="auto"/>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（3）唱标人公布在投标截止时间前</w:t>
      </w:r>
      <w:r>
        <w:rPr>
          <w:rFonts w:hint="eastAsia" w:hAnsi="宋体" w:cs="宋体"/>
          <w:bCs/>
          <w:color w:val="auto"/>
          <w:sz w:val="24"/>
          <w:szCs w:val="24"/>
          <w:highlight w:val="none"/>
          <w:lang w:eastAsia="zh-CN"/>
        </w:rPr>
        <w:t>递交</w:t>
      </w:r>
      <w:r>
        <w:rPr>
          <w:rFonts w:hint="eastAsia" w:ascii="宋体" w:hAnsi="宋体" w:eastAsia="宋体" w:cs="宋体"/>
          <w:bCs/>
          <w:color w:val="auto"/>
          <w:sz w:val="24"/>
          <w:szCs w:val="24"/>
          <w:highlight w:val="none"/>
        </w:rPr>
        <w:t>投标文件的投标人数量和</w:t>
      </w:r>
      <w:r>
        <w:rPr>
          <w:rFonts w:hint="eastAsia" w:hAnsi="宋体" w:cs="宋体"/>
          <w:bCs/>
          <w:color w:val="auto"/>
          <w:sz w:val="24"/>
          <w:szCs w:val="24"/>
          <w:highlight w:val="none"/>
          <w:lang w:eastAsia="zh-CN"/>
        </w:rPr>
        <w:t>名称。</w:t>
      </w:r>
    </w:p>
    <w:p w14:paraId="71B25AC9">
      <w:pPr>
        <w:pStyle w:val="37"/>
        <w:pageBreakBefore w:val="0"/>
        <w:kinsoku/>
        <w:overflowPunct/>
        <w:topLinePunct w:val="0"/>
        <w:autoSpaceDE w:val="0"/>
        <w:autoSpaceDN w:val="0"/>
        <w:bidi w:val="0"/>
        <w:adjustRightInd w:val="0"/>
        <w:spacing w:line="440" w:lineRule="exact"/>
        <w:ind w:firstLine="480" w:firstLineChars="200"/>
        <w:textAlignment w:val="auto"/>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（4）招标代理机构会同交易场所工作人员对投标人的电子投标信息进行解密，建设工程交易系统自动生成《投标保</w:t>
      </w:r>
      <w:r>
        <w:rPr>
          <w:rFonts w:hint="eastAsia" w:hAnsi="宋体" w:cs="宋体"/>
          <w:bCs/>
          <w:color w:val="auto"/>
          <w:sz w:val="24"/>
          <w:szCs w:val="24"/>
          <w:highlight w:val="none"/>
          <w:lang w:eastAsia="zh-CN"/>
        </w:rPr>
        <w:t>证金</w:t>
      </w:r>
      <w:r>
        <w:rPr>
          <w:rFonts w:hint="eastAsia" w:ascii="宋体" w:hAnsi="宋体" w:eastAsia="宋体" w:cs="宋体"/>
          <w:bCs/>
          <w:color w:val="auto"/>
          <w:sz w:val="24"/>
          <w:szCs w:val="24"/>
          <w:highlight w:val="none"/>
        </w:rPr>
        <w:t>缴纳情况表》和《开标一览表》。</w:t>
      </w:r>
    </w:p>
    <w:p w14:paraId="6BCBBDC7">
      <w:pPr>
        <w:pStyle w:val="37"/>
        <w:pageBreakBefore w:val="0"/>
        <w:kinsoku/>
        <w:overflowPunct/>
        <w:topLinePunct w:val="0"/>
        <w:autoSpaceDE w:val="0"/>
        <w:autoSpaceDN w:val="0"/>
        <w:bidi w:val="0"/>
        <w:adjustRightInd w:val="0"/>
        <w:spacing w:line="440" w:lineRule="exact"/>
        <w:ind w:firstLine="480" w:firstLineChars="200"/>
        <w:textAlignment w:val="auto"/>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温馨提示：因本项目实行全流程电子化招标投标，投标人无须进行现场签到，可登录交易平台观看开标实况、提出异议或进行澄清、确认等操作，对开标事项的异议未在开标期间提出的，招标人不予受理。具体</w:t>
      </w:r>
      <w:r>
        <w:rPr>
          <w:rFonts w:hint="eastAsia" w:hAnsi="宋体" w:cs="宋体"/>
          <w:bCs/>
          <w:color w:val="auto"/>
          <w:sz w:val="24"/>
          <w:szCs w:val="24"/>
          <w:highlight w:val="none"/>
          <w:lang w:eastAsia="zh-CN"/>
        </w:rPr>
        <w:t>以</w:t>
      </w:r>
      <w:r>
        <w:rPr>
          <w:rFonts w:hint="eastAsia" w:ascii="宋体" w:hAnsi="宋体" w:eastAsia="宋体" w:cs="宋体"/>
          <w:bCs/>
          <w:color w:val="auto"/>
          <w:sz w:val="24"/>
          <w:szCs w:val="24"/>
          <w:highlight w:val="none"/>
        </w:rPr>
        <w:t>招标文件和系统操作手册为准。</w:t>
      </w:r>
    </w:p>
    <w:p w14:paraId="6927EF72">
      <w:pPr>
        <w:pStyle w:val="37"/>
        <w:pageBreakBefore w:val="0"/>
        <w:kinsoku/>
        <w:overflowPunct/>
        <w:topLinePunct w:val="0"/>
        <w:autoSpaceDE w:val="0"/>
        <w:autoSpaceDN w:val="0"/>
        <w:bidi w:val="0"/>
        <w:adjustRightInd w:val="0"/>
        <w:spacing w:line="440" w:lineRule="exact"/>
        <w:ind w:firstLine="482" w:firstLineChars="200"/>
        <w:textAlignment w:val="auto"/>
        <w:rPr>
          <w:rFonts w:hint="eastAsia" w:ascii="宋体" w:hAnsi="宋体" w:eastAsia="宋体" w:cs="宋体"/>
          <w:b/>
          <w:bCs w:val="0"/>
          <w:color w:val="auto"/>
          <w:sz w:val="24"/>
          <w:szCs w:val="24"/>
          <w:highlight w:val="none"/>
        </w:rPr>
      </w:pPr>
      <w:r>
        <w:rPr>
          <w:rFonts w:hint="eastAsia" w:ascii="宋体" w:hAnsi="宋体" w:eastAsia="宋体" w:cs="宋体"/>
          <w:b/>
          <w:bCs w:val="0"/>
          <w:color w:val="auto"/>
          <w:sz w:val="24"/>
          <w:szCs w:val="24"/>
          <w:highlight w:val="none"/>
        </w:rPr>
        <w:t>因本工程采用全流程电子招标投标方式进行招标，投标人在唱标环节为解密唱标时，以网上电子解密唱标信息为准。全流程电子招标投标采用线上评审，以电子投标文件为准。如果两者报价不一致的，视为报价不唯一，其响应性评审不通过。</w:t>
      </w:r>
    </w:p>
    <w:p w14:paraId="117932F5">
      <w:pPr>
        <w:pStyle w:val="37"/>
        <w:pageBreakBefore w:val="0"/>
        <w:kinsoku/>
        <w:overflowPunct/>
        <w:topLinePunct w:val="0"/>
        <w:autoSpaceDE w:val="0"/>
        <w:autoSpaceDN w:val="0"/>
        <w:bidi w:val="0"/>
        <w:adjustRightInd w:val="0"/>
        <w:spacing w:line="440" w:lineRule="exact"/>
        <w:ind w:firstLine="480" w:firstLineChars="200"/>
        <w:textAlignment w:val="auto"/>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13.3 投标人对开标相关事项（如开标程序等）有异议的，必须在开标期间及时提出，招标人或其授权的招标代理机构应当场作出答复，并记录在案。对开标事项的异议未在开标期间及时提出的，招标人不予受理。</w:t>
      </w:r>
    </w:p>
    <w:p w14:paraId="4E8E0301">
      <w:pPr>
        <w:pStyle w:val="37"/>
        <w:pageBreakBefore w:val="0"/>
        <w:kinsoku/>
        <w:overflowPunct/>
        <w:topLinePunct w:val="0"/>
        <w:autoSpaceDE w:val="0"/>
        <w:autoSpaceDN w:val="0"/>
        <w:bidi w:val="0"/>
        <w:adjustRightInd w:val="0"/>
        <w:spacing w:line="440" w:lineRule="exact"/>
        <w:ind w:firstLine="480" w:firstLineChars="200"/>
        <w:textAlignment w:val="auto"/>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13.4 招标代理机构将资料原件（若有）、《开标一览表》以及其他有关资料移交评标委员会。</w:t>
      </w:r>
    </w:p>
    <w:p w14:paraId="41C23CBF">
      <w:pPr>
        <w:pStyle w:val="39"/>
        <w:keepNext/>
        <w:keepLines/>
        <w:pageBreakBefore w:val="0"/>
        <w:kinsoku/>
        <w:overflowPunct/>
        <w:topLinePunct w:val="0"/>
        <w:bidi w:val="0"/>
        <w:spacing w:line="440" w:lineRule="exact"/>
        <w:ind w:firstLine="480"/>
        <w:jc w:val="both"/>
        <w:textAlignment w:val="auto"/>
        <w:rPr>
          <w:rFonts w:hint="eastAsia" w:ascii="宋体" w:hAnsi="宋体" w:eastAsia="宋体" w:cs="宋体"/>
          <w:b/>
          <w:color w:val="auto"/>
          <w:kern w:val="2"/>
          <w:sz w:val="24"/>
          <w:szCs w:val="24"/>
          <w:highlight w:val="none"/>
        </w:rPr>
      </w:pPr>
      <w:bookmarkStart w:id="227" w:name="_Toc25406"/>
      <w:bookmarkStart w:id="228" w:name="_Toc21041"/>
      <w:r>
        <w:rPr>
          <w:rFonts w:hint="eastAsia" w:hAnsi="宋体" w:cs="宋体"/>
          <w:b/>
          <w:color w:val="auto"/>
          <w:kern w:val="2"/>
          <w:sz w:val="24"/>
          <w:szCs w:val="24"/>
          <w:highlight w:val="none"/>
          <w:lang w:eastAsia="zh-CN"/>
        </w:rPr>
        <w:t>14.</w:t>
      </w:r>
      <w:r>
        <w:rPr>
          <w:rFonts w:hint="eastAsia" w:ascii="宋体" w:hAnsi="宋体" w:eastAsia="宋体" w:cs="宋体"/>
          <w:b/>
          <w:color w:val="auto"/>
          <w:kern w:val="2"/>
          <w:sz w:val="24"/>
          <w:szCs w:val="24"/>
          <w:highlight w:val="none"/>
        </w:rPr>
        <w:t>评标的方法和标准</w:t>
      </w:r>
      <w:bookmarkEnd w:id="227"/>
      <w:bookmarkEnd w:id="228"/>
    </w:p>
    <w:p w14:paraId="010A70CC">
      <w:pPr>
        <w:pStyle w:val="37"/>
        <w:pageBreakBefore w:val="0"/>
        <w:kinsoku/>
        <w:overflowPunct/>
        <w:topLinePunct w:val="0"/>
        <w:autoSpaceDE w:val="0"/>
        <w:autoSpaceDN w:val="0"/>
        <w:bidi w:val="0"/>
        <w:adjustRightInd w:val="0"/>
        <w:spacing w:line="440" w:lineRule="exact"/>
        <w:ind w:firstLine="480" w:firstLineChars="200"/>
        <w:textAlignment w:val="auto"/>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评标分为初步评审和详细评审两个阶段，由评标委员会在有关部门的监督下，严格按照本招标文件指定的评标方法，对投标人的投标文件进行审查、评审。评标委员会完成评标后，向招标人推荐已明确的定标候选人数量（不标明排序），并向招标人提交由全体评标委员会成员签字的评标报告。</w:t>
      </w:r>
    </w:p>
    <w:p w14:paraId="6ED68299">
      <w:pPr>
        <w:ind w:firstLine="480" w:firstLineChars="200"/>
        <w:rPr>
          <w:rFonts w:hint="eastAsia"/>
          <w:b/>
          <w:bCs/>
          <w:color w:val="auto"/>
          <w:highlight w:val="none"/>
        </w:rPr>
      </w:pPr>
      <w:bookmarkStart w:id="229" w:name="_Toc23778"/>
      <w:bookmarkStart w:id="230" w:name="_Toc32313"/>
      <w:bookmarkStart w:id="231" w:name="_Toc13469"/>
      <w:r>
        <w:rPr>
          <w:rFonts w:hint="eastAsia"/>
          <w:b/>
          <w:bCs/>
          <w:color w:val="auto"/>
          <w:highlight w:val="none"/>
        </w:rPr>
        <w:t>14.1 评标</w:t>
      </w:r>
      <w:bookmarkStart w:id="232" w:name="_Hlt69208274"/>
      <w:bookmarkEnd w:id="232"/>
      <w:r>
        <w:rPr>
          <w:rFonts w:hint="eastAsia"/>
          <w:b/>
          <w:bCs/>
          <w:color w:val="auto"/>
          <w:highlight w:val="none"/>
        </w:rPr>
        <w:t>委员会</w:t>
      </w:r>
      <w:bookmarkEnd w:id="229"/>
      <w:bookmarkEnd w:id="230"/>
      <w:bookmarkEnd w:id="231"/>
      <w:bookmarkStart w:id="233" w:name="_Hlt69338169"/>
      <w:bookmarkEnd w:id="233"/>
    </w:p>
    <w:p w14:paraId="3BD094BD">
      <w:pPr>
        <w:pStyle w:val="37"/>
        <w:pageBreakBefore w:val="0"/>
        <w:kinsoku/>
        <w:overflowPunct/>
        <w:topLinePunct w:val="0"/>
        <w:autoSpaceDE w:val="0"/>
        <w:autoSpaceDN w:val="0"/>
        <w:bidi w:val="0"/>
        <w:adjustRightInd w:val="0"/>
        <w:spacing w:line="440" w:lineRule="exact"/>
        <w:ind w:firstLine="480" w:firstLineChars="200"/>
        <w:textAlignment w:val="auto"/>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 xml:space="preserve">14.1.1 </w:t>
      </w:r>
      <w:r>
        <w:rPr>
          <w:rFonts w:hint="eastAsia" w:ascii="宋体" w:hAnsi="宋体" w:eastAsia="宋体" w:cs="宋体"/>
          <w:color w:val="auto"/>
          <w:sz w:val="24"/>
          <w:szCs w:val="24"/>
          <w:highlight w:val="none"/>
        </w:rPr>
        <w:t>评标委员会由</w:t>
      </w:r>
      <w:r>
        <w:rPr>
          <w:rFonts w:hint="eastAsia" w:ascii="宋体" w:hAnsi="宋体" w:eastAsia="宋体" w:cs="宋体"/>
          <w:color w:val="auto"/>
          <w:sz w:val="24"/>
          <w:szCs w:val="24"/>
          <w:highlight w:val="none"/>
          <w:u w:val="single"/>
        </w:rPr>
        <w:t>5</w:t>
      </w:r>
      <w:r>
        <w:rPr>
          <w:rFonts w:hint="eastAsia" w:ascii="宋体" w:hAnsi="宋体" w:eastAsia="宋体" w:cs="宋体"/>
          <w:color w:val="auto"/>
          <w:sz w:val="24"/>
          <w:szCs w:val="24"/>
          <w:highlight w:val="none"/>
        </w:rPr>
        <w:t>人组成，其中招标人代表</w:t>
      </w:r>
      <w:r>
        <w:rPr>
          <w:rFonts w:hint="eastAsia" w:ascii="宋体" w:hAnsi="宋体" w:eastAsia="宋体" w:cs="宋体"/>
          <w:color w:val="auto"/>
          <w:sz w:val="24"/>
          <w:szCs w:val="24"/>
          <w:highlight w:val="none"/>
          <w:u w:val="single"/>
        </w:rPr>
        <w:t>0</w:t>
      </w:r>
      <w:r>
        <w:rPr>
          <w:rFonts w:hint="eastAsia" w:ascii="宋体" w:hAnsi="宋体" w:eastAsia="宋体" w:cs="宋体"/>
          <w:color w:val="auto"/>
          <w:sz w:val="24"/>
          <w:szCs w:val="24"/>
          <w:highlight w:val="none"/>
        </w:rPr>
        <w:t>人，专家</w:t>
      </w:r>
      <w:r>
        <w:rPr>
          <w:rFonts w:hint="eastAsia" w:ascii="宋体" w:hAnsi="宋体" w:eastAsia="宋体" w:cs="宋体"/>
          <w:color w:val="auto"/>
          <w:sz w:val="24"/>
          <w:szCs w:val="24"/>
          <w:highlight w:val="none"/>
          <w:u w:val="single"/>
        </w:rPr>
        <w:t>5</w:t>
      </w:r>
      <w:r>
        <w:rPr>
          <w:rFonts w:hint="eastAsia" w:ascii="宋体" w:hAnsi="宋体" w:eastAsia="宋体" w:cs="宋体"/>
          <w:color w:val="auto"/>
          <w:sz w:val="24"/>
          <w:szCs w:val="24"/>
          <w:highlight w:val="none"/>
        </w:rPr>
        <w:t>人</w:t>
      </w:r>
      <w:r>
        <w:rPr>
          <w:rFonts w:hint="eastAsia" w:ascii="宋体" w:hAnsi="宋体" w:eastAsia="宋体" w:cs="宋体"/>
          <w:color w:val="auto"/>
          <w:sz w:val="24"/>
          <w:szCs w:val="24"/>
          <w:highlight w:val="none"/>
          <w:lang w:eastAsia="zh-CN"/>
        </w:rPr>
        <w:t>，具体详见投标须知前附表规定</w:t>
      </w:r>
      <w:r>
        <w:rPr>
          <w:rFonts w:hint="eastAsia" w:ascii="宋体" w:hAnsi="宋体" w:eastAsia="宋体" w:cs="宋体"/>
          <w:color w:val="auto"/>
          <w:sz w:val="24"/>
          <w:szCs w:val="24"/>
          <w:highlight w:val="none"/>
        </w:rPr>
        <w:t>。</w:t>
      </w:r>
      <w:r>
        <w:rPr>
          <w:rFonts w:hint="eastAsia" w:ascii="宋体" w:hAnsi="宋体" w:eastAsia="宋体" w:cs="宋体"/>
          <w:color w:val="auto"/>
          <w:spacing w:val="-1"/>
          <w:sz w:val="24"/>
          <w:szCs w:val="24"/>
          <w:highlight w:val="none"/>
        </w:rPr>
        <w:t>评标委员会设负责人，由评标委员会成员推举产生</w:t>
      </w:r>
      <w:r>
        <w:rPr>
          <w:rFonts w:hint="eastAsia" w:ascii="宋体" w:hAnsi="宋体" w:eastAsia="宋体" w:cs="宋体"/>
          <w:color w:val="auto"/>
          <w:spacing w:val="-2"/>
          <w:sz w:val="24"/>
          <w:szCs w:val="24"/>
          <w:highlight w:val="none"/>
        </w:rPr>
        <w:t>。评标委员会负责人与评</w:t>
      </w:r>
      <w:r>
        <w:rPr>
          <w:rFonts w:hint="eastAsia" w:ascii="宋体" w:hAnsi="宋体" w:eastAsia="宋体" w:cs="宋体"/>
          <w:color w:val="auto"/>
          <w:spacing w:val="-1"/>
          <w:sz w:val="24"/>
          <w:szCs w:val="24"/>
          <w:highlight w:val="none"/>
        </w:rPr>
        <w:t>标委员会的其他成员有同等的表决权</w:t>
      </w:r>
      <w:r>
        <w:rPr>
          <w:rFonts w:hint="eastAsia" w:ascii="宋体" w:hAnsi="宋体" w:eastAsia="宋体" w:cs="宋体"/>
          <w:bCs/>
          <w:color w:val="auto"/>
          <w:sz w:val="24"/>
          <w:szCs w:val="24"/>
          <w:highlight w:val="none"/>
        </w:rPr>
        <w:t>。</w:t>
      </w:r>
    </w:p>
    <w:p w14:paraId="099FFDB7">
      <w:pPr>
        <w:pStyle w:val="37"/>
        <w:pageBreakBefore w:val="0"/>
        <w:kinsoku/>
        <w:overflowPunct/>
        <w:topLinePunct w:val="0"/>
        <w:autoSpaceDE w:val="0"/>
        <w:autoSpaceDN w:val="0"/>
        <w:bidi w:val="0"/>
        <w:adjustRightInd w:val="0"/>
        <w:spacing w:line="440" w:lineRule="exact"/>
        <w:ind w:firstLine="480" w:firstLineChars="200"/>
        <w:textAlignment w:val="auto"/>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14.1.2 评标委员会应认真、公正、诚实、廉洁地履行职责。有下列情形之一的，不得担任评标委员会成员：</w:t>
      </w:r>
    </w:p>
    <w:p w14:paraId="74F012FB">
      <w:pPr>
        <w:pStyle w:val="37"/>
        <w:pageBreakBefore w:val="0"/>
        <w:kinsoku/>
        <w:overflowPunct/>
        <w:topLinePunct w:val="0"/>
        <w:autoSpaceDE w:val="0"/>
        <w:autoSpaceDN w:val="0"/>
        <w:bidi w:val="0"/>
        <w:adjustRightInd w:val="0"/>
        <w:spacing w:line="440" w:lineRule="exact"/>
        <w:ind w:firstLine="480" w:firstLineChars="200"/>
        <w:textAlignment w:val="auto"/>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14.1.2.1 投标人或者投标人主要负责人的近亲属；</w:t>
      </w:r>
    </w:p>
    <w:p w14:paraId="7FACCFBE">
      <w:pPr>
        <w:pStyle w:val="37"/>
        <w:pageBreakBefore w:val="0"/>
        <w:kinsoku/>
        <w:overflowPunct/>
        <w:topLinePunct w:val="0"/>
        <w:autoSpaceDE w:val="0"/>
        <w:autoSpaceDN w:val="0"/>
        <w:bidi w:val="0"/>
        <w:adjustRightInd w:val="0"/>
        <w:spacing w:line="440" w:lineRule="exact"/>
        <w:ind w:firstLine="480" w:firstLineChars="200"/>
        <w:textAlignment w:val="auto"/>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14.1.2.2 项目主管部门或者行政监督部门的人员；</w:t>
      </w:r>
    </w:p>
    <w:p w14:paraId="20644083">
      <w:pPr>
        <w:pStyle w:val="37"/>
        <w:pageBreakBefore w:val="0"/>
        <w:kinsoku/>
        <w:overflowPunct/>
        <w:topLinePunct w:val="0"/>
        <w:autoSpaceDE w:val="0"/>
        <w:autoSpaceDN w:val="0"/>
        <w:bidi w:val="0"/>
        <w:adjustRightInd w:val="0"/>
        <w:spacing w:line="440" w:lineRule="exact"/>
        <w:ind w:firstLine="480" w:firstLineChars="200"/>
        <w:textAlignment w:val="auto"/>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14.1.2.3 与投标人有经济利益关系，可能影响对投标公正评审的；</w:t>
      </w:r>
    </w:p>
    <w:p w14:paraId="0C9E6A1C">
      <w:pPr>
        <w:pStyle w:val="37"/>
        <w:pageBreakBefore w:val="0"/>
        <w:kinsoku/>
        <w:overflowPunct/>
        <w:topLinePunct w:val="0"/>
        <w:autoSpaceDE w:val="0"/>
        <w:autoSpaceDN w:val="0"/>
        <w:bidi w:val="0"/>
        <w:adjustRightInd w:val="0"/>
        <w:spacing w:line="440" w:lineRule="exact"/>
        <w:ind w:firstLine="480" w:firstLineChars="200"/>
        <w:textAlignment w:val="auto"/>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14.1.2.4 曾因在</w:t>
      </w:r>
      <w:bookmarkStart w:id="234" w:name="_Hlt69700387"/>
      <w:bookmarkEnd w:id="234"/>
      <w:r>
        <w:rPr>
          <w:rFonts w:hint="eastAsia" w:ascii="宋体" w:hAnsi="宋体" w:eastAsia="宋体" w:cs="宋体"/>
          <w:bCs/>
          <w:color w:val="auto"/>
          <w:sz w:val="24"/>
          <w:szCs w:val="24"/>
          <w:highlight w:val="none"/>
        </w:rPr>
        <w:t>招标、评标以及其他与招标投标有关活动中从事违法行为而受过行政处罚或刑事处罚的。</w:t>
      </w:r>
    </w:p>
    <w:p w14:paraId="14FCEECC">
      <w:pPr>
        <w:pStyle w:val="37"/>
        <w:pageBreakBefore w:val="0"/>
        <w:kinsoku/>
        <w:overflowPunct/>
        <w:topLinePunct w:val="0"/>
        <w:autoSpaceDE w:val="0"/>
        <w:autoSpaceDN w:val="0"/>
        <w:bidi w:val="0"/>
        <w:adjustRightInd w:val="0"/>
        <w:spacing w:line="440" w:lineRule="exact"/>
        <w:ind w:firstLine="480" w:firstLineChars="200"/>
        <w:textAlignment w:val="auto"/>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14.1.3 评标委员会成员有前款规定情形之一的，应主动提出回避。</w:t>
      </w:r>
    </w:p>
    <w:p w14:paraId="3D387062">
      <w:pPr>
        <w:pStyle w:val="37"/>
        <w:pageBreakBefore w:val="0"/>
        <w:kinsoku/>
        <w:overflowPunct/>
        <w:topLinePunct w:val="0"/>
        <w:autoSpaceDE w:val="0"/>
        <w:autoSpaceDN w:val="0"/>
        <w:bidi w:val="0"/>
        <w:adjustRightInd w:val="0"/>
        <w:spacing w:line="440" w:lineRule="exact"/>
        <w:ind w:firstLine="480" w:firstLineChars="200"/>
        <w:textAlignment w:val="auto"/>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14.1.4 评标全过程实行封闭式管理，在中标结果公布前，禁止评标委员会成员以任何方式私下接触投标人。</w:t>
      </w:r>
    </w:p>
    <w:p w14:paraId="2C06FD58">
      <w:pPr>
        <w:pStyle w:val="37"/>
        <w:pageBreakBefore w:val="0"/>
        <w:kinsoku/>
        <w:overflowPunct/>
        <w:topLinePunct w:val="0"/>
        <w:autoSpaceDE w:val="0"/>
        <w:autoSpaceDN w:val="0"/>
        <w:bidi w:val="0"/>
        <w:adjustRightInd w:val="0"/>
        <w:spacing w:line="440" w:lineRule="exact"/>
        <w:ind w:firstLine="480" w:firstLineChars="200"/>
        <w:textAlignment w:val="auto"/>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14.1.5 在评标过程中，评标委员会可以书面形式要求投标人对所提交的投标文件中不明确的内容进行书面澄清或说明，但不接受投标人主动提出的澄清或说明。投标人的书面澄清或说明不得改变投标文件的实质性内容，并作为投标文件的组成部分。</w:t>
      </w:r>
    </w:p>
    <w:p w14:paraId="0364625C">
      <w:pPr>
        <w:pStyle w:val="37"/>
        <w:pageBreakBefore w:val="0"/>
        <w:kinsoku/>
        <w:overflowPunct/>
        <w:topLinePunct w:val="0"/>
        <w:autoSpaceDE w:val="0"/>
        <w:autoSpaceDN w:val="0"/>
        <w:bidi w:val="0"/>
        <w:adjustRightInd w:val="0"/>
        <w:spacing w:line="440" w:lineRule="exact"/>
        <w:ind w:firstLine="480" w:firstLineChars="200"/>
        <w:textAlignment w:val="auto"/>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14.1.6 在任何评标环节中，当评标委员会就某项定性的评审结论不统一、需要做出表决时，由评标委员会全体成员按照少数服从多数的原则，以记名投票方式表决。评标委员会全体成员应共同遵守和执行表决结果，严禁评标委员会任何成员将个人意见强加给他人、影响评标正常秩序和妨碍评审结论的公正性。</w:t>
      </w:r>
    </w:p>
    <w:p w14:paraId="4B5D4CD1">
      <w:pPr>
        <w:ind w:firstLine="482" w:firstLineChars="200"/>
        <w:rPr>
          <w:rFonts w:hint="eastAsia" w:ascii="宋体" w:hAnsi="宋体" w:eastAsia="宋体" w:cs="宋体"/>
          <w:b/>
          <w:color w:val="auto"/>
          <w:kern w:val="2"/>
          <w:sz w:val="24"/>
          <w:szCs w:val="24"/>
          <w:highlight w:val="none"/>
        </w:rPr>
      </w:pPr>
      <w:bookmarkStart w:id="235" w:name="_Toc106418823"/>
      <w:bookmarkStart w:id="236" w:name="_Toc104711078"/>
      <w:bookmarkStart w:id="237" w:name="_Toc22205"/>
      <w:bookmarkStart w:id="238" w:name="_Toc17385"/>
      <w:bookmarkStart w:id="239" w:name="_Toc17742"/>
      <w:r>
        <w:rPr>
          <w:rFonts w:hint="eastAsia" w:ascii="宋体" w:hAnsi="宋体" w:eastAsia="宋体" w:cs="宋体"/>
          <w:b/>
          <w:color w:val="auto"/>
          <w:kern w:val="2"/>
          <w:sz w:val="24"/>
          <w:szCs w:val="24"/>
          <w:highlight w:val="none"/>
        </w:rPr>
        <w:t>14.2</w:t>
      </w:r>
      <w:bookmarkEnd w:id="235"/>
      <w:bookmarkEnd w:id="236"/>
      <w:r>
        <w:rPr>
          <w:rFonts w:hint="eastAsia" w:hAnsi="宋体" w:eastAsia="宋体" w:cs="宋体"/>
          <w:b/>
          <w:color w:val="auto"/>
          <w:kern w:val="2"/>
          <w:sz w:val="24"/>
          <w:szCs w:val="24"/>
          <w:highlight w:val="none"/>
          <w:lang w:eastAsia="zh-CN"/>
        </w:rPr>
        <w:t xml:space="preserve"> 评</w:t>
      </w:r>
      <w:r>
        <w:rPr>
          <w:rFonts w:hint="eastAsia" w:ascii="宋体" w:hAnsi="宋体" w:eastAsia="宋体" w:cs="宋体"/>
          <w:b/>
          <w:color w:val="auto"/>
          <w:kern w:val="2"/>
          <w:sz w:val="24"/>
          <w:szCs w:val="24"/>
          <w:highlight w:val="none"/>
        </w:rPr>
        <w:t>标方法</w:t>
      </w:r>
      <w:bookmarkEnd w:id="237"/>
      <w:bookmarkEnd w:id="238"/>
      <w:bookmarkEnd w:id="239"/>
    </w:p>
    <w:p w14:paraId="52BA91AC">
      <w:pPr>
        <w:pStyle w:val="37"/>
        <w:pageBreakBefore w:val="0"/>
        <w:kinsoku/>
        <w:overflowPunct/>
        <w:topLinePunct w:val="0"/>
        <w:autoSpaceDE w:val="0"/>
        <w:autoSpaceDN w:val="0"/>
        <w:bidi w:val="0"/>
        <w:adjustRightInd w:val="0"/>
        <w:spacing w:line="440" w:lineRule="exact"/>
        <w:ind w:firstLine="480" w:firstLineChars="200"/>
        <w:textAlignment w:val="auto"/>
        <w:rPr>
          <w:rFonts w:hint="eastAsia" w:ascii="宋体" w:hAnsi="宋体" w:eastAsia="宋体" w:cs="宋体"/>
          <w:bCs/>
          <w:color w:val="auto"/>
          <w:sz w:val="24"/>
          <w:szCs w:val="24"/>
          <w:highlight w:val="none"/>
        </w:rPr>
      </w:pPr>
      <w:bookmarkStart w:id="240" w:name="_Hlt66591657"/>
      <w:bookmarkEnd w:id="240"/>
      <w:r>
        <w:rPr>
          <w:rFonts w:hint="eastAsia" w:ascii="宋体" w:hAnsi="宋体" w:eastAsia="宋体" w:cs="宋体"/>
          <w:bCs/>
          <w:color w:val="auto"/>
          <w:sz w:val="24"/>
          <w:szCs w:val="24"/>
          <w:highlight w:val="none"/>
        </w:rPr>
        <w:t>根据有关</w:t>
      </w:r>
      <w:r>
        <w:rPr>
          <w:rFonts w:hint="eastAsia" w:hAnsi="宋体" w:cs="宋体"/>
          <w:bCs/>
          <w:color w:val="auto"/>
          <w:sz w:val="24"/>
          <w:szCs w:val="24"/>
          <w:highlight w:val="none"/>
          <w:lang w:eastAsia="zh-CN"/>
        </w:rPr>
        <w:t>法律法规</w:t>
      </w:r>
      <w:r>
        <w:rPr>
          <w:rFonts w:hint="eastAsia" w:ascii="宋体" w:hAnsi="宋体" w:eastAsia="宋体" w:cs="宋体"/>
          <w:bCs/>
          <w:color w:val="auto"/>
          <w:sz w:val="24"/>
          <w:szCs w:val="24"/>
          <w:highlight w:val="none"/>
        </w:rPr>
        <w:t>的相关规定，结合本招标项目资金来源和规模特点，本次招标采用</w:t>
      </w:r>
      <w:r>
        <w:rPr>
          <w:rFonts w:hint="eastAsia" w:ascii="宋体" w:hAnsi="宋体" w:eastAsia="宋体" w:cs="宋体"/>
          <w:bCs/>
          <w:color w:val="auto"/>
          <w:sz w:val="24"/>
          <w:szCs w:val="24"/>
          <w:highlight w:val="none"/>
          <w:u w:val="single"/>
        </w:rPr>
        <w:t>综合评估法</w:t>
      </w:r>
      <w:r>
        <w:rPr>
          <w:rFonts w:hint="eastAsia" w:ascii="宋体" w:hAnsi="宋体" w:eastAsia="宋体" w:cs="宋体"/>
          <w:bCs/>
          <w:color w:val="auto"/>
          <w:sz w:val="24"/>
          <w:szCs w:val="24"/>
          <w:highlight w:val="none"/>
        </w:rPr>
        <w:t>进行评标。</w:t>
      </w:r>
    </w:p>
    <w:p w14:paraId="7847FE51">
      <w:pPr>
        <w:pStyle w:val="37"/>
        <w:pageBreakBefore w:val="0"/>
        <w:kinsoku/>
        <w:overflowPunct/>
        <w:topLinePunct w:val="0"/>
        <w:autoSpaceDE w:val="0"/>
        <w:autoSpaceDN w:val="0"/>
        <w:bidi w:val="0"/>
        <w:adjustRightInd w:val="0"/>
        <w:spacing w:line="440" w:lineRule="exact"/>
        <w:ind w:firstLine="480" w:firstLineChars="200"/>
        <w:textAlignment w:val="auto"/>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14.2.1</w:t>
      </w:r>
      <w:r>
        <w:rPr>
          <w:rFonts w:hint="eastAsia" w:hAnsi="宋体" w:cs="宋体"/>
          <w:bCs/>
          <w:color w:val="auto"/>
          <w:sz w:val="24"/>
          <w:szCs w:val="24"/>
          <w:highlight w:val="none"/>
          <w:lang w:eastAsia="zh-CN"/>
        </w:rPr>
        <w:t xml:space="preserve"> 评审</w:t>
      </w:r>
      <w:r>
        <w:rPr>
          <w:rFonts w:hint="eastAsia" w:ascii="宋体" w:hAnsi="宋体" w:eastAsia="宋体" w:cs="宋体"/>
          <w:bCs/>
          <w:color w:val="auto"/>
          <w:sz w:val="24"/>
          <w:szCs w:val="24"/>
          <w:highlight w:val="none"/>
        </w:rPr>
        <w:t>范围：评标委员会应对所有投标人的投标文件进行评审。</w:t>
      </w:r>
    </w:p>
    <w:p w14:paraId="536FCCDB">
      <w:pPr>
        <w:pStyle w:val="37"/>
        <w:pageBreakBefore w:val="0"/>
        <w:kinsoku/>
        <w:overflowPunct/>
        <w:topLinePunct w:val="0"/>
        <w:autoSpaceDE w:val="0"/>
        <w:autoSpaceDN w:val="0"/>
        <w:bidi w:val="0"/>
        <w:adjustRightInd w:val="0"/>
        <w:spacing w:line="440" w:lineRule="exact"/>
        <w:ind w:firstLine="480" w:firstLineChars="200"/>
        <w:textAlignment w:val="auto"/>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14.2.2 初步评审阶段</w:t>
      </w:r>
    </w:p>
    <w:p w14:paraId="35DF378E">
      <w:pPr>
        <w:pStyle w:val="37"/>
        <w:pageBreakBefore w:val="0"/>
        <w:kinsoku/>
        <w:overflowPunct/>
        <w:topLinePunct w:val="0"/>
        <w:autoSpaceDE w:val="0"/>
        <w:autoSpaceDN w:val="0"/>
        <w:bidi w:val="0"/>
        <w:adjustRightInd w:val="0"/>
        <w:spacing w:line="440" w:lineRule="exact"/>
        <w:ind w:firstLine="480" w:firstLineChars="200"/>
        <w:textAlignment w:val="auto"/>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初步评审阶段分为资格评审、形式评审和响应性评审三个环节。</w:t>
      </w:r>
    </w:p>
    <w:p w14:paraId="55202631">
      <w:pPr>
        <w:pStyle w:val="37"/>
        <w:pageBreakBefore w:val="0"/>
        <w:kinsoku/>
        <w:overflowPunct/>
        <w:topLinePunct w:val="0"/>
        <w:autoSpaceDE w:val="0"/>
        <w:autoSpaceDN w:val="0"/>
        <w:bidi w:val="0"/>
        <w:adjustRightInd w:val="0"/>
        <w:spacing w:line="440" w:lineRule="exact"/>
        <w:ind w:firstLine="480" w:firstLineChars="200"/>
        <w:textAlignment w:val="auto"/>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14.2.3</w:t>
      </w:r>
      <w:r>
        <w:rPr>
          <w:rFonts w:hint="eastAsia" w:hAnsi="宋体" w:cs="宋体"/>
          <w:bCs/>
          <w:color w:val="auto"/>
          <w:sz w:val="24"/>
          <w:szCs w:val="24"/>
          <w:highlight w:val="none"/>
          <w:lang w:eastAsia="zh-CN"/>
        </w:rPr>
        <w:t xml:space="preserve"> 资格</w:t>
      </w:r>
      <w:r>
        <w:rPr>
          <w:rFonts w:hint="eastAsia" w:ascii="宋体" w:hAnsi="宋体" w:eastAsia="宋体" w:cs="宋体"/>
          <w:bCs/>
          <w:color w:val="auto"/>
          <w:sz w:val="24"/>
          <w:szCs w:val="24"/>
          <w:highlight w:val="none"/>
        </w:rPr>
        <w:t>评审环节</w:t>
      </w:r>
    </w:p>
    <w:p w14:paraId="3B81476F">
      <w:pPr>
        <w:pStyle w:val="37"/>
        <w:pageBreakBefore w:val="0"/>
        <w:kinsoku/>
        <w:overflowPunct/>
        <w:topLinePunct w:val="0"/>
        <w:autoSpaceDE w:val="0"/>
        <w:autoSpaceDN w:val="0"/>
        <w:bidi w:val="0"/>
        <w:adjustRightInd w:val="0"/>
        <w:spacing w:line="440" w:lineRule="exact"/>
        <w:ind w:firstLine="480" w:firstLineChars="200"/>
        <w:textAlignment w:val="auto"/>
        <w:rPr>
          <w:rFonts w:hint="eastAsia" w:ascii="宋体" w:hAnsi="宋体" w:eastAsia="宋体" w:cs="宋体"/>
          <w:bCs/>
          <w:color w:val="auto"/>
          <w:sz w:val="24"/>
          <w:szCs w:val="24"/>
          <w:highlight w:val="none"/>
        </w:rPr>
      </w:pPr>
      <w:bookmarkStart w:id="241" w:name="OLE_LINK5"/>
      <w:r>
        <w:rPr>
          <w:rFonts w:hint="eastAsia" w:ascii="宋体" w:hAnsi="宋体" w:eastAsia="宋体" w:cs="宋体"/>
          <w:bCs/>
          <w:color w:val="auto"/>
          <w:sz w:val="24"/>
          <w:szCs w:val="24"/>
          <w:highlight w:val="none"/>
        </w:rPr>
        <w:t>资格评审</w:t>
      </w:r>
      <w:bookmarkEnd w:id="241"/>
      <w:r>
        <w:rPr>
          <w:rFonts w:hint="eastAsia" w:ascii="宋体" w:hAnsi="宋体" w:eastAsia="宋体" w:cs="宋体"/>
          <w:bCs/>
          <w:color w:val="auto"/>
          <w:sz w:val="24"/>
          <w:szCs w:val="24"/>
          <w:highlight w:val="none"/>
        </w:rPr>
        <w:t>事项包括：</w:t>
      </w:r>
    </w:p>
    <w:p w14:paraId="7AE5F237">
      <w:pPr>
        <w:pStyle w:val="37"/>
        <w:pageBreakBefore w:val="0"/>
        <w:kinsoku/>
        <w:overflowPunct/>
        <w:topLinePunct w:val="0"/>
        <w:autoSpaceDE w:val="0"/>
        <w:autoSpaceDN w:val="0"/>
        <w:bidi w:val="0"/>
        <w:adjustRightInd w:val="0"/>
        <w:spacing w:line="440" w:lineRule="exact"/>
        <w:ind w:firstLine="480" w:firstLineChars="200"/>
        <w:textAlignment w:val="auto"/>
        <w:rPr>
          <w:rFonts w:hint="eastAsia" w:ascii="宋体" w:hAnsi="宋体" w:eastAsia="宋体" w:cs="宋体"/>
          <w:bCs/>
          <w:color w:val="auto"/>
          <w:sz w:val="24"/>
          <w:szCs w:val="24"/>
          <w:highlight w:val="none"/>
          <w:lang w:eastAsia="zh-CN"/>
        </w:rPr>
      </w:pPr>
      <w:r>
        <w:rPr>
          <w:rFonts w:hint="eastAsia" w:ascii="宋体" w:hAnsi="宋体" w:eastAsia="宋体" w:cs="宋体"/>
          <w:bCs/>
          <w:color w:val="auto"/>
          <w:sz w:val="24"/>
          <w:szCs w:val="24"/>
          <w:highlight w:val="none"/>
        </w:rPr>
        <w:t>（1）</w:t>
      </w:r>
      <w:bookmarkStart w:id="242" w:name="OLE_LINK6"/>
      <w:r>
        <w:rPr>
          <w:rFonts w:hint="eastAsia" w:ascii="宋体" w:hAnsi="宋体" w:eastAsia="宋体" w:cs="宋体"/>
          <w:bCs/>
          <w:color w:val="auto"/>
          <w:sz w:val="24"/>
          <w:szCs w:val="24"/>
          <w:highlight w:val="none"/>
        </w:rPr>
        <w:t>投标人是否符合本章第三节第 4.4条“禁止投标条款”规定。</w:t>
      </w:r>
      <w:bookmarkEnd w:id="242"/>
      <w:r>
        <w:rPr>
          <w:rFonts w:hint="eastAsia" w:ascii="宋体" w:hAnsi="宋体" w:eastAsia="宋体" w:cs="宋体"/>
          <w:color w:val="auto"/>
          <w:spacing w:val="-4"/>
          <w:sz w:val="24"/>
          <w:szCs w:val="24"/>
          <w:highlight w:val="none"/>
        </w:rPr>
        <w:t>如果“禁止投标条款”包括失信惩戒的，投标人信用信息的获取采用现场实时查询的方式实施。由</w:t>
      </w:r>
      <w:r>
        <w:rPr>
          <w:rFonts w:hint="eastAsia" w:ascii="宋体" w:hAnsi="宋体" w:eastAsia="宋体" w:cs="宋体"/>
          <w:color w:val="auto"/>
          <w:spacing w:val="-4"/>
          <w:sz w:val="24"/>
          <w:szCs w:val="24"/>
          <w:highlight w:val="none"/>
          <w:lang w:val="en-US" w:eastAsia="zh-CN"/>
        </w:rPr>
        <w:t>评标委员会</w:t>
      </w:r>
      <w:r>
        <w:rPr>
          <w:rFonts w:hint="eastAsia" w:ascii="宋体" w:hAnsi="宋体" w:eastAsia="宋体" w:cs="宋体"/>
          <w:color w:val="auto"/>
          <w:spacing w:val="-4"/>
          <w:sz w:val="24"/>
          <w:szCs w:val="24"/>
          <w:highlight w:val="none"/>
        </w:rPr>
        <w:t>登录信用中国网站（https://www.creditchina.gov.cn），在企业查询界面下载和打印《法人和非法人组织公共信用信息报告》</w:t>
      </w:r>
      <w:r>
        <w:rPr>
          <w:rFonts w:hint="eastAsia" w:hAnsi="宋体" w:cs="宋体"/>
          <w:color w:val="auto"/>
          <w:spacing w:val="-4"/>
          <w:sz w:val="24"/>
          <w:szCs w:val="24"/>
          <w:highlight w:val="none"/>
          <w:lang w:eastAsia="zh-CN"/>
        </w:rPr>
        <w:t>。</w:t>
      </w:r>
    </w:p>
    <w:p w14:paraId="4A6E1D86">
      <w:pPr>
        <w:pStyle w:val="37"/>
        <w:pageBreakBefore w:val="0"/>
        <w:kinsoku/>
        <w:overflowPunct/>
        <w:topLinePunct w:val="0"/>
        <w:autoSpaceDE w:val="0"/>
        <w:autoSpaceDN w:val="0"/>
        <w:bidi w:val="0"/>
        <w:adjustRightInd w:val="0"/>
        <w:spacing w:line="440" w:lineRule="exact"/>
        <w:ind w:firstLine="480" w:firstLineChars="200"/>
        <w:textAlignment w:val="auto"/>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（2）</w:t>
      </w:r>
      <w:bookmarkStart w:id="243" w:name="OLE_LINK7"/>
      <w:r>
        <w:rPr>
          <w:rFonts w:hint="eastAsia" w:ascii="宋体" w:hAnsi="宋体" w:eastAsia="宋体" w:cs="宋体"/>
          <w:bCs/>
          <w:color w:val="auto"/>
          <w:sz w:val="24"/>
          <w:szCs w:val="24"/>
          <w:highlight w:val="none"/>
        </w:rPr>
        <w:t>投标人名称是否与营业执照、资质证书、安全生产许可证一致。</w:t>
      </w:r>
      <w:bookmarkEnd w:id="243"/>
    </w:p>
    <w:p w14:paraId="6A43EA75">
      <w:pPr>
        <w:pStyle w:val="37"/>
        <w:pageBreakBefore w:val="0"/>
        <w:kinsoku/>
        <w:overflowPunct/>
        <w:topLinePunct w:val="0"/>
        <w:autoSpaceDE w:val="0"/>
        <w:autoSpaceDN w:val="0"/>
        <w:bidi w:val="0"/>
        <w:adjustRightInd w:val="0"/>
        <w:spacing w:line="440" w:lineRule="exact"/>
        <w:ind w:firstLine="480" w:firstLineChars="200"/>
        <w:textAlignment w:val="auto"/>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（3）</w:t>
      </w:r>
      <w:bookmarkStart w:id="244" w:name="OLE_LINK8"/>
      <w:r>
        <w:rPr>
          <w:rFonts w:hint="eastAsia" w:ascii="宋体" w:hAnsi="宋体" w:eastAsia="宋体" w:cs="宋体"/>
          <w:bCs/>
          <w:color w:val="auto"/>
          <w:sz w:val="24"/>
          <w:szCs w:val="24"/>
          <w:highlight w:val="none"/>
        </w:rPr>
        <w:t>投标人的资质是否符合招标文件规定；其营业执照、资质证书、安全生产许可证是否合法、有效、准确。</w:t>
      </w:r>
      <w:bookmarkEnd w:id="244"/>
    </w:p>
    <w:p w14:paraId="23AE1589">
      <w:pPr>
        <w:pStyle w:val="37"/>
        <w:pageBreakBefore w:val="0"/>
        <w:kinsoku/>
        <w:overflowPunct/>
        <w:topLinePunct w:val="0"/>
        <w:autoSpaceDE w:val="0"/>
        <w:autoSpaceDN w:val="0"/>
        <w:bidi w:val="0"/>
        <w:adjustRightInd w:val="0"/>
        <w:spacing w:line="440" w:lineRule="exact"/>
        <w:ind w:firstLine="480" w:firstLineChars="200"/>
        <w:textAlignment w:val="auto"/>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（4）</w:t>
      </w:r>
      <w:bookmarkStart w:id="245" w:name="OLE_LINK9"/>
      <w:r>
        <w:rPr>
          <w:rFonts w:hint="eastAsia" w:ascii="宋体" w:hAnsi="宋体" w:eastAsia="宋体" w:cs="宋体"/>
          <w:bCs/>
          <w:color w:val="auto"/>
          <w:sz w:val="24"/>
          <w:szCs w:val="24"/>
          <w:highlight w:val="none"/>
        </w:rPr>
        <w:t>《项目经理简历表》中拟派项目经理是否与《开标一览表》一致。</w:t>
      </w:r>
      <w:bookmarkEnd w:id="245"/>
    </w:p>
    <w:p w14:paraId="5A55F78E">
      <w:pPr>
        <w:pStyle w:val="37"/>
        <w:pageBreakBefore w:val="0"/>
        <w:kinsoku/>
        <w:overflowPunct/>
        <w:topLinePunct w:val="0"/>
        <w:autoSpaceDE w:val="0"/>
        <w:autoSpaceDN w:val="0"/>
        <w:bidi w:val="0"/>
        <w:adjustRightInd w:val="0"/>
        <w:spacing w:line="440" w:lineRule="exact"/>
        <w:ind w:firstLine="480" w:firstLineChars="200"/>
        <w:textAlignment w:val="auto"/>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（5）</w:t>
      </w:r>
      <w:bookmarkStart w:id="246" w:name="OLE_LINK10"/>
      <w:r>
        <w:rPr>
          <w:rFonts w:hint="eastAsia" w:ascii="宋体" w:hAnsi="宋体" w:eastAsia="宋体" w:cs="宋体"/>
          <w:bCs/>
          <w:color w:val="auto"/>
          <w:sz w:val="24"/>
          <w:szCs w:val="24"/>
          <w:highlight w:val="none"/>
        </w:rPr>
        <w:t>拟派项目经理、项目技术负责人、专职安全员、设计负责人的条件是否符合招标文件规定；项目管理机构组成人员的各类证书、证件、证明是否合法、有效、准确；是否擅自修改、遗漏《项目经理任职声明》的实质性内容。</w:t>
      </w:r>
      <w:bookmarkEnd w:id="246"/>
    </w:p>
    <w:p w14:paraId="53218C61">
      <w:pPr>
        <w:pStyle w:val="37"/>
        <w:pageBreakBefore w:val="0"/>
        <w:kinsoku/>
        <w:overflowPunct/>
        <w:topLinePunct w:val="0"/>
        <w:autoSpaceDE w:val="0"/>
        <w:autoSpaceDN w:val="0"/>
        <w:bidi w:val="0"/>
        <w:adjustRightInd w:val="0"/>
        <w:spacing w:line="440" w:lineRule="exact"/>
        <w:ind w:firstLine="480" w:firstLineChars="200"/>
        <w:textAlignment w:val="auto"/>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（6）</w:t>
      </w:r>
      <w:bookmarkStart w:id="247" w:name="OLE_LINK11"/>
      <w:r>
        <w:rPr>
          <w:rFonts w:hint="eastAsia" w:ascii="宋体" w:hAnsi="宋体" w:eastAsia="宋体" w:cs="宋体"/>
          <w:bCs/>
          <w:color w:val="auto"/>
          <w:sz w:val="24"/>
          <w:szCs w:val="24"/>
          <w:highlight w:val="none"/>
        </w:rPr>
        <w:t>联合体投标的，是否提交《联合体协议书》；是否擅自修改、遗漏《联合体协议书》的实质性内容；联合体成员的数量、资质是否符合招标文件规定；联合体成员是否以自己名义单独或者参加其他联合体参与本招标工程投标。</w:t>
      </w:r>
      <w:bookmarkEnd w:id="247"/>
    </w:p>
    <w:p w14:paraId="06B36E60">
      <w:pPr>
        <w:pStyle w:val="37"/>
        <w:pageBreakBefore w:val="0"/>
        <w:kinsoku/>
        <w:overflowPunct/>
        <w:topLinePunct w:val="0"/>
        <w:autoSpaceDE w:val="0"/>
        <w:autoSpaceDN w:val="0"/>
        <w:bidi w:val="0"/>
        <w:adjustRightInd w:val="0"/>
        <w:spacing w:line="440" w:lineRule="exact"/>
        <w:ind w:firstLine="480" w:firstLineChars="200"/>
        <w:textAlignment w:val="auto"/>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（7）</w:t>
      </w:r>
      <w:bookmarkStart w:id="248" w:name="OLE_LINK12"/>
      <w:r>
        <w:rPr>
          <w:rFonts w:hint="eastAsia" w:ascii="宋体" w:hAnsi="宋体" w:eastAsia="宋体" w:cs="宋体"/>
          <w:bCs/>
          <w:color w:val="auto"/>
          <w:sz w:val="24"/>
          <w:szCs w:val="24"/>
          <w:highlight w:val="none"/>
        </w:rPr>
        <w:t>投标人为外省建筑企业的，是否按规定在“进粤企业和人员诚信信息登记平台”录入企业及其拟派人员有关信息并通过数据规范检查。</w:t>
      </w:r>
    </w:p>
    <w:bookmarkEnd w:id="248"/>
    <w:p w14:paraId="7B318083">
      <w:pPr>
        <w:pStyle w:val="37"/>
        <w:pageBreakBefore w:val="0"/>
        <w:kinsoku/>
        <w:overflowPunct/>
        <w:topLinePunct w:val="0"/>
        <w:autoSpaceDE w:val="0"/>
        <w:autoSpaceDN w:val="0"/>
        <w:bidi w:val="0"/>
        <w:adjustRightInd w:val="0"/>
        <w:spacing w:line="440" w:lineRule="exact"/>
        <w:ind w:firstLine="480" w:firstLineChars="200"/>
        <w:textAlignment w:val="auto"/>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14.2.4 形式评审环节</w:t>
      </w:r>
    </w:p>
    <w:p w14:paraId="0B42875F">
      <w:pPr>
        <w:pStyle w:val="37"/>
        <w:keepNext w:val="0"/>
        <w:keepLines w:val="0"/>
        <w:pageBreakBefore w:val="0"/>
        <w:widowControl w:val="0"/>
        <w:kinsoku/>
        <w:wordWrap/>
        <w:overflowPunct/>
        <w:topLinePunct w:val="0"/>
        <w:autoSpaceDE w:val="0"/>
        <w:autoSpaceDN w:val="0"/>
        <w:bidi w:val="0"/>
        <w:adjustRightInd w:val="0"/>
        <w:snapToGrid/>
        <w:spacing w:line="440" w:lineRule="exact"/>
        <w:ind w:firstLine="480" w:firstLineChars="200"/>
        <w:textAlignment w:val="auto"/>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形式评审事项包括：</w:t>
      </w:r>
    </w:p>
    <w:p w14:paraId="0F5B2921">
      <w:pPr>
        <w:pStyle w:val="37"/>
        <w:keepNext w:val="0"/>
        <w:keepLines w:val="0"/>
        <w:pageBreakBefore w:val="0"/>
        <w:widowControl w:val="0"/>
        <w:kinsoku/>
        <w:wordWrap/>
        <w:overflowPunct/>
        <w:topLinePunct w:val="0"/>
        <w:autoSpaceDE w:val="0"/>
        <w:autoSpaceDN w:val="0"/>
        <w:bidi w:val="0"/>
        <w:adjustRightInd w:val="0"/>
        <w:snapToGrid/>
        <w:spacing w:line="440" w:lineRule="exact"/>
        <w:ind w:firstLine="480" w:firstLineChars="200"/>
        <w:textAlignment w:val="auto"/>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（1）</w:t>
      </w:r>
      <w:bookmarkStart w:id="249" w:name="OLE_LINK13"/>
      <w:r>
        <w:rPr>
          <w:rFonts w:hint="eastAsia" w:ascii="宋体" w:hAnsi="宋体" w:eastAsia="宋体" w:cs="宋体"/>
          <w:bCs/>
          <w:color w:val="auto"/>
          <w:sz w:val="24"/>
          <w:szCs w:val="24"/>
          <w:highlight w:val="none"/>
        </w:rPr>
        <w:t>投标文件是否按招标文件规定加盖电子印章。</w:t>
      </w:r>
      <w:bookmarkEnd w:id="249"/>
    </w:p>
    <w:p w14:paraId="5E7EDA20">
      <w:pPr>
        <w:pStyle w:val="37"/>
        <w:keepNext w:val="0"/>
        <w:keepLines w:val="0"/>
        <w:pageBreakBefore w:val="0"/>
        <w:widowControl w:val="0"/>
        <w:kinsoku/>
        <w:wordWrap/>
        <w:overflowPunct/>
        <w:topLinePunct w:val="0"/>
        <w:autoSpaceDE w:val="0"/>
        <w:autoSpaceDN w:val="0"/>
        <w:bidi w:val="0"/>
        <w:adjustRightInd w:val="0"/>
        <w:snapToGrid/>
        <w:spacing w:line="440" w:lineRule="exact"/>
        <w:ind w:firstLine="480" w:firstLineChars="200"/>
        <w:textAlignment w:val="auto"/>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（2）</w:t>
      </w:r>
      <w:bookmarkStart w:id="250" w:name="OLE_LINK14"/>
      <w:r>
        <w:rPr>
          <w:rFonts w:hint="eastAsia" w:ascii="宋体" w:hAnsi="宋体" w:eastAsia="宋体" w:cs="宋体"/>
          <w:bCs/>
          <w:color w:val="auto"/>
          <w:sz w:val="24"/>
          <w:szCs w:val="24"/>
          <w:highlight w:val="none"/>
        </w:rPr>
        <w:t>本节第11.2.2</w:t>
      </w:r>
      <w:r>
        <w:rPr>
          <w:rFonts w:hint="eastAsia" w:hAnsi="宋体" w:cs="宋体"/>
          <w:bCs/>
          <w:color w:val="auto"/>
          <w:sz w:val="24"/>
          <w:szCs w:val="24"/>
          <w:highlight w:val="none"/>
          <w:lang w:eastAsia="zh-CN"/>
        </w:rPr>
        <w:t>、</w:t>
      </w:r>
      <w:r>
        <w:rPr>
          <w:rFonts w:hint="eastAsia" w:hAnsi="宋体" w:cs="宋体"/>
          <w:bCs/>
          <w:color w:val="auto"/>
          <w:sz w:val="24"/>
          <w:szCs w:val="24"/>
          <w:highlight w:val="none"/>
          <w:lang w:val="en-US" w:eastAsia="zh-CN"/>
        </w:rPr>
        <w:t>11.3.3、11.4.2</w:t>
      </w:r>
      <w:r>
        <w:rPr>
          <w:rFonts w:hint="eastAsia" w:ascii="宋体" w:hAnsi="宋体" w:eastAsia="宋体" w:cs="宋体"/>
          <w:bCs/>
          <w:color w:val="auto"/>
          <w:sz w:val="24"/>
          <w:szCs w:val="24"/>
          <w:highlight w:val="none"/>
        </w:rPr>
        <w:t>目中规定的“所有投标人均应提供”的组成内容（包括该组成内容的所附资料）是否完整、齐全。</w:t>
      </w:r>
      <w:bookmarkEnd w:id="250"/>
    </w:p>
    <w:p w14:paraId="6ADB066F">
      <w:pPr>
        <w:pStyle w:val="37"/>
        <w:keepNext w:val="0"/>
        <w:keepLines w:val="0"/>
        <w:pageBreakBefore w:val="0"/>
        <w:widowControl w:val="0"/>
        <w:kinsoku/>
        <w:wordWrap/>
        <w:overflowPunct/>
        <w:topLinePunct w:val="0"/>
        <w:autoSpaceDE w:val="0"/>
        <w:autoSpaceDN w:val="0"/>
        <w:bidi w:val="0"/>
        <w:adjustRightInd w:val="0"/>
        <w:snapToGrid/>
        <w:spacing w:line="440" w:lineRule="exact"/>
        <w:ind w:firstLine="480" w:firstLineChars="200"/>
        <w:textAlignment w:val="auto"/>
        <w:rPr>
          <w:rFonts w:hint="eastAsia" w:ascii="宋体" w:hAnsi="宋体" w:eastAsia="宋体" w:cs="宋体"/>
          <w:snapToGrid w:val="0"/>
          <w:color w:val="auto"/>
          <w:kern w:val="0"/>
          <w:sz w:val="24"/>
          <w:szCs w:val="24"/>
          <w:highlight w:val="none"/>
          <w:lang w:eastAsia="zh-CN"/>
        </w:rPr>
      </w:pPr>
      <w:r>
        <w:rPr>
          <w:rFonts w:hint="eastAsia" w:ascii="宋体" w:hAnsi="宋体" w:eastAsia="宋体" w:cs="宋体"/>
          <w:snapToGrid w:val="0"/>
          <w:color w:val="auto"/>
          <w:kern w:val="0"/>
          <w:sz w:val="24"/>
          <w:szCs w:val="24"/>
          <w:highlight w:val="none"/>
        </w:rPr>
        <w:t>（3）</w:t>
      </w:r>
      <w:bookmarkStart w:id="251" w:name="OLE_LINK15"/>
      <w:r>
        <w:rPr>
          <w:rFonts w:hint="eastAsia" w:ascii="宋体" w:hAnsi="宋体" w:eastAsia="宋体" w:cs="宋体"/>
          <w:snapToGrid w:val="0"/>
          <w:color w:val="auto"/>
          <w:kern w:val="0"/>
          <w:sz w:val="24"/>
          <w:szCs w:val="24"/>
          <w:highlight w:val="none"/>
        </w:rPr>
        <w:t>是否出现关键字迹模糊、无法辨认</w:t>
      </w:r>
      <w:r>
        <w:rPr>
          <w:rFonts w:hint="eastAsia" w:hAnsi="宋体" w:cs="宋体"/>
          <w:snapToGrid w:val="0"/>
          <w:color w:val="auto"/>
          <w:kern w:val="0"/>
          <w:sz w:val="24"/>
          <w:szCs w:val="24"/>
          <w:highlight w:val="none"/>
          <w:lang w:eastAsia="zh-CN"/>
        </w:rPr>
        <w:t>，或</w:t>
      </w:r>
      <w:r>
        <w:rPr>
          <w:rFonts w:hint="eastAsia" w:ascii="宋体" w:hAnsi="宋体" w:eastAsia="宋体" w:cs="宋体"/>
          <w:snapToGrid w:val="0"/>
          <w:color w:val="auto"/>
          <w:kern w:val="0"/>
          <w:sz w:val="24"/>
          <w:szCs w:val="24"/>
          <w:highlight w:val="none"/>
        </w:rPr>
        <w:t>出现手工涂改、行间插字或删除，但未加盖单</w:t>
      </w:r>
      <w:r>
        <w:rPr>
          <w:rFonts w:hint="eastAsia" w:hAnsi="宋体" w:cs="宋体"/>
          <w:snapToGrid w:val="0"/>
          <w:color w:val="auto"/>
          <w:kern w:val="0"/>
          <w:sz w:val="24"/>
          <w:szCs w:val="24"/>
          <w:highlight w:val="none"/>
          <w:lang w:eastAsia="zh-CN"/>
        </w:rPr>
        <w:t>位公</w:t>
      </w:r>
      <w:r>
        <w:rPr>
          <w:rFonts w:hint="eastAsia" w:ascii="宋体" w:hAnsi="宋体" w:eastAsia="宋体" w:cs="宋体"/>
          <w:snapToGrid w:val="0"/>
          <w:color w:val="auto"/>
          <w:kern w:val="0"/>
          <w:sz w:val="24"/>
          <w:szCs w:val="24"/>
          <w:highlight w:val="none"/>
        </w:rPr>
        <w:t>章或由投标人的法定代表人或其委托代理人签字确认的</w:t>
      </w:r>
      <w:r>
        <w:rPr>
          <w:rFonts w:hint="eastAsia" w:hAnsi="宋体" w:cs="宋体"/>
          <w:snapToGrid w:val="0"/>
          <w:color w:val="auto"/>
          <w:kern w:val="0"/>
          <w:sz w:val="24"/>
          <w:szCs w:val="24"/>
          <w:highlight w:val="none"/>
          <w:lang w:eastAsia="zh-CN"/>
        </w:rPr>
        <w:t>情况。</w:t>
      </w:r>
      <w:bookmarkEnd w:id="251"/>
    </w:p>
    <w:p w14:paraId="0741EF6E">
      <w:pPr>
        <w:pStyle w:val="37"/>
        <w:keepNext w:val="0"/>
        <w:keepLines w:val="0"/>
        <w:pageBreakBefore w:val="0"/>
        <w:widowControl w:val="0"/>
        <w:kinsoku/>
        <w:wordWrap/>
        <w:overflowPunct/>
        <w:topLinePunct w:val="0"/>
        <w:autoSpaceDE w:val="0"/>
        <w:autoSpaceDN w:val="0"/>
        <w:bidi w:val="0"/>
        <w:adjustRightInd w:val="0"/>
        <w:snapToGrid/>
        <w:spacing w:line="440" w:lineRule="exact"/>
        <w:ind w:firstLine="480" w:firstLineChars="200"/>
        <w:textAlignment w:val="auto"/>
        <w:rPr>
          <w:rFonts w:hint="eastAsia" w:ascii="宋体" w:hAnsi="宋体" w:eastAsia="宋体" w:cs="宋体"/>
          <w:bCs/>
          <w:color w:val="auto"/>
          <w:sz w:val="24"/>
          <w:szCs w:val="24"/>
          <w:highlight w:val="none"/>
          <w:lang w:eastAsia="zh-CN"/>
        </w:rPr>
      </w:pPr>
      <w:r>
        <w:rPr>
          <w:rFonts w:hint="eastAsia" w:ascii="宋体" w:hAnsi="宋体" w:eastAsia="宋体" w:cs="宋体"/>
          <w:snapToGrid w:val="0"/>
          <w:color w:val="auto"/>
          <w:kern w:val="0"/>
          <w:sz w:val="24"/>
          <w:szCs w:val="24"/>
          <w:highlight w:val="none"/>
          <w:lang w:eastAsia="zh-CN"/>
        </w:rPr>
        <w:t>（</w:t>
      </w:r>
      <w:r>
        <w:rPr>
          <w:rFonts w:hint="eastAsia" w:ascii="宋体" w:hAnsi="宋体" w:eastAsia="宋体" w:cs="宋体"/>
          <w:snapToGrid w:val="0"/>
          <w:color w:val="auto"/>
          <w:kern w:val="0"/>
          <w:sz w:val="24"/>
          <w:szCs w:val="24"/>
          <w:highlight w:val="none"/>
          <w:lang w:val="en-US" w:eastAsia="zh-CN"/>
        </w:rPr>
        <w:t>4）</w:t>
      </w:r>
      <w:bookmarkStart w:id="252" w:name="OLE_LINK16"/>
      <w:r>
        <w:rPr>
          <w:rFonts w:hint="eastAsia" w:ascii="宋体" w:hAnsi="宋体" w:eastAsia="宋体" w:cs="宋体"/>
          <w:snapToGrid w:val="0"/>
          <w:color w:val="auto"/>
          <w:kern w:val="0"/>
          <w:sz w:val="24"/>
          <w:szCs w:val="24"/>
          <w:highlight w:val="none"/>
        </w:rPr>
        <w:t>投标文件是否按招标文件规定签字、盖章</w:t>
      </w:r>
      <w:r>
        <w:rPr>
          <w:rFonts w:hint="eastAsia" w:ascii="宋体" w:hAnsi="宋体" w:eastAsia="宋体" w:cs="宋体"/>
          <w:snapToGrid w:val="0"/>
          <w:color w:val="auto"/>
          <w:kern w:val="0"/>
          <w:sz w:val="24"/>
          <w:szCs w:val="24"/>
          <w:highlight w:val="none"/>
          <w:lang w:eastAsia="zh-CN"/>
        </w:rPr>
        <w:t>。</w:t>
      </w:r>
      <w:bookmarkEnd w:id="252"/>
    </w:p>
    <w:p w14:paraId="17CA9E76">
      <w:pPr>
        <w:pStyle w:val="37"/>
        <w:keepNext w:val="0"/>
        <w:keepLines w:val="0"/>
        <w:pageBreakBefore w:val="0"/>
        <w:widowControl w:val="0"/>
        <w:kinsoku/>
        <w:wordWrap/>
        <w:overflowPunct/>
        <w:topLinePunct w:val="0"/>
        <w:autoSpaceDE w:val="0"/>
        <w:autoSpaceDN w:val="0"/>
        <w:bidi w:val="0"/>
        <w:adjustRightInd w:val="0"/>
        <w:snapToGrid/>
        <w:spacing w:line="440" w:lineRule="exact"/>
        <w:ind w:firstLine="480" w:firstLineChars="200"/>
        <w:textAlignment w:val="auto"/>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14.2.5 响应性评审环节</w:t>
      </w:r>
    </w:p>
    <w:p w14:paraId="4967F423">
      <w:pPr>
        <w:pStyle w:val="37"/>
        <w:keepNext w:val="0"/>
        <w:keepLines w:val="0"/>
        <w:pageBreakBefore w:val="0"/>
        <w:widowControl w:val="0"/>
        <w:kinsoku/>
        <w:wordWrap/>
        <w:overflowPunct/>
        <w:topLinePunct w:val="0"/>
        <w:autoSpaceDE w:val="0"/>
        <w:autoSpaceDN w:val="0"/>
        <w:bidi w:val="0"/>
        <w:adjustRightInd w:val="0"/>
        <w:snapToGrid/>
        <w:spacing w:line="440" w:lineRule="exact"/>
        <w:ind w:firstLine="480" w:firstLineChars="200"/>
        <w:textAlignment w:val="auto"/>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响应性评审事项包括：</w:t>
      </w:r>
    </w:p>
    <w:p w14:paraId="4F7AC647">
      <w:pPr>
        <w:pStyle w:val="37"/>
        <w:keepNext w:val="0"/>
        <w:keepLines w:val="0"/>
        <w:pageBreakBefore w:val="0"/>
        <w:widowControl w:val="0"/>
        <w:kinsoku/>
        <w:wordWrap/>
        <w:overflowPunct/>
        <w:topLinePunct w:val="0"/>
        <w:autoSpaceDE w:val="0"/>
        <w:autoSpaceDN w:val="0"/>
        <w:bidi w:val="0"/>
        <w:adjustRightInd w:val="0"/>
        <w:snapToGrid/>
        <w:spacing w:line="440" w:lineRule="exact"/>
        <w:ind w:firstLine="480" w:firstLineChars="200"/>
        <w:textAlignment w:val="auto"/>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（1）</w:t>
      </w:r>
      <w:bookmarkStart w:id="253" w:name="OLE_LINK17"/>
      <w:r>
        <w:rPr>
          <w:rFonts w:hint="eastAsia" w:ascii="宋体" w:hAnsi="宋体" w:eastAsia="宋体" w:cs="宋体"/>
          <w:bCs/>
          <w:color w:val="auto"/>
          <w:sz w:val="24"/>
          <w:szCs w:val="24"/>
          <w:highlight w:val="none"/>
        </w:rPr>
        <w:t>投标有效期、质量标准、工期等是否响应招标文件实质性要求；是否擅自修改、遗漏《投标函》《各项承诺一览表》的实质性内容。</w:t>
      </w:r>
      <w:bookmarkEnd w:id="253"/>
    </w:p>
    <w:p w14:paraId="0891B65D">
      <w:pPr>
        <w:pStyle w:val="37"/>
        <w:keepNext w:val="0"/>
        <w:keepLines w:val="0"/>
        <w:pageBreakBefore w:val="0"/>
        <w:widowControl w:val="0"/>
        <w:kinsoku/>
        <w:wordWrap/>
        <w:overflowPunct/>
        <w:topLinePunct w:val="0"/>
        <w:autoSpaceDE w:val="0"/>
        <w:autoSpaceDN w:val="0"/>
        <w:bidi w:val="0"/>
        <w:adjustRightInd w:val="0"/>
        <w:snapToGrid/>
        <w:spacing w:line="440" w:lineRule="exact"/>
        <w:ind w:firstLine="480" w:firstLineChars="200"/>
        <w:textAlignment w:val="auto"/>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（2）</w:t>
      </w:r>
      <w:bookmarkStart w:id="254" w:name="OLE_LINK18"/>
      <w:r>
        <w:rPr>
          <w:rFonts w:hint="eastAsia" w:ascii="宋体" w:hAnsi="宋体" w:eastAsia="宋体" w:cs="宋体"/>
          <w:bCs/>
          <w:color w:val="auto"/>
          <w:sz w:val="24"/>
          <w:szCs w:val="24"/>
          <w:highlight w:val="none"/>
        </w:rPr>
        <w:t>编投标总价是否唯一；投标总价是否超出最高投标限价；投标人是否以低于成本的价格竞标。</w:t>
      </w:r>
    </w:p>
    <w:p w14:paraId="0E6858E1">
      <w:pPr>
        <w:pStyle w:val="37"/>
        <w:keepNext w:val="0"/>
        <w:keepLines w:val="0"/>
        <w:pageBreakBefore w:val="0"/>
        <w:widowControl w:val="0"/>
        <w:kinsoku/>
        <w:wordWrap/>
        <w:overflowPunct/>
        <w:topLinePunct w:val="0"/>
        <w:autoSpaceDE w:val="0"/>
        <w:autoSpaceDN w:val="0"/>
        <w:bidi w:val="0"/>
        <w:adjustRightInd w:val="0"/>
        <w:snapToGrid/>
        <w:spacing w:line="440" w:lineRule="exact"/>
        <w:ind w:firstLine="480" w:firstLineChars="200"/>
        <w:textAlignment w:val="auto"/>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 xml:space="preserve">    注：如果某投标人的投标总价下浮率（投标总价下浮率＝100%－投标总价÷</w:t>
      </w:r>
      <w:r>
        <w:rPr>
          <w:rFonts w:hint="eastAsia" w:ascii="宋体" w:hAnsi="宋体" w:eastAsia="宋体" w:cs="宋体"/>
          <w:bCs/>
          <w:strike w:val="0"/>
          <w:dstrike w:val="0"/>
          <w:color w:val="auto"/>
          <w:sz w:val="24"/>
          <w:szCs w:val="24"/>
          <w:highlight w:val="none"/>
          <w:lang w:eastAsia="zh-CN"/>
        </w:rPr>
        <w:t>最高投标限价</w:t>
      </w:r>
      <w:r>
        <w:rPr>
          <w:rFonts w:hint="eastAsia" w:ascii="宋体" w:hAnsi="宋体" w:eastAsia="宋体" w:cs="宋体"/>
          <w:bCs/>
          <w:color w:val="auto"/>
          <w:sz w:val="24"/>
          <w:szCs w:val="24"/>
          <w:highlight w:val="none"/>
        </w:rPr>
        <w:t>×100%）超过15%，又未提供相应书面说明和佐证材料或提供的书面说明和佐证材料不能令人信服的，评标委员会应认定其以低于成本的价格竞标，并否决其投标。评标委员会接受该投标人的投标总价而未否决其投标的，应在评标报告中说明判断理由。</w:t>
      </w:r>
    </w:p>
    <w:bookmarkEnd w:id="254"/>
    <w:p w14:paraId="71FC1E3F">
      <w:pPr>
        <w:pStyle w:val="37"/>
        <w:keepNext w:val="0"/>
        <w:keepLines w:val="0"/>
        <w:pageBreakBefore w:val="0"/>
        <w:widowControl w:val="0"/>
        <w:kinsoku/>
        <w:wordWrap/>
        <w:overflowPunct/>
        <w:topLinePunct w:val="0"/>
        <w:autoSpaceDE w:val="0"/>
        <w:autoSpaceDN w:val="0"/>
        <w:bidi w:val="0"/>
        <w:adjustRightInd w:val="0"/>
        <w:snapToGrid/>
        <w:spacing w:line="440" w:lineRule="exact"/>
        <w:ind w:firstLine="480" w:firstLineChars="200"/>
        <w:textAlignment w:val="auto"/>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14.2.6 否决投标说明</w:t>
      </w:r>
    </w:p>
    <w:p w14:paraId="1686B1EB">
      <w:pPr>
        <w:pStyle w:val="37"/>
        <w:keepNext w:val="0"/>
        <w:keepLines w:val="0"/>
        <w:pageBreakBefore w:val="0"/>
        <w:widowControl w:val="0"/>
        <w:kinsoku/>
        <w:wordWrap/>
        <w:overflowPunct/>
        <w:topLinePunct w:val="0"/>
        <w:autoSpaceDE w:val="0"/>
        <w:autoSpaceDN w:val="0"/>
        <w:bidi w:val="0"/>
        <w:adjustRightInd w:val="0"/>
        <w:snapToGrid/>
        <w:spacing w:line="440" w:lineRule="exact"/>
        <w:ind w:firstLine="480" w:firstLineChars="200"/>
        <w:textAlignment w:val="auto"/>
        <w:rPr>
          <w:rFonts w:hint="eastAsia" w:ascii="宋体" w:hAnsi="宋体" w:eastAsia="宋体" w:cs="宋体"/>
          <w:bCs/>
          <w:color w:val="auto"/>
          <w:sz w:val="24"/>
          <w:szCs w:val="24"/>
          <w:highlight w:val="none"/>
        </w:rPr>
      </w:pPr>
      <w:bookmarkStart w:id="255" w:name="_Toc27709"/>
      <w:bookmarkStart w:id="256" w:name="_Toc15098"/>
      <w:bookmarkStart w:id="257" w:name="_Toc18413"/>
      <w:r>
        <w:rPr>
          <w:rFonts w:hint="eastAsia" w:ascii="宋体" w:hAnsi="宋体" w:eastAsia="宋体" w:cs="宋体"/>
          <w:bCs/>
          <w:color w:val="auto"/>
          <w:sz w:val="24"/>
          <w:szCs w:val="24"/>
          <w:highlight w:val="none"/>
        </w:rPr>
        <w:t>初步评审阶段各个环节否决投标的全部条件，在本章第四节“否决投标条件”第1条至第4条中集中列示。投标人有其中所列任何一种情形的，由评标委员会否决其投标。在初步评审阶段任何环节被否决的投标人，不进入下一环节（或阶段）评审。在初步评审阶段任何环节</w:t>
      </w:r>
      <w:r>
        <w:rPr>
          <w:rFonts w:hint="eastAsia" w:hAnsi="宋体" w:cs="宋体"/>
          <w:bCs/>
          <w:color w:val="auto"/>
          <w:sz w:val="24"/>
          <w:szCs w:val="24"/>
          <w:highlight w:val="none"/>
          <w:lang w:eastAsia="zh-CN"/>
        </w:rPr>
        <w:t>，</w:t>
      </w:r>
      <w:r>
        <w:rPr>
          <w:rFonts w:hint="eastAsia" w:ascii="宋体" w:hAnsi="宋体" w:eastAsia="宋体" w:cs="宋体"/>
          <w:bCs/>
          <w:color w:val="auto"/>
          <w:sz w:val="24"/>
          <w:szCs w:val="24"/>
          <w:highlight w:val="none"/>
        </w:rPr>
        <w:t>评标委员会经评审，认为所有投标都不符合招标文件要求的，可否决所有投标，项目的所有投标被否决的，招标人应依法重新组织招标。</w:t>
      </w:r>
    </w:p>
    <w:p w14:paraId="63658FBA">
      <w:pPr>
        <w:pStyle w:val="37"/>
        <w:keepNext w:val="0"/>
        <w:keepLines w:val="0"/>
        <w:pageBreakBefore w:val="0"/>
        <w:widowControl w:val="0"/>
        <w:kinsoku/>
        <w:wordWrap/>
        <w:overflowPunct/>
        <w:topLinePunct w:val="0"/>
        <w:autoSpaceDE w:val="0"/>
        <w:autoSpaceDN w:val="0"/>
        <w:bidi w:val="0"/>
        <w:adjustRightInd w:val="0"/>
        <w:snapToGrid/>
        <w:spacing w:line="440" w:lineRule="exact"/>
        <w:ind w:firstLine="482" w:firstLineChars="200"/>
        <w:textAlignment w:val="auto"/>
        <w:rPr>
          <w:rFonts w:hint="eastAsia" w:ascii="宋体" w:hAnsi="宋体" w:eastAsia="宋体" w:cs="宋体"/>
          <w:b/>
          <w:color w:val="auto"/>
          <w:kern w:val="2"/>
          <w:sz w:val="24"/>
          <w:szCs w:val="24"/>
          <w:highlight w:val="none"/>
        </w:rPr>
      </w:pPr>
      <w:r>
        <w:rPr>
          <w:rFonts w:hint="eastAsia" w:ascii="宋体" w:hAnsi="宋体" w:eastAsia="宋体" w:cs="宋体"/>
          <w:b/>
          <w:color w:val="auto"/>
          <w:kern w:val="2"/>
          <w:sz w:val="24"/>
          <w:szCs w:val="24"/>
          <w:highlight w:val="none"/>
        </w:rPr>
        <w:t>14.3 详细评审阶段</w:t>
      </w:r>
      <w:bookmarkEnd w:id="255"/>
      <w:bookmarkEnd w:id="256"/>
      <w:bookmarkEnd w:id="257"/>
    </w:p>
    <w:p w14:paraId="7F034C73">
      <w:pPr>
        <w:pStyle w:val="37"/>
        <w:keepNext w:val="0"/>
        <w:keepLines w:val="0"/>
        <w:pageBreakBefore w:val="0"/>
        <w:widowControl w:val="0"/>
        <w:kinsoku/>
        <w:wordWrap/>
        <w:overflowPunct/>
        <w:topLinePunct w:val="0"/>
        <w:autoSpaceDE w:val="0"/>
        <w:autoSpaceDN w:val="0"/>
        <w:bidi w:val="0"/>
        <w:adjustRightInd w:val="0"/>
        <w:snapToGrid/>
        <w:spacing w:line="440" w:lineRule="exact"/>
        <w:ind w:firstLine="480" w:firstLineChars="200"/>
        <w:textAlignment w:val="auto"/>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14.3.1 “综合评估法”评审程序</w:t>
      </w:r>
    </w:p>
    <w:p w14:paraId="6528FE72">
      <w:pPr>
        <w:pStyle w:val="37"/>
        <w:keepNext w:val="0"/>
        <w:keepLines w:val="0"/>
        <w:pageBreakBefore w:val="0"/>
        <w:widowControl w:val="0"/>
        <w:kinsoku/>
        <w:wordWrap/>
        <w:overflowPunct/>
        <w:topLinePunct w:val="0"/>
        <w:autoSpaceDE w:val="0"/>
        <w:autoSpaceDN w:val="0"/>
        <w:bidi w:val="0"/>
        <w:adjustRightInd w:val="0"/>
        <w:snapToGrid/>
        <w:spacing w:line="440" w:lineRule="exact"/>
        <w:ind w:firstLine="480" w:firstLineChars="200"/>
        <w:textAlignment w:val="auto"/>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评审内容分为商务部分</w:t>
      </w:r>
      <w:r>
        <w:rPr>
          <w:rFonts w:hint="eastAsia" w:hAnsi="宋体" w:cs="宋体"/>
          <w:bCs/>
          <w:color w:val="auto"/>
          <w:sz w:val="24"/>
          <w:szCs w:val="24"/>
          <w:highlight w:val="none"/>
          <w:lang w:eastAsia="zh-CN"/>
        </w:rPr>
        <w:t>、技术部分</w:t>
      </w:r>
      <w:r>
        <w:rPr>
          <w:rFonts w:hint="eastAsia" w:ascii="宋体" w:hAnsi="宋体" w:eastAsia="宋体" w:cs="宋体"/>
          <w:bCs/>
          <w:color w:val="auto"/>
          <w:sz w:val="24"/>
          <w:szCs w:val="24"/>
          <w:highlight w:val="none"/>
        </w:rPr>
        <w:t>和经济部分</w:t>
      </w:r>
      <w:r>
        <w:rPr>
          <w:rFonts w:hint="eastAsia" w:hAnsi="宋体" w:cs="宋体"/>
          <w:bCs/>
          <w:color w:val="auto"/>
          <w:sz w:val="24"/>
          <w:szCs w:val="24"/>
          <w:highlight w:val="none"/>
          <w:lang w:eastAsia="zh-CN"/>
        </w:rPr>
        <w:t>三部分</w:t>
      </w:r>
      <w:r>
        <w:rPr>
          <w:rFonts w:hint="eastAsia" w:ascii="宋体" w:hAnsi="宋体" w:eastAsia="宋体" w:cs="宋体"/>
          <w:bCs/>
          <w:color w:val="auto"/>
          <w:sz w:val="24"/>
          <w:szCs w:val="24"/>
          <w:highlight w:val="none"/>
        </w:rPr>
        <w:t>，实行分项计分，以100分为满分。具体分值详见《综合评分表》。</w:t>
      </w:r>
    </w:p>
    <w:p w14:paraId="02F5A5A4">
      <w:pPr>
        <w:pStyle w:val="37"/>
        <w:keepNext w:val="0"/>
        <w:keepLines w:val="0"/>
        <w:pageBreakBefore w:val="0"/>
        <w:widowControl w:val="0"/>
        <w:kinsoku/>
        <w:wordWrap/>
        <w:overflowPunct/>
        <w:topLinePunct w:val="0"/>
        <w:autoSpaceDE w:val="0"/>
        <w:autoSpaceDN w:val="0"/>
        <w:bidi w:val="0"/>
        <w:adjustRightInd w:val="0"/>
        <w:snapToGrid/>
        <w:spacing w:line="440" w:lineRule="exact"/>
        <w:ind w:firstLine="480" w:firstLineChars="200"/>
        <w:textAlignment w:val="auto"/>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除特别注明外，综合得分以及商务部分得分、</w:t>
      </w:r>
      <w:r>
        <w:rPr>
          <w:rFonts w:hint="eastAsia" w:hAnsi="宋体" w:cs="宋体"/>
          <w:bCs/>
          <w:color w:val="auto"/>
          <w:sz w:val="24"/>
          <w:szCs w:val="24"/>
          <w:highlight w:val="none"/>
          <w:lang w:eastAsia="zh-CN"/>
        </w:rPr>
        <w:t>技术部分得分、</w:t>
      </w:r>
      <w:r>
        <w:rPr>
          <w:rFonts w:hint="eastAsia" w:ascii="宋体" w:hAnsi="宋体" w:eastAsia="宋体" w:cs="宋体"/>
          <w:bCs/>
          <w:color w:val="auto"/>
          <w:sz w:val="24"/>
          <w:szCs w:val="24"/>
          <w:highlight w:val="none"/>
        </w:rPr>
        <w:t>经济部分得分的中间过程计算值和最终值，均按“四舍五入”原则精确到两位小数。</w:t>
      </w:r>
    </w:p>
    <w:p w14:paraId="75960212">
      <w:pPr>
        <w:pStyle w:val="37"/>
        <w:keepNext w:val="0"/>
        <w:keepLines w:val="0"/>
        <w:pageBreakBefore w:val="0"/>
        <w:widowControl w:val="0"/>
        <w:kinsoku/>
        <w:wordWrap/>
        <w:overflowPunct/>
        <w:topLinePunct w:val="0"/>
        <w:autoSpaceDE w:val="0"/>
        <w:autoSpaceDN w:val="0"/>
        <w:bidi w:val="0"/>
        <w:adjustRightInd w:val="0"/>
        <w:snapToGrid/>
        <w:spacing w:line="440" w:lineRule="exact"/>
        <w:ind w:firstLine="480" w:firstLineChars="200"/>
        <w:textAlignment w:val="auto"/>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（1）商务部分得分</w:t>
      </w:r>
    </w:p>
    <w:p w14:paraId="5FF243C6">
      <w:pPr>
        <w:pStyle w:val="37"/>
        <w:keepNext w:val="0"/>
        <w:keepLines w:val="0"/>
        <w:pageBreakBefore w:val="0"/>
        <w:widowControl w:val="0"/>
        <w:kinsoku/>
        <w:wordWrap/>
        <w:overflowPunct/>
        <w:topLinePunct w:val="0"/>
        <w:autoSpaceDE w:val="0"/>
        <w:autoSpaceDN w:val="0"/>
        <w:bidi w:val="0"/>
        <w:adjustRightInd w:val="0"/>
        <w:snapToGrid/>
        <w:spacing w:line="440" w:lineRule="exact"/>
        <w:ind w:firstLine="480" w:firstLineChars="200"/>
        <w:textAlignment w:val="auto"/>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①评标委员会各成员独立按照《综合评分表》商务部分指定的评分标准对各评分因素进行打分。各评分因素得分之和即为某投标人的商务部分得分。</w:t>
      </w:r>
    </w:p>
    <w:p w14:paraId="1D423F7E">
      <w:pPr>
        <w:pStyle w:val="37"/>
        <w:keepNext w:val="0"/>
        <w:keepLines w:val="0"/>
        <w:pageBreakBefore w:val="0"/>
        <w:widowControl w:val="0"/>
        <w:kinsoku/>
        <w:wordWrap/>
        <w:overflowPunct/>
        <w:topLinePunct w:val="0"/>
        <w:autoSpaceDE w:val="0"/>
        <w:autoSpaceDN w:val="0"/>
        <w:bidi w:val="0"/>
        <w:adjustRightInd w:val="0"/>
        <w:snapToGrid/>
        <w:spacing w:line="440" w:lineRule="exact"/>
        <w:ind w:firstLine="480" w:firstLineChars="200"/>
        <w:textAlignment w:val="auto"/>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②全体评委对该投标人的商务部分总评分取平均值，按“四舍五入”原则精确到两位小数即为该投标人商务部分的最终得分。</w:t>
      </w:r>
    </w:p>
    <w:p w14:paraId="4E508FFF">
      <w:pPr>
        <w:keepNext w:val="0"/>
        <w:keepLines w:val="0"/>
        <w:pageBreakBefore w:val="0"/>
        <w:widowControl w:val="0"/>
        <w:tabs>
          <w:tab w:val="left" w:pos="1890"/>
        </w:tabs>
        <w:kinsoku/>
        <w:wordWrap w:val="0"/>
        <w:overflowPunct/>
        <w:topLinePunct w:val="0"/>
        <w:autoSpaceDE/>
        <w:autoSpaceDN/>
        <w:bidi w:val="0"/>
        <w:adjustRightInd w:val="0"/>
        <w:snapToGrid w:val="0"/>
        <w:spacing w:line="336" w:lineRule="auto"/>
        <w:ind w:firstLine="480" w:firstLineChars="200"/>
        <w:textAlignment w:val="auto"/>
        <w:rPr>
          <w:rFonts w:hint="eastAsia" w:ascii="宋体" w:hAnsi="宋体" w:eastAsia="宋体" w:cs="宋体"/>
          <w:snapToGrid w:val="0"/>
          <w:color w:val="auto"/>
          <w:kern w:val="0"/>
          <w:sz w:val="24"/>
          <w:szCs w:val="24"/>
          <w:highlight w:val="none"/>
        </w:rPr>
      </w:pPr>
      <w:r>
        <w:rPr>
          <w:rFonts w:hint="eastAsia" w:ascii="宋体" w:hAnsi="宋体" w:eastAsia="宋体" w:cs="宋体"/>
          <w:bCs/>
          <w:color w:val="auto"/>
          <w:sz w:val="24"/>
          <w:szCs w:val="24"/>
          <w:highlight w:val="none"/>
        </w:rPr>
        <w:t>（2）</w:t>
      </w:r>
      <w:r>
        <w:rPr>
          <w:rFonts w:hint="eastAsia" w:ascii="宋体" w:hAnsi="宋体" w:eastAsia="宋体" w:cs="宋体"/>
          <w:snapToGrid w:val="0"/>
          <w:color w:val="auto"/>
          <w:kern w:val="0"/>
          <w:sz w:val="24"/>
          <w:szCs w:val="24"/>
          <w:highlight w:val="none"/>
        </w:rPr>
        <w:t>技术得分</w:t>
      </w:r>
    </w:p>
    <w:p w14:paraId="79AA7FB7">
      <w:pPr>
        <w:pStyle w:val="37"/>
        <w:pageBreakBefore w:val="0"/>
        <w:kinsoku/>
        <w:overflowPunct/>
        <w:topLinePunct w:val="0"/>
        <w:autoSpaceDE w:val="0"/>
        <w:autoSpaceDN w:val="0"/>
        <w:bidi w:val="0"/>
        <w:adjustRightInd w:val="0"/>
        <w:spacing w:line="440" w:lineRule="exact"/>
        <w:ind w:firstLine="480" w:firstLineChars="200"/>
        <w:textAlignment w:val="auto"/>
        <w:rPr>
          <w:rFonts w:hint="eastAsia" w:ascii="宋体" w:hAnsi="宋体" w:eastAsia="宋体" w:cs="宋体"/>
          <w:snapToGrid w:val="0"/>
          <w:color w:val="auto"/>
          <w:kern w:val="0"/>
          <w:sz w:val="24"/>
          <w:szCs w:val="24"/>
          <w:highlight w:val="none"/>
        </w:rPr>
      </w:pPr>
      <w:r>
        <w:rPr>
          <w:rFonts w:hint="eastAsia" w:ascii="宋体" w:hAnsi="宋体" w:eastAsia="宋体" w:cs="宋体"/>
          <w:bCs/>
          <w:color w:val="auto"/>
          <w:sz w:val="24"/>
          <w:szCs w:val="24"/>
          <w:highlight w:val="none"/>
        </w:rPr>
        <w:t>①</w:t>
      </w:r>
      <w:r>
        <w:rPr>
          <w:rFonts w:hint="eastAsia" w:ascii="宋体" w:hAnsi="宋体" w:eastAsia="宋体" w:cs="宋体"/>
          <w:snapToGrid w:val="0"/>
          <w:color w:val="auto"/>
          <w:kern w:val="0"/>
          <w:sz w:val="24"/>
          <w:szCs w:val="24"/>
          <w:highlight w:val="none"/>
        </w:rPr>
        <w:t>评标委员会各成员独立按照《综合评分表》技术部分指定的评分标准对各评分因素进行打分，累加后得出技术评分。</w:t>
      </w:r>
    </w:p>
    <w:p w14:paraId="6BE6EDC2">
      <w:pPr>
        <w:pStyle w:val="37"/>
        <w:pageBreakBefore w:val="0"/>
        <w:kinsoku/>
        <w:overflowPunct/>
        <w:topLinePunct w:val="0"/>
        <w:autoSpaceDE w:val="0"/>
        <w:autoSpaceDN w:val="0"/>
        <w:bidi w:val="0"/>
        <w:adjustRightInd w:val="0"/>
        <w:spacing w:line="440" w:lineRule="exact"/>
        <w:ind w:firstLine="480" w:firstLineChars="200"/>
        <w:textAlignment w:val="auto"/>
        <w:rPr>
          <w:rFonts w:hint="eastAsia" w:ascii="宋体" w:hAnsi="宋体" w:eastAsia="宋体" w:cs="宋体"/>
          <w:bCs/>
          <w:color w:val="auto"/>
          <w:sz w:val="24"/>
          <w:szCs w:val="24"/>
          <w:highlight w:val="none"/>
          <w:lang w:eastAsia="zh-CN"/>
        </w:rPr>
      </w:pPr>
      <w:r>
        <w:rPr>
          <w:rFonts w:hint="eastAsia" w:ascii="宋体" w:hAnsi="宋体" w:eastAsia="宋体" w:cs="宋体"/>
          <w:bCs/>
          <w:color w:val="auto"/>
          <w:sz w:val="24"/>
          <w:szCs w:val="24"/>
          <w:highlight w:val="none"/>
        </w:rPr>
        <w:t>②</w:t>
      </w:r>
      <w:r>
        <w:rPr>
          <w:rFonts w:hint="eastAsia" w:ascii="宋体" w:hAnsi="宋体" w:eastAsia="宋体" w:cs="宋体"/>
          <w:snapToGrid w:val="0"/>
          <w:color w:val="auto"/>
          <w:kern w:val="0"/>
          <w:sz w:val="24"/>
          <w:szCs w:val="24"/>
          <w:highlight w:val="none"/>
        </w:rPr>
        <w:t>将评标委员会所有成员的技术评分去掉一个最高分和一个最低分后，取算术平均值，即为某投标人的技术得分</w:t>
      </w:r>
      <w:r>
        <w:rPr>
          <w:rFonts w:hint="eastAsia" w:ascii="宋体" w:hAnsi="宋体" w:eastAsia="宋体" w:cs="宋体"/>
          <w:snapToGrid w:val="0"/>
          <w:color w:val="auto"/>
          <w:kern w:val="0"/>
          <w:sz w:val="24"/>
          <w:szCs w:val="24"/>
          <w:highlight w:val="none"/>
          <w:lang w:eastAsia="zh-CN"/>
        </w:rPr>
        <w:t>。</w:t>
      </w:r>
    </w:p>
    <w:p w14:paraId="3FACB1C9">
      <w:pPr>
        <w:pStyle w:val="37"/>
        <w:pageBreakBefore w:val="0"/>
        <w:kinsoku/>
        <w:overflowPunct/>
        <w:topLinePunct w:val="0"/>
        <w:autoSpaceDE w:val="0"/>
        <w:autoSpaceDN w:val="0"/>
        <w:bidi w:val="0"/>
        <w:adjustRightInd w:val="0"/>
        <w:spacing w:line="440" w:lineRule="exact"/>
        <w:ind w:firstLine="480" w:firstLineChars="200"/>
        <w:textAlignment w:val="auto"/>
        <w:rPr>
          <w:rFonts w:hint="eastAsia" w:ascii="宋体" w:hAnsi="宋体" w:eastAsia="宋体" w:cs="宋体"/>
          <w:bCs/>
          <w:color w:val="auto"/>
          <w:sz w:val="24"/>
          <w:szCs w:val="24"/>
          <w:highlight w:val="none"/>
        </w:rPr>
      </w:pPr>
      <w:r>
        <w:rPr>
          <w:rFonts w:hint="eastAsia" w:hAnsi="宋体" w:cs="宋体"/>
          <w:bCs/>
          <w:color w:val="auto"/>
          <w:sz w:val="24"/>
          <w:szCs w:val="24"/>
          <w:highlight w:val="none"/>
          <w:lang w:eastAsia="zh-CN"/>
        </w:rPr>
        <w:t>（</w:t>
      </w:r>
      <w:r>
        <w:rPr>
          <w:rFonts w:hint="eastAsia" w:hAnsi="宋体" w:cs="宋体"/>
          <w:bCs/>
          <w:color w:val="auto"/>
          <w:sz w:val="24"/>
          <w:szCs w:val="24"/>
          <w:highlight w:val="none"/>
          <w:lang w:val="en-US" w:eastAsia="zh-CN"/>
        </w:rPr>
        <w:t>3</w:t>
      </w:r>
      <w:r>
        <w:rPr>
          <w:rFonts w:hint="eastAsia" w:hAnsi="宋体" w:cs="宋体"/>
          <w:bCs/>
          <w:color w:val="auto"/>
          <w:sz w:val="24"/>
          <w:szCs w:val="24"/>
          <w:highlight w:val="none"/>
          <w:lang w:eastAsia="zh-CN"/>
        </w:rPr>
        <w:t>）</w:t>
      </w:r>
      <w:r>
        <w:rPr>
          <w:rFonts w:hint="eastAsia" w:ascii="宋体" w:hAnsi="宋体" w:eastAsia="宋体" w:cs="宋体"/>
          <w:bCs/>
          <w:color w:val="auto"/>
          <w:sz w:val="24"/>
          <w:szCs w:val="24"/>
          <w:highlight w:val="none"/>
        </w:rPr>
        <w:t>经济部分得分</w:t>
      </w:r>
    </w:p>
    <w:p w14:paraId="0130298D">
      <w:pPr>
        <w:pStyle w:val="37"/>
        <w:pageBreakBefore w:val="0"/>
        <w:kinsoku/>
        <w:overflowPunct/>
        <w:topLinePunct w:val="0"/>
        <w:autoSpaceDE w:val="0"/>
        <w:autoSpaceDN w:val="0"/>
        <w:bidi w:val="0"/>
        <w:adjustRightInd w:val="0"/>
        <w:spacing w:line="440" w:lineRule="exact"/>
        <w:ind w:firstLine="480" w:firstLineChars="200"/>
        <w:textAlignment w:val="auto"/>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经济部分评分方法详见《综合评分表》。</w:t>
      </w:r>
    </w:p>
    <w:p w14:paraId="75F92732">
      <w:pPr>
        <w:pStyle w:val="37"/>
        <w:pageBreakBefore w:val="0"/>
        <w:kinsoku/>
        <w:overflowPunct/>
        <w:topLinePunct w:val="0"/>
        <w:autoSpaceDE w:val="0"/>
        <w:autoSpaceDN w:val="0"/>
        <w:bidi w:val="0"/>
        <w:adjustRightInd w:val="0"/>
        <w:spacing w:line="440" w:lineRule="exact"/>
        <w:ind w:firstLine="480" w:firstLineChars="200"/>
        <w:textAlignment w:val="auto"/>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w:t>
      </w:r>
      <w:r>
        <w:rPr>
          <w:rFonts w:hint="eastAsia" w:hAnsi="宋体" w:cs="宋体"/>
          <w:bCs/>
          <w:color w:val="auto"/>
          <w:sz w:val="24"/>
          <w:szCs w:val="24"/>
          <w:highlight w:val="none"/>
          <w:lang w:val="en-US" w:eastAsia="zh-CN"/>
        </w:rPr>
        <w:t>4</w:t>
      </w:r>
      <w:r>
        <w:rPr>
          <w:rFonts w:hint="eastAsia" w:ascii="宋体" w:hAnsi="宋体" w:eastAsia="宋体" w:cs="宋体"/>
          <w:bCs/>
          <w:color w:val="auto"/>
          <w:sz w:val="24"/>
          <w:szCs w:val="24"/>
          <w:highlight w:val="none"/>
        </w:rPr>
        <w:t>）综合得分</w:t>
      </w:r>
    </w:p>
    <w:p w14:paraId="3BCF3AC5">
      <w:pPr>
        <w:pStyle w:val="37"/>
        <w:pageBreakBefore w:val="0"/>
        <w:kinsoku/>
        <w:overflowPunct/>
        <w:topLinePunct w:val="0"/>
        <w:autoSpaceDE w:val="0"/>
        <w:autoSpaceDN w:val="0"/>
        <w:bidi w:val="0"/>
        <w:adjustRightInd w:val="0"/>
        <w:spacing w:line="440" w:lineRule="exact"/>
        <w:ind w:firstLine="480" w:firstLineChars="200"/>
        <w:textAlignment w:val="auto"/>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综合得分=商务部分得分+</w:t>
      </w:r>
      <w:r>
        <w:rPr>
          <w:rFonts w:hint="eastAsia" w:hAnsi="宋体" w:cs="宋体"/>
          <w:bCs/>
          <w:color w:val="auto"/>
          <w:sz w:val="24"/>
          <w:szCs w:val="24"/>
          <w:highlight w:val="none"/>
          <w:lang w:eastAsia="zh-CN"/>
        </w:rPr>
        <w:t>技术部分得分</w:t>
      </w:r>
      <w:r>
        <w:rPr>
          <w:rFonts w:hint="eastAsia" w:hAnsi="宋体" w:cs="宋体"/>
          <w:bCs/>
          <w:color w:val="auto"/>
          <w:sz w:val="24"/>
          <w:szCs w:val="24"/>
          <w:highlight w:val="none"/>
          <w:lang w:val="en-US" w:eastAsia="zh-CN"/>
        </w:rPr>
        <w:t>+</w:t>
      </w:r>
      <w:r>
        <w:rPr>
          <w:rFonts w:hint="eastAsia" w:ascii="宋体" w:hAnsi="宋体" w:eastAsia="宋体" w:cs="宋体"/>
          <w:bCs/>
          <w:color w:val="auto"/>
          <w:sz w:val="24"/>
          <w:szCs w:val="24"/>
          <w:highlight w:val="none"/>
        </w:rPr>
        <w:t>经济部分得分</w:t>
      </w:r>
    </w:p>
    <w:p w14:paraId="1E50AECE">
      <w:pPr>
        <w:spacing w:line="440" w:lineRule="exact"/>
        <w:ind w:firstLine="482" w:firstLineChars="200"/>
        <w:rPr>
          <w:rFonts w:asciiTheme="minorEastAsia" w:hAnsiTheme="minorEastAsia" w:eastAsiaTheme="minorEastAsia" w:cstheme="minorEastAsia"/>
          <w:b/>
          <w:bCs w:val="0"/>
          <w:color w:val="auto"/>
          <w:highlight w:val="none"/>
        </w:rPr>
      </w:pPr>
      <w:r>
        <w:rPr>
          <w:rFonts w:hint="eastAsia" w:asciiTheme="minorEastAsia" w:hAnsiTheme="minorEastAsia" w:eastAsiaTheme="minorEastAsia" w:cstheme="minorEastAsia"/>
          <w:b/>
          <w:bCs w:val="0"/>
          <w:color w:val="auto"/>
          <w:highlight w:val="none"/>
        </w:rPr>
        <w:t>（</w:t>
      </w:r>
      <w:r>
        <w:rPr>
          <w:rFonts w:hint="eastAsia" w:asciiTheme="minorEastAsia" w:hAnsiTheme="minorEastAsia" w:eastAsiaTheme="minorEastAsia" w:cstheme="minorEastAsia"/>
          <w:b/>
          <w:bCs w:val="0"/>
          <w:color w:val="auto"/>
          <w:highlight w:val="none"/>
          <w:lang w:val="en-US" w:eastAsia="zh-CN"/>
        </w:rPr>
        <w:t>5</w:t>
      </w:r>
      <w:r>
        <w:rPr>
          <w:rFonts w:hint="eastAsia" w:asciiTheme="minorEastAsia" w:hAnsiTheme="minorEastAsia" w:eastAsiaTheme="minorEastAsia" w:cstheme="minorEastAsia"/>
          <w:b/>
          <w:bCs w:val="0"/>
          <w:color w:val="auto"/>
          <w:highlight w:val="none"/>
        </w:rPr>
        <w:t>）评标委员会根据招标文件规定的评分细则，对招标文件中的各评审因素进行评审、比较、打分，将得分前5名不排序（按企业统一社会信用代码后4位由大到小排位）的投标人作为定标候选人推荐给招标人，并对每个定标候选人的优势、风险等评审情况进行说明。当投标人综合总得分相同时，以报价低</w:t>
      </w:r>
      <w:r>
        <w:rPr>
          <w:rFonts w:hint="eastAsia" w:asciiTheme="minorEastAsia" w:hAnsiTheme="minorEastAsia" w:eastAsiaTheme="minorEastAsia" w:cstheme="minorEastAsia"/>
          <w:b/>
          <w:bCs w:val="0"/>
          <w:color w:val="auto"/>
          <w:highlight w:val="none"/>
          <w:lang w:eastAsia="zh-CN"/>
        </w:rPr>
        <w:t>者为</w:t>
      </w:r>
      <w:r>
        <w:rPr>
          <w:rFonts w:hint="eastAsia" w:asciiTheme="minorEastAsia" w:hAnsiTheme="minorEastAsia" w:eastAsiaTheme="minorEastAsia" w:cstheme="minorEastAsia"/>
          <w:b/>
          <w:bCs w:val="0"/>
          <w:color w:val="auto"/>
          <w:highlight w:val="none"/>
        </w:rPr>
        <w:t>前；当投标人综合总得分相同且报价相同时，由评标委员会投票确定排前。</w:t>
      </w:r>
    </w:p>
    <w:p w14:paraId="68EA1F36">
      <w:pPr>
        <w:spacing w:line="440" w:lineRule="exact"/>
        <w:ind w:firstLine="482" w:firstLineChars="200"/>
        <w:rPr>
          <w:rFonts w:asciiTheme="minorEastAsia" w:hAnsiTheme="minorEastAsia" w:eastAsiaTheme="minorEastAsia" w:cstheme="minorEastAsia"/>
          <w:b/>
          <w:bCs w:val="0"/>
          <w:color w:val="auto"/>
          <w:highlight w:val="none"/>
        </w:rPr>
      </w:pPr>
      <w:r>
        <w:rPr>
          <w:rFonts w:hint="eastAsia" w:asciiTheme="minorEastAsia" w:hAnsiTheme="minorEastAsia" w:eastAsiaTheme="minorEastAsia" w:cstheme="minorEastAsia"/>
          <w:b/>
          <w:bCs w:val="0"/>
          <w:color w:val="auto"/>
          <w:highlight w:val="none"/>
        </w:rPr>
        <w:t>定标候选人得分只作为评标委员会的推荐依据，不作为定标委员会对中标候选人排序的依据。当有效投标人数量不足5名但满足法定要求时，所有通过评审的有效投标人均应作为定标候选人。</w:t>
      </w:r>
    </w:p>
    <w:p w14:paraId="1B145812">
      <w:pPr>
        <w:ind w:firstLine="482" w:firstLineChars="200"/>
        <w:rPr>
          <w:rFonts w:asciiTheme="minorEastAsia" w:hAnsiTheme="minorEastAsia" w:eastAsiaTheme="minorEastAsia" w:cstheme="minorEastAsia"/>
          <w:bCs/>
          <w:color w:val="auto"/>
          <w:highlight w:val="none"/>
        </w:rPr>
      </w:pPr>
      <w:r>
        <w:rPr>
          <w:rFonts w:hint="eastAsia" w:asciiTheme="minorEastAsia" w:hAnsiTheme="minorEastAsia" w:eastAsiaTheme="minorEastAsia" w:cstheme="minorEastAsia"/>
          <w:b/>
          <w:bCs w:val="0"/>
          <w:color w:val="auto"/>
          <w:highlight w:val="none"/>
        </w:rPr>
        <w:t>注：编写评标报告时，定标候选人不排序，按企业统一社会信用代码后4位大小排位</w:t>
      </w:r>
      <w:r>
        <w:rPr>
          <w:rFonts w:hint="eastAsia" w:asciiTheme="minorEastAsia" w:hAnsiTheme="minorEastAsia" w:eastAsiaTheme="minorEastAsia" w:cstheme="minorEastAsia"/>
          <w:b/>
          <w:bCs w:val="0"/>
          <w:color w:val="auto"/>
          <w:highlight w:val="none"/>
          <w:lang w:eastAsia="zh-CN"/>
        </w:rPr>
        <w:t>；</w:t>
      </w:r>
      <w:r>
        <w:rPr>
          <w:rFonts w:hint="eastAsia" w:asciiTheme="minorEastAsia" w:hAnsiTheme="minorEastAsia" w:eastAsiaTheme="minorEastAsia" w:cstheme="minorEastAsia"/>
          <w:b/>
          <w:bCs w:val="0"/>
          <w:color w:val="auto"/>
          <w:highlight w:val="none"/>
        </w:rPr>
        <w:t>如统一社会信用代码后4位出现字母情况的，字母以“0”</w:t>
      </w:r>
      <w:r>
        <w:rPr>
          <w:rFonts w:hint="eastAsia" w:asciiTheme="minorEastAsia" w:hAnsiTheme="minorEastAsia" w:eastAsiaTheme="minorEastAsia" w:cstheme="minorEastAsia"/>
          <w:b/>
          <w:bCs w:val="0"/>
          <w:color w:val="auto"/>
          <w:highlight w:val="none"/>
          <w:lang w:eastAsia="zh-CN"/>
        </w:rPr>
        <w:t>代替进行</w:t>
      </w:r>
      <w:r>
        <w:rPr>
          <w:rFonts w:hint="eastAsia" w:asciiTheme="minorEastAsia" w:hAnsiTheme="minorEastAsia" w:eastAsiaTheme="minorEastAsia" w:cstheme="minorEastAsia"/>
          <w:b/>
          <w:bCs w:val="0"/>
          <w:color w:val="auto"/>
          <w:highlight w:val="none"/>
        </w:rPr>
        <w:t>大小排位</w:t>
      </w:r>
      <w:r>
        <w:rPr>
          <w:rFonts w:hint="eastAsia" w:asciiTheme="minorEastAsia" w:hAnsiTheme="minorEastAsia" w:eastAsiaTheme="minorEastAsia" w:cstheme="minorEastAsia"/>
          <w:b/>
          <w:bCs w:val="0"/>
          <w:color w:val="auto"/>
          <w:highlight w:val="none"/>
          <w:lang w:eastAsia="zh-CN"/>
        </w:rPr>
        <w:t>；</w:t>
      </w:r>
      <w:r>
        <w:rPr>
          <w:rFonts w:hint="eastAsia" w:asciiTheme="minorEastAsia" w:hAnsiTheme="minorEastAsia" w:eastAsiaTheme="minorEastAsia" w:cstheme="minorEastAsia"/>
          <w:b/>
          <w:bCs w:val="0"/>
          <w:color w:val="auto"/>
          <w:highlight w:val="none"/>
        </w:rPr>
        <w:t>如出现后4位大小一致的，则随机排位。</w:t>
      </w:r>
      <w:r>
        <w:rPr>
          <w:rFonts w:asciiTheme="minorEastAsia" w:hAnsiTheme="minorEastAsia" w:eastAsiaTheme="minorEastAsia" w:cstheme="minorEastAsia"/>
          <w:bCs/>
          <w:color w:val="auto"/>
          <w:highlight w:val="none"/>
        </w:rPr>
        <w:br w:type="page"/>
      </w:r>
    </w:p>
    <w:bookmarkEnd w:id="131"/>
    <w:p w14:paraId="2671FFCD">
      <w:pPr>
        <w:rPr>
          <w:rFonts w:hAnsi="宋体" w:eastAsia="宋体" w:cs="宋体"/>
          <w:b/>
          <w:color w:val="auto"/>
          <w:sz w:val="28"/>
          <w:szCs w:val="28"/>
          <w:highlight w:val="none"/>
        </w:rPr>
      </w:pPr>
    </w:p>
    <w:p w14:paraId="3B4DD96F">
      <w:pPr>
        <w:pStyle w:val="39"/>
        <w:keepNext/>
        <w:keepLines/>
        <w:pageBreakBefore w:val="0"/>
        <w:kinsoku/>
        <w:overflowPunct/>
        <w:topLinePunct w:val="0"/>
        <w:bidi w:val="0"/>
        <w:spacing w:line="440" w:lineRule="exact"/>
        <w:ind w:firstLine="480"/>
        <w:jc w:val="center"/>
        <w:textAlignment w:val="auto"/>
        <w:rPr>
          <w:rFonts w:hAnsi="宋体" w:eastAsia="宋体" w:cs="宋体"/>
          <w:b/>
          <w:color w:val="auto"/>
          <w:sz w:val="28"/>
          <w:szCs w:val="28"/>
          <w:highlight w:val="none"/>
        </w:rPr>
      </w:pPr>
      <w:bookmarkStart w:id="258" w:name="_Toc20348"/>
      <w:r>
        <w:rPr>
          <w:rFonts w:hAnsi="宋体" w:eastAsia="宋体" w:cs="宋体"/>
          <w:b/>
          <w:color w:val="auto"/>
          <w:sz w:val="28"/>
          <w:szCs w:val="28"/>
          <w:highlight w:val="none"/>
        </w:rPr>
        <w:t>综合评分表</w:t>
      </w:r>
      <w:bookmarkEnd w:id="258"/>
    </w:p>
    <w:tbl>
      <w:tblPr>
        <w:tblStyle w:val="23"/>
        <w:tblW w:w="1040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23"/>
        <w:gridCol w:w="1021"/>
        <w:gridCol w:w="924"/>
        <w:gridCol w:w="3558"/>
        <w:gridCol w:w="3882"/>
      </w:tblGrid>
      <w:tr w14:paraId="4C52CE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6" w:hRule="atLeast"/>
          <w:jc w:val="center"/>
        </w:trPr>
        <w:tc>
          <w:tcPr>
            <w:tcW w:w="2968" w:type="dxa"/>
            <w:gridSpan w:val="3"/>
            <w:tcBorders>
              <w:top w:val="single" w:color="auto" w:sz="4" w:space="0"/>
              <w:left w:val="single" w:color="auto" w:sz="4" w:space="0"/>
              <w:bottom w:val="single" w:color="auto" w:sz="4" w:space="0"/>
              <w:right w:val="single" w:color="auto" w:sz="4" w:space="0"/>
              <w:tl2br w:val="nil"/>
              <w:tr2bl w:val="nil"/>
            </w:tcBorders>
            <w:vAlign w:val="center"/>
          </w:tcPr>
          <w:p w14:paraId="44990ADB">
            <w:pPr>
              <w:keepNext w:val="0"/>
              <w:keepLines w:val="0"/>
              <w:pageBreakBefore w:val="0"/>
              <w:widowControl/>
              <w:suppressLineNumbers w:val="0"/>
              <w:kinsoku/>
              <w:overflowPunct/>
              <w:topLinePunct w:val="0"/>
              <w:autoSpaceDE/>
              <w:autoSpaceDN/>
              <w:bidi w:val="0"/>
              <w:spacing w:before="0" w:beforeLines="0" w:beforeAutospacing="0" w:after="0" w:afterLines="0" w:afterAutospacing="0" w:line="240" w:lineRule="auto"/>
              <w:ind w:left="0" w:right="0"/>
              <w:jc w:val="center"/>
              <w:rPr>
                <w:rFonts w:hint="eastAsia" w:ascii="宋体" w:hAnsi="宋体" w:eastAsia="宋体" w:cs="宋体"/>
                <w:b/>
                <w:color w:val="auto"/>
                <w:kern w:val="0"/>
                <w:sz w:val="22"/>
                <w:szCs w:val="22"/>
                <w:highlight w:val="none"/>
              </w:rPr>
            </w:pPr>
            <w:r>
              <w:rPr>
                <w:rFonts w:hint="eastAsia" w:ascii="宋体" w:hAnsi="宋体" w:eastAsia="宋体" w:cs="宋体"/>
                <w:b/>
                <w:color w:val="auto"/>
                <w:kern w:val="0"/>
                <w:sz w:val="22"/>
                <w:szCs w:val="22"/>
                <w:highlight w:val="none"/>
              </w:rPr>
              <w:t>评标内容</w:t>
            </w:r>
          </w:p>
        </w:tc>
        <w:tc>
          <w:tcPr>
            <w:tcW w:w="3558" w:type="dxa"/>
            <w:tcBorders>
              <w:top w:val="single" w:color="auto" w:sz="4" w:space="0"/>
              <w:left w:val="single" w:color="auto" w:sz="4" w:space="0"/>
              <w:bottom w:val="single" w:color="auto" w:sz="4" w:space="0"/>
              <w:right w:val="single" w:color="auto" w:sz="4" w:space="0"/>
              <w:tl2br w:val="nil"/>
              <w:tr2bl w:val="nil"/>
            </w:tcBorders>
            <w:vAlign w:val="center"/>
          </w:tcPr>
          <w:p w14:paraId="4DB7DCCF">
            <w:pPr>
              <w:keepNext w:val="0"/>
              <w:keepLines w:val="0"/>
              <w:pageBreakBefore w:val="0"/>
              <w:widowControl/>
              <w:suppressLineNumbers w:val="0"/>
              <w:kinsoku/>
              <w:overflowPunct/>
              <w:topLinePunct w:val="0"/>
              <w:autoSpaceDE/>
              <w:autoSpaceDN/>
              <w:bidi w:val="0"/>
              <w:spacing w:before="0" w:beforeLines="0" w:beforeAutospacing="0" w:after="0" w:afterLines="0" w:afterAutospacing="0" w:line="240" w:lineRule="auto"/>
              <w:ind w:left="0" w:right="0"/>
              <w:jc w:val="center"/>
              <w:rPr>
                <w:rFonts w:hint="eastAsia" w:ascii="宋体" w:hAnsi="宋体" w:eastAsia="宋体" w:cs="宋体"/>
                <w:b/>
                <w:color w:val="auto"/>
                <w:kern w:val="0"/>
                <w:sz w:val="22"/>
                <w:szCs w:val="22"/>
                <w:highlight w:val="none"/>
              </w:rPr>
            </w:pPr>
            <w:r>
              <w:rPr>
                <w:rFonts w:hint="eastAsia" w:ascii="宋体" w:hAnsi="宋体" w:eastAsia="宋体" w:cs="宋体"/>
                <w:b/>
                <w:color w:val="auto"/>
                <w:kern w:val="0"/>
                <w:sz w:val="22"/>
                <w:szCs w:val="22"/>
                <w:highlight w:val="none"/>
              </w:rPr>
              <w:t>说    明</w:t>
            </w:r>
          </w:p>
        </w:tc>
        <w:tc>
          <w:tcPr>
            <w:tcW w:w="3882" w:type="dxa"/>
            <w:tcBorders>
              <w:top w:val="single" w:color="auto" w:sz="4" w:space="0"/>
              <w:left w:val="single" w:color="auto" w:sz="4" w:space="0"/>
              <w:bottom w:val="single" w:color="auto" w:sz="4" w:space="0"/>
              <w:right w:val="single" w:color="auto" w:sz="4" w:space="0"/>
              <w:tl2br w:val="nil"/>
              <w:tr2bl w:val="nil"/>
            </w:tcBorders>
            <w:vAlign w:val="center"/>
          </w:tcPr>
          <w:p w14:paraId="0D56A841">
            <w:pPr>
              <w:keepNext w:val="0"/>
              <w:keepLines w:val="0"/>
              <w:pageBreakBefore w:val="0"/>
              <w:widowControl/>
              <w:suppressLineNumbers w:val="0"/>
              <w:kinsoku/>
              <w:overflowPunct/>
              <w:topLinePunct w:val="0"/>
              <w:autoSpaceDE/>
              <w:autoSpaceDN/>
              <w:bidi w:val="0"/>
              <w:spacing w:before="0" w:beforeLines="0" w:beforeAutospacing="0" w:after="0" w:afterLines="0" w:afterAutospacing="0" w:line="240" w:lineRule="auto"/>
              <w:ind w:left="0" w:right="0"/>
              <w:jc w:val="center"/>
              <w:rPr>
                <w:rFonts w:hint="eastAsia" w:ascii="宋体" w:hAnsi="宋体" w:eastAsia="宋体" w:cs="宋体"/>
                <w:b/>
                <w:color w:val="auto"/>
                <w:kern w:val="0"/>
                <w:sz w:val="22"/>
                <w:szCs w:val="22"/>
                <w:highlight w:val="none"/>
              </w:rPr>
            </w:pPr>
            <w:r>
              <w:rPr>
                <w:rFonts w:hint="eastAsia" w:ascii="宋体" w:hAnsi="宋体" w:eastAsia="宋体" w:cs="宋体"/>
                <w:b/>
                <w:color w:val="auto"/>
                <w:kern w:val="0"/>
                <w:sz w:val="22"/>
                <w:szCs w:val="22"/>
                <w:highlight w:val="none"/>
              </w:rPr>
              <w:t>备注</w:t>
            </w:r>
          </w:p>
        </w:tc>
      </w:tr>
      <w:tr w14:paraId="66024B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38" w:hRule="atLeast"/>
          <w:jc w:val="center"/>
        </w:trPr>
        <w:tc>
          <w:tcPr>
            <w:tcW w:w="1023" w:type="dxa"/>
            <w:vMerge w:val="restart"/>
            <w:tcBorders>
              <w:top w:val="single" w:color="auto" w:sz="4" w:space="0"/>
              <w:left w:val="single" w:color="auto" w:sz="4" w:space="0"/>
              <w:bottom w:val="single" w:color="auto" w:sz="4" w:space="0"/>
              <w:right w:val="single" w:color="auto" w:sz="4" w:space="0"/>
              <w:tl2br w:val="nil"/>
              <w:tr2bl w:val="nil"/>
            </w:tcBorders>
            <w:vAlign w:val="center"/>
          </w:tcPr>
          <w:p w14:paraId="04DFFF60">
            <w:pPr>
              <w:keepNext w:val="0"/>
              <w:keepLines w:val="0"/>
              <w:pageBreakBefore w:val="0"/>
              <w:widowControl/>
              <w:suppressLineNumbers w:val="0"/>
              <w:kinsoku/>
              <w:overflowPunct/>
              <w:topLinePunct w:val="0"/>
              <w:autoSpaceDE/>
              <w:autoSpaceDN/>
              <w:bidi w:val="0"/>
              <w:spacing w:before="0" w:beforeLines="0" w:beforeAutospacing="0" w:after="0" w:afterLines="0" w:afterAutospacing="0" w:line="240" w:lineRule="auto"/>
              <w:ind w:left="0" w:right="0"/>
              <w:jc w:val="center"/>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商务</w:t>
            </w:r>
          </w:p>
          <w:p w14:paraId="6FF6720E">
            <w:pPr>
              <w:keepNext w:val="0"/>
              <w:keepLines w:val="0"/>
              <w:pageBreakBefore w:val="0"/>
              <w:widowControl/>
              <w:suppressLineNumbers w:val="0"/>
              <w:kinsoku/>
              <w:overflowPunct/>
              <w:topLinePunct w:val="0"/>
              <w:autoSpaceDE/>
              <w:autoSpaceDN/>
              <w:bidi w:val="0"/>
              <w:spacing w:before="0" w:beforeLines="0" w:beforeAutospacing="0" w:after="0" w:afterLines="0" w:afterAutospacing="0" w:line="240" w:lineRule="auto"/>
              <w:ind w:left="0" w:right="0"/>
              <w:jc w:val="center"/>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部分</w:t>
            </w:r>
          </w:p>
          <w:p w14:paraId="6FC5A4E5">
            <w:pPr>
              <w:keepNext w:val="0"/>
              <w:keepLines w:val="0"/>
              <w:pageBreakBefore w:val="0"/>
              <w:widowControl/>
              <w:suppressLineNumbers w:val="0"/>
              <w:kinsoku/>
              <w:overflowPunct/>
              <w:topLinePunct w:val="0"/>
              <w:autoSpaceDE/>
              <w:autoSpaceDN/>
              <w:bidi w:val="0"/>
              <w:spacing w:before="0" w:beforeLines="0" w:beforeAutospacing="0" w:after="0" w:afterLines="0" w:afterAutospacing="0" w:line="240" w:lineRule="auto"/>
              <w:ind w:left="0" w:right="0"/>
              <w:jc w:val="center"/>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得分</w:t>
            </w:r>
          </w:p>
          <w:p w14:paraId="76E9C4DC">
            <w:pPr>
              <w:keepNext w:val="0"/>
              <w:keepLines w:val="0"/>
              <w:pageBreakBefore w:val="0"/>
              <w:widowControl/>
              <w:suppressLineNumbers w:val="0"/>
              <w:kinsoku/>
              <w:overflowPunct/>
              <w:topLinePunct w:val="0"/>
              <w:autoSpaceDE/>
              <w:autoSpaceDN/>
              <w:bidi w:val="0"/>
              <w:spacing w:before="0" w:beforeLines="0" w:beforeAutospacing="0" w:after="0" w:afterLines="0" w:afterAutospacing="0" w:line="240" w:lineRule="auto"/>
              <w:ind w:left="0" w:right="0"/>
              <w:jc w:val="center"/>
              <w:rPr>
                <w:rFonts w:hint="eastAsia" w:ascii="宋体" w:hAnsi="宋体" w:eastAsia="宋体" w:cs="宋体"/>
                <w:color w:val="auto"/>
                <w:kern w:val="0"/>
                <w:sz w:val="22"/>
                <w:szCs w:val="22"/>
                <w:highlight w:val="none"/>
              </w:rPr>
            </w:pPr>
            <w:r>
              <w:rPr>
                <w:rFonts w:hint="eastAsia" w:ascii="宋体" w:hAnsi="宋体" w:eastAsia="宋体" w:cs="宋体"/>
                <w:color w:val="auto"/>
                <w:kern w:val="0"/>
                <w:sz w:val="22"/>
                <w:szCs w:val="22"/>
                <w:highlight w:val="none"/>
              </w:rPr>
              <w:t>（</w:t>
            </w:r>
            <w:r>
              <w:rPr>
                <w:rFonts w:hint="eastAsia" w:hAnsi="宋体" w:eastAsia="宋体" w:cs="宋体"/>
                <w:color w:val="auto"/>
                <w:kern w:val="0"/>
                <w:sz w:val="22"/>
                <w:szCs w:val="22"/>
                <w:highlight w:val="none"/>
                <w:lang w:val="en-US" w:eastAsia="zh-CN"/>
              </w:rPr>
              <w:t>5</w:t>
            </w:r>
            <w:r>
              <w:rPr>
                <w:rFonts w:hint="eastAsia" w:ascii="宋体" w:hAnsi="宋体" w:eastAsia="宋体" w:cs="宋体"/>
                <w:color w:val="auto"/>
                <w:kern w:val="0"/>
                <w:sz w:val="22"/>
                <w:szCs w:val="22"/>
                <w:highlight w:val="none"/>
              </w:rPr>
              <w:t>0分）</w:t>
            </w:r>
          </w:p>
        </w:tc>
        <w:tc>
          <w:tcPr>
            <w:tcW w:w="1021" w:type="dxa"/>
            <w:vMerge w:val="restart"/>
            <w:tcBorders>
              <w:top w:val="single" w:color="auto" w:sz="4" w:space="0"/>
              <w:left w:val="single" w:color="auto" w:sz="4" w:space="0"/>
              <w:bottom w:val="single" w:color="auto" w:sz="4" w:space="0"/>
              <w:right w:val="single" w:color="auto" w:sz="4" w:space="0"/>
              <w:tl2br w:val="nil"/>
              <w:tr2bl w:val="nil"/>
            </w:tcBorders>
            <w:vAlign w:val="center"/>
          </w:tcPr>
          <w:p w14:paraId="10DD7495">
            <w:pPr>
              <w:keepNext w:val="0"/>
              <w:keepLines w:val="0"/>
              <w:pageBreakBefore w:val="0"/>
              <w:widowControl/>
              <w:suppressLineNumbers w:val="0"/>
              <w:kinsoku/>
              <w:overflowPunct/>
              <w:topLinePunct w:val="0"/>
              <w:autoSpaceDE/>
              <w:autoSpaceDN/>
              <w:bidi w:val="0"/>
              <w:spacing w:before="0" w:beforeLines="0" w:beforeAutospacing="0" w:after="0" w:afterLines="0" w:afterAutospacing="0" w:line="240" w:lineRule="auto"/>
              <w:ind w:left="0" w:right="0"/>
              <w:jc w:val="center"/>
              <w:rPr>
                <w:rFonts w:hint="eastAsia" w:ascii="宋体" w:hAnsi="宋体" w:eastAsia="宋体" w:cs="宋体"/>
                <w:color w:val="auto"/>
                <w:kern w:val="0"/>
                <w:sz w:val="22"/>
                <w:szCs w:val="22"/>
                <w:highlight w:val="none"/>
              </w:rPr>
            </w:pPr>
            <w:r>
              <w:rPr>
                <w:rFonts w:hint="eastAsia" w:ascii="宋体" w:hAnsi="宋体" w:eastAsia="宋体" w:cs="宋体"/>
                <w:color w:val="auto"/>
                <w:kern w:val="0"/>
                <w:sz w:val="22"/>
                <w:szCs w:val="22"/>
                <w:highlight w:val="none"/>
              </w:rPr>
              <w:t>施工</w:t>
            </w:r>
          </w:p>
          <w:p w14:paraId="18BD3BE3">
            <w:pPr>
              <w:keepNext w:val="0"/>
              <w:keepLines w:val="0"/>
              <w:pageBreakBefore w:val="0"/>
              <w:widowControl/>
              <w:suppressLineNumbers w:val="0"/>
              <w:kinsoku/>
              <w:overflowPunct/>
              <w:topLinePunct w:val="0"/>
              <w:autoSpaceDE/>
              <w:autoSpaceDN/>
              <w:bidi w:val="0"/>
              <w:spacing w:before="0" w:beforeLines="0" w:beforeAutospacing="0" w:after="0" w:afterLines="0" w:afterAutospacing="0" w:line="240" w:lineRule="auto"/>
              <w:ind w:left="0" w:right="0"/>
              <w:jc w:val="center"/>
              <w:rPr>
                <w:rFonts w:hint="eastAsia" w:ascii="宋体" w:hAnsi="宋体" w:eastAsia="宋体" w:cs="宋体"/>
                <w:color w:val="auto"/>
                <w:kern w:val="0"/>
                <w:sz w:val="22"/>
                <w:szCs w:val="22"/>
                <w:highlight w:val="none"/>
              </w:rPr>
            </w:pPr>
            <w:r>
              <w:rPr>
                <w:rFonts w:hint="eastAsia" w:ascii="宋体" w:hAnsi="宋体" w:eastAsia="宋体" w:cs="宋体"/>
                <w:color w:val="auto"/>
                <w:kern w:val="0"/>
                <w:sz w:val="22"/>
                <w:szCs w:val="22"/>
                <w:highlight w:val="none"/>
              </w:rPr>
              <w:t>企业</w:t>
            </w:r>
          </w:p>
          <w:p w14:paraId="481876F9">
            <w:pPr>
              <w:keepNext w:val="0"/>
              <w:keepLines w:val="0"/>
              <w:pageBreakBefore w:val="0"/>
              <w:widowControl/>
              <w:suppressLineNumbers w:val="0"/>
              <w:kinsoku/>
              <w:overflowPunct/>
              <w:topLinePunct w:val="0"/>
              <w:autoSpaceDE/>
              <w:autoSpaceDN/>
              <w:bidi w:val="0"/>
              <w:spacing w:before="0" w:beforeLines="0" w:beforeAutospacing="0" w:after="0" w:afterLines="0" w:afterAutospacing="0" w:line="240" w:lineRule="auto"/>
              <w:ind w:left="0" w:right="0"/>
              <w:jc w:val="center"/>
              <w:rPr>
                <w:rFonts w:hint="eastAsia" w:ascii="宋体" w:hAnsi="宋体" w:eastAsia="宋体" w:cs="宋体"/>
                <w:color w:val="auto"/>
                <w:kern w:val="0"/>
                <w:sz w:val="22"/>
                <w:szCs w:val="22"/>
                <w:highlight w:val="none"/>
              </w:rPr>
            </w:pPr>
            <w:r>
              <w:rPr>
                <w:rFonts w:hint="eastAsia" w:ascii="宋体" w:hAnsi="宋体" w:eastAsia="宋体" w:cs="宋体"/>
                <w:color w:val="auto"/>
                <w:kern w:val="0"/>
                <w:sz w:val="22"/>
                <w:szCs w:val="22"/>
                <w:highlight w:val="none"/>
              </w:rPr>
              <w:t>（</w:t>
            </w:r>
            <w:r>
              <w:rPr>
                <w:rFonts w:hint="eastAsia" w:hAnsi="宋体" w:eastAsia="宋体" w:cs="宋体"/>
                <w:color w:val="auto"/>
                <w:kern w:val="0"/>
                <w:sz w:val="22"/>
                <w:szCs w:val="22"/>
                <w:highlight w:val="none"/>
                <w:lang w:val="en-US" w:eastAsia="zh-CN"/>
              </w:rPr>
              <w:t>4</w:t>
            </w:r>
            <w:r>
              <w:rPr>
                <w:rFonts w:hint="eastAsia" w:ascii="宋体" w:hAnsi="宋体" w:eastAsia="宋体" w:cs="宋体"/>
                <w:color w:val="auto"/>
                <w:kern w:val="0"/>
                <w:sz w:val="22"/>
                <w:szCs w:val="22"/>
                <w:highlight w:val="none"/>
              </w:rPr>
              <w:t>0分）</w:t>
            </w:r>
          </w:p>
          <w:p w14:paraId="51091964">
            <w:pPr>
              <w:keepNext w:val="0"/>
              <w:keepLines w:val="0"/>
              <w:pageBreakBefore w:val="0"/>
              <w:widowControl/>
              <w:suppressLineNumbers w:val="0"/>
              <w:kinsoku/>
              <w:overflowPunct/>
              <w:topLinePunct w:val="0"/>
              <w:autoSpaceDE/>
              <w:autoSpaceDN/>
              <w:bidi w:val="0"/>
              <w:spacing w:before="0" w:beforeLines="0" w:beforeAutospacing="0" w:after="0" w:afterLines="0" w:afterAutospacing="0" w:line="240" w:lineRule="auto"/>
              <w:ind w:left="0" w:right="0"/>
              <w:jc w:val="center"/>
              <w:rPr>
                <w:rFonts w:hint="eastAsia" w:ascii="宋体" w:hAnsi="宋体" w:eastAsia="宋体" w:cs="宋体"/>
                <w:color w:val="auto"/>
                <w:kern w:val="0"/>
                <w:sz w:val="22"/>
                <w:szCs w:val="22"/>
                <w:highlight w:val="none"/>
              </w:rPr>
            </w:pPr>
          </w:p>
        </w:tc>
        <w:tc>
          <w:tcPr>
            <w:tcW w:w="924" w:type="dxa"/>
            <w:tcBorders>
              <w:top w:val="single" w:color="auto" w:sz="4" w:space="0"/>
              <w:left w:val="single" w:color="auto" w:sz="4" w:space="0"/>
              <w:bottom w:val="single" w:color="auto" w:sz="4" w:space="0"/>
              <w:right w:val="single" w:color="auto" w:sz="4" w:space="0"/>
              <w:tl2br w:val="nil"/>
              <w:tr2bl w:val="nil"/>
            </w:tcBorders>
            <w:vAlign w:val="center"/>
          </w:tcPr>
          <w:p w14:paraId="724F1885">
            <w:pPr>
              <w:pStyle w:val="8"/>
              <w:keepNext w:val="0"/>
              <w:keepLines w:val="0"/>
              <w:pageBreakBefore w:val="0"/>
              <w:widowControl/>
              <w:suppressLineNumbers w:val="0"/>
              <w:kinsoku/>
              <w:overflowPunct/>
              <w:topLinePunct w:val="0"/>
              <w:autoSpaceDE/>
              <w:autoSpaceDN/>
              <w:bidi w:val="0"/>
              <w:adjustRightInd w:val="0"/>
              <w:snapToGrid w:val="0"/>
              <w:spacing w:before="0" w:beforeAutospacing="0" w:after="0" w:afterAutospacing="0" w:line="240" w:lineRule="auto"/>
              <w:ind w:left="0" w:right="0"/>
              <w:jc w:val="center"/>
              <w:rPr>
                <w:rFonts w:hint="eastAsia" w:ascii="宋体" w:hAnsi="宋体" w:eastAsia="宋体" w:cs="宋体"/>
                <w:b w:val="0"/>
                <w:bCs w:val="0"/>
                <w:snapToGrid w:val="0"/>
                <w:color w:val="auto"/>
                <w:kern w:val="0"/>
                <w:sz w:val="21"/>
                <w:szCs w:val="21"/>
                <w:highlight w:val="none"/>
              </w:rPr>
            </w:pPr>
            <w:r>
              <w:rPr>
                <w:rFonts w:hint="eastAsia" w:ascii="宋体" w:hAnsi="宋体" w:eastAsia="宋体" w:cs="宋体"/>
                <w:b w:val="0"/>
                <w:bCs w:val="0"/>
                <w:snapToGrid w:val="0"/>
                <w:color w:val="auto"/>
                <w:kern w:val="0"/>
                <w:sz w:val="21"/>
                <w:szCs w:val="21"/>
                <w:highlight w:val="none"/>
              </w:rPr>
              <w:t>企业</w:t>
            </w:r>
          </w:p>
          <w:p w14:paraId="06FC592E">
            <w:pPr>
              <w:pStyle w:val="8"/>
              <w:keepNext w:val="0"/>
              <w:keepLines w:val="0"/>
              <w:pageBreakBefore w:val="0"/>
              <w:widowControl/>
              <w:suppressLineNumbers w:val="0"/>
              <w:kinsoku/>
              <w:overflowPunct/>
              <w:topLinePunct w:val="0"/>
              <w:autoSpaceDE/>
              <w:autoSpaceDN/>
              <w:bidi w:val="0"/>
              <w:adjustRightInd w:val="0"/>
              <w:snapToGrid w:val="0"/>
              <w:spacing w:before="0" w:beforeAutospacing="0" w:after="0" w:afterAutospacing="0" w:line="240" w:lineRule="auto"/>
              <w:ind w:left="0" w:right="0"/>
              <w:jc w:val="center"/>
              <w:rPr>
                <w:rFonts w:hint="eastAsia" w:ascii="宋体" w:hAnsi="宋体" w:eastAsia="宋体" w:cs="宋体"/>
                <w:b w:val="0"/>
                <w:bCs w:val="0"/>
                <w:snapToGrid w:val="0"/>
                <w:color w:val="auto"/>
                <w:kern w:val="0"/>
                <w:sz w:val="21"/>
                <w:szCs w:val="21"/>
                <w:highlight w:val="none"/>
              </w:rPr>
            </w:pPr>
            <w:r>
              <w:rPr>
                <w:rFonts w:hint="eastAsia" w:ascii="宋体" w:hAnsi="宋体" w:eastAsia="宋体" w:cs="宋体"/>
                <w:b w:val="0"/>
                <w:bCs w:val="0"/>
                <w:snapToGrid w:val="0"/>
                <w:color w:val="auto"/>
                <w:kern w:val="0"/>
                <w:sz w:val="21"/>
                <w:szCs w:val="21"/>
                <w:highlight w:val="none"/>
              </w:rPr>
              <w:t>奖项</w:t>
            </w:r>
          </w:p>
          <w:p w14:paraId="025DDE05">
            <w:pPr>
              <w:pStyle w:val="8"/>
              <w:keepNext w:val="0"/>
              <w:keepLines w:val="0"/>
              <w:pageBreakBefore w:val="0"/>
              <w:widowControl/>
              <w:suppressLineNumbers w:val="0"/>
              <w:kinsoku/>
              <w:overflowPunct/>
              <w:topLinePunct w:val="0"/>
              <w:autoSpaceDE/>
              <w:autoSpaceDN/>
              <w:bidi w:val="0"/>
              <w:adjustRightInd w:val="0"/>
              <w:snapToGrid w:val="0"/>
              <w:spacing w:before="0" w:beforeAutospacing="0" w:after="0" w:afterAutospacing="0" w:line="240" w:lineRule="auto"/>
              <w:ind w:left="0" w:right="0"/>
              <w:jc w:val="center"/>
              <w:rPr>
                <w:rFonts w:hint="eastAsia" w:ascii="宋体" w:hAnsi="宋体" w:eastAsia="宋体" w:cs="宋体"/>
                <w:b w:val="0"/>
                <w:bCs w:val="0"/>
                <w:snapToGrid w:val="0"/>
                <w:color w:val="auto"/>
                <w:kern w:val="0"/>
                <w:sz w:val="21"/>
                <w:szCs w:val="21"/>
                <w:highlight w:val="none"/>
              </w:rPr>
            </w:pPr>
            <w:r>
              <w:rPr>
                <w:rFonts w:hint="eastAsia" w:ascii="宋体" w:hAnsi="宋体" w:eastAsia="宋体" w:cs="宋体"/>
                <w:b w:val="0"/>
                <w:bCs w:val="0"/>
                <w:snapToGrid w:val="0"/>
                <w:color w:val="auto"/>
                <w:kern w:val="0"/>
                <w:sz w:val="21"/>
                <w:szCs w:val="21"/>
                <w:highlight w:val="none"/>
              </w:rPr>
              <w:t>（</w:t>
            </w:r>
            <w:r>
              <w:rPr>
                <w:rFonts w:hint="eastAsia" w:ascii="宋体" w:hAnsi="宋体" w:eastAsia="宋体" w:cs="宋体"/>
                <w:b w:val="0"/>
                <w:bCs w:val="0"/>
                <w:snapToGrid w:val="0"/>
                <w:color w:val="auto"/>
                <w:kern w:val="0"/>
                <w:sz w:val="21"/>
                <w:szCs w:val="21"/>
                <w:highlight w:val="none"/>
                <w:lang w:val="en-US" w:eastAsia="zh-CN"/>
              </w:rPr>
              <w:t>5</w:t>
            </w:r>
            <w:r>
              <w:rPr>
                <w:rFonts w:hint="eastAsia" w:ascii="宋体" w:hAnsi="宋体" w:eastAsia="宋体" w:cs="宋体"/>
                <w:b w:val="0"/>
                <w:bCs w:val="0"/>
                <w:snapToGrid w:val="0"/>
                <w:color w:val="auto"/>
                <w:kern w:val="0"/>
                <w:sz w:val="21"/>
                <w:szCs w:val="21"/>
                <w:highlight w:val="none"/>
              </w:rPr>
              <w:t>分）</w:t>
            </w:r>
          </w:p>
          <w:p w14:paraId="14C542DB">
            <w:pPr>
              <w:pStyle w:val="8"/>
              <w:keepNext w:val="0"/>
              <w:keepLines w:val="0"/>
              <w:pageBreakBefore w:val="0"/>
              <w:widowControl/>
              <w:suppressLineNumbers w:val="0"/>
              <w:kinsoku/>
              <w:overflowPunct/>
              <w:topLinePunct w:val="0"/>
              <w:autoSpaceDE/>
              <w:autoSpaceDN/>
              <w:bidi w:val="0"/>
              <w:adjustRightInd w:val="0"/>
              <w:snapToGrid w:val="0"/>
              <w:spacing w:before="0" w:beforeAutospacing="0" w:after="0" w:afterAutospacing="0" w:line="240" w:lineRule="auto"/>
              <w:ind w:left="0" w:right="0"/>
              <w:jc w:val="center"/>
              <w:rPr>
                <w:rFonts w:hint="eastAsia" w:ascii="宋体" w:hAnsi="宋体" w:eastAsia="宋体" w:cs="宋体"/>
                <w:color w:val="auto"/>
                <w:sz w:val="22"/>
                <w:szCs w:val="22"/>
                <w:highlight w:val="none"/>
              </w:rPr>
            </w:pPr>
          </w:p>
        </w:tc>
        <w:tc>
          <w:tcPr>
            <w:tcW w:w="3558" w:type="dxa"/>
            <w:tcBorders>
              <w:top w:val="single" w:color="auto" w:sz="4" w:space="0"/>
              <w:left w:val="single" w:color="auto" w:sz="4" w:space="0"/>
              <w:bottom w:val="single" w:color="auto" w:sz="4" w:space="0"/>
              <w:right w:val="single" w:color="auto" w:sz="4" w:space="0"/>
              <w:tl2br w:val="nil"/>
              <w:tr2bl w:val="nil"/>
            </w:tcBorders>
            <w:vAlign w:val="center"/>
          </w:tcPr>
          <w:p w14:paraId="0AC54BD0">
            <w:pPr>
              <w:pStyle w:val="7"/>
              <w:keepNext w:val="0"/>
              <w:keepLines w:val="0"/>
              <w:pageBreakBefore w:val="0"/>
              <w:suppressLineNumbers w:val="0"/>
              <w:kinsoku/>
              <w:overflowPunct/>
              <w:topLinePunct w:val="0"/>
              <w:autoSpaceDE/>
              <w:autoSpaceDN/>
              <w:bidi w:val="0"/>
              <w:adjustRightInd w:val="0"/>
              <w:snapToGrid w:val="0"/>
              <w:spacing w:before="0" w:beforeAutospacing="0" w:after="0" w:afterAutospacing="0" w:line="240" w:lineRule="auto"/>
              <w:ind w:left="0" w:right="0"/>
              <w:rPr>
                <w:rFonts w:hint="eastAsia" w:ascii="宋体" w:hAnsi="宋体" w:eastAsia="宋体" w:cs="宋体"/>
                <w:b w:val="0"/>
                <w:bCs w:val="0"/>
                <w:strike w:val="0"/>
                <w:dstrike w:val="0"/>
                <w:snapToGrid w:val="0"/>
                <w:color w:val="auto"/>
                <w:kern w:val="0"/>
                <w:sz w:val="21"/>
                <w:szCs w:val="21"/>
                <w:highlight w:val="none"/>
              </w:rPr>
            </w:pPr>
            <w:r>
              <w:rPr>
                <w:rFonts w:hint="eastAsia" w:ascii="宋体" w:hAnsi="宋体" w:eastAsia="宋体" w:cs="宋体"/>
                <w:b w:val="0"/>
                <w:bCs w:val="0"/>
                <w:strike w:val="0"/>
                <w:dstrike w:val="0"/>
                <w:snapToGrid w:val="0"/>
                <w:color w:val="auto"/>
                <w:kern w:val="0"/>
                <w:sz w:val="21"/>
                <w:szCs w:val="21"/>
                <w:highlight w:val="none"/>
              </w:rPr>
              <w:t>企业近5年来（202</w:t>
            </w:r>
            <w:r>
              <w:rPr>
                <w:rFonts w:hint="eastAsia" w:ascii="宋体" w:hAnsi="宋体" w:eastAsia="宋体" w:cs="宋体"/>
                <w:b w:val="0"/>
                <w:bCs w:val="0"/>
                <w:strike w:val="0"/>
                <w:dstrike w:val="0"/>
                <w:snapToGrid w:val="0"/>
                <w:color w:val="auto"/>
                <w:kern w:val="0"/>
                <w:sz w:val="21"/>
                <w:szCs w:val="21"/>
                <w:highlight w:val="none"/>
                <w:lang w:val="en-US" w:eastAsia="zh-CN"/>
              </w:rPr>
              <w:t>1</w:t>
            </w:r>
            <w:r>
              <w:rPr>
                <w:rFonts w:hint="eastAsia" w:ascii="宋体" w:hAnsi="宋体" w:eastAsia="宋体" w:cs="宋体"/>
                <w:b w:val="0"/>
                <w:bCs w:val="0"/>
                <w:strike w:val="0"/>
                <w:dstrike w:val="0"/>
                <w:snapToGrid w:val="0"/>
                <w:color w:val="auto"/>
                <w:kern w:val="0"/>
                <w:sz w:val="21"/>
                <w:szCs w:val="21"/>
                <w:highlight w:val="none"/>
              </w:rPr>
              <w:t>年1月1日至今）获得房屋建筑工程类奖项情况：</w:t>
            </w:r>
          </w:p>
          <w:p w14:paraId="38C3C8A0">
            <w:pPr>
              <w:pStyle w:val="8"/>
              <w:keepNext w:val="0"/>
              <w:keepLines w:val="0"/>
              <w:pageBreakBefore w:val="0"/>
              <w:widowControl/>
              <w:suppressLineNumbers w:val="0"/>
              <w:kinsoku/>
              <w:overflowPunct/>
              <w:topLinePunct w:val="0"/>
              <w:autoSpaceDE/>
              <w:autoSpaceDN/>
              <w:bidi w:val="0"/>
              <w:adjustRightInd w:val="0"/>
              <w:snapToGrid w:val="0"/>
              <w:spacing w:before="0" w:beforeAutospacing="0" w:after="0" w:afterAutospacing="0" w:line="240" w:lineRule="auto"/>
              <w:ind w:left="0" w:right="0"/>
              <w:rPr>
                <w:rFonts w:hint="eastAsia" w:ascii="宋体" w:hAnsi="宋体" w:eastAsia="宋体" w:cs="宋体"/>
                <w:b w:val="0"/>
                <w:bCs w:val="0"/>
                <w:strike w:val="0"/>
                <w:dstrike w:val="0"/>
                <w:snapToGrid w:val="0"/>
                <w:color w:val="auto"/>
                <w:kern w:val="0"/>
                <w:sz w:val="21"/>
                <w:szCs w:val="21"/>
                <w:highlight w:val="none"/>
              </w:rPr>
            </w:pPr>
            <w:r>
              <w:rPr>
                <w:rFonts w:hint="eastAsia" w:ascii="宋体" w:hAnsi="宋体" w:eastAsia="宋体" w:cs="宋体"/>
                <w:b w:val="0"/>
                <w:bCs w:val="0"/>
                <w:strike w:val="0"/>
                <w:dstrike w:val="0"/>
                <w:snapToGrid w:val="0"/>
                <w:color w:val="auto"/>
                <w:kern w:val="0"/>
                <w:sz w:val="21"/>
                <w:szCs w:val="21"/>
                <w:highlight w:val="none"/>
              </w:rPr>
              <w:t>1.获得国家级奖项的，每个得</w:t>
            </w:r>
            <w:r>
              <w:rPr>
                <w:rFonts w:hint="eastAsia" w:ascii="宋体" w:hAnsi="宋体" w:eastAsia="宋体" w:cs="宋体"/>
                <w:b w:val="0"/>
                <w:bCs w:val="0"/>
                <w:strike w:val="0"/>
                <w:dstrike w:val="0"/>
                <w:snapToGrid w:val="0"/>
                <w:color w:val="auto"/>
                <w:kern w:val="0"/>
                <w:sz w:val="21"/>
                <w:szCs w:val="21"/>
                <w:highlight w:val="none"/>
                <w:lang w:val="en-US" w:eastAsia="zh-CN"/>
              </w:rPr>
              <w:t>3</w:t>
            </w:r>
            <w:r>
              <w:rPr>
                <w:rFonts w:hint="eastAsia" w:ascii="宋体" w:hAnsi="宋体" w:eastAsia="宋体" w:cs="宋体"/>
                <w:b w:val="0"/>
                <w:bCs w:val="0"/>
                <w:strike w:val="0"/>
                <w:dstrike w:val="0"/>
                <w:snapToGrid w:val="0"/>
                <w:color w:val="auto"/>
                <w:kern w:val="0"/>
                <w:sz w:val="21"/>
                <w:szCs w:val="21"/>
                <w:highlight w:val="none"/>
              </w:rPr>
              <w:t>分。</w:t>
            </w:r>
          </w:p>
          <w:p w14:paraId="134784BC">
            <w:pPr>
              <w:pStyle w:val="8"/>
              <w:keepNext w:val="0"/>
              <w:keepLines w:val="0"/>
              <w:pageBreakBefore w:val="0"/>
              <w:widowControl/>
              <w:suppressLineNumbers w:val="0"/>
              <w:kinsoku/>
              <w:overflowPunct/>
              <w:topLinePunct w:val="0"/>
              <w:autoSpaceDE/>
              <w:autoSpaceDN/>
              <w:bidi w:val="0"/>
              <w:adjustRightInd w:val="0"/>
              <w:snapToGrid w:val="0"/>
              <w:spacing w:before="0" w:beforeAutospacing="0" w:after="0" w:afterAutospacing="0" w:line="240" w:lineRule="auto"/>
              <w:ind w:left="0" w:right="0"/>
              <w:rPr>
                <w:rFonts w:hint="eastAsia" w:ascii="宋体" w:hAnsi="宋体" w:eastAsia="宋体" w:cs="宋体"/>
                <w:b w:val="0"/>
                <w:bCs w:val="0"/>
                <w:strike w:val="0"/>
                <w:dstrike w:val="0"/>
                <w:snapToGrid w:val="0"/>
                <w:color w:val="auto"/>
                <w:kern w:val="0"/>
                <w:sz w:val="21"/>
                <w:szCs w:val="21"/>
                <w:highlight w:val="none"/>
              </w:rPr>
            </w:pPr>
            <w:r>
              <w:rPr>
                <w:rFonts w:hint="eastAsia" w:ascii="宋体" w:hAnsi="宋体" w:eastAsia="宋体" w:cs="宋体"/>
                <w:b w:val="0"/>
                <w:bCs w:val="0"/>
                <w:strike w:val="0"/>
                <w:dstrike w:val="0"/>
                <w:snapToGrid w:val="0"/>
                <w:color w:val="auto"/>
                <w:kern w:val="0"/>
                <w:sz w:val="21"/>
                <w:szCs w:val="21"/>
                <w:highlight w:val="none"/>
              </w:rPr>
              <w:t>2.获得省级奖项的，每个得</w:t>
            </w:r>
            <w:r>
              <w:rPr>
                <w:rFonts w:hint="eastAsia" w:ascii="宋体" w:hAnsi="宋体" w:eastAsia="宋体" w:cs="宋体"/>
                <w:b w:val="0"/>
                <w:bCs w:val="0"/>
                <w:strike w:val="0"/>
                <w:dstrike w:val="0"/>
                <w:snapToGrid w:val="0"/>
                <w:color w:val="auto"/>
                <w:kern w:val="0"/>
                <w:sz w:val="21"/>
                <w:szCs w:val="21"/>
                <w:highlight w:val="none"/>
                <w:lang w:val="en-US" w:eastAsia="zh-CN"/>
              </w:rPr>
              <w:t>2</w:t>
            </w:r>
            <w:r>
              <w:rPr>
                <w:rFonts w:hint="eastAsia" w:ascii="宋体" w:hAnsi="宋体" w:eastAsia="宋体" w:cs="宋体"/>
                <w:b w:val="0"/>
                <w:bCs w:val="0"/>
                <w:strike w:val="0"/>
                <w:dstrike w:val="0"/>
                <w:snapToGrid w:val="0"/>
                <w:color w:val="auto"/>
                <w:kern w:val="0"/>
                <w:sz w:val="21"/>
                <w:szCs w:val="21"/>
                <w:highlight w:val="none"/>
              </w:rPr>
              <w:t>分。</w:t>
            </w:r>
          </w:p>
          <w:p w14:paraId="763EC3E6">
            <w:pPr>
              <w:pStyle w:val="8"/>
              <w:keepNext w:val="0"/>
              <w:keepLines w:val="0"/>
              <w:pageBreakBefore w:val="0"/>
              <w:widowControl/>
              <w:suppressLineNumbers w:val="0"/>
              <w:kinsoku/>
              <w:overflowPunct/>
              <w:topLinePunct w:val="0"/>
              <w:autoSpaceDE/>
              <w:autoSpaceDN/>
              <w:bidi w:val="0"/>
              <w:adjustRightInd w:val="0"/>
              <w:snapToGrid w:val="0"/>
              <w:spacing w:before="0" w:beforeAutospacing="0" w:after="0" w:afterAutospacing="0" w:line="240" w:lineRule="auto"/>
              <w:ind w:left="0" w:right="0"/>
              <w:rPr>
                <w:rFonts w:hint="eastAsia" w:ascii="宋体" w:hAnsi="宋体" w:eastAsia="宋体" w:cs="宋体"/>
                <w:b w:val="0"/>
                <w:bCs w:val="0"/>
                <w:strike w:val="0"/>
                <w:dstrike w:val="0"/>
                <w:snapToGrid w:val="0"/>
                <w:color w:val="auto"/>
                <w:kern w:val="0"/>
                <w:sz w:val="21"/>
                <w:szCs w:val="21"/>
                <w:highlight w:val="none"/>
              </w:rPr>
            </w:pPr>
            <w:r>
              <w:rPr>
                <w:rFonts w:hint="eastAsia" w:ascii="宋体" w:hAnsi="宋体" w:eastAsia="宋体" w:cs="宋体"/>
                <w:b w:val="0"/>
                <w:bCs w:val="0"/>
                <w:strike w:val="0"/>
                <w:dstrike w:val="0"/>
                <w:snapToGrid w:val="0"/>
                <w:color w:val="auto"/>
                <w:kern w:val="0"/>
                <w:sz w:val="21"/>
                <w:szCs w:val="21"/>
                <w:highlight w:val="none"/>
              </w:rPr>
              <w:t>3.获得</w:t>
            </w:r>
            <w:r>
              <w:rPr>
                <w:rFonts w:hint="eastAsia" w:ascii="宋体" w:hAnsi="宋体" w:eastAsia="宋体" w:cs="宋体"/>
                <w:b w:val="0"/>
                <w:bCs w:val="0"/>
                <w:strike w:val="0"/>
                <w:dstrike w:val="0"/>
                <w:snapToGrid w:val="0"/>
                <w:color w:val="auto"/>
                <w:kern w:val="0"/>
                <w:sz w:val="21"/>
                <w:szCs w:val="21"/>
                <w:highlight w:val="none"/>
                <w:lang w:eastAsia="zh-CN"/>
              </w:rPr>
              <w:t>地市级</w:t>
            </w:r>
            <w:r>
              <w:rPr>
                <w:rFonts w:hint="eastAsia" w:ascii="宋体" w:hAnsi="宋体" w:eastAsia="宋体" w:cs="宋体"/>
                <w:b w:val="0"/>
                <w:bCs w:val="0"/>
                <w:strike w:val="0"/>
                <w:dstrike w:val="0"/>
                <w:snapToGrid w:val="0"/>
                <w:color w:val="auto"/>
                <w:kern w:val="0"/>
                <w:sz w:val="21"/>
                <w:szCs w:val="21"/>
                <w:highlight w:val="none"/>
              </w:rPr>
              <w:t>奖项的，每个得</w:t>
            </w:r>
            <w:r>
              <w:rPr>
                <w:rFonts w:hint="eastAsia" w:ascii="宋体" w:hAnsi="宋体" w:eastAsia="宋体" w:cs="宋体"/>
                <w:b w:val="0"/>
                <w:bCs w:val="0"/>
                <w:strike w:val="0"/>
                <w:dstrike w:val="0"/>
                <w:snapToGrid w:val="0"/>
                <w:color w:val="auto"/>
                <w:kern w:val="0"/>
                <w:sz w:val="21"/>
                <w:szCs w:val="21"/>
                <w:highlight w:val="none"/>
                <w:lang w:val="en-US" w:eastAsia="zh-CN"/>
              </w:rPr>
              <w:t>1</w:t>
            </w:r>
            <w:r>
              <w:rPr>
                <w:rFonts w:hint="eastAsia" w:ascii="宋体" w:hAnsi="宋体" w:eastAsia="宋体" w:cs="宋体"/>
                <w:b w:val="0"/>
                <w:bCs w:val="0"/>
                <w:strike w:val="0"/>
                <w:dstrike w:val="0"/>
                <w:snapToGrid w:val="0"/>
                <w:color w:val="auto"/>
                <w:kern w:val="0"/>
                <w:sz w:val="21"/>
                <w:szCs w:val="21"/>
                <w:highlight w:val="none"/>
              </w:rPr>
              <w:t>分。</w:t>
            </w:r>
          </w:p>
          <w:p w14:paraId="5471B6A4">
            <w:pPr>
              <w:pStyle w:val="8"/>
              <w:keepNext w:val="0"/>
              <w:keepLines w:val="0"/>
              <w:pageBreakBefore w:val="0"/>
              <w:widowControl/>
              <w:suppressLineNumbers w:val="0"/>
              <w:kinsoku/>
              <w:overflowPunct/>
              <w:topLinePunct w:val="0"/>
              <w:autoSpaceDE/>
              <w:autoSpaceDN/>
              <w:bidi w:val="0"/>
              <w:adjustRightInd w:val="0"/>
              <w:snapToGrid w:val="0"/>
              <w:spacing w:before="0" w:beforeAutospacing="0" w:after="0" w:afterAutospacing="0" w:line="240" w:lineRule="auto"/>
              <w:ind w:left="0" w:right="0"/>
              <w:rPr>
                <w:rFonts w:hint="eastAsia" w:ascii="宋体" w:hAnsi="宋体" w:eastAsia="宋体" w:cs="宋体"/>
                <w:b w:val="0"/>
                <w:bCs w:val="0"/>
                <w:strike w:val="0"/>
                <w:dstrike w:val="0"/>
                <w:snapToGrid w:val="0"/>
                <w:color w:val="auto"/>
                <w:kern w:val="0"/>
                <w:sz w:val="21"/>
                <w:szCs w:val="21"/>
                <w:highlight w:val="none"/>
              </w:rPr>
            </w:pPr>
            <w:r>
              <w:rPr>
                <w:rFonts w:hint="eastAsia" w:ascii="宋体" w:hAnsi="宋体" w:eastAsia="宋体" w:cs="宋体"/>
                <w:b w:val="0"/>
                <w:bCs w:val="0"/>
                <w:strike w:val="0"/>
                <w:dstrike w:val="0"/>
                <w:snapToGrid w:val="0"/>
                <w:color w:val="auto"/>
                <w:kern w:val="0"/>
                <w:sz w:val="21"/>
                <w:szCs w:val="21"/>
                <w:highlight w:val="none"/>
              </w:rPr>
              <w:t>4.以上奖项均未获得的，不予计分。</w:t>
            </w:r>
          </w:p>
          <w:p w14:paraId="3171AA21">
            <w:pPr>
              <w:pStyle w:val="8"/>
              <w:keepNext w:val="0"/>
              <w:keepLines w:val="0"/>
              <w:pageBreakBefore w:val="0"/>
              <w:widowControl/>
              <w:suppressLineNumbers w:val="0"/>
              <w:kinsoku/>
              <w:overflowPunct/>
              <w:topLinePunct w:val="0"/>
              <w:autoSpaceDE/>
              <w:autoSpaceDN/>
              <w:bidi w:val="0"/>
              <w:adjustRightInd w:val="0"/>
              <w:snapToGrid w:val="0"/>
              <w:spacing w:before="0" w:beforeAutospacing="0" w:after="0" w:afterAutospacing="0" w:line="240" w:lineRule="auto"/>
              <w:ind w:left="0" w:right="0"/>
              <w:rPr>
                <w:rFonts w:hint="eastAsia" w:ascii="宋体" w:hAnsi="宋体" w:eastAsia="宋体" w:cs="宋体"/>
                <w:b w:val="0"/>
                <w:bCs w:val="0"/>
                <w:strike w:val="0"/>
                <w:dstrike w:val="0"/>
                <w:snapToGrid w:val="0"/>
                <w:color w:val="auto"/>
                <w:kern w:val="0"/>
                <w:sz w:val="21"/>
                <w:szCs w:val="21"/>
                <w:highlight w:val="none"/>
              </w:rPr>
            </w:pPr>
            <w:r>
              <w:rPr>
                <w:rFonts w:hint="eastAsia" w:ascii="宋体" w:hAnsi="宋体" w:eastAsia="宋体" w:cs="宋体"/>
                <w:b w:val="0"/>
                <w:bCs w:val="0"/>
                <w:strike w:val="0"/>
                <w:dstrike w:val="0"/>
                <w:snapToGrid w:val="0"/>
                <w:color w:val="auto"/>
                <w:kern w:val="0"/>
                <w:sz w:val="21"/>
                <w:szCs w:val="21"/>
                <w:highlight w:val="none"/>
              </w:rPr>
              <w:t>5.本项最高得</w:t>
            </w:r>
            <w:r>
              <w:rPr>
                <w:rFonts w:hint="eastAsia" w:ascii="宋体" w:hAnsi="宋体" w:eastAsia="宋体" w:cs="宋体"/>
                <w:b w:val="0"/>
                <w:bCs w:val="0"/>
                <w:strike w:val="0"/>
                <w:dstrike w:val="0"/>
                <w:snapToGrid w:val="0"/>
                <w:color w:val="auto"/>
                <w:kern w:val="0"/>
                <w:sz w:val="21"/>
                <w:szCs w:val="21"/>
                <w:highlight w:val="none"/>
                <w:lang w:val="en-US" w:eastAsia="zh-CN"/>
              </w:rPr>
              <w:t>5</w:t>
            </w:r>
            <w:r>
              <w:rPr>
                <w:rFonts w:hint="eastAsia" w:ascii="宋体" w:hAnsi="宋体" w:eastAsia="宋体" w:cs="宋体"/>
                <w:b w:val="0"/>
                <w:bCs w:val="0"/>
                <w:strike w:val="0"/>
                <w:dstrike w:val="0"/>
                <w:snapToGrid w:val="0"/>
                <w:color w:val="auto"/>
                <w:kern w:val="0"/>
                <w:sz w:val="21"/>
                <w:szCs w:val="21"/>
                <w:highlight w:val="none"/>
              </w:rPr>
              <w:t>分。</w:t>
            </w:r>
          </w:p>
          <w:p w14:paraId="04575E81">
            <w:pPr>
              <w:pStyle w:val="8"/>
              <w:keepNext w:val="0"/>
              <w:keepLines w:val="0"/>
              <w:pageBreakBefore w:val="0"/>
              <w:widowControl/>
              <w:suppressLineNumbers w:val="0"/>
              <w:kinsoku/>
              <w:overflowPunct/>
              <w:topLinePunct w:val="0"/>
              <w:autoSpaceDE/>
              <w:autoSpaceDN/>
              <w:bidi w:val="0"/>
              <w:adjustRightInd w:val="0"/>
              <w:snapToGrid w:val="0"/>
              <w:spacing w:before="0" w:beforeAutospacing="0" w:after="0" w:afterAutospacing="0" w:line="240" w:lineRule="auto"/>
              <w:ind w:left="0" w:right="0"/>
              <w:rPr>
                <w:rFonts w:hint="eastAsia" w:ascii="宋体" w:hAnsi="宋体" w:eastAsia="宋体" w:cs="宋体"/>
                <w:color w:val="auto"/>
                <w:sz w:val="22"/>
                <w:szCs w:val="22"/>
                <w:highlight w:val="none"/>
              </w:rPr>
            </w:pPr>
            <w:r>
              <w:rPr>
                <w:rFonts w:hint="eastAsia" w:ascii="宋体" w:hAnsi="宋体" w:eastAsia="宋体" w:cs="宋体"/>
                <w:b w:val="0"/>
                <w:bCs w:val="0"/>
                <w:strike w:val="0"/>
                <w:dstrike w:val="0"/>
                <w:snapToGrid w:val="0"/>
                <w:color w:val="auto"/>
                <w:kern w:val="0"/>
                <w:sz w:val="21"/>
                <w:szCs w:val="21"/>
                <w:highlight w:val="none"/>
              </w:rPr>
              <w:t xml:space="preserve"> </w:t>
            </w:r>
          </w:p>
        </w:tc>
        <w:tc>
          <w:tcPr>
            <w:tcW w:w="3882" w:type="dxa"/>
            <w:tcBorders>
              <w:top w:val="single" w:color="auto" w:sz="4" w:space="0"/>
              <w:left w:val="single" w:color="auto" w:sz="4" w:space="0"/>
              <w:bottom w:val="single" w:color="auto" w:sz="4" w:space="0"/>
              <w:right w:val="single" w:color="auto" w:sz="4" w:space="0"/>
              <w:tl2br w:val="nil"/>
              <w:tr2bl w:val="nil"/>
            </w:tcBorders>
            <w:vAlign w:val="center"/>
          </w:tcPr>
          <w:p w14:paraId="3733329A">
            <w:pPr>
              <w:pStyle w:val="8"/>
              <w:keepNext w:val="0"/>
              <w:keepLines w:val="0"/>
              <w:pageBreakBefore w:val="0"/>
              <w:widowControl/>
              <w:suppressLineNumbers w:val="0"/>
              <w:kinsoku/>
              <w:overflowPunct/>
              <w:topLinePunct w:val="0"/>
              <w:autoSpaceDE/>
              <w:autoSpaceDN/>
              <w:bidi w:val="0"/>
              <w:adjustRightInd w:val="0"/>
              <w:snapToGrid w:val="0"/>
              <w:spacing w:before="0" w:beforeAutospacing="0" w:after="0" w:afterAutospacing="0" w:line="240" w:lineRule="auto"/>
              <w:ind w:left="0" w:right="0"/>
              <w:rPr>
                <w:rFonts w:hint="eastAsia" w:ascii="宋体" w:hAnsi="宋体" w:eastAsia="宋体" w:cs="宋体"/>
                <w:strike w:val="0"/>
                <w:dstrike w:val="0"/>
                <w:snapToGrid w:val="0"/>
                <w:color w:val="auto"/>
                <w:kern w:val="0"/>
                <w:sz w:val="21"/>
                <w:szCs w:val="21"/>
                <w:highlight w:val="none"/>
              </w:rPr>
            </w:pPr>
            <w:r>
              <w:rPr>
                <w:rFonts w:hint="eastAsia" w:ascii="宋体" w:hAnsi="宋体" w:eastAsia="宋体" w:cs="宋体"/>
                <w:strike w:val="0"/>
                <w:dstrike w:val="0"/>
                <w:snapToGrid w:val="0"/>
                <w:color w:val="auto"/>
                <w:kern w:val="0"/>
                <w:sz w:val="21"/>
                <w:szCs w:val="21"/>
                <w:highlight w:val="none"/>
              </w:rPr>
              <w:t>1.允许投标人提交多个业绩，但同一业绩只按最高级别奖项计分一次。</w:t>
            </w:r>
          </w:p>
          <w:p w14:paraId="4893605E">
            <w:pPr>
              <w:pStyle w:val="8"/>
              <w:keepNext w:val="0"/>
              <w:keepLines w:val="0"/>
              <w:pageBreakBefore w:val="0"/>
              <w:widowControl/>
              <w:suppressLineNumbers w:val="0"/>
              <w:kinsoku/>
              <w:overflowPunct/>
              <w:topLinePunct w:val="0"/>
              <w:autoSpaceDE/>
              <w:autoSpaceDN/>
              <w:bidi w:val="0"/>
              <w:adjustRightInd w:val="0"/>
              <w:snapToGrid w:val="0"/>
              <w:spacing w:before="0" w:beforeAutospacing="0" w:after="0" w:afterAutospacing="0" w:line="240" w:lineRule="auto"/>
              <w:ind w:left="0" w:right="0"/>
              <w:rPr>
                <w:rFonts w:hint="eastAsia" w:ascii="宋体" w:hAnsi="宋体" w:eastAsia="宋体" w:cs="宋体"/>
                <w:b/>
                <w:bCs/>
                <w:strike w:val="0"/>
                <w:dstrike w:val="0"/>
                <w:snapToGrid w:val="0"/>
                <w:color w:val="auto"/>
                <w:kern w:val="0"/>
                <w:sz w:val="21"/>
                <w:szCs w:val="21"/>
                <w:highlight w:val="none"/>
              </w:rPr>
            </w:pPr>
            <w:r>
              <w:rPr>
                <w:rFonts w:hint="eastAsia" w:ascii="宋体" w:hAnsi="宋体" w:eastAsia="宋体" w:cs="宋体"/>
                <w:strike w:val="0"/>
                <w:dstrike w:val="0"/>
                <w:snapToGrid w:val="0"/>
                <w:color w:val="auto"/>
                <w:kern w:val="0"/>
                <w:sz w:val="21"/>
                <w:szCs w:val="21"/>
                <w:highlight w:val="none"/>
              </w:rPr>
              <w:t>2.需附有关奖项证明彩色扫描件</w:t>
            </w:r>
            <w:r>
              <w:rPr>
                <w:rFonts w:hint="eastAsia" w:ascii="宋体" w:hAnsi="宋体" w:eastAsia="宋体" w:cs="宋体"/>
                <w:strike w:val="0"/>
                <w:dstrike w:val="0"/>
                <w:snapToGrid w:val="0"/>
                <w:color w:val="auto"/>
                <w:kern w:val="0"/>
                <w:sz w:val="21"/>
                <w:szCs w:val="21"/>
                <w:highlight w:val="none"/>
                <w:lang w:eastAsia="zh-CN"/>
              </w:rPr>
              <w:t>。</w:t>
            </w:r>
            <w:r>
              <w:rPr>
                <w:rFonts w:hint="eastAsia" w:ascii="宋体" w:hAnsi="宋体" w:eastAsia="宋体" w:cs="宋体"/>
                <w:b/>
                <w:bCs/>
                <w:color w:val="auto"/>
                <w:sz w:val="21"/>
                <w:szCs w:val="21"/>
                <w:highlight w:val="none"/>
                <w:lang w:val="en-US" w:eastAsia="zh-CN"/>
              </w:rPr>
              <w:t>组成联合体时由联合体牵头人提交。</w:t>
            </w:r>
          </w:p>
          <w:p w14:paraId="4111A045">
            <w:pPr>
              <w:pStyle w:val="8"/>
              <w:keepNext w:val="0"/>
              <w:keepLines w:val="0"/>
              <w:pageBreakBefore w:val="0"/>
              <w:widowControl/>
              <w:suppressLineNumbers w:val="0"/>
              <w:kinsoku/>
              <w:overflowPunct/>
              <w:topLinePunct w:val="0"/>
              <w:autoSpaceDE/>
              <w:autoSpaceDN/>
              <w:bidi w:val="0"/>
              <w:adjustRightInd w:val="0"/>
              <w:snapToGrid w:val="0"/>
              <w:spacing w:before="0" w:beforeAutospacing="0" w:after="0" w:afterAutospacing="0" w:line="240" w:lineRule="auto"/>
              <w:ind w:left="0" w:right="0"/>
              <w:rPr>
                <w:rFonts w:hint="eastAsia" w:ascii="宋体" w:hAnsi="宋体" w:eastAsia="宋体" w:cs="宋体"/>
                <w:strike w:val="0"/>
                <w:dstrike w:val="0"/>
                <w:snapToGrid w:val="0"/>
                <w:color w:val="auto"/>
                <w:kern w:val="0"/>
                <w:sz w:val="21"/>
                <w:szCs w:val="21"/>
                <w:highlight w:val="none"/>
              </w:rPr>
            </w:pPr>
            <w:r>
              <w:rPr>
                <w:rFonts w:hint="eastAsia" w:ascii="宋体" w:hAnsi="宋体" w:eastAsia="宋体" w:cs="宋体"/>
                <w:strike w:val="0"/>
                <w:dstrike w:val="0"/>
                <w:snapToGrid w:val="0"/>
                <w:color w:val="auto"/>
                <w:kern w:val="0"/>
                <w:sz w:val="21"/>
                <w:szCs w:val="21"/>
                <w:highlight w:val="none"/>
              </w:rPr>
              <w:t>3.颁发机构限定以下范围：</w:t>
            </w:r>
          </w:p>
          <w:p w14:paraId="1EB69BA2">
            <w:pPr>
              <w:pStyle w:val="8"/>
              <w:keepNext w:val="0"/>
              <w:keepLines w:val="0"/>
              <w:pageBreakBefore w:val="0"/>
              <w:widowControl/>
              <w:suppressLineNumbers w:val="0"/>
              <w:kinsoku/>
              <w:overflowPunct/>
              <w:topLinePunct w:val="0"/>
              <w:autoSpaceDE/>
              <w:autoSpaceDN/>
              <w:bidi w:val="0"/>
              <w:adjustRightInd w:val="0"/>
              <w:snapToGrid w:val="0"/>
              <w:spacing w:before="0" w:beforeAutospacing="0" w:after="0" w:afterAutospacing="0" w:line="240" w:lineRule="auto"/>
              <w:ind w:left="0" w:right="0"/>
              <w:rPr>
                <w:rFonts w:hint="eastAsia" w:ascii="宋体" w:hAnsi="宋体" w:eastAsia="宋体" w:cs="宋体"/>
                <w:strike w:val="0"/>
                <w:dstrike w:val="0"/>
                <w:snapToGrid w:val="0"/>
                <w:color w:val="auto"/>
                <w:kern w:val="0"/>
                <w:sz w:val="21"/>
                <w:szCs w:val="21"/>
                <w:highlight w:val="none"/>
                <w:u w:val="single"/>
                <w:lang w:val="en-US" w:eastAsia="zh-CN"/>
              </w:rPr>
            </w:pPr>
            <w:r>
              <w:rPr>
                <w:rFonts w:hint="eastAsia" w:ascii="宋体" w:hAnsi="宋体" w:eastAsia="宋体" w:cs="宋体"/>
                <w:strike w:val="0"/>
                <w:dstrike w:val="0"/>
                <w:snapToGrid w:val="0"/>
                <w:color w:val="auto"/>
                <w:kern w:val="0"/>
                <w:sz w:val="21"/>
                <w:szCs w:val="21"/>
                <w:highlight w:val="none"/>
              </w:rPr>
              <w:t>①国家级奖项：国务院、住建部、国家建筑行业协会（相关协会需经民政部门备案</w:t>
            </w:r>
            <w:r>
              <w:rPr>
                <w:rFonts w:hint="eastAsia" w:ascii="宋体" w:hAnsi="宋体" w:eastAsia="宋体" w:cs="宋体"/>
                <w:strike w:val="0"/>
                <w:dstrike w:val="0"/>
                <w:snapToGrid w:val="0"/>
                <w:color w:val="auto"/>
                <w:kern w:val="0"/>
                <w:sz w:val="21"/>
                <w:szCs w:val="21"/>
                <w:highlight w:val="none"/>
                <w:lang w:eastAsia="zh-CN"/>
              </w:rPr>
              <w:t>，</w:t>
            </w:r>
            <w:r>
              <w:rPr>
                <w:rFonts w:hint="eastAsia" w:ascii="宋体" w:hAnsi="宋体" w:eastAsia="宋体" w:cs="宋体"/>
                <w:strike w:val="0"/>
                <w:dstrike w:val="0"/>
                <w:snapToGrid w:val="0"/>
                <w:color w:val="auto"/>
                <w:kern w:val="0"/>
                <w:sz w:val="21"/>
                <w:szCs w:val="21"/>
                <w:highlight w:val="none"/>
                <w:lang w:val="en-US" w:eastAsia="zh-CN"/>
              </w:rPr>
              <w:t>提供其在国家社会组织网站的登记信息的查询结果证明文件</w:t>
            </w:r>
            <w:r>
              <w:rPr>
                <w:rFonts w:hint="eastAsia" w:ascii="宋体" w:hAnsi="宋体" w:eastAsia="宋体" w:cs="宋体"/>
                <w:strike w:val="0"/>
                <w:dstrike w:val="0"/>
                <w:snapToGrid w:val="0"/>
                <w:color w:val="auto"/>
                <w:kern w:val="0"/>
                <w:sz w:val="21"/>
                <w:szCs w:val="21"/>
                <w:highlight w:val="none"/>
              </w:rPr>
              <w:t>）</w:t>
            </w:r>
            <w:r>
              <w:rPr>
                <w:rFonts w:hint="eastAsia" w:ascii="宋体" w:hAnsi="宋体" w:eastAsia="宋体" w:cs="宋体"/>
                <w:strike w:val="0"/>
                <w:dstrike w:val="0"/>
                <w:snapToGrid w:val="0"/>
                <w:color w:val="auto"/>
                <w:kern w:val="0"/>
                <w:sz w:val="21"/>
                <w:szCs w:val="21"/>
                <w:highlight w:val="none"/>
                <w:lang w:eastAsia="zh-CN"/>
              </w:rPr>
              <w:t>。</w:t>
            </w:r>
          </w:p>
          <w:p w14:paraId="77427D31">
            <w:pPr>
              <w:pStyle w:val="8"/>
              <w:keepNext w:val="0"/>
              <w:keepLines w:val="0"/>
              <w:pageBreakBefore w:val="0"/>
              <w:widowControl/>
              <w:suppressLineNumbers w:val="0"/>
              <w:kinsoku/>
              <w:overflowPunct/>
              <w:topLinePunct w:val="0"/>
              <w:autoSpaceDE/>
              <w:autoSpaceDN/>
              <w:bidi w:val="0"/>
              <w:adjustRightInd w:val="0"/>
              <w:snapToGrid w:val="0"/>
              <w:spacing w:before="0" w:beforeAutospacing="0" w:after="0" w:afterAutospacing="0" w:line="240" w:lineRule="auto"/>
              <w:ind w:left="0" w:right="0"/>
              <w:rPr>
                <w:rFonts w:hint="eastAsia" w:ascii="宋体" w:hAnsi="宋体" w:eastAsia="宋体" w:cs="宋体"/>
                <w:strike w:val="0"/>
                <w:dstrike w:val="0"/>
                <w:snapToGrid w:val="0"/>
                <w:color w:val="auto"/>
                <w:kern w:val="0"/>
                <w:sz w:val="21"/>
                <w:szCs w:val="21"/>
                <w:highlight w:val="none"/>
                <w:lang w:eastAsia="zh-CN"/>
              </w:rPr>
            </w:pPr>
            <w:r>
              <w:rPr>
                <w:rFonts w:hint="eastAsia" w:ascii="宋体" w:hAnsi="宋体" w:eastAsia="宋体" w:cs="宋体"/>
                <w:strike w:val="0"/>
                <w:dstrike w:val="0"/>
                <w:snapToGrid w:val="0"/>
                <w:color w:val="auto"/>
                <w:kern w:val="0"/>
                <w:sz w:val="21"/>
                <w:szCs w:val="21"/>
                <w:highlight w:val="none"/>
              </w:rPr>
              <w:t>②省级奖项：省级人民政府、省级住建部门、省级建筑行业协会（相关协会需经民政部门备案</w:t>
            </w:r>
            <w:r>
              <w:rPr>
                <w:rFonts w:hint="eastAsia" w:ascii="宋体" w:hAnsi="宋体" w:eastAsia="宋体" w:cs="宋体"/>
                <w:strike w:val="0"/>
                <w:dstrike w:val="0"/>
                <w:snapToGrid w:val="0"/>
                <w:color w:val="auto"/>
                <w:kern w:val="0"/>
                <w:sz w:val="21"/>
                <w:szCs w:val="21"/>
                <w:highlight w:val="none"/>
                <w:lang w:eastAsia="zh-CN"/>
              </w:rPr>
              <w:t>，</w:t>
            </w:r>
            <w:r>
              <w:rPr>
                <w:rFonts w:hint="eastAsia" w:ascii="宋体" w:hAnsi="宋体" w:eastAsia="宋体" w:cs="宋体"/>
                <w:strike w:val="0"/>
                <w:dstrike w:val="0"/>
                <w:snapToGrid w:val="0"/>
                <w:color w:val="auto"/>
                <w:kern w:val="0"/>
                <w:sz w:val="21"/>
                <w:szCs w:val="21"/>
                <w:highlight w:val="none"/>
                <w:lang w:val="en-US" w:eastAsia="zh-CN"/>
              </w:rPr>
              <w:t>提供其在国家社会组织网站的登记信息的查询结果证明文件</w:t>
            </w:r>
            <w:r>
              <w:rPr>
                <w:rFonts w:hint="eastAsia" w:ascii="宋体" w:hAnsi="宋体" w:eastAsia="宋体" w:cs="宋体"/>
                <w:strike w:val="0"/>
                <w:dstrike w:val="0"/>
                <w:snapToGrid w:val="0"/>
                <w:color w:val="auto"/>
                <w:kern w:val="0"/>
                <w:sz w:val="21"/>
                <w:szCs w:val="21"/>
                <w:highlight w:val="none"/>
              </w:rPr>
              <w:t>）</w:t>
            </w:r>
            <w:r>
              <w:rPr>
                <w:rFonts w:hint="eastAsia" w:ascii="宋体" w:hAnsi="宋体" w:eastAsia="宋体" w:cs="宋体"/>
                <w:strike w:val="0"/>
                <w:dstrike w:val="0"/>
                <w:snapToGrid w:val="0"/>
                <w:color w:val="auto"/>
                <w:kern w:val="0"/>
                <w:sz w:val="21"/>
                <w:szCs w:val="21"/>
                <w:highlight w:val="none"/>
                <w:lang w:eastAsia="zh-CN"/>
              </w:rPr>
              <w:t>。</w:t>
            </w:r>
          </w:p>
          <w:p w14:paraId="6C317FDB">
            <w:pPr>
              <w:pStyle w:val="8"/>
              <w:keepNext w:val="0"/>
              <w:keepLines w:val="0"/>
              <w:pageBreakBefore w:val="0"/>
              <w:widowControl/>
              <w:suppressLineNumbers w:val="0"/>
              <w:kinsoku/>
              <w:overflowPunct/>
              <w:topLinePunct w:val="0"/>
              <w:autoSpaceDE/>
              <w:autoSpaceDN/>
              <w:bidi w:val="0"/>
              <w:adjustRightInd w:val="0"/>
              <w:snapToGrid w:val="0"/>
              <w:spacing w:before="0" w:beforeAutospacing="0" w:after="0" w:afterAutospacing="0" w:line="240" w:lineRule="auto"/>
              <w:ind w:left="0" w:right="0"/>
              <w:rPr>
                <w:rFonts w:hint="eastAsia" w:ascii="宋体" w:hAnsi="宋体" w:eastAsia="宋体" w:cs="宋体"/>
                <w:strike w:val="0"/>
                <w:dstrike w:val="0"/>
                <w:snapToGrid w:val="0"/>
                <w:color w:val="auto"/>
                <w:kern w:val="0"/>
                <w:sz w:val="21"/>
                <w:szCs w:val="21"/>
                <w:highlight w:val="none"/>
                <w:u w:val="single"/>
                <w:lang w:eastAsia="zh-CN"/>
              </w:rPr>
            </w:pPr>
            <w:r>
              <w:rPr>
                <w:rFonts w:hint="eastAsia" w:ascii="宋体" w:hAnsi="宋体" w:eastAsia="宋体" w:cs="宋体"/>
                <w:strike w:val="0"/>
                <w:dstrike w:val="0"/>
                <w:snapToGrid w:val="0"/>
                <w:color w:val="auto"/>
                <w:kern w:val="0"/>
                <w:sz w:val="21"/>
                <w:szCs w:val="21"/>
                <w:highlight w:val="none"/>
              </w:rPr>
              <w:t>③</w:t>
            </w:r>
            <w:r>
              <w:rPr>
                <w:rFonts w:hint="eastAsia" w:ascii="宋体" w:hAnsi="宋体" w:eastAsia="宋体" w:cs="宋体"/>
                <w:strike w:val="0"/>
                <w:dstrike w:val="0"/>
                <w:snapToGrid w:val="0"/>
                <w:color w:val="auto"/>
                <w:kern w:val="0"/>
                <w:sz w:val="21"/>
                <w:szCs w:val="21"/>
                <w:highlight w:val="none"/>
                <w:lang w:eastAsia="zh-CN"/>
              </w:rPr>
              <w:t>地市级</w:t>
            </w:r>
            <w:r>
              <w:rPr>
                <w:rFonts w:hint="eastAsia" w:ascii="宋体" w:hAnsi="宋体" w:eastAsia="宋体" w:cs="宋体"/>
                <w:strike w:val="0"/>
                <w:dstrike w:val="0"/>
                <w:snapToGrid w:val="0"/>
                <w:color w:val="auto"/>
                <w:kern w:val="0"/>
                <w:sz w:val="21"/>
                <w:szCs w:val="21"/>
                <w:highlight w:val="none"/>
              </w:rPr>
              <w:t>奖项：</w:t>
            </w:r>
            <w:r>
              <w:rPr>
                <w:rFonts w:hint="eastAsia" w:ascii="宋体" w:hAnsi="宋体" w:eastAsia="宋体" w:cs="宋体"/>
                <w:strike w:val="0"/>
                <w:dstrike w:val="0"/>
                <w:snapToGrid w:val="0"/>
                <w:color w:val="auto"/>
                <w:kern w:val="0"/>
                <w:sz w:val="21"/>
                <w:szCs w:val="21"/>
                <w:highlight w:val="none"/>
                <w:lang w:eastAsia="zh-CN"/>
              </w:rPr>
              <w:t>地市级</w:t>
            </w:r>
            <w:r>
              <w:rPr>
                <w:rFonts w:hint="eastAsia" w:ascii="宋体" w:hAnsi="宋体" w:eastAsia="宋体" w:cs="宋体"/>
                <w:strike w:val="0"/>
                <w:dstrike w:val="0"/>
                <w:snapToGrid w:val="0"/>
                <w:color w:val="auto"/>
                <w:kern w:val="0"/>
                <w:sz w:val="21"/>
                <w:szCs w:val="21"/>
                <w:highlight w:val="none"/>
              </w:rPr>
              <w:t>人民政府、</w:t>
            </w:r>
            <w:r>
              <w:rPr>
                <w:rFonts w:hint="eastAsia" w:ascii="宋体" w:hAnsi="宋体" w:eastAsia="宋体" w:cs="宋体"/>
                <w:strike w:val="0"/>
                <w:dstrike w:val="0"/>
                <w:snapToGrid w:val="0"/>
                <w:color w:val="auto"/>
                <w:kern w:val="0"/>
                <w:sz w:val="21"/>
                <w:szCs w:val="21"/>
                <w:highlight w:val="none"/>
                <w:lang w:eastAsia="zh-CN"/>
              </w:rPr>
              <w:t>地市级</w:t>
            </w:r>
            <w:r>
              <w:rPr>
                <w:rFonts w:hint="eastAsia" w:ascii="宋体" w:hAnsi="宋体" w:eastAsia="宋体" w:cs="宋体"/>
                <w:strike w:val="0"/>
                <w:dstrike w:val="0"/>
                <w:snapToGrid w:val="0"/>
                <w:color w:val="auto"/>
                <w:kern w:val="0"/>
                <w:sz w:val="21"/>
                <w:szCs w:val="21"/>
                <w:highlight w:val="none"/>
              </w:rPr>
              <w:t>住建部门、</w:t>
            </w:r>
            <w:r>
              <w:rPr>
                <w:rFonts w:hint="eastAsia" w:ascii="宋体" w:hAnsi="宋体" w:eastAsia="宋体" w:cs="宋体"/>
                <w:strike w:val="0"/>
                <w:dstrike w:val="0"/>
                <w:snapToGrid w:val="0"/>
                <w:color w:val="auto"/>
                <w:kern w:val="0"/>
                <w:sz w:val="21"/>
                <w:szCs w:val="21"/>
                <w:highlight w:val="none"/>
                <w:lang w:eastAsia="zh-CN"/>
              </w:rPr>
              <w:t>地市级</w:t>
            </w:r>
            <w:r>
              <w:rPr>
                <w:rFonts w:hint="eastAsia" w:ascii="宋体" w:hAnsi="宋体" w:eastAsia="宋体" w:cs="宋体"/>
                <w:strike w:val="0"/>
                <w:dstrike w:val="0"/>
                <w:snapToGrid w:val="0"/>
                <w:color w:val="auto"/>
                <w:kern w:val="0"/>
                <w:sz w:val="21"/>
                <w:szCs w:val="21"/>
                <w:highlight w:val="none"/>
              </w:rPr>
              <w:t>建筑行业协会（相关协会需经民政部门备案</w:t>
            </w:r>
            <w:r>
              <w:rPr>
                <w:rFonts w:hint="eastAsia" w:ascii="宋体" w:hAnsi="宋体" w:eastAsia="宋体" w:cs="宋体"/>
                <w:strike w:val="0"/>
                <w:dstrike w:val="0"/>
                <w:snapToGrid w:val="0"/>
                <w:color w:val="auto"/>
                <w:kern w:val="0"/>
                <w:sz w:val="21"/>
                <w:szCs w:val="21"/>
                <w:highlight w:val="none"/>
                <w:lang w:eastAsia="zh-CN"/>
              </w:rPr>
              <w:t>，</w:t>
            </w:r>
            <w:r>
              <w:rPr>
                <w:rFonts w:hint="eastAsia" w:ascii="宋体" w:hAnsi="宋体" w:eastAsia="宋体" w:cs="宋体"/>
                <w:strike w:val="0"/>
                <w:dstrike w:val="0"/>
                <w:snapToGrid w:val="0"/>
                <w:color w:val="auto"/>
                <w:kern w:val="0"/>
                <w:sz w:val="21"/>
                <w:szCs w:val="21"/>
                <w:highlight w:val="none"/>
                <w:lang w:val="en-US" w:eastAsia="zh-CN"/>
              </w:rPr>
              <w:t>提供其在国家社会组织网站的登记信息的查询结果证明文件</w:t>
            </w:r>
            <w:r>
              <w:rPr>
                <w:rFonts w:hint="eastAsia" w:ascii="宋体" w:hAnsi="宋体" w:eastAsia="宋体" w:cs="宋体"/>
                <w:strike w:val="0"/>
                <w:dstrike w:val="0"/>
                <w:snapToGrid w:val="0"/>
                <w:color w:val="auto"/>
                <w:kern w:val="0"/>
                <w:sz w:val="21"/>
                <w:szCs w:val="21"/>
                <w:highlight w:val="none"/>
              </w:rPr>
              <w:t>）</w:t>
            </w:r>
            <w:r>
              <w:rPr>
                <w:rFonts w:hint="eastAsia" w:ascii="宋体" w:hAnsi="宋体" w:eastAsia="宋体" w:cs="宋体"/>
                <w:strike w:val="0"/>
                <w:dstrike w:val="0"/>
                <w:snapToGrid w:val="0"/>
                <w:color w:val="auto"/>
                <w:kern w:val="0"/>
                <w:sz w:val="21"/>
                <w:szCs w:val="21"/>
                <w:highlight w:val="none"/>
                <w:lang w:eastAsia="zh-CN"/>
              </w:rPr>
              <w:t>。</w:t>
            </w:r>
          </w:p>
          <w:p w14:paraId="74333F56">
            <w:pPr>
              <w:pStyle w:val="8"/>
              <w:keepNext w:val="0"/>
              <w:keepLines w:val="0"/>
              <w:pageBreakBefore w:val="0"/>
              <w:widowControl/>
              <w:suppressLineNumbers w:val="0"/>
              <w:kinsoku/>
              <w:overflowPunct/>
              <w:topLinePunct w:val="0"/>
              <w:autoSpaceDE/>
              <w:autoSpaceDN/>
              <w:bidi w:val="0"/>
              <w:adjustRightInd w:val="0"/>
              <w:snapToGrid w:val="0"/>
              <w:spacing w:before="0" w:beforeAutospacing="0" w:after="0" w:afterAutospacing="0" w:line="240" w:lineRule="auto"/>
              <w:ind w:left="0" w:right="0"/>
              <w:rPr>
                <w:rFonts w:hint="eastAsia" w:ascii="宋体" w:hAnsi="宋体" w:eastAsia="宋体" w:cs="宋体"/>
                <w:strike w:val="0"/>
                <w:dstrike w:val="0"/>
                <w:snapToGrid w:val="0"/>
                <w:color w:val="auto"/>
                <w:kern w:val="0"/>
                <w:sz w:val="21"/>
                <w:szCs w:val="21"/>
                <w:highlight w:val="none"/>
              </w:rPr>
            </w:pPr>
            <w:r>
              <w:rPr>
                <w:rFonts w:hint="eastAsia" w:ascii="宋体" w:hAnsi="宋体" w:eastAsia="宋体" w:cs="宋体"/>
                <w:strike w:val="0"/>
                <w:dstrike w:val="0"/>
                <w:snapToGrid w:val="0"/>
                <w:color w:val="auto"/>
                <w:kern w:val="0"/>
                <w:sz w:val="21"/>
                <w:szCs w:val="21"/>
                <w:highlight w:val="none"/>
              </w:rPr>
              <w:t>5.获奖时间以奖项证明的落款日期为准。</w:t>
            </w:r>
          </w:p>
          <w:p w14:paraId="31EE5426">
            <w:pPr>
              <w:pStyle w:val="8"/>
              <w:keepNext w:val="0"/>
              <w:keepLines w:val="0"/>
              <w:pageBreakBefore w:val="0"/>
              <w:widowControl/>
              <w:suppressLineNumbers w:val="0"/>
              <w:kinsoku/>
              <w:overflowPunct/>
              <w:topLinePunct w:val="0"/>
              <w:autoSpaceDE/>
              <w:autoSpaceDN/>
              <w:bidi w:val="0"/>
              <w:adjustRightInd w:val="0"/>
              <w:snapToGrid w:val="0"/>
              <w:spacing w:before="0" w:beforeAutospacing="0" w:after="0" w:afterAutospacing="0" w:line="240" w:lineRule="auto"/>
              <w:ind w:left="0" w:right="0"/>
              <w:rPr>
                <w:rFonts w:hint="eastAsia" w:ascii="宋体" w:hAnsi="宋体" w:eastAsia="宋体" w:cs="宋体"/>
                <w:strike w:val="0"/>
                <w:dstrike w:val="0"/>
                <w:snapToGrid w:val="0"/>
                <w:color w:val="auto"/>
                <w:kern w:val="0"/>
                <w:sz w:val="21"/>
                <w:szCs w:val="21"/>
                <w:highlight w:val="none"/>
              </w:rPr>
            </w:pPr>
            <w:r>
              <w:rPr>
                <w:rFonts w:hint="eastAsia" w:ascii="宋体" w:hAnsi="宋体" w:eastAsia="宋体" w:cs="宋体"/>
                <w:strike w:val="0"/>
                <w:dstrike w:val="0"/>
                <w:snapToGrid w:val="0"/>
                <w:color w:val="auto"/>
                <w:kern w:val="0"/>
                <w:sz w:val="21"/>
                <w:szCs w:val="21"/>
                <w:highlight w:val="none"/>
              </w:rPr>
              <w:t>6.任一奖项有以下情形之一的，该奖项视为无效，不予计分：</w:t>
            </w:r>
          </w:p>
          <w:p w14:paraId="7FF5D821">
            <w:pPr>
              <w:pStyle w:val="8"/>
              <w:keepNext w:val="0"/>
              <w:keepLines w:val="0"/>
              <w:pageBreakBefore w:val="0"/>
              <w:widowControl/>
              <w:suppressLineNumbers w:val="0"/>
              <w:kinsoku/>
              <w:overflowPunct/>
              <w:topLinePunct w:val="0"/>
              <w:autoSpaceDE/>
              <w:autoSpaceDN/>
              <w:bidi w:val="0"/>
              <w:adjustRightInd w:val="0"/>
              <w:snapToGrid w:val="0"/>
              <w:spacing w:before="0" w:beforeAutospacing="0" w:after="0" w:afterAutospacing="0" w:line="240" w:lineRule="auto"/>
              <w:ind w:left="0" w:right="0"/>
              <w:rPr>
                <w:rFonts w:hint="eastAsia" w:ascii="宋体" w:hAnsi="宋体" w:eastAsia="宋体" w:cs="宋体"/>
                <w:strike w:val="0"/>
                <w:dstrike w:val="0"/>
                <w:snapToGrid w:val="0"/>
                <w:color w:val="auto"/>
                <w:kern w:val="0"/>
                <w:sz w:val="21"/>
                <w:szCs w:val="21"/>
                <w:highlight w:val="none"/>
              </w:rPr>
            </w:pPr>
            <w:r>
              <w:rPr>
                <w:rFonts w:hint="eastAsia" w:ascii="宋体" w:hAnsi="宋体" w:eastAsia="宋体" w:cs="宋体"/>
                <w:strike w:val="0"/>
                <w:dstrike w:val="0"/>
                <w:snapToGrid w:val="0"/>
                <w:color w:val="auto"/>
                <w:kern w:val="0"/>
                <w:sz w:val="21"/>
                <w:szCs w:val="21"/>
                <w:highlight w:val="none"/>
              </w:rPr>
              <w:t>①奖项不属于指定类别的；</w:t>
            </w:r>
          </w:p>
          <w:p w14:paraId="472DBAD0">
            <w:pPr>
              <w:pStyle w:val="8"/>
              <w:keepNext w:val="0"/>
              <w:keepLines w:val="0"/>
              <w:pageBreakBefore w:val="0"/>
              <w:widowControl/>
              <w:suppressLineNumbers w:val="0"/>
              <w:kinsoku/>
              <w:overflowPunct/>
              <w:topLinePunct w:val="0"/>
              <w:autoSpaceDE/>
              <w:autoSpaceDN/>
              <w:bidi w:val="0"/>
              <w:adjustRightInd w:val="0"/>
              <w:snapToGrid w:val="0"/>
              <w:spacing w:before="0" w:beforeAutospacing="0" w:after="0" w:afterAutospacing="0" w:line="240" w:lineRule="auto"/>
              <w:ind w:left="0" w:right="0"/>
              <w:rPr>
                <w:rFonts w:hint="eastAsia" w:ascii="宋体" w:hAnsi="宋体" w:eastAsia="宋体" w:cs="宋体"/>
                <w:strike w:val="0"/>
                <w:dstrike w:val="0"/>
                <w:snapToGrid w:val="0"/>
                <w:color w:val="auto"/>
                <w:kern w:val="0"/>
                <w:sz w:val="21"/>
                <w:szCs w:val="21"/>
                <w:highlight w:val="none"/>
              </w:rPr>
            </w:pPr>
            <w:r>
              <w:rPr>
                <w:rFonts w:hint="eastAsia" w:ascii="宋体" w:hAnsi="宋体" w:eastAsia="宋体" w:cs="宋体"/>
                <w:strike w:val="0"/>
                <w:dstrike w:val="0"/>
                <w:snapToGrid w:val="0"/>
                <w:color w:val="auto"/>
                <w:kern w:val="0"/>
                <w:sz w:val="21"/>
                <w:szCs w:val="21"/>
                <w:highlight w:val="none"/>
              </w:rPr>
              <w:t>②颁发机构不符合要求的；</w:t>
            </w:r>
          </w:p>
          <w:p w14:paraId="66233C29">
            <w:pPr>
              <w:keepNext w:val="0"/>
              <w:keepLines w:val="0"/>
              <w:pageBreakBefore w:val="0"/>
              <w:suppressLineNumbers w:val="0"/>
              <w:kinsoku/>
              <w:overflowPunct/>
              <w:topLinePunct w:val="0"/>
              <w:autoSpaceDE/>
              <w:autoSpaceDN/>
              <w:bidi w:val="0"/>
              <w:adjustRightInd w:val="0"/>
              <w:snapToGrid w:val="0"/>
              <w:spacing w:before="0" w:beforeAutospacing="0" w:after="0" w:afterAutospacing="0" w:line="240" w:lineRule="auto"/>
              <w:ind w:left="0" w:right="0"/>
              <w:rPr>
                <w:rFonts w:hint="eastAsia" w:ascii="宋体" w:hAnsi="宋体" w:eastAsia="宋体" w:cs="宋体"/>
                <w:strike w:val="0"/>
                <w:dstrike w:val="0"/>
                <w:snapToGrid w:val="0"/>
                <w:color w:val="auto"/>
                <w:kern w:val="0"/>
                <w:sz w:val="21"/>
                <w:szCs w:val="21"/>
                <w:highlight w:val="none"/>
              </w:rPr>
            </w:pPr>
            <w:r>
              <w:rPr>
                <w:rFonts w:hint="eastAsia" w:ascii="宋体" w:hAnsi="宋体" w:eastAsia="宋体" w:cs="宋体"/>
                <w:strike w:val="0"/>
                <w:dstrike w:val="0"/>
                <w:snapToGrid w:val="0"/>
                <w:color w:val="auto"/>
                <w:kern w:val="0"/>
                <w:sz w:val="21"/>
                <w:szCs w:val="21"/>
                <w:highlight w:val="none"/>
              </w:rPr>
              <w:t>③获奖时间不符合要求的。</w:t>
            </w:r>
          </w:p>
          <w:p w14:paraId="6BC8453C">
            <w:pPr>
              <w:pStyle w:val="8"/>
              <w:keepNext w:val="0"/>
              <w:keepLines w:val="0"/>
              <w:pageBreakBefore w:val="0"/>
              <w:widowControl/>
              <w:suppressLineNumbers w:val="0"/>
              <w:kinsoku/>
              <w:overflowPunct/>
              <w:topLinePunct w:val="0"/>
              <w:autoSpaceDE/>
              <w:autoSpaceDN/>
              <w:bidi w:val="0"/>
              <w:adjustRightInd w:val="0"/>
              <w:snapToGrid w:val="0"/>
              <w:spacing w:before="0" w:beforeAutospacing="0" w:after="0" w:afterAutospacing="0" w:line="240" w:lineRule="auto"/>
              <w:ind w:left="0" w:right="0"/>
              <w:rPr>
                <w:rFonts w:hint="eastAsia" w:ascii="宋体" w:hAnsi="宋体" w:eastAsia="宋体" w:cs="宋体"/>
                <w:b/>
                <w:color w:val="auto"/>
                <w:sz w:val="22"/>
                <w:szCs w:val="22"/>
                <w:highlight w:val="none"/>
              </w:rPr>
            </w:pPr>
            <w:r>
              <w:rPr>
                <w:rFonts w:hint="eastAsia" w:ascii="宋体" w:hAnsi="宋体" w:eastAsia="宋体" w:cs="宋体"/>
                <w:b/>
                <w:bCs/>
                <w:strike w:val="0"/>
                <w:dstrike w:val="0"/>
                <w:snapToGrid w:val="0"/>
                <w:color w:val="auto"/>
                <w:kern w:val="0"/>
                <w:sz w:val="21"/>
                <w:szCs w:val="21"/>
                <w:highlight w:val="none"/>
              </w:rPr>
              <w:t>说明：以上所称“要求”均指本表评分标准及备注的要求，下同。</w:t>
            </w:r>
          </w:p>
        </w:tc>
      </w:tr>
      <w:tr w14:paraId="1E17EC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51" w:hRule="atLeast"/>
          <w:jc w:val="center"/>
        </w:trPr>
        <w:tc>
          <w:tcPr>
            <w:tcW w:w="1023" w:type="dxa"/>
            <w:vMerge w:val="continue"/>
            <w:tcBorders>
              <w:top w:val="single" w:color="auto" w:sz="4" w:space="0"/>
              <w:left w:val="single" w:color="auto" w:sz="4" w:space="0"/>
              <w:bottom w:val="single" w:color="auto" w:sz="4" w:space="0"/>
              <w:right w:val="single" w:color="auto" w:sz="4" w:space="0"/>
              <w:tl2br w:val="nil"/>
              <w:tr2bl w:val="nil"/>
            </w:tcBorders>
            <w:vAlign w:val="center"/>
          </w:tcPr>
          <w:p w14:paraId="317B275E">
            <w:pPr>
              <w:keepNext w:val="0"/>
              <w:keepLines w:val="0"/>
              <w:pageBreakBefore w:val="0"/>
              <w:widowControl/>
              <w:suppressLineNumbers w:val="0"/>
              <w:kinsoku/>
              <w:overflowPunct/>
              <w:topLinePunct w:val="0"/>
              <w:autoSpaceDE/>
              <w:autoSpaceDN/>
              <w:bidi w:val="0"/>
              <w:spacing w:before="0" w:beforeLines="0" w:beforeAutospacing="0" w:after="0" w:afterLines="0" w:afterAutospacing="0" w:line="240" w:lineRule="auto"/>
              <w:ind w:left="0" w:right="0"/>
              <w:jc w:val="left"/>
              <w:rPr>
                <w:rFonts w:hint="eastAsia" w:ascii="宋体" w:hAnsi="宋体" w:eastAsia="宋体" w:cs="宋体"/>
                <w:color w:val="auto"/>
                <w:kern w:val="0"/>
                <w:sz w:val="22"/>
                <w:szCs w:val="22"/>
                <w:highlight w:val="none"/>
              </w:rPr>
            </w:pPr>
          </w:p>
        </w:tc>
        <w:tc>
          <w:tcPr>
            <w:tcW w:w="1021" w:type="dxa"/>
            <w:vMerge w:val="continue"/>
            <w:tcBorders>
              <w:top w:val="single" w:color="auto" w:sz="4" w:space="0"/>
              <w:left w:val="single" w:color="auto" w:sz="4" w:space="0"/>
              <w:bottom w:val="single" w:color="auto" w:sz="4" w:space="0"/>
              <w:right w:val="single" w:color="auto" w:sz="4" w:space="0"/>
              <w:tl2br w:val="nil"/>
              <w:tr2bl w:val="nil"/>
            </w:tcBorders>
            <w:vAlign w:val="center"/>
          </w:tcPr>
          <w:p w14:paraId="25757BBA">
            <w:pPr>
              <w:keepNext w:val="0"/>
              <w:keepLines w:val="0"/>
              <w:pageBreakBefore w:val="0"/>
              <w:widowControl/>
              <w:suppressLineNumbers w:val="0"/>
              <w:kinsoku/>
              <w:overflowPunct/>
              <w:topLinePunct w:val="0"/>
              <w:autoSpaceDE/>
              <w:autoSpaceDN/>
              <w:bidi w:val="0"/>
              <w:spacing w:before="0" w:beforeLines="0" w:beforeAutospacing="0" w:after="0" w:afterLines="0" w:afterAutospacing="0" w:line="240" w:lineRule="auto"/>
              <w:ind w:left="0" w:right="0"/>
              <w:jc w:val="left"/>
              <w:rPr>
                <w:rFonts w:hint="eastAsia" w:ascii="宋体" w:hAnsi="宋体" w:eastAsia="宋体" w:cs="宋体"/>
                <w:color w:val="auto"/>
                <w:kern w:val="0"/>
                <w:sz w:val="22"/>
                <w:szCs w:val="22"/>
                <w:highlight w:val="none"/>
              </w:rPr>
            </w:pPr>
          </w:p>
        </w:tc>
        <w:tc>
          <w:tcPr>
            <w:tcW w:w="924" w:type="dxa"/>
            <w:tcBorders>
              <w:top w:val="single" w:color="auto" w:sz="4" w:space="0"/>
              <w:left w:val="single" w:color="auto" w:sz="4" w:space="0"/>
              <w:bottom w:val="single" w:color="auto" w:sz="4" w:space="0"/>
              <w:right w:val="single" w:color="auto" w:sz="4" w:space="0"/>
              <w:tl2br w:val="nil"/>
              <w:tr2bl w:val="nil"/>
            </w:tcBorders>
            <w:vAlign w:val="center"/>
          </w:tcPr>
          <w:p w14:paraId="7624C2AC">
            <w:pPr>
              <w:pStyle w:val="8"/>
              <w:keepNext w:val="0"/>
              <w:keepLines w:val="0"/>
              <w:pageBreakBefore w:val="0"/>
              <w:widowControl/>
              <w:suppressLineNumbers w:val="0"/>
              <w:kinsoku/>
              <w:overflowPunct/>
              <w:topLinePunct w:val="0"/>
              <w:autoSpaceDE/>
              <w:autoSpaceDN/>
              <w:bidi w:val="0"/>
              <w:adjustRightInd w:val="0"/>
              <w:snapToGrid w:val="0"/>
              <w:spacing w:before="0" w:beforeAutospacing="0" w:after="0" w:afterAutospacing="0" w:line="240" w:lineRule="auto"/>
              <w:ind w:left="0" w:right="0"/>
              <w:jc w:val="center"/>
              <w:rPr>
                <w:rFonts w:hint="eastAsia" w:ascii="宋体" w:hAnsi="宋体" w:eastAsia="宋体" w:cs="宋体"/>
                <w:b w:val="0"/>
                <w:bCs w:val="0"/>
                <w:snapToGrid w:val="0"/>
                <w:color w:val="auto"/>
                <w:kern w:val="0"/>
                <w:sz w:val="21"/>
                <w:szCs w:val="21"/>
                <w:highlight w:val="none"/>
              </w:rPr>
            </w:pPr>
            <w:r>
              <w:rPr>
                <w:rFonts w:hint="eastAsia" w:ascii="宋体" w:hAnsi="宋体" w:eastAsia="宋体" w:cs="宋体"/>
                <w:b w:val="0"/>
                <w:bCs w:val="0"/>
                <w:snapToGrid w:val="0"/>
                <w:color w:val="auto"/>
                <w:kern w:val="0"/>
                <w:sz w:val="21"/>
                <w:szCs w:val="21"/>
                <w:highlight w:val="none"/>
              </w:rPr>
              <w:t>企业</w:t>
            </w:r>
          </w:p>
          <w:p w14:paraId="102C854C">
            <w:pPr>
              <w:pStyle w:val="8"/>
              <w:keepNext w:val="0"/>
              <w:keepLines w:val="0"/>
              <w:pageBreakBefore w:val="0"/>
              <w:widowControl/>
              <w:suppressLineNumbers w:val="0"/>
              <w:kinsoku/>
              <w:overflowPunct/>
              <w:topLinePunct w:val="0"/>
              <w:autoSpaceDE/>
              <w:autoSpaceDN/>
              <w:bidi w:val="0"/>
              <w:adjustRightInd w:val="0"/>
              <w:snapToGrid w:val="0"/>
              <w:spacing w:before="0" w:beforeAutospacing="0" w:after="0" w:afterAutospacing="0" w:line="240" w:lineRule="auto"/>
              <w:ind w:left="0" w:right="0"/>
              <w:jc w:val="center"/>
              <w:rPr>
                <w:rFonts w:hint="eastAsia" w:ascii="宋体" w:hAnsi="宋体" w:eastAsia="宋体" w:cs="宋体"/>
                <w:b w:val="0"/>
                <w:bCs w:val="0"/>
                <w:snapToGrid w:val="0"/>
                <w:color w:val="auto"/>
                <w:kern w:val="0"/>
                <w:sz w:val="21"/>
                <w:szCs w:val="21"/>
                <w:highlight w:val="none"/>
              </w:rPr>
            </w:pPr>
            <w:r>
              <w:rPr>
                <w:rFonts w:hint="eastAsia" w:ascii="宋体" w:hAnsi="宋体" w:eastAsia="宋体" w:cs="宋体"/>
                <w:b w:val="0"/>
                <w:bCs w:val="0"/>
                <w:snapToGrid w:val="0"/>
                <w:color w:val="auto"/>
                <w:kern w:val="0"/>
                <w:sz w:val="21"/>
                <w:szCs w:val="21"/>
                <w:highlight w:val="none"/>
              </w:rPr>
              <w:t>业绩</w:t>
            </w:r>
          </w:p>
          <w:p w14:paraId="6F51E306">
            <w:pPr>
              <w:pStyle w:val="8"/>
              <w:keepNext w:val="0"/>
              <w:keepLines w:val="0"/>
              <w:pageBreakBefore w:val="0"/>
              <w:widowControl/>
              <w:suppressLineNumbers w:val="0"/>
              <w:kinsoku/>
              <w:overflowPunct/>
              <w:topLinePunct w:val="0"/>
              <w:autoSpaceDE/>
              <w:autoSpaceDN/>
              <w:bidi w:val="0"/>
              <w:adjustRightInd w:val="0"/>
              <w:snapToGrid w:val="0"/>
              <w:spacing w:before="0" w:beforeAutospacing="0" w:after="0" w:afterAutospacing="0" w:line="240" w:lineRule="auto"/>
              <w:ind w:left="0" w:right="0"/>
              <w:jc w:val="center"/>
              <w:rPr>
                <w:rFonts w:hint="eastAsia" w:ascii="宋体" w:hAnsi="宋体" w:eastAsia="宋体" w:cs="宋体"/>
                <w:color w:val="auto"/>
                <w:sz w:val="22"/>
                <w:szCs w:val="22"/>
                <w:highlight w:val="none"/>
              </w:rPr>
            </w:pPr>
            <w:r>
              <w:rPr>
                <w:rFonts w:hint="eastAsia" w:ascii="宋体" w:hAnsi="宋体" w:eastAsia="宋体" w:cs="宋体"/>
                <w:b w:val="0"/>
                <w:bCs w:val="0"/>
                <w:snapToGrid w:val="0"/>
                <w:color w:val="auto"/>
                <w:kern w:val="0"/>
                <w:sz w:val="21"/>
                <w:szCs w:val="21"/>
                <w:highlight w:val="none"/>
              </w:rPr>
              <w:t>（</w:t>
            </w:r>
            <w:r>
              <w:rPr>
                <w:rFonts w:hint="eastAsia" w:ascii="宋体" w:hAnsi="宋体" w:eastAsia="宋体" w:cs="宋体"/>
                <w:b w:val="0"/>
                <w:bCs w:val="0"/>
                <w:snapToGrid w:val="0"/>
                <w:color w:val="auto"/>
                <w:kern w:val="0"/>
                <w:sz w:val="21"/>
                <w:szCs w:val="21"/>
                <w:highlight w:val="none"/>
                <w:lang w:val="en-US" w:eastAsia="zh-CN"/>
              </w:rPr>
              <w:t>5</w:t>
            </w:r>
            <w:r>
              <w:rPr>
                <w:rFonts w:hint="eastAsia" w:ascii="宋体" w:hAnsi="宋体" w:eastAsia="宋体" w:cs="宋体"/>
                <w:b w:val="0"/>
                <w:bCs w:val="0"/>
                <w:snapToGrid w:val="0"/>
                <w:color w:val="auto"/>
                <w:kern w:val="0"/>
                <w:sz w:val="21"/>
                <w:szCs w:val="21"/>
                <w:highlight w:val="none"/>
              </w:rPr>
              <w:t>分）</w:t>
            </w:r>
          </w:p>
        </w:tc>
        <w:tc>
          <w:tcPr>
            <w:tcW w:w="3558" w:type="dxa"/>
            <w:tcBorders>
              <w:top w:val="single" w:color="auto" w:sz="4" w:space="0"/>
              <w:left w:val="single" w:color="auto" w:sz="4" w:space="0"/>
              <w:bottom w:val="single" w:color="auto" w:sz="4" w:space="0"/>
              <w:right w:val="single" w:color="auto" w:sz="4" w:space="0"/>
              <w:tl2br w:val="nil"/>
              <w:tr2bl w:val="nil"/>
            </w:tcBorders>
            <w:vAlign w:val="center"/>
          </w:tcPr>
          <w:p w14:paraId="2FC8FACD">
            <w:pPr>
              <w:pStyle w:val="8"/>
              <w:keepNext w:val="0"/>
              <w:keepLines w:val="0"/>
              <w:pageBreakBefore w:val="0"/>
              <w:widowControl/>
              <w:suppressLineNumbers w:val="0"/>
              <w:kinsoku/>
              <w:overflowPunct/>
              <w:topLinePunct w:val="0"/>
              <w:autoSpaceDE/>
              <w:autoSpaceDN/>
              <w:bidi w:val="0"/>
              <w:adjustRightInd w:val="0"/>
              <w:snapToGrid w:val="0"/>
              <w:spacing w:before="0" w:beforeAutospacing="0" w:after="0" w:afterAutospacing="0" w:line="240" w:lineRule="auto"/>
              <w:ind w:left="0" w:right="0"/>
              <w:rPr>
                <w:rFonts w:hint="eastAsia" w:ascii="宋体" w:hAnsi="宋体" w:eastAsia="宋体" w:cs="宋体"/>
                <w:b w:val="0"/>
                <w:bCs w:val="0"/>
                <w:snapToGrid w:val="0"/>
                <w:color w:val="auto"/>
                <w:kern w:val="0"/>
                <w:sz w:val="21"/>
                <w:szCs w:val="21"/>
                <w:highlight w:val="none"/>
              </w:rPr>
            </w:pPr>
            <w:r>
              <w:rPr>
                <w:rFonts w:hint="eastAsia" w:ascii="宋体" w:hAnsi="宋体" w:eastAsia="宋体" w:cs="宋体"/>
                <w:b w:val="0"/>
                <w:bCs w:val="0"/>
                <w:snapToGrid w:val="0"/>
                <w:color w:val="auto"/>
                <w:kern w:val="0"/>
                <w:sz w:val="21"/>
                <w:szCs w:val="21"/>
                <w:highlight w:val="none"/>
              </w:rPr>
              <w:t>企业近5年来（202</w:t>
            </w:r>
            <w:r>
              <w:rPr>
                <w:rFonts w:hint="eastAsia" w:ascii="宋体" w:hAnsi="宋体" w:eastAsia="宋体" w:cs="宋体"/>
                <w:b w:val="0"/>
                <w:bCs w:val="0"/>
                <w:snapToGrid w:val="0"/>
                <w:color w:val="auto"/>
                <w:kern w:val="0"/>
                <w:sz w:val="21"/>
                <w:szCs w:val="21"/>
                <w:highlight w:val="none"/>
                <w:lang w:val="en-US" w:eastAsia="zh-CN"/>
              </w:rPr>
              <w:t>1</w:t>
            </w:r>
            <w:r>
              <w:rPr>
                <w:rFonts w:hint="eastAsia" w:ascii="宋体" w:hAnsi="宋体" w:eastAsia="宋体" w:cs="宋体"/>
                <w:b w:val="0"/>
                <w:bCs w:val="0"/>
                <w:snapToGrid w:val="0"/>
                <w:color w:val="auto"/>
                <w:kern w:val="0"/>
                <w:sz w:val="21"/>
                <w:szCs w:val="21"/>
                <w:highlight w:val="none"/>
              </w:rPr>
              <w:t>年1月1日至今）业绩情况：</w:t>
            </w:r>
          </w:p>
          <w:p w14:paraId="42380997">
            <w:pPr>
              <w:pStyle w:val="8"/>
              <w:keepNext w:val="0"/>
              <w:keepLines w:val="0"/>
              <w:pageBreakBefore w:val="0"/>
              <w:widowControl/>
              <w:suppressLineNumbers w:val="0"/>
              <w:kinsoku/>
              <w:overflowPunct/>
              <w:topLinePunct w:val="0"/>
              <w:autoSpaceDE/>
              <w:autoSpaceDN/>
              <w:bidi w:val="0"/>
              <w:adjustRightInd w:val="0"/>
              <w:snapToGrid w:val="0"/>
              <w:spacing w:before="0" w:beforeAutospacing="0" w:after="0" w:afterAutospacing="0" w:line="240" w:lineRule="auto"/>
              <w:ind w:left="0" w:right="0"/>
              <w:rPr>
                <w:rFonts w:hint="eastAsia" w:ascii="宋体" w:hAnsi="宋体" w:eastAsia="宋体" w:cs="宋体"/>
                <w:b w:val="0"/>
                <w:bCs w:val="0"/>
                <w:snapToGrid w:val="0"/>
                <w:color w:val="auto"/>
                <w:kern w:val="0"/>
                <w:sz w:val="21"/>
                <w:szCs w:val="21"/>
                <w:highlight w:val="none"/>
              </w:rPr>
            </w:pPr>
            <w:r>
              <w:rPr>
                <w:rFonts w:hint="eastAsia" w:ascii="宋体" w:hAnsi="宋体" w:eastAsia="宋体" w:cs="宋体"/>
                <w:b w:val="0"/>
                <w:bCs w:val="0"/>
                <w:snapToGrid w:val="0"/>
                <w:color w:val="auto"/>
                <w:kern w:val="0"/>
                <w:sz w:val="21"/>
                <w:szCs w:val="21"/>
                <w:highlight w:val="none"/>
              </w:rPr>
              <w:t>1.承接过类似工程的，每个得</w:t>
            </w:r>
            <w:r>
              <w:rPr>
                <w:rFonts w:hint="eastAsia" w:ascii="宋体" w:hAnsi="宋体" w:eastAsia="宋体" w:cs="宋体"/>
                <w:b w:val="0"/>
                <w:bCs w:val="0"/>
                <w:snapToGrid w:val="0"/>
                <w:color w:val="auto"/>
                <w:kern w:val="0"/>
                <w:sz w:val="21"/>
                <w:szCs w:val="21"/>
                <w:highlight w:val="none"/>
                <w:lang w:val="en-US" w:eastAsia="zh-CN"/>
              </w:rPr>
              <w:t>2.5</w:t>
            </w:r>
            <w:r>
              <w:rPr>
                <w:rFonts w:hint="eastAsia" w:ascii="宋体" w:hAnsi="宋体" w:eastAsia="宋体" w:cs="宋体"/>
                <w:b w:val="0"/>
                <w:bCs w:val="0"/>
                <w:snapToGrid w:val="0"/>
                <w:color w:val="auto"/>
                <w:kern w:val="0"/>
                <w:sz w:val="21"/>
                <w:szCs w:val="21"/>
                <w:highlight w:val="none"/>
              </w:rPr>
              <w:t>分。</w:t>
            </w:r>
          </w:p>
          <w:p w14:paraId="68DF7D33">
            <w:pPr>
              <w:pStyle w:val="8"/>
              <w:keepNext w:val="0"/>
              <w:keepLines w:val="0"/>
              <w:pageBreakBefore w:val="0"/>
              <w:widowControl/>
              <w:suppressLineNumbers w:val="0"/>
              <w:kinsoku/>
              <w:overflowPunct/>
              <w:topLinePunct w:val="0"/>
              <w:autoSpaceDE/>
              <w:autoSpaceDN/>
              <w:bidi w:val="0"/>
              <w:adjustRightInd w:val="0"/>
              <w:snapToGrid w:val="0"/>
              <w:spacing w:before="0" w:beforeAutospacing="0" w:after="0" w:afterAutospacing="0" w:line="240" w:lineRule="auto"/>
              <w:ind w:left="0" w:right="0"/>
              <w:rPr>
                <w:rFonts w:hint="eastAsia" w:ascii="宋体" w:hAnsi="宋体" w:eastAsia="宋体" w:cs="宋体"/>
                <w:b w:val="0"/>
                <w:bCs w:val="0"/>
                <w:snapToGrid w:val="0"/>
                <w:color w:val="auto"/>
                <w:kern w:val="0"/>
                <w:sz w:val="21"/>
                <w:szCs w:val="21"/>
                <w:highlight w:val="none"/>
              </w:rPr>
            </w:pPr>
            <w:r>
              <w:rPr>
                <w:rFonts w:hint="eastAsia" w:ascii="宋体" w:hAnsi="宋体" w:eastAsia="宋体" w:cs="宋体"/>
                <w:b w:val="0"/>
                <w:bCs w:val="0"/>
                <w:snapToGrid w:val="0"/>
                <w:color w:val="auto"/>
                <w:kern w:val="0"/>
                <w:sz w:val="21"/>
                <w:szCs w:val="21"/>
                <w:highlight w:val="none"/>
              </w:rPr>
              <w:t>2.未承接过类似工程的，不予计分。</w:t>
            </w:r>
          </w:p>
          <w:p w14:paraId="034424F0">
            <w:pPr>
              <w:pStyle w:val="8"/>
              <w:keepNext w:val="0"/>
              <w:keepLines w:val="0"/>
              <w:pageBreakBefore w:val="0"/>
              <w:widowControl/>
              <w:suppressLineNumbers w:val="0"/>
              <w:kinsoku/>
              <w:overflowPunct/>
              <w:topLinePunct w:val="0"/>
              <w:autoSpaceDE/>
              <w:autoSpaceDN/>
              <w:bidi w:val="0"/>
              <w:adjustRightInd w:val="0"/>
              <w:snapToGrid w:val="0"/>
              <w:spacing w:before="0" w:beforeAutospacing="0" w:after="0" w:afterAutospacing="0" w:line="240" w:lineRule="auto"/>
              <w:ind w:left="0" w:right="0"/>
              <w:rPr>
                <w:rFonts w:hint="eastAsia" w:ascii="宋体" w:hAnsi="宋体" w:eastAsia="宋体" w:cs="宋体"/>
                <w:color w:val="auto"/>
                <w:sz w:val="22"/>
                <w:szCs w:val="22"/>
                <w:highlight w:val="none"/>
              </w:rPr>
            </w:pPr>
            <w:r>
              <w:rPr>
                <w:rFonts w:hint="eastAsia" w:ascii="宋体" w:hAnsi="宋体" w:eastAsia="宋体" w:cs="宋体"/>
                <w:b w:val="0"/>
                <w:bCs w:val="0"/>
                <w:snapToGrid w:val="0"/>
                <w:color w:val="auto"/>
                <w:kern w:val="0"/>
                <w:sz w:val="21"/>
                <w:szCs w:val="21"/>
                <w:highlight w:val="none"/>
              </w:rPr>
              <w:t>3.本项最高得</w:t>
            </w:r>
            <w:r>
              <w:rPr>
                <w:rFonts w:hint="eastAsia" w:ascii="宋体" w:hAnsi="宋体" w:eastAsia="宋体" w:cs="宋体"/>
                <w:b w:val="0"/>
                <w:bCs w:val="0"/>
                <w:snapToGrid w:val="0"/>
                <w:color w:val="auto"/>
                <w:kern w:val="0"/>
                <w:sz w:val="21"/>
                <w:szCs w:val="21"/>
                <w:highlight w:val="none"/>
                <w:lang w:val="en-US" w:eastAsia="zh-CN"/>
              </w:rPr>
              <w:t>5</w:t>
            </w:r>
            <w:r>
              <w:rPr>
                <w:rFonts w:hint="eastAsia" w:ascii="宋体" w:hAnsi="宋体" w:eastAsia="宋体" w:cs="宋体"/>
                <w:b w:val="0"/>
                <w:bCs w:val="0"/>
                <w:snapToGrid w:val="0"/>
                <w:color w:val="auto"/>
                <w:kern w:val="0"/>
                <w:sz w:val="21"/>
                <w:szCs w:val="21"/>
                <w:highlight w:val="none"/>
              </w:rPr>
              <w:t>分。</w:t>
            </w:r>
          </w:p>
        </w:tc>
        <w:tc>
          <w:tcPr>
            <w:tcW w:w="3882" w:type="dxa"/>
            <w:tcBorders>
              <w:top w:val="single" w:color="auto" w:sz="4" w:space="0"/>
              <w:left w:val="single" w:color="auto" w:sz="4" w:space="0"/>
              <w:bottom w:val="single" w:color="auto" w:sz="4" w:space="0"/>
              <w:right w:val="single" w:color="auto" w:sz="4" w:space="0"/>
              <w:tl2br w:val="nil"/>
              <w:tr2bl w:val="nil"/>
            </w:tcBorders>
            <w:vAlign w:val="center"/>
          </w:tcPr>
          <w:p w14:paraId="5CD76216">
            <w:pPr>
              <w:keepNext w:val="0"/>
              <w:keepLines w:val="0"/>
              <w:pageBreakBefore w:val="0"/>
              <w:suppressLineNumbers w:val="0"/>
              <w:kinsoku/>
              <w:overflowPunct/>
              <w:topLinePunct w:val="0"/>
              <w:autoSpaceDE/>
              <w:autoSpaceDN/>
              <w:bidi w:val="0"/>
              <w:adjustRightInd w:val="0"/>
              <w:snapToGrid w:val="0"/>
              <w:spacing w:before="0" w:beforeAutospacing="0" w:after="0" w:afterAutospacing="0" w:line="240" w:lineRule="auto"/>
              <w:ind w:left="0" w:right="0"/>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rPr>
              <w:t>1.类似工程指：合同金额≥</w:t>
            </w:r>
            <w:r>
              <w:rPr>
                <w:rFonts w:hint="eastAsia" w:ascii="宋体" w:hAnsi="宋体" w:eastAsia="宋体" w:cs="宋体"/>
                <w:snapToGrid w:val="0"/>
                <w:color w:val="auto"/>
                <w:kern w:val="0"/>
                <w:sz w:val="21"/>
                <w:szCs w:val="21"/>
                <w:highlight w:val="none"/>
                <w:lang w:val="en-US" w:eastAsia="zh-CN"/>
              </w:rPr>
              <w:t>6000</w:t>
            </w:r>
            <w:r>
              <w:rPr>
                <w:rFonts w:hint="eastAsia" w:ascii="宋体" w:hAnsi="宋体" w:eastAsia="宋体" w:cs="宋体"/>
                <w:snapToGrid w:val="0"/>
                <w:color w:val="auto"/>
                <w:kern w:val="0"/>
                <w:sz w:val="21"/>
                <w:szCs w:val="21"/>
                <w:highlight w:val="none"/>
              </w:rPr>
              <w:t>万元的房屋建筑工程类施工总承包项目或设计施工总承包项目或</w:t>
            </w:r>
            <w:r>
              <w:rPr>
                <w:rFonts w:hint="eastAsia" w:ascii="宋体" w:hAnsi="宋体" w:eastAsia="宋体" w:cs="宋体"/>
                <w:color w:val="auto"/>
                <w:sz w:val="21"/>
                <w:szCs w:val="21"/>
                <w:highlight w:val="none"/>
              </w:rPr>
              <w:t>勘察、设计施工总承包或EPC项目</w:t>
            </w:r>
            <w:r>
              <w:rPr>
                <w:rFonts w:hint="eastAsia" w:ascii="宋体" w:hAnsi="宋体" w:eastAsia="宋体" w:cs="宋体"/>
                <w:snapToGrid w:val="0"/>
                <w:color w:val="auto"/>
                <w:kern w:val="0"/>
                <w:sz w:val="21"/>
                <w:szCs w:val="21"/>
                <w:highlight w:val="none"/>
              </w:rPr>
              <w:t>。</w:t>
            </w:r>
          </w:p>
          <w:p w14:paraId="0D098668">
            <w:pPr>
              <w:pStyle w:val="8"/>
              <w:keepNext w:val="0"/>
              <w:keepLines w:val="0"/>
              <w:pageBreakBefore w:val="0"/>
              <w:widowControl/>
              <w:suppressLineNumbers w:val="0"/>
              <w:kinsoku/>
              <w:overflowPunct/>
              <w:topLinePunct w:val="0"/>
              <w:autoSpaceDE/>
              <w:autoSpaceDN/>
              <w:bidi w:val="0"/>
              <w:adjustRightInd w:val="0"/>
              <w:snapToGrid w:val="0"/>
              <w:spacing w:before="0" w:beforeAutospacing="0" w:after="0" w:afterAutospacing="0" w:line="240" w:lineRule="auto"/>
              <w:ind w:left="0" w:right="0"/>
              <w:rPr>
                <w:rFonts w:hint="eastAsia" w:ascii="宋体" w:hAnsi="宋体" w:eastAsia="宋体" w:cs="宋体"/>
                <w:b/>
                <w:bCs/>
                <w:strike w:val="0"/>
                <w:dstrike w:val="0"/>
                <w:snapToGrid w:val="0"/>
                <w:color w:val="auto"/>
                <w:kern w:val="0"/>
                <w:sz w:val="21"/>
                <w:szCs w:val="21"/>
                <w:highlight w:val="none"/>
              </w:rPr>
            </w:pPr>
            <w:r>
              <w:rPr>
                <w:rFonts w:hint="eastAsia" w:ascii="宋体" w:hAnsi="宋体" w:eastAsia="宋体" w:cs="宋体"/>
                <w:snapToGrid w:val="0"/>
                <w:color w:val="auto"/>
                <w:kern w:val="0"/>
                <w:sz w:val="21"/>
                <w:szCs w:val="21"/>
                <w:highlight w:val="none"/>
              </w:rPr>
              <w:t>2.需附有关业绩（仅限于以施工总承包单位身份参建的项目）合同协议书彩色扫描件</w:t>
            </w:r>
            <w:r>
              <w:rPr>
                <w:rFonts w:hint="eastAsia" w:ascii="宋体" w:hAnsi="宋体" w:eastAsia="宋体" w:cs="宋体"/>
                <w:snapToGrid w:val="0"/>
                <w:color w:val="auto"/>
                <w:kern w:val="0"/>
                <w:sz w:val="21"/>
                <w:szCs w:val="21"/>
                <w:highlight w:val="none"/>
                <w:lang w:eastAsia="zh-CN"/>
              </w:rPr>
              <w:t>。</w:t>
            </w:r>
            <w:r>
              <w:rPr>
                <w:rFonts w:hint="eastAsia" w:ascii="宋体" w:hAnsi="宋体" w:eastAsia="宋体" w:cs="宋体"/>
                <w:b/>
                <w:bCs/>
                <w:color w:val="auto"/>
                <w:sz w:val="21"/>
                <w:szCs w:val="21"/>
                <w:highlight w:val="none"/>
                <w:lang w:val="en-US" w:eastAsia="zh-CN"/>
              </w:rPr>
              <w:t>组成联合体时由联合体牵头人提交。</w:t>
            </w:r>
          </w:p>
          <w:p w14:paraId="793857DF">
            <w:pPr>
              <w:keepNext w:val="0"/>
              <w:keepLines w:val="0"/>
              <w:pageBreakBefore w:val="0"/>
              <w:suppressLineNumbers w:val="0"/>
              <w:kinsoku/>
              <w:overflowPunct/>
              <w:topLinePunct w:val="0"/>
              <w:autoSpaceDE/>
              <w:autoSpaceDN/>
              <w:bidi w:val="0"/>
              <w:adjustRightInd w:val="0"/>
              <w:snapToGrid w:val="0"/>
              <w:spacing w:before="0" w:beforeAutospacing="0" w:after="0" w:afterAutospacing="0" w:line="240" w:lineRule="auto"/>
              <w:ind w:left="0" w:right="0"/>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rPr>
              <w:t>3.业绩时间以合同协议书日期为准。</w:t>
            </w:r>
          </w:p>
          <w:p w14:paraId="36013C7D">
            <w:pPr>
              <w:keepNext w:val="0"/>
              <w:keepLines w:val="0"/>
              <w:pageBreakBefore w:val="0"/>
              <w:suppressLineNumbers w:val="0"/>
              <w:kinsoku/>
              <w:overflowPunct/>
              <w:topLinePunct w:val="0"/>
              <w:autoSpaceDE/>
              <w:autoSpaceDN/>
              <w:bidi w:val="0"/>
              <w:adjustRightInd w:val="0"/>
              <w:snapToGrid w:val="0"/>
              <w:spacing w:before="0" w:beforeAutospacing="0" w:after="0" w:afterAutospacing="0" w:line="240" w:lineRule="auto"/>
              <w:ind w:left="0" w:right="0"/>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rPr>
              <w:t>4.任一业绩有以下情形之一的，该业绩视为无效，不予计分：</w:t>
            </w:r>
          </w:p>
          <w:p w14:paraId="2603189F">
            <w:pPr>
              <w:keepNext w:val="0"/>
              <w:keepLines w:val="0"/>
              <w:pageBreakBefore w:val="0"/>
              <w:suppressLineNumbers w:val="0"/>
              <w:kinsoku/>
              <w:overflowPunct/>
              <w:topLinePunct w:val="0"/>
              <w:autoSpaceDE/>
              <w:autoSpaceDN/>
              <w:bidi w:val="0"/>
              <w:adjustRightInd w:val="0"/>
              <w:snapToGrid w:val="0"/>
              <w:spacing w:before="0" w:beforeAutospacing="0" w:after="0" w:afterAutospacing="0" w:line="240" w:lineRule="auto"/>
              <w:ind w:left="0" w:right="0"/>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rPr>
              <w:t>①业绩不属于类似工程的；</w:t>
            </w:r>
          </w:p>
          <w:p w14:paraId="1BF15E0C">
            <w:pPr>
              <w:keepNext w:val="0"/>
              <w:keepLines w:val="0"/>
              <w:pageBreakBefore w:val="0"/>
              <w:suppressLineNumbers w:val="0"/>
              <w:kinsoku/>
              <w:overflowPunct/>
              <w:topLinePunct w:val="0"/>
              <w:autoSpaceDE/>
              <w:autoSpaceDN/>
              <w:bidi w:val="0"/>
              <w:adjustRightInd w:val="0"/>
              <w:snapToGrid w:val="0"/>
              <w:spacing w:before="0" w:beforeAutospacing="0" w:after="0" w:afterAutospacing="0" w:line="240" w:lineRule="auto"/>
              <w:ind w:left="0" w:right="0"/>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rPr>
              <w:t>②不是以指定身份参建的；</w:t>
            </w:r>
          </w:p>
          <w:p w14:paraId="06D0E2F9">
            <w:pPr>
              <w:keepNext w:val="0"/>
              <w:keepLines w:val="0"/>
              <w:pageBreakBefore w:val="0"/>
              <w:suppressLineNumbers w:val="0"/>
              <w:kinsoku/>
              <w:overflowPunct/>
              <w:topLinePunct w:val="0"/>
              <w:autoSpaceDE/>
              <w:autoSpaceDN/>
              <w:bidi w:val="0"/>
              <w:adjustRightInd w:val="0"/>
              <w:snapToGrid w:val="0"/>
              <w:spacing w:before="0" w:beforeAutospacing="0" w:after="0" w:afterAutospacing="0" w:line="240" w:lineRule="auto"/>
              <w:ind w:left="0" w:right="0"/>
              <w:rPr>
                <w:rFonts w:hint="eastAsia" w:ascii="宋体" w:hAnsi="宋体" w:eastAsia="宋体" w:cs="宋体"/>
                <w:snapToGrid w:val="0"/>
                <w:color w:val="auto"/>
                <w:kern w:val="0"/>
                <w:sz w:val="22"/>
                <w:szCs w:val="22"/>
                <w:highlight w:val="none"/>
                <w:lang w:val="en-US" w:eastAsia="zh-CN"/>
              </w:rPr>
            </w:pPr>
            <w:r>
              <w:rPr>
                <w:rFonts w:hint="eastAsia" w:ascii="宋体" w:hAnsi="宋体" w:eastAsia="宋体" w:cs="宋体"/>
                <w:snapToGrid w:val="0"/>
                <w:color w:val="auto"/>
                <w:kern w:val="0"/>
                <w:sz w:val="21"/>
                <w:szCs w:val="21"/>
                <w:highlight w:val="none"/>
              </w:rPr>
              <w:t>③业绩时间不符合要求的。</w:t>
            </w:r>
          </w:p>
        </w:tc>
      </w:tr>
      <w:tr w14:paraId="4F3854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75" w:hRule="atLeast"/>
          <w:jc w:val="center"/>
        </w:trPr>
        <w:tc>
          <w:tcPr>
            <w:tcW w:w="1023" w:type="dxa"/>
            <w:vMerge w:val="continue"/>
            <w:tcBorders>
              <w:top w:val="single" w:color="auto" w:sz="4" w:space="0"/>
              <w:left w:val="single" w:color="auto" w:sz="4" w:space="0"/>
              <w:bottom w:val="single" w:color="auto" w:sz="4" w:space="0"/>
              <w:right w:val="single" w:color="auto" w:sz="4" w:space="0"/>
              <w:tl2br w:val="nil"/>
              <w:tr2bl w:val="nil"/>
            </w:tcBorders>
            <w:vAlign w:val="center"/>
          </w:tcPr>
          <w:p w14:paraId="38A0C380">
            <w:pPr>
              <w:keepNext w:val="0"/>
              <w:keepLines w:val="0"/>
              <w:pageBreakBefore w:val="0"/>
              <w:widowControl/>
              <w:suppressLineNumbers w:val="0"/>
              <w:kinsoku/>
              <w:overflowPunct/>
              <w:topLinePunct w:val="0"/>
              <w:autoSpaceDE/>
              <w:autoSpaceDN/>
              <w:bidi w:val="0"/>
              <w:spacing w:before="0" w:beforeLines="0" w:beforeAutospacing="0" w:after="0" w:afterLines="0" w:afterAutospacing="0" w:line="240" w:lineRule="auto"/>
              <w:ind w:left="0" w:right="0"/>
              <w:jc w:val="left"/>
              <w:rPr>
                <w:rFonts w:hint="eastAsia" w:ascii="宋体" w:hAnsi="宋体" w:eastAsia="宋体" w:cs="宋体"/>
                <w:color w:val="auto"/>
                <w:kern w:val="0"/>
                <w:sz w:val="22"/>
                <w:szCs w:val="22"/>
                <w:highlight w:val="none"/>
              </w:rPr>
            </w:pPr>
          </w:p>
        </w:tc>
        <w:tc>
          <w:tcPr>
            <w:tcW w:w="1021" w:type="dxa"/>
            <w:vMerge w:val="continue"/>
            <w:tcBorders>
              <w:top w:val="single" w:color="auto" w:sz="4" w:space="0"/>
              <w:left w:val="single" w:color="auto" w:sz="4" w:space="0"/>
              <w:bottom w:val="single" w:color="auto" w:sz="4" w:space="0"/>
              <w:right w:val="single" w:color="auto" w:sz="4" w:space="0"/>
              <w:tl2br w:val="nil"/>
              <w:tr2bl w:val="nil"/>
            </w:tcBorders>
            <w:vAlign w:val="center"/>
          </w:tcPr>
          <w:p w14:paraId="69264C2B">
            <w:pPr>
              <w:keepNext w:val="0"/>
              <w:keepLines w:val="0"/>
              <w:pageBreakBefore w:val="0"/>
              <w:widowControl/>
              <w:suppressLineNumbers w:val="0"/>
              <w:kinsoku/>
              <w:overflowPunct/>
              <w:topLinePunct w:val="0"/>
              <w:autoSpaceDE/>
              <w:autoSpaceDN/>
              <w:bidi w:val="0"/>
              <w:spacing w:before="0" w:beforeLines="0" w:beforeAutospacing="0" w:after="0" w:afterLines="0" w:afterAutospacing="0" w:line="240" w:lineRule="auto"/>
              <w:ind w:left="0" w:right="0"/>
              <w:jc w:val="left"/>
              <w:rPr>
                <w:rFonts w:hint="eastAsia" w:ascii="宋体" w:hAnsi="宋体" w:eastAsia="宋体" w:cs="宋体"/>
                <w:color w:val="auto"/>
                <w:kern w:val="0"/>
                <w:sz w:val="22"/>
                <w:szCs w:val="22"/>
                <w:highlight w:val="none"/>
              </w:rPr>
            </w:pPr>
          </w:p>
        </w:tc>
        <w:tc>
          <w:tcPr>
            <w:tcW w:w="924" w:type="dxa"/>
            <w:tcBorders>
              <w:top w:val="single" w:color="auto" w:sz="4" w:space="0"/>
              <w:left w:val="single" w:color="auto" w:sz="4" w:space="0"/>
              <w:bottom w:val="single" w:color="auto" w:sz="4" w:space="0"/>
              <w:right w:val="single" w:color="auto" w:sz="4" w:space="0"/>
              <w:tl2br w:val="nil"/>
              <w:tr2bl w:val="nil"/>
            </w:tcBorders>
            <w:vAlign w:val="center"/>
          </w:tcPr>
          <w:p w14:paraId="49EA8DC6">
            <w:pPr>
              <w:keepNext w:val="0"/>
              <w:keepLines w:val="0"/>
              <w:pageBreakBefore w:val="0"/>
              <w:widowControl w:val="0"/>
              <w:suppressLineNumbers w:val="0"/>
              <w:kinsoku/>
              <w:overflowPunct/>
              <w:topLinePunct w:val="0"/>
              <w:autoSpaceDE/>
              <w:autoSpaceDN/>
              <w:bidi w:val="0"/>
              <w:adjustRightInd w:val="0"/>
              <w:snapToGrid w:val="0"/>
              <w:spacing w:before="0" w:beforeAutospacing="0" w:after="0" w:afterAutospacing="0" w:line="240" w:lineRule="auto"/>
              <w:ind w:left="0" w:right="0"/>
              <w:jc w:val="center"/>
              <w:textAlignment w:val="auto"/>
              <w:rPr>
                <w:rFonts w:hint="eastAsia" w:ascii="宋体" w:hAnsi="宋体" w:eastAsia="宋体" w:cs="宋体"/>
                <w:b w:val="0"/>
                <w:bCs w:val="0"/>
                <w:strike w:val="0"/>
                <w:dstrike w:val="0"/>
                <w:color w:val="auto"/>
                <w:sz w:val="21"/>
                <w:szCs w:val="21"/>
                <w:highlight w:val="none"/>
              </w:rPr>
            </w:pPr>
            <w:r>
              <w:rPr>
                <w:rFonts w:hint="eastAsia" w:ascii="宋体" w:hAnsi="宋体" w:eastAsia="宋体" w:cs="宋体"/>
                <w:b w:val="0"/>
                <w:bCs w:val="0"/>
                <w:strike w:val="0"/>
                <w:dstrike w:val="0"/>
                <w:color w:val="auto"/>
                <w:sz w:val="21"/>
                <w:szCs w:val="21"/>
                <w:highlight w:val="none"/>
              </w:rPr>
              <w:t>企业银行资信评级</w:t>
            </w:r>
          </w:p>
          <w:p w14:paraId="1D2DB406">
            <w:pPr>
              <w:keepNext w:val="0"/>
              <w:keepLines w:val="0"/>
              <w:pageBreakBefore w:val="0"/>
              <w:widowControl w:val="0"/>
              <w:suppressLineNumbers w:val="0"/>
              <w:kinsoku/>
              <w:overflowPunct/>
              <w:topLinePunct w:val="0"/>
              <w:autoSpaceDE/>
              <w:autoSpaceDN/>
              <w:bidi w:val="0"/>
              <w:adjustRightInd w:val="0"/>
              <w:snapToGrid w:val="0"/>
              <w:spacing w:before="0" w:beforeAutospacing="0" w:after="0" w:afterAutospacing="0" w:line="240" w:lineRule="auto"/>
              <w:ind w:left="0" w:right="0"/>
              <w:jc w:val="center"/>
              <w:textAlignment w:val="auto"/>
              <w:rPr>
                <w:rFonts w:hint="eastAsia" w:ascii="宋体" w:hAnsi="宋体" w:eastAsia="宋体" w:cs="宋体"/>
                <w:color w:val="auto"/>
                <w:sz w:val="22"/>
                <w:szCs w:val="22"/>
                <w:highlight w:val="none"/>
                <w:lang w:val="en-US" w:eastAsia="zh-CN"/>
              </w:rPr>
            </w:pPr>
            <w:r>
              <w:rPr>
                <w:rFonts w:hint="eastAsia" w:ascii="宋体" w:hAnsi="宋体" w:eastAsia="宋体" w:cs="宋体"/>
                <w:b w:val="0"/>
                <w:bCs w:val="0"/>
                <w:strike w:val="0"/>
                <w:dstrike w:val="0"/>
                <w:color w:val="auto"/>
                <w:sz w:val="21"/>
                <w:szCs w:val="21"/>
                <w:highlight w:val="none"/>
              </w:rPr>
              <w:t>（</w:t>
            </w:r>
            <w:r>
              <w:rPr>
                <w:rFonts w:hint="eastAsia" w:ascii="宋体" w:hAnsi="宋体" w:eastAsia="宋体" w:cs="宋体"/>
                <w:b w:val="0"/>
                <w:bCs w:val="0"/>
                <w:strike w:val="0"/>
                <w:dstrike w:val="0"/>
                <w:color w:val="auto"/>
                <w:sz w:val="21"/>
                <w:szCs w:val="21"/>
                <w:highlight w:val="none"/>
                <w:lang w:val="en-US" w:eastAsia="zh-CN"/>
              </w:rPr>
              <w:t>5</w:t>
            </w:r>
            <w:r>
              <w:rPr>
                <w:rFonts w:hint="eastAsia" w:ascii="宋体" w:hAnsi="宋体" w:eastAsia="宋体" w:cs="宋体"/>
                <w:b w:val="0"/>
                <w:bCs w:val="0"/>
                <w:strike w:val="0"/>
                <w:dstrike w:val="0"/>
                <w:color w:val="auto"/>
                <w:sz w:val="21"/>
                <w:szCs w:val="21"/>
                <w:highlight w:val="none"/>
              </w:rPr>
              <w:t>分）</w:t>
            </w:r>
          </w:p>
        </w:tc>
        <w:tc>
          <w:tcPr>
            <w:tcW w:w="3558" w:type="dxa"/>
            <w:tcBorders>
              <w:top w:val="single" w:color="auto" w:sz="4" w:space="0"/>
              <w:left w:val="single" w:color="auto" w:sz="4" w:space="0"/>
              <w:bottom w:val="single" w:color="auto" w:sz="4" w:space="0"/>
              <w:right w:val="single" w:color="auto" w:sz="4" w:space="0"/>
              <w:tl2br w:val="nil"/>
              <w:tr2bl w:val="nil"/>
            </w:tcBorders>
            <w:vAlign w:val="center"/>
          </w:tcPr>
          <w:p w14:paraId="270673D8">
            <w:pPr>
              <w:pStyle w:val="8"/>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Lines="0" w:afterAutospacing="0" w:line="360" w:lineRule="exact"/>
              <w:ind w:left="0" w:right="0"/>
              <w:textAlignment w:val="auto"/>
              <w:rPr>
                <w:rFonts w:hint="eastAsia" w:ascii="宋体" w:hAnsi="宋体" w:eastAsia="宋体" w:cs="宋体"/>
                <w:b w:val="0"/>
                <w:bCs w:val="0"/>
                <w:strike w:val="0"/>
                <w:dstrike w:val="0"/>
                <w:snapToGrid w:val="0"/>
                <w:color w:val="auto"/>
                <w:kern w:val="0"/>
                <w:sz w:val="21"/>
                <w:szCs w:val="21"/>
                <w:highlight w:val="none"/>
                <w:lang w:val="en-US" w:eastAsia="zh-CN"/>
              </w:rPr>
            </w:pPr>
            <w:r>
              <w:rPr>
                <w:rFonts w:hint="eastAsia" w:hAnsi="宋体" w:eastAsia="宋体" w:cs="宋体"/>
                <w:b w:val="0"/>
                <w:bCs w:val="0"/>
                <w:strike w:val="0"/>
                <w:dstrike w:val="0"/>
                <w:snapToGrid w:val="0"/>
                <w:color w:val="auto"/>
                <w:kern w:val="0"/>
                <w:sz w:val="21"/>
                <w:szCs w:val="21"/>
                <w:highlight w:val="none"/>
                <w:lang w:val="en-US" w:eastAsia="zh-CN"/>
              </w:rPr>
              <w:t>1.</w:t>
            </w:r>
            <w:r>
              <w:rPr>
                <w:rFonts w:hint="eastAsia" w:ascii="宋体" w:hAnsi="宋体" w:eastAsia="宋体" w:cs="宋体"/>
                <w:b w:val="0"/>
                <w:bCs w:val="0"/>
                <w:strike w:val="0"/>
                <w:dstrike w:val="0"/>
                <w:snapToGrid w:val="0"/>
                <w:color w:val="auto"/>
                <w:kern w:val="0"/>
                <w:sz w:val="21"/>
                <w:szCs w:val="21"/>
                <w:highlight w:val="none"/>
                <w:lang w:val="en-US" w:eastAsia="zh-CN"/>
              </w:rPr>
              <w:t>银行资信评（等）级</w:t>
            </w:r>
            <w:r>
              <w:rPr>
                <w:rFonts w:hint="eastAsia" w:hAnsi="宋体" w:eastAsia="宋体" w:cs="宋体"/>
                <w:b w:val="0"/>
                <w:bCs w:val="0"/>
                <w:strike w:val="0"/>
                <w:dstrike w:val="0"/>
                <w:snapToGrid w:val="0"/>
                <w:color w:val="auto"/>
                <w:kern w:val="0"/>
                <w:sz w:val="21"/>
                <w:szCs w:val="21"/>
                <w:highlight w:val="none"/>
                <w:lang w:val="en-US" w:eastAsia="zh-CN"/>
              </w:rPr>
              <w:t>为AAA</w:t>
            </w:r>
            <w:r>
              <w:rPr>
                <w:rFonts w:hint="eastAsia" w:ascii="宋体" w:hAnsi="宋体" w:eastAsia="宋体" w:cs="宋体"/>
                <w:b w:val="0"/>
                <w:bCs w:val="0"/>
                <w:strike w:val="0"/>
                <w:dstrike w:val="0"/>
                <w:snapToGrid w:val="0"/>
                <w:color w:val="auto"/>
                <w:kern w:val="0"/>
                <w:sz w:val="21"/>
                <w:szCs w:val="21"/>
                <w:highlight w:val="none"/>
                <w:lang w:val="en-US" w:eastAsia="zh-CN"/>
              </w:rPr>
              <w:t>的，得</w:t>
            </w:r>
            <w:r>
              <w:rPr>
                <w:rFonts w:hint="eastAsia" w:ascii="宋体" w:hAnsi="宋体" w:eastAsia="宋体" w:cs="宋体"/>
                <w:b w:val="0"/>
                <w:bCs w:val="0"/>
                <w:strike w:val="0"/>
                <w:dstrike w:val="0"/>
                <w:snapToGrid w:val="0"/>
                <w:color w:val="auto"/>
                <w:kern w:val="0"/>
                <w:sz w:val="21"/>
                <w:szCs w:val="21"/>
                <w:highlight w:val="none"/>
                <w:u w:val="single"/>
                <w:lang w:val="en-US" w:eastAsia="zh-CN"/>
              </w:rPr>
              <w:t>5</w:t>
            </w:r>
            <w:r>
              <w:rPr>
                <w:rFonts w:hint="eastAsia" w:ascii="宋体" w:hAnsi="宋体" w:eastAsia="宋体" w:cs="宋体"/>
                <w:b w:val="0"/>
                <w:bCs w:val="0"/>
                <w:strike w:val="0"/>
                <w:dstrike w:val="0"/>
                <w:snapToGrid w:val="0"/>
                <w:color w:val="auto"/>
                <w:kern w:val="0"/>
                <w:sz w:val="21"/>
                <w:szCs w:val="21"/>
                <w:highlight w:val="none"/>
                <w:lang w:val="en-US" w:eastAsia="zh-CN"/>
              </w:rPr>
              <w:t>分；</w:t>
            </w:r>
          </w:p>
          <w:p w14:paraId="033F0394">
            <w:pPr>
              <w:pStyle w:val="8"/>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Lines="0" w:afterAutospacing="0" w:line="360" w:lineRule="exact"/>
              <w:ind w:left="0" w:right="0"/>
              <w:textAlignment w:val="auto"/>
              <w:rPr>
                <w:rFonts w:hint="eastAsia" w:ascii="宋体" w:hAnsi="宋体" w:eastAsia="宋体" w:cs="宋体"/>
                <w:b w:val="0"/>
                <w:bCs w:val="0"/>
                <w:strike w:val="0"/>
                <w:dstrike w:val="0"/>
                <w:snapToGrid w:val="0"/>
                <w:color w:val="auto"/>
                <w:kern w:val="0"/>
                <w:sz w:val="21"/>
                <w:szCs w:val="21"/>
                <w:highlight w:val="none"/>
                <w:lang w:val="en-US" w:eastAsia="zh-CN"/>
              </w:rPr>
            </w:pPr>
            <w:r>
              <w:rPr>
                <w:rFonts w:hint="eastAsia" w:hAnsi="宋体" w:eastAsia="宋体" w:cs="宋体"/>
                <w:b w:val="0"/>
                <w:bCs w:val="0"/>
                <w:strike w:val="0"/>
                <w:dstrike w:val="0"/>
                <w:snapToGrid w:val="0"/>
                <w:color w:val="auto"/>
                <w:kern w:val="0"/>
                <w:sz w:val="21"/>
                <w:szCs w:val="21"/>
                <w:highlight w:val="none"/>
                <w:lang w:val="en-US" w:eastAsia="zh-CN"/>
              </w:rPr>
              <w:t>2.</w:t>
            </w:r>
            <w:r>
              <w:rPr>
                <w:rFonts w:hint="eastAsia" w:ascii="宋体" w:hAnsi="宋体" w:eastAsia="宋体" w:cs="宋体"/>
                <w:b w:val="0"/>
                <w:bCs w:val="0"/>
                <w:strike w:val="0"/>
                <w:dstrike w:val="0"/>
                <w:snapToGrid w:val="0"/>
                <w:color w:val="auto"/>
                <w:kern w:val="0"/>
                <w:sz w:val="21"/>
                <w:szCs w:val="21"/>
                <w:highlight w:val="none"/>
                <w:lang w:val="en-US" w:eastAsia="zh-CN"/>
              </w:rPr>
              <w:t>银行资信评（等）级</w:t>
            </w:r>
            <w:r>
              <w:rPr>
                <w:rFonts w:hint="eastAsia" w:hAnsi="宋体" w:eastAsia="宋体" w:cs="宋体"/>
                <w:b w:val="0"/>
                <w:bCs w:val="0"/>
                <w:strike w:val="0"/>
                <w:dstrike w:val="0"/>
                <w:snapToGrid w:val="0"/>
                <w:color w:val="auto"/>
                <w:kern w:val="0"/>
                <w:sz w:val="21"/>
                <w:szCs w:val="21"/>
                <w:highlight w:val="none"/>
                <w:lang w:val="en-US" w:eastAsia="zh-CN"/>
              </w:rPr>
              <w:t>为</w:t>
            </w:r>
            <w:r>
              <w:rPr>
                <w:rFonts w:hint="eastAsia" w:ascii="宋体" w:hAnsi="宋体" w:eastAsia="宋体" w:cs="宋体"/>
                <w:b w:val="0"/>
                <w:bCs w:val="0"/>
                <w:strike w:val="0"/>
                <w:dstrike w:val="0"/>
                <w:snapToGrid w:val="0"/>
                <w:color w:val="auto"/>
                <w:kern w:val="0"/>
                <w:sz w:val="21"/>
                <w:szCs w:val="21"/>
                <w:highlight w:val="none"/>
                <w:lang w:val="en-US" w:eastAsia="zh-CN"/>
              </w:rPr>
              <w:t>AA（含AA＋、AA－）的，得</w:t>
            </w:r>
            <w:r>
              <w:rPr>
                <w:rFonts w:hint="eastAsia" w:ascii="宋体" w:hAnsi="宋体" w:eastAsia="宋体" w:cs="宋体"/>
                <w:b w:val="0"/>
                <w:bCs w:val="0"/>
                <w:strike w:val="0"/>
                <w:dstrike w:val="0"/>
                <w:snapToGrid w:val="0"/>
                <w:color w:val="auto"/>
                <w:kern w:val="0"/>
                <w:sz w:val="21"/>
                <w:szCs w:val="21"/>
                <w:highlight w:val="none"/>
                <w:u w:val="single"/>
                <w:lang w:val="en-US" w:eastAsia="zh-CN"/>
              </w:rPr>
              <w:t xml:space="preserve"> 3 </w:t>
            </w:r>
            <w:r>
              <w:rPr>
                <w:rFonts w:hint="eastAsia" w:ascii="宋体" w:hAnsi="宋体" w:eastAsia="宋体" w:cs="宋体"/>
                <w:b w:val="0"/>
                <w:bCs w:val="0"/>
                <w:strike w:val="0"/>
                <w:dstrike w:val="0"/>
                <w:snapToGrid w:val="0"/>
                <w:color w:val="auto"/>
                <w:kern w:val="0"/>
                <w:sz w:val="21"/>
                <w:szCs w:val="21"/>
                <w:highlight w:val="none"/>
                <w:lang w:val="en-US" w:eastAsia="zh-CN"/>
              </w:rPr>
              <w:t>分。</w:t>
            </w:r>
          </w:p>
          <w:p w14:paraId="3C03ECF2">
            <w:pPr>
              <w:pStyle w:val="8"/>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Lines="0" w:afterAutospacing="0" w:line="360" w:lineRule="exact"/>
              <w:ind w:left="0" w:right="0"/>
              <w:textAlignment w:val="auto"/>
              <w:rPr>
                <w:rFonts w:hint="eastAsia" w:ascii="宋体" w:hAnsi="宋体" w:eastAsia="宋体" w:cs="宋体"/>
                <w:b w:val="0"/>
                <w:bCs w:val="0"/>
                <w:strike w:val="0"/>
                <w:dstrike w:val="0"/>
                <w:snapToGrid w:val="0"/>
                <w:color w:val="auto"/>
                <w:kern w:val="0"/>
                <w:sz w:val="21"/>
                <w:szCs w:val="21"/>
                <w:highlight w:val="none"/>
                <w:lang w:val="en-US" w:eastAsia="zh-CN"/>
              </w:rPr>
            </w:pPr>
            <w:r>
              <w:rPr>
                <w:rFonts w:hint="eastAsia" w:hAnsi="宋体" w:eastAsia="宋体" w:cs="宋体"/>
                <w:b w:val="0"/>
                <w:bCs w:val="0"/>
                <w:strike w:val="0"/>
                <w:dstrike w:val="0"/>
                <w:snapToGrid w:val="0"/>
                <w:color w:val="auto"/>
                <w:kern w:val="0"/>
                <w:sz w:val="21"/>
                <w:szCs w:val="21"/>
                <w:highlight w:val="none"/>
                <w:lang w:val="en-US" w:eastAsia="zh-CN"/>
              </w:rPr>
              <w:t>3.</w:t>
            </w:r>
            <w:r>
              <w:rPr>
                <w:rFonts w:hint="eastAsia" w:ascii="宋体" w:hAnsi="宋体" w:eastAsia="宋体" w:cs="宋体"/>
                <w:b w:val="0"/>
                <w:bCs w:val="0"/>
                <w:strike w:val="0"/>
                <w:dstrike w:val="0"/>
                <w:snapToGrid w:val="0"/>
                <w:color w:val="auto"/>
                <w:kern w:val="0"/>
                <w:sz w:val="21"/>
                <w:szCs w:val="21"/>
                <w:highlight w:val="none"/>
                <w:lang w:val="en-US" w:eastAsia="zh-CN"/>
              </w:rPr>
              <w:t>银行资信评（等）级</w:t>
            </w:r>
            <w:r>
              <w:rPr>
                <w:rFonts w:hint="eastAsia" w:hAnsi="宋体" w:eastAsia="宋体" w:cs="宋体"/>
                <w:b w:val="0"/>
                <w:bCs w:val="0"/>
                <w:strike w:val="0"/>
                <w:dstrike w:val="0"/>
                <w:snapToGrid w:val="0"/>
                <w:color w:val="auto"/>
                <w:kern w:val="0"/>
                <w:sz w:val="21"/>
                <w:szCs w:val="21"/>
                <w:highlight w:val="none"/>
                <w:lang w:val="en-US" w:eastAsia="zh-CN"/>
              </w:rPr>
              <w:t>为</w:t>
            </w:r>
            <w:r>
              <w:rPr>
                <w:rFonts w:hint="eastAsia" w:ascii="宋体" w:hAnsi="宋体" w:eastAsia="宋体" w:cs="宋体"/>
                <w:b w:val="0"/>
                <w:bCs w:val="0"/>
                <w:strike w:val="0"/>
                <w:dstrike w:val="0"/>
                <w:snapToGrid w:val="0"/>
                <w:color w:val="auto"/>
                <w:kern w:val="0"/>
                <w:sz w:val="21"/>
                <w:szCs w:val="21"/>
                <w:highlight w:val="none"/>
                <w:lang w:val="en-US" w:eastAsia="zh-CN"/>
              </w:rPr>
              <w:t>A（含A＋、A－）的，得</w:t>
            </w:r>
            <w:r>
              <w:rPr>
                <w:rFonts w:hint="eastAsia" w:ascii="宋体" w:hAnsi="宋体" w:eastAsia="宋体" w:cs="宋体"/>
                <w:b w:val="0"/>
                <w:bCs w:val="0"/>
                <w:strike w:val="0"/>
                <w:dstrike w:val="0"/>
                <w:snapToGrid w:val="0"/>
                <w:color w:val="auto"/>
                <w:kern w:val="0"/>
                <w:sz w:val="21"/>
                <w:szCs w:val="21"/>
                <w:highlight w:val="none"/>
                <w:u w:val="single"/>
                <w:lang w:val="en-US" w:eastAsia="zh-CN"/>
              </w:rPr>
              <w:t xml:space="preserve"> 1 </w:t>
            </w:r>
            <w:r>
              <w:rPr>
                <w:rFonts w:hint="eastAsia" w:ascii="宋体" w:hAnsi="宋体" w:eastAsia="宋体" w:cs="宋体"/>
                <w:b w:val="0"/>
                <w:bCs w:val="0"/>
                <w:strike w:val="0"/>
                <w:dstrike w:val="0"/>
                <w:snapToGrid w:val="0"/>
                <w:color w:val="auto"/>
                <w:kern w:val="0"/>
                <w:sz w:val="21"/>
                <w:szCs w:val="21"/>
                <w:highlight w:val="none"/>
                <w:lang w:val="en-US" w:eastAsia="zh-CN"/>
              </w:rPr>
              <w:t>分。</w:t>
            </w:r>
          </w:p>
          <w:p w14:paraId="6D54052A">
            <w:pPr>
              <w:pStyle w:val="8"/>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Lines="0" w:afterAutospacing="0" w:line="360" w:lineRule="exact"/>
              <w:ind w:left="0" w:right="0"/>
              <w:textAlignment w:val="auto"/>
              <w:rPr>
                <w:rFonts w:hint="eastAsia" w:ascii="宋体" w:hAnsi="宋体" w:eastAsia="宋体" w:cs="宋体"/>
                <w:b w:val="0"/>
                <w:bCs w:val="0"/>
                <w:strike w:val="0"/>
                <w:dstrike w:val="0"/>
                <w:snapToGrid w:val="0"/>
                <w:color w:val="auto"/>
                <w:kern w:val="0"/>
                <w:sz w:val="21"/>
                <w:szCs w:val="21"/>
                <w:highlight w:val="none"/>
                <w:lang w:val="en-US" w:eastAsia="zh-CN"/>
              </w:rPr>
            </w:pPr>
            <w:r>
              <w:rPr>
                <w:rFonts w:hint="eastAsia" w:hAnsi="宋体" w:eastAsia="宋体" w:cs="宋体"/>
                <w:b w:val="0"/>
                <w:bCs w:val="0"/>
                <w:strike w:val="0"/>
                <w:dstrike w:val="0"/>
                <w:snapToGrid w:val="0"/>
                <w:color w:val="auto"/>
                <w:kern w:val="0"/>
                <w:sz w:val="21"/>
                <w:szCs w:val="21"/>
                <w:highlight w:val="none"/>
                <w:lang w:val="en-US" w:eastAsia="zh-CN"/>
              </w:rPr>
              <w:t>4.</w:t>
            </w:r>
            <w:r>
              <w:rPr>
                <w:rFonts w:hint="eastAsia" w:ascii="宋体" w:hAnsi="宋体" w:eastAsia="宋体" w:cs="宋体"/>
                <w:b w:val="0"/>
                <w:bCs w:val="0"/>
                <w:strike w:val="0"/>
                <w:dstrike w:val="0"/>
                <w:snapToGrid w:val="0"/>
                <w:color w:val="auto"/>
                <w:kern w:val="0"/>
                <w:sz w:val="21"/>
                <w:szCs w:val="21"/>
                <w:highlight w:val="none"/>
                <w:lang w:val="en-US" w:eastAsia="zh-CN"/>
              </w:rPr>
              <w:t>未获得过以上评（等）级的，或评级证书无效的，不予计分。</w:t>
            </w:r>
          </w:p>
          <w:p w14:paraId="5CAC383F">
            <w:pPr>
              <w:pStyle w:val="8"/>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Lines="0" w:afterAutospacing="0" w:line="360" w:lineRule="exact"/>
              <w:ind w:left="0" w:right="0"/>
              <w:textAlignment w:val="auto"/>
              <w:rPr>
                <w:rFonts w:hint="eastAsia" w:ascii="宋体" w:hAnsi="宋体" w:eastAsia="宋体" w:cs="宋体"/>
                <w:color w:val="auto"/>
                <w:sz w:val="22"/>
                <w:szCs w:val="22"/>
                <w:highlight w:val="none"/>
              </w:rPr>
            </w:pPr>
            <w:r>
              <w:rPr>
                <w:rFonts w:hint="eastAsia" w:ascii="宋体" w:hAnsi="宋体" w:eastAsia="宋体" w:cs="宋体"/>
                <w:b w:val="0"/>
                <w:bCs w:val="0"/>
                <w:strike w:val="0"/>
                <w:dstrike w:val="0"/>
                <w:color w:val="auto"/>
                <w:sz w:val="21"/>
                <w:szCs w:val="21"/>
                <w:highlight w:val="none"/>
                <w:u w:val="none"/>
                <w:lang w:val="en-US" w:eastAsia="zh-CN"/>
              </w:rPr>
              <w:t>注：本项最高得5分。</w:t>
            </w:r>
          </w:p>
        </w:tc>
        <w:tc>
          <w:tcPr>
            <w:tcW w:w="3882" w:type="dxa"/>
            <w:tcBorders>
              <w:top w:val="single" w:color="auto" w:sz="4" w:space="0"/>
              <w:left w:val="single" w:color="auto" w:sz="4" w:space="0"/>
              <w:bottom w:val="single" w:color="auto" w:sz="4" w:space="0"/>
              <w:right w:val="single" w:color="auto" w:sz="4" w:space="0"/>
              <w:tl2br w:val="nil"/>
              <w:tr2bl w:val="nil"/>
            </w:tcBorders>
            <w:vAlign w:val="center"/>
          </w:tcPr>
          <w:p w14:paraId="498BB9FB">
            <w:pPr>
              <w:keepNext w:val="0"/>
              <w:keepLines w:val="0"/>
              <w:pageBreakBefore w:val="0"/>
              <w:suppressLineNumbers w:val="0"/>
              <w:kinsoku/>
              <w:overflowPunct/>
              <w:topLinePunct w:val="0"/>
              <w:autoSpaceDE/>
              <w:autoSpaceDN/>
              <w:bidi w:val="0"/>
              <w:adjustRightInd w:val="0"/>
              <w:snapToGrid w:val="0"/>
              <w:spacing w:before="0" w:beforeAutospacing="0" w:after="0" w:afterAutospacing="0" w:line="240" w:lineRule="auto"/>
              <w:ind w:left="0" w:right="0"/>
              <w:rPr>
                <w:rFonts w:hint="eastAsia" w:ascii="宋体" w:hAnsi="宋体" w:eastAsia="宋体" w:cs="宋体"/>
                <w:snapToGrid w:val="0"/>
                <w:color w:val="auto"/>
                <w:kern w:val="0"/>
                <w:sz w:val="21"/>
                <w:szCs w:val="21"/>
                <w:highlight w:val="none"/>
                <w:lang w:val="en-US" w:eastAsia="zh-CN"/>
              </w:rPr>
            </w:pPr>
            <w:r>
              <w:rPr>
                <w:rFonts w:hint="eastAsia" w:hAnsi="宋体" w:eastAsia="宋体" w:cs="宋体"/>
                <w:b w:val="0"/>
                <w:bCs w:val="0"/>
                <w:strike w:val="0"/>
                <w:dstrike w:val="0"/>
                <w:snapToGrid w:val="0"/>
                <w:color w:val="auto"/>
                <w:kern w:val="0"/>
                <w:sz w:val="21"/>
                <w:szCs w:val="21"/>
                <w:highlight w:val="none"/>
                <w:lang w:val="en-US" w:eastAsia="zh-CN"/>
              </w:rPr>
              <w:t>1.</w:t>
            </w:r>
            <w:r>
              <w:rPr>
                <w:rFonts w:hint="eastAsia" w:ascii="宋体" w:hAnsi="宋体" w:eastAsia="宋体" w:cs="宋体"/>
                <w:snapToGrid w:val="0"/>
                <w:color w:val="auto"/>
                <w:kern w:val="0"/>
                <w:sz w:val="21"/>
                <w:szCs w:val="21"/>
                <w:highlight w:val="none"/>
                <w:lang w:val="en-US" w:eastAsia="zh-CN"/>
              </w:rPr>
              <w:t>需附在有效期内的资信评（等）级证书（证明）彩色扫描件。</w:t>
            </w:r>
            <w:r>
              <w:rPr>
                <w:rFonts w:hint="eastAsia" w:ascii="宋体" w:hAnsi="宋体" w:eastAsia="宋体" w:cs="宋体"/>
                <w:b/>
                <w:bCs/>
                <w:color w:val="auto"/>
                <w:sz w:val="21"/>
                <w:szCs w:val="21"/>
                <w:highlight w:val="none"/>
                <w:lang w:val="en-US" w:eastAsia="zh-CN"/>
              </w:rPr>
              <w:t>组成联合体时由联合体牵头人提交。</w:t>
            </w:r>
          </w:p>
          <w:p w14:paraId="7C14A791">
            <w:pPr>
              <w:keepNext w:val="0"/>
              <w:keepLines w:val="0"/>
              <w:pageBreakBefore w:val="0"/>
              <w:suppressLineNumbers w:val="0"/>
              <w:kinsoku/>
              <w:overflowPunct/>
              <w:topLinePunct w:val="0"/>
              <w:autoSpaceDE/>
              <w:autoSpaceDN/>
              <w:bidi w:val="0"/>
              <w:adjustRightInd w:val="0"/>
              <w:snapToGrid w:val="0"/>
              <w:spacing w:before="0" w:beforeAutospacing="0" w:after="0" w:afterAutospacing="0" w:line="240" w:lineRule="auto"/>
              <w:ind w:left="0" w:right="0"/>
              <w:rPr>
                <w:rFonts w:hint="eastAsia" w:ascii="宋体" w:hAnsi="宋体" w:eastAsia="宋体" w:cs="宋体"/>
                <w:snapToGrid w:val="0"/>
                <w:color w:val="auto"/>
                <w:kern w:val="0"/>
                <w:sz w:val="21"/>
                <w:szCs w:val="21"/>
                <w:highlight w:val="none"/>
                <w:lang w:val="en-US" w:eastAsia="zh-CN"/>
              </w:rPr>
            </w:pPr>
            <w:r>
              <w:rPr>
                <w:rFonts w:hint="eastAsia" w:hAnsi="宋体" w:eastAsia="宋体" w:cs="宋体"/>
                <w:snapToGrid w:val="0"/>
                <w:color w:val="auto"/>
                <w:kern w:val="0"/>
                <w:sz w:val="21"/>
                <w:szCs w:val="21"/>
                <w:highlight w:val="none"/>
                <w:lang w:val="en-US" w:eastAsia="zh-CN"/>
              </w:rPr>
              <w:t>2.</w:t>
            </w:r>
            <w:r>
              <w:rPr>
                <w:rFonts w:hint="eastAsia" w:ascii="宋体" w:hAnsi="宋体" w:eastAsia="宋体" w:cs="宋体"/>
                <w:snapToGrid w:val="0"/>
                <w:color w:val="auto"/>
                <w:kern w:val="0"/>
                <w:sz w:val="21"/>
                <w:szCs w:val="21"/>
                <w:highlight w:val="none"/>
                <w:lang w:val="en-US" w:eastAsia="zh-CN"/>
              </w:rPr>
              <w:t>评（等）级证书（证明）须由企业基本账户开户银行出具。</w:t>
            </w:r>
          </w:p>
          <w:p w14:paraId="76BEE238">
            <w:pPr>
              <w:keepNext w:val="0"/>
              <w:keepLines w:val="0"/>
              <w:pageBreakBefore w:val="0"/>
              <w:suppressLineNumbers w:val="0"/>
              <w:kinsoku/>
              <w:overflowPunct/>
              <w:topLinePunct w:val="0"/>
              <w:autoSpaceDE/>
              <w:autoSpaceDN/>
              <w:bidi w:val="0"/>
              <w:adjustRightInd w:val="0"/>
              <w:snapToGrid w:val="0"/>
              <w:spacing w:before="0" w:beforeAutospacing="0" w:after="0" w:afterAutospacing="0" w:line="240" w:lineRule="auto"/>
              <w:ind w:left="0" w:right="0"/>
              <w:rPr>
                <w:rFonts w:hint="eastAsia" w:ascii="宋体" w:hAnsi="宋体" w:eastAsia="宋体" w:cs="宋体"/>
                <w:snapToGrid w:val="0"/>
                <w:color w:val="auto"/>
                <w:kern w:val="0"/>
                <w:sz w:val="21"/>
                <w:szCs w:val="21"/>
                <w:highlight w:val="none"/>
                <w:lang w:val="en-US" w:eastAsia="zh-CN"/>
              </w:rPr>
            </w:pPr>
            <w:r>
              <w:rPr>
                <w:rFonts w:hint="eastAsia" w:hAnsi="宋体" w:eastAsia="宋体" w:cs="宋体"/>
                <w:snapToGrid w:val="0"/>
                <w:color w:val="auto"/>
                <w:kern w:val="0"/>
                <w:sz w:val="21"/>
                <w:szCs w:val="21"/>
                <w:highlight w:val="none"/>
                <w:lang w:val="en-US" w:eastAsia="zh-CN"/>
              </w:rPr>
              <w:t>3.</w:t>
            </w:r>
            <w:r>
              <w:rPr>
                <w:rFonts w:hint="eastAsia" w:ascii="宋体" w:hAnsi="宋体" w:eastAsia="宋体" w:cs="宋体"/>
                <w:snapToGrid w:val="0"/>
                <w:color w:val="auto"/>
                <w:kern w:val="0"/>
                <w:sz w:val="21"/>
                <w:szCs w:val="21"/>
                <w:highlight w:val="none"/>
                <w:lang w:val="en-US" w:eastAsia="zh-CN"/>
              </w:rPr>
              <w:t>评（等）级证书（证明）有以下情形之一的，视为无效：</w:t>
            </w:r>
          </w:p>
          <w:p w14:paraId="671DAA15">
            <w:pPr>
              <w:keepNext w:val="0"/>
              <w:keepLines w:val="0"/>
              <w:pageBreakBefore w:val="0"/>
              <w:suppressLineNumbers w:val="0"/>
              <w:kinsoku/>
              <w:overflowPunct/>
              <w:topLinePunct w:val="0"/>
              <w:autoSpaceDE/>
              <w:autoSpaceDN/>
              <w:bidi w:val="0"/>
              <w:adjustRightInd w:val="0"/>
              <w:snapToGrid w:val="0"/>
              <w:spacing w:before="0" w:beforeAutospacing="0" w:after="0" w:afterAutospacing="0" w:line="240" w:lineRule="auto"/>
              <w:ind w:left="0" w:right="0"/>
              <w:rPr>
                <w:rFonts w:hint="eastAsia" w:ascii="宋体" w:hAnsi="宋体" w:eastAsia="宋体" w:cs="宋体"/>
                <w:snapToGrid w:val="0"/>
                <w:color w:val="auto"/>
                <w:kern w:val="0"/>
                <w:sz w:val="21"/>
                <w:szCs w:val="21"/>
                <w:highlight w:val="none"/>
                <w:lang w:val="en-US" w:eastAsia="zh-CN"/>
              </w:rPr>
            </w:pPr>
            <w:r>
              <w:rPr>
                <w:rFonts w:hint="eastAsia" w:ascii="宋体" w:hAnsi="宋体" w:eastAsia="宋体" w:cs="宋体"/>
                <w:snapToGrid w:val="0"/>
                <w:color w:val="auto"/>
                <w:kern w:val="0"/>
                <w:sz w:val="21"/>
                <w:szCs w:val="21"/>
                <w:highlight w:val="none"/>
                <w:lang w:val="en-US" w:eastAsia="zh-CN"/>
              </w:rPr>
              <w:t>①评（等）级证书（证明）不在有效期内的；</w:t>
            </w:r>
          </w:p>
          <w:p w14:paraId="48980165">
            <w:pPr>
              <w:keepNext w:val="0"/>
              <w:keepLines w:val="0"/>
              <w:pageBreakBefore w:val="0"/>
              <w:suppressLineNumbers w:val="0"/>
              <w:kinsoku/>
              <w:overflowPunct/>
              <w:topLinePunct w:val="0"/>
              <w:autoSpaceDE/>
              <w:autoSpaceDN/>
              <w:bidi w:val="0"/>
              <w:adjustRightInd w:val="0"/>
              <w:snapToGrid w:val="0"/>
              <w:spacing w:before="0" w:beforeAutospacing="0" w:after="0" w:afterAutospacing="0" w:line="240" w:lineRule="auto"/>
              <w:ind w:left="0" w:right="0"/>
              <w:rPr>
                <w:rFonts w:hint="eastAsia" w:ascii="宋体" w:hAnsi="宋体" w:eastAsia="宋体" w:cs="宋体"/>
                <w:snapToGrid w:val="0"/>
                <w:color w:val="auto"/>
                <w:kern w:val="0"/>
                <w:sz w:val="22"/>
                <w:szCs w:val="22"/>
                <w:highlight w:val="none"/>
              </w:rPr>
            </w:pPr>
            <w:r>
              <w:rPr>
                <w:rFonts w:hint="eastAsia" w:ascii="宋体" w:hAnsi="宋体" w:eastAsia="宋体" w:cs="宋体"/>
                <w:snapToGrid w:val="0"/>
                <w:color w:val="auto"/>
                <w:kern w:val="0"/>
                <w:sz w:val="21"/>
                <w:szCs w:val="21"/>
                <w:highlight w:val="none"/>
                <w:lang w:val="en-US" w:eastAsia="zh-CN"/>
              </w:rPr>
              <w:t>②出具机构不符合要求的。</w:t>
            </w:r>
          </w:p>
        </w:tc>
      </w:tr>
      <w:tr w14:paraId="4F6626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49" w:hRule="atLeast"/>
          <w:jc w:val="center"/>
        </w:trPr>
        <w:tc>
          <w:tcPr>
            <w:tcW w:w="1023" w:type="dxa"/>
            <w:vMerge w:val="continue"/>
            <w:tcBorders>
              <w:top w:val="single" w:color="auto" w:sz="4" w:space="0"/>
              <w:left w:val="single" w:color="auto" w:sz="4" w:space="0"/>
              <w:bottom w:val="single" w:color="auto" w:sz="4" w:space="0"/>
              <w:right w:val="single" w:color="auto" w:sz="4" w:space="0"/>
              <w:tl2br w:val="nil"/>
              <w:tr2bl w:val="nil"/>
            </w:tcBorders>
            <w:vAlign w:val="center"/>
          </w:tcPr>
          <w:p w14:paraId="17C8D451">
            <w:pPr>
              <w:keepNext w:val="0"/>
              <w:keepLines w:val="0"/>
              <w:pageBreakBefore w:val="0"/>
              <w:widowControl/>
              <w:suppressLineNumbers w:val="0"/>
              <w:kinsoku/>
              <w:overflowPunct/>
              <w:topLinePunct w:val="0"/>
              <w:autoSpaceDE/>
              <w:autoSpaceDN/>
              <w:bidi w:val="0"/>
              <w:spacing w:before="0" w:beforeLines="0" w:beforeAutospacing="0" w:after="0" w:afterLines="0" w:afterAutospacing="0" w:line="240" w:lineRule="auto"/>
              <w:ind w:left="0" w:right="0"/>
              <w:jc w:val="left"/>
              <w:rPr>
                <w:rFonts w:hint="eastAsia" w:ascii="宋体" w:hAnsi="宋体" w:eastAsia="宋体" w:cs="宋体"/>
                <w:color w:val="auto"/>
                <w:kern w:val="0"/>
                <w:sz w:val="22"/>
                <w:szCs w:val="22"/>
                <w:highlight w:val="none"/>
              </w:rPr>
            </w:pPr>
          </w:p>
        </w:tc>
        <w:tc>
          <w:tcPr>
            <w:tcW w:w="1021" w:type="dxa"/>
            <w:vMerge w:val="continue"/>
            <w:tcBorders>
              <w:top w:val="single" w:color="auto" w:sz="4" w:space="0"/>
              <w:left w:val="single" w:color="auto" w:sz="4" w:space="0"/>
              <w:bottom w:val="single" w:color="auto" w:sz="4" w:space="0"/>
              <w:right w:val="single" w:color="auto" w:sz="4" w:space="0"/>
              <w:tl2br w:val="nil"/>
              <w:tr2bl w:val="nil"/>
            </w:tcBorders>
            <w:vAlign w:val="center"/>
          </w:tcPr>
          <w:p w14:paraId="7A51599A">
            <w:pPr>
              <w:keepNext w:val="0"/>
              <w:keepLines w:val="0"/>
              <w:pageBreakBefore w:val="0"/>
              <w:widowControl/>
              <w:suppressLineNumbers w:val="0"/>
              <w:kinsoku/>
              <w:overflowPunct/>
              <w:topLinePunct w:val="0"/>
              <w:autoSpaceDE/>
              <w:autoSpaceDN/>
              <w:bidi w:val="0"/>
              <w:spacing w:before="0" w:beforeLines="0" w:beforeAutospacing="0" w:after="0" w:afterLines="0" w:afterAutospacing="0" w:line="240" w:lineRule="auto"/>
              <w:ind w:left="0" w:right="0"/>
              <w:jc w:val="left"/>
              <w:rPr>
                <w:rFonts w:hint="eastAsia" w:ascii="宋体" w:hAnsi="宋体" w:eastAsia="宋体" w:cs="宋体"/>
                <w:color w:val="auto"/>
                <w:kern w:val="0"/>
                <w:sz w:val="22"/>
                <w:szCs w:val="22"/>
                <w:highlight w:val="none"/>
              </w:rPr>
            </w:pPr>
          </w:p>
        </w:tc>
        <w:tc>
          <w:tcPr>
            <w:tcW w:w="924" w:type="dxa"/>
            <w:vMerge w:val="restart"/>
            <w:tcBorders>
              <w:top w:val="single" w:color="auto" w:sz="4" w:space="0"/>
              <w:left w:val="single" w:color="auto" w:sz="4" w:space="0"/>
              <w:right w:val="single" w:color="auto" w:sz="4" w:space="0"/>
              <w:tl2br w:val="nil"/>
              <w:tr2bl w:val="nil"/>
            </w:tcBorders>
            <w:vAlign w:val="center"/>
          </w:tcPr>
          <w:p w14:paraId="776DE920">
            <w:pPr>
              <w:pStyle w:val="8"/>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rPr>
                <w:rFonts w:hint="eastAsia" w:ascii="宋体" w:hAnsi="宋体" w:eastAsia="宋体" w:cs="宋体"/>
                <w:color w:val="auto"/>
                <w:sz w:val="22"/>
                <w:szCs w:val="22"/>
                <w:highlight w:val="none"/>
              </w:rPr>
            </w:pPr>
            <w:r>
              <w:rPr>
                <w:rFonts w:hint="eastAsia" w:ascii="宋体" w:hAnsi="宋体" w:eastAsia="宋体" w:cs="宋体"/>
                <w:b w:val="0"/>
                <w:bCs w:val="0"/>
                <w:color w:val="auto"/>
                <w:sz w:val="21"/>
                <w:szCs w:val="21"/>
                <w:highlight w:val="none"/>
                <w:lang w:val="en-US" w:eastAsia="zh-CN"/>
              </w:rPr>
              <w:t>企业荣誉</w:t>
            </w:r>
            <w:r>
              <w:rPr>
                <w:rFonts w:hint="eastAsia" w:ascii="宋体" w:hAnsi="宋体" w:eastAsia="宋体" w:cs="宋体"/>
                <w:b w:val="0"/>
                <w:bCs w:val="0"/>
                <w:color w:val="auto"/>
                <w:sz w:val="21"/>
                <w:szCs w:val="21"/>
                <w:highlight w:val="none"/>
              </w:rPr>
              <w:t>（</w:t>
            </w:r>
            <w:r>
              <w:rPr>
                <w:rFonts w:hint="eastAsia" w:ascii="宋体" w:hAnsi="宋体" w:eastAsia="宋体" w:cs="宋体"/>
                <w:b w:val="0"/>
                <w:bCs w:val="0"/>
                <w:color w:val="auto"/>
                <w:sz w:val="21"/>
                <w:szCs w:val="21"/>
                <w:highlight w:val="none"/>
                <w:lang w:val="en-US" w:eastAsia="zh-CN"/>
              </w:rPr>
              <w:t>25</w:t>
            </w:r>
            <w:r>
              <w:rPr>
                <w:rFonts w:hint="eastAsia" w:ascii="宋体" w:hAnsi="宋体" w:eastAsia="宋体" w:cs="宋体"/>
                <w:b w:val="0"/>
                <w:bCs w:val="0"/>
                <w:color w:val="auto"/>
                <w:sz w:val="21"/>
                <w:szCs w:val="21"/>
                <w:highlight w:val="none"/>
              </w:rPr>
              <w:t>分）</w:t>
            </w:r>
          </w:p>
        </w:tc>
        <w:tc>
          <w:tcPr>
            <w:tcW w:w="3558" w:type="dxa"/>
            <w:tcBorders>
              <w:top w:val="single" w:color="auto" w:sz="4" w:space="0"/>
              <w:left w:val="single" w:color="auto" w:sz="4" w:space="0"/>
              <w:bottom w:val="single" w:color="auto" w:sz="4" w:space="0"/>
              <w:right w:val="single" w:color="auto" w:sz="4" w:space="0"/>
              <w:tl2br w:val="nil"/>
              <w:tr2bl w:val="nil"/>
            </w:tcBorders>
            <w:vAlign w:val="center"/>
          </w:tcPr>
          <w:p w14:paraId="69E785E0">
            <w:pPr>
              <w:keepNext w:val="0"/>
              <w:keepLines w:val="0"/>
              <w:pageBreakBefore w:val="0"/>
              <w:widowControl/>
              <w:suppressLineNumbers w:val="0"/>
              <w:kinsoku/>
              <w:overflowPunct/>
              <w:topLinePunct w:val="0"/>
              <w:autoSpaceDE/>
              <w:autoSpaceDN/>
              <w:bidi w:val="0"/>
              <w:adjustRightInd w:val="0"/>
              <w:snapToGrid w:val="0"/>
              <w:spacing w:before="0" w:beforeAutospacing="0" w:after="0" w:afterAutospacing="0" w:line="240" w:lineRule="auto"/>
              <w:ind w:left="0" w:right="-18" w:rightChars="0"/>
              <w:jc w:val="left"/>
              <w:rPr>
                <w:rFonts w:hint="eastAsia" w:ascii="宋体" w:hAnsi="宋体" w:eastAsia="宋体" w:cs="宋体"/>
                <w:b w:val="0"/>
                <w:bCs w:val="0"/>
                <w:snapToGrid w:val="0"/>
                <w:color w:val="auto"/>
                <w:kern w:val="0"/>
                <w:sz w:val="21"/>
                <w:szCs w:val="21"/>
                <w:highlight w:val="none"/>
                <w:lang w:val="en-US" w:eastAsia="zh-CN"/>
              </w:rPr>
            </w:pPr>
            <w:r>
              <w:rPr>
                <w:rFonts w:hint="eastAsia" w:ascii="宋体" w:hAnsi="宋体" w:eastAsia="宋体" w:cs="宋体"/>
                <w:b w:val="0"/>
                <w:bCs w:val="0"/>
                <w:snapToGrid w:val="0"/>
                <w:color w:val="auto"/>
                <w:kern w:val="0"/>
                <w:sz w:val="21"/>
                <w:szCs w:val="21"/>
                <w:highlight w:val="none"/>
                <w:lang w:val="en-US" w:eastAsia="zh-CN" w:bidi="ar"/>
              </w:rPr>
              <w:t>1.近5年来（2021年1月1日至今）</w:t>
            </w:r>
            <w:r>
              <w:rPr>
                <w:rFonts w:hint="eastAsia" w:hAnsi="宋体" w:eastAsia="宋体" w:cs="宋体"/>
                <w:b w:val="0"/>
                <w:bCs w:val="0"/>
                <w:snapToGrid w:val="0"/>
                <w:color w:val="auto"/>
                <w:kern w:val="0"/>
                <w:sz w:val="21"/>
                <w:szCs w:val="21"/>
                <w:highlight w:val="none"/>
                <w:lang w:val="en-US" w:eastAsia="zh-CN" w:bidi="ar"/>
              </w:rPr>
              <w:t>，企业</w:t>
            </w:r>
            <w:r>
              <w:rPr>
                <w:rFonts w:hint="eastAsia" w:ascii="宋体" w:hAnsi="宋体" w:eastAsia="宋体" w:cs="宋体"/>
                <w:b w:val="0"/>
                <w:bCs w:val="0"/>
                <w:snapToGrid w:val="0"/>
                <w:color w:val="auto"/>
                <w:kern w:val="0"/>
                <w:sz w:val="21"/>
                <w:szCs w:val="21"/>
                <w:highlight w:val="none"/>
                <w:lang w:val="en-US" w:eastAsia="zh-CN" w:bidi="ar"/>
              </w:rPr>
              <w:t>连续三年以上（含三年）获得</w:t>
            </w:r>
            <w:r>
              <w:rPr>
                <w:rFonts w:hint="eastAsia" w:ascii="宋体" w:hAnsi="宋体" w:eastAsia="宋体" w:cs="宋体"/>
                <w:b w:val="0"/>
                <w:bCs w:val="0"/>
                <w:snapToGrid w:val="0"/>
                <w:color w:val="auto"/>
                <w:kern w:val="0"/>
                <w:sz w:val="21"/>
                <w:szCs w:val="21"/>
                <w:highlight w:val="none"/>
                <w:lang w:val="en-US" w:eastAsia="zh-CN"/>
              </w:rPr>
              <w:t>过地市级或以上建筑协会颁发</w:t>
            </w:r>
            <w:r>
              <w:rPr>
                <w:rFonts w:hint="eastAsia" w:hAnsi="宋体" w:eastAsia="宋体" w:cs="宋体"/>
                <w:b w:val="0"/>
                <w:bCs w:val="0"/>
                <w:snapToGrid w:val="0"/>
                <w:color w:val="auto"/>
                <w:kern w:val="0"/>
                <w:sz w:val="21"/>
                <w:szCs w:val="21"/>
                <w:highlight w:val="none"/>
                <w:lang w:val="en-US" w:eastAsia="zh-CN"/>
              </w:rPr>
              <w:t>的</w:t>
            </w:r>
            <w:r>
              <w:rPr>
                <w:rFonts w:hint="eastAsia" w:ascii="宋体" w:hAnsi="宋体" w:eastAsia="宋体" w:cs="宋体"/>
                <w:b w:val="0"/>
                <w:bCs w:val="0"/>
                <w:snapToGrid w:val="0"/>
                <w:color w:val="auto"/>
                <w:kern w:val="0"/>
                <w:sz w:val="21"/>
                <w:szCs w:val="21"/>
                <w:highlight w:val="none"/>
                <w:lang w:val="en-US" w:eastAsia="zh-CN"/>
              </w:rPr>
              <w:t>优秀典型施工企业的，得5分。</w:t>
            </w:r>
          </w:p>
          <w:p w14:paraId="07AFBD27">
            <w:pPr>
              <w:keepNext w:val="0"/>
              <w:keepLines w:val="0"/>
              <w:pageBreakBefore w:val="0"/>
              <w:widowControl/>
              <w:suppressLineNumbers w:val="0"/>
              <w:kinsoku/>
              <w:overflowPunct/>
              <w:topLinePunct w:val="0"/>
              <w:autoSpaceDE/>
              <w:autoSpaceDN/>
              <w:bidi w:val="0"/>
              <w:adjustRightInd w:val="0"/>
              <w:snapToGrid w:val="0"/>
              <w:spacing w:before="0" w:beforeAutospacing="0" w:after="0" w:afterAutospacing="0" w:line="240" w:lineRule="auto"/>
              <w:ind w:left="0" w:right="12" w:rightChars="0"/>
              <w:jc w:val="left"/>
              <w:rPr>
                <w:rFonts w:hint="eastAsia" w:ascii="宋体" w:hAnsi="宋体" w:eastAsia="宋体" w:cs="宋体"/>
                <w:color w:val="auto"/>
                <w:sz w:val="22"/>
                <w:szCs w:val="22"/>
                <w:highlight w:val="none"/>
              </w:rPr>
            </w:pPr>
            <w:r>
              <w:rPr>
                <w:rFonts w:hint="eastAsia" w:ascii="宋体" w:hAnsi="宋体" w:eastAsia="宋体" w:cs="宋体"/>
                <w:b w:val="0"/>
                <w:bCs w:val="0"/>
                <w:snapToGrid w:val="0"/>
                <w:color w:val="auto"/>
                <w:kern w:val="0"/>
                <w:sz w:val="21"/>
                <w:szCs w:val="21"/>
                <w:highlight w:val="none"/>
                <w:lang w:val="en-US" w:eastAsia="zh-CN"/>
              </w:rPr>
              <w:t>2.本项最高得5分。</w:t>
            </w:r>
          </w:p>
        </w:tc>
        <w:tc>
          <w:tcPr>
            <w:tcW w:w="3882" w:type="dxa"/>
            <w:tcBorders>
              <w:top w:val="single" w:color="auto" w:sz="4" w:space="0"/>
              <w:left w:val="single" w:color="auto" w:sz="4" w:space="0"/>
              <w:bottom w:val="single" w:color="auto" w:sz="4" w:space="0"/>
              <w:right w:val="single" w:color="auto" w:sz="4" w:space="0"/>
              <w:tl2br w:val="nil"/>
              <w:tr2bl w:val="nil"/>
            </w:tcBorders>
            <w:vAlign w:val="center"/>
          </w:tcPr>
          <w:p w14:paraId="2077A6BA">
            <w:pPr>
              <w:keepNext w:val="0"/>
              <w:keepLines w:val="0"/>
              <w:pageBreakBefore w:val="0"/>
              <w:suppressLineNumbers w:val="0"/>
              <w:kinsoku/>
              <w:overflowPunct/>
              <w:topLinePunct w:val="0"/>
              <w:autoSpaceDE/>
              <w:autoSpaceDN/>
              <w:bidi w:val="0"/>
              <w:adjustRightInd w:val="0"/>
              <w:snapToGrid w:val="0"/>
              <w:spacing w:before="0" w:beforeAutospacing="0" w:after="0" w:afterAutospacing="0" w:line="240" w:lineRule="auto"/>
              <w:ind w:left="0" w:right="0"/>
              <w:rPr>
                <w:rFonts w:hint="eastAsia" w:ascii="宋体" w:hAnsi="宋体" w:eastAsia="宋体" w:cs="宋体"/>
                <w:snapToGrid w:val="0"/>
                <w:color w:val="auto"/>
                <w:kern w:val="0"/>
                <w:sz w:val="21"/>
                <w:szCs w:val="21"/>
                <w:highlight w:val="none"/>
                <w:lang w:val="en-US" w:eastAsia="zh-CN"/>
              </w:rPr>
            </w:pPr>
            <w:r>
              <w:rPr>
                <w:rFonts w:hint="eastAsia" w:ascii="宋体" w:hAnsi="宋体" w:eastAsia="宋体" w:cs="宋体"/>
                <w:snapToGrid w:val="0"/>
                <w:color w:val="auto"/>
                <w:kern w:val="0"/>
                <w:sz w:val="21"/>
                <w:szCs w:val="21"/>
                <w:highlight w:val="none"/>
                <w:lang w:val="en-US" w:eastAsia="zh-CN" w:bidi="ar"/>
              </w:rPr>
              <w:t>1.需提供有关证书彩色扫描件。</w:t>
            </w:r>
            <w:r>
              <w:rPr>
                <w:rFonts w:hint="eastAsia" w:ascii="宋体" w:hAnsi="宋体" w:eastAsia="宋体" w:cs="宋体"/>
                <w:b/>
                <w:bCs/>
                <w:color w:val="auto"/>
                <w:sz w:val="21"/>
                <w:szCs w:val="21"/>
                <w:highlight w:val="none"/>
                <w:lang w:val="en-US" w:eastAsia="zh-CN"/>
              </w:rPr>
              <w:t>组成联合体时由联合体牵头人提交。</w:t>
            </w:r>
          </w:p>
          <w:p w14:paraId="36EC4DD2">
            <w:pPr>
              <w:pStyle w:val="8"/>
              <w:keepNext w:val="0"/>
              <w:keepLines w:val="0"/>
              <w:pageBreakBefore w:val="0"/>
              <w:widowControl/>
              <w:suppressLineNumbers w:val="0"/>
              <w:kinsoku/>
              <w:overflowPunct/>
              <w:topLinePunct w:val="0"/>
              <w:autoSpaceDE/>
              <w:autoSpaceDN/>
              <w:bidi w:val="0"/>
              <w:adjustRightInd w:val="0"/>
              <w:snapToGrid w:val="0"/>
              <w:spacing w:before="0" w:beforeAutospacing="0" w:after="0" w:afterAutospacing="0" w:line="240" w:lineRule="auto"/>
              <w:ind w:left="0" w:right="0"/>
              <w:rPr>
                <w:rFonts w:hint="eastAsia" w:ascii="宋体" w:hAnsi="宋体" w:eastAsia="宋体" w:cs="宋体"/>
                <w:color w:val="auto"/>
                <w:sz w:val="22"/>
                <w:szCs w:val="22"/>
                <w:highlight w:val="none"/>
              </w:rPr>
            </w:pPr>
            <w:r>
              <w:rPr>
                <w:rFonts w:hint="eastAsia" w:ascii="宋体" w:hAnsi="宋体" w:eastAsia="宋体" w:cs="宋体"/>
                <w:snapToGrid w:val="0"/>
                <w:color w:val="auto"/>
                <w:kern w:val="0"/>
                <w:sz w:val="21"/>
                <w:szCs w:val="21"/>
                <w:highlight w:val="none"/>
                <w:lang w:val="en-US" w:eastAsia="zh-CN" w:bidi="ar"/>
              </w:rPr>
              <w:t>2.提供建筑行业协会或建设行政主管部门网站截图。</w:t>
            </w:r>
          </w:p>
        </w:tc>
      </w:tr>
      <w:tr w14:paraId="7C16AF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75" w:hRule="atLeast"/>
          <w:jc w:val="center"/>
        </w:trPr>
        <w:tc>
          <w:tcPr>
            <w:tcW w:w="1023" w:type="dxa"/>
            <w:vMerge w:val="continue"/>
            <w:tcBorders>
              <w:top w:val="single" w:color="auto" w:sz="4" w:space="0"/>
              <w:left w:val="single" w:color="auto" w:sz="4" w:space="0"/>
              <w:bottom w:val="single" w:color="auto" w:sz="4" w:space="0"/>
              <w:right w:val="single" w:color="auto" w:sz="4" w:space="0"/>
              <w:tl2br w:val="nil"/>
              <w:tr2bl w:val="nil"/>
            </w:tcBorders>
            <w:vAlign w:val="center"/>
          </w:tcPr>
          <w:p w14:paraId="5CA30973">
            <w:pPr>
              <w:keepNext w:val="0"/>
              <w:keepLines w:val="0"/>
              <w:pageBreakBefore w:val="0"/>
              <w:widowControl/>
              <w:suppressLineNumbers w:val="0"/>
              <w:kinsoku/>
              <w:overflowPunct/>
              <w:topLinePunct w:val="0"/>
              <w:autoSpaceDE/>
              <w:autoSpaceDN/>
              <w:bidi w:val="0"/>
              <w:spacing w:before="0" w:beforeLines="0" w:beforeAutospacing="0" w:after="0" w:afterLines="0" w:afterAutospacing="0" w:line="240" w:lineRule="auto"/>
              <w:ind w:left="0" w:right="0"/>
              <w:jc w:val="left"/>
              <w:rPr>
                <w:rFonts w:hint="eastAsia" w:ascii="宋体" w:hAnsi="宋体" w:eastAsia="宋体" w:cs="宋体"/>
                <w:color w:val="auto"/>
                <w:kern w:val="0"/>
                <w:sz w:val="22"/>
                <w:szCs w:val="22"/>
                <w:highlight w:val="none"/>
              </w:rPr>
            </w:pPr>
          </w:p>
        </w:tc>
        <w:tc>
          <w:tcPr>
            <w:tcW w:w="1021" w:type="dxa"/>
            <w:vMerge w:val="continue"/>
            <w:tcBorders>
              <w:top w:val="single" w:color="auto" w:sz="4" w:space="0"/>
              <w:left w:val="single" w:color="auto" w:sz="4" w:space="0"/>
              <w:bottom w:val="single" w:color="auto" w:sz="4" w:space="0"/>
              <w:right w:val="single" w:color="auto" w:sz="4" w:space="0"/>
              <w:tl2br w:val="nil"/>
              <w:tr2bl w:val="nil"/>
            </w:tcBorders>
            <w:vAlign w:val="center"/>
          </w:tcPr>
          <w:p w14:paraId="373A6BB9">
            <w:pPr>
              <w:keepNext w:val="0"/>
              <w:keepLines w:val="0"/>
              <w:pageBreakBefore w:val="0"/>
              <w:widowControl/>
              <w:suppressLineNumbers w:val="0"/>
              <w:kinsoku/>
              <w:overflowPunct/>
              <w:topLinePunct w:val="0"/>
              <w:autoSpaceDE/>
              <w:autoSpaceDN/>
              <w:bidi w:val="0"/>
              <w:spacing w:before="0" w:beforeLines="0" w:beforeAutospacing="0" w:after="0" w:afterLines="0" w:afterAutospacing="0" w:line="240" w:lineRule="auto"/>
              <w:ind w:left="0" w:right="0"/>
              <w:jc w:val="left"/>
              <w:rPr>
                <w:rFonts w:hint="eastAsia" w:ascii="宋体" w:hAnsi="宋体" w:eastAsia="宋体" w:cs="宋体"/>
                <w:color w:val="auto"/>
                <w:kern w:val="0"/>
                <w:sz w:val="22"/>
                <w:szCs w:val="22"/>
                <w:highlight w:val="none"/>
              </w:rPr>
            </w:pPr>
          </w:p>
        </w:tc>
        <w:tc>
          <w:tcPr>
            <w:tcW w:w="924" w:type="dxa"/>
            <w:vMerge w:val="continue"/>
            <w:tcBorders>
              <w:left w:val="single" w:color="auto" w:sz="4" w:space="0"/>
              <w:right w:val="single" w:color="auto" w:sz="4" w:space="0"/>
              <w:tl2br w:val="nil"/>
              <w:tr2bl w:val="nil"/>
            </w:tcBorders>
            <w:vAlign w:val="center"/>
          </w:tcPr>
          <w:p w14:paraId="3660B71C">
            <w:pPr>
              <w:pStyle w:val="8"/>
              <w:keepNext w:val="0"/>
              <w:keepLines w:val="0"/>
              <w:pageBreakBefore w:val="0"/>
              <w:widowControl/>
              <w:suppressLineNumbers w:val="0"/>
              <w:kinsoku/>
              <w:overflowPunct/>
              <w:topLinePunct w:val="0"/>
              <w:autoSpaceDE/>
              <w:autoSpaceDN/>
              <w:bidi w:val="0"/>
              <w:adjustRightInd w:val="0"/>
              <w:snapToGrid w:val="0"/>
              <w:spacing w:before="0" w:beforeAutospacing="0" w:after="0" w:afterAutospacing="0" w:line="240" w:lineRule="auto"/>
              <w:ind w:left="0" w:right="0"/>
              <w:jc w:val="center"/>
              <w:rPr>
                <w:rFonts w:hint="eastAsia" w:ascii="宋体" w:hAnsi="宋体" w:eastAsia="宋体" w:cs="宋体"/>
                <w:color w:val="auto"/>
                <w:sz w:val="22"/>
                <w:szCs w:val="22"/>
                <w:highlight w:val="none"/>
              </w:rPr>
            </w:pPr>
          </w:p>
        </w:tc>
        <w:tc>
          <w:tcPr>
            <w:tcW w:w="3558" w:type="dxa"/>
            <w:tcBorders>
              <w:top w:val="single" w:color="auto" w:sz="4" w:space="0"/>
              <w:left w:val="single" w:color="auto" w:sz="4" w:space="0"/>
              <w:bottom w:val="single" w:color="auto" w:sz="4" w:space="0"/>
              <w:right w:val="single" w:color="auto" w:sz="4" w:space="0"/>
              <w:tl2br w:val="nil"/>
              <w:tr2bl w:val="nil"/>
            </w:tcBorders>
            <w:vAlign w:val="center"/>
          </w:tcPr>
          <w:p w14:paraId="3A914AF7">
            <w:pPr>
              <w:keepNext w:val="0"/>
              <w:keepLines w:val="0"/>
              <w:pageBreakBefore w:val="0"/>
              <w:widowControl/>
              <w:suppressLineNumbers w:val="0"/>
              <w:kinsoku/>
              <w:overflowPunct/>
              <w:topLinePunct w:val="0"/>
              <w:autoSpaceDE/>
              <w:autoSpaceDN/>
              <w:bidi w:val="0"/>
              <w:adjustRightInd w:val="0"/>
              <w:snapToGrid w:val="0"/>
              <w:spacing w:before="0" w:beforeAutospacing="0" w:after="0" w:afterAutospacing="0" w:line="240" w:lineRule="auto"/>
              <w:ind w:left="0" w:right="12"/>
              <w:jc w:val="left"/>
              <w:rPr>
                <w:rFonts w:hint="eastAsia" w:ascii="宋体" w:hAnsi="宋体" w:eastAsia="宋体" w:cs="宋体"/>
                <w:b w:val="0"/>
                <w:bCs w:val="0"/>
                <w:snapToGrid w:val="0"/>
                <w:color w:val="auto"/>
                <w:kern w:val="0"/>
                <w:sz w:val="21"/>
                <w:szCs w:val="21"/>
                <w:highlight w:val="none"/>
              </w:rPr>
            </w:pPr>
            <w:r>
              <w:rPr>
                <w:rFonts w:hint="eastAsia" w:ascii="宋体" w:hAnsi="宋体" w:eastAsia="宋体" w:cs="宋体"/>
                <w:b w:val="0"/>
                <w:bCs w:val="0"/>
                <w:snapToGrid w:val="0"/>
                <w:color w:val="auto"/>
                <w:kern w:val="0"/>
                <w:sz w:val="21"/>
                <w:szCs w:val="21"/>
                <w:highlight w:val="none"/>
                <w:lang w:val="en-US" w:eastAsia="zh-CN"/>
              </w:rPr>
              <w:t>1.</w:t>
            </w:r>
            <w:r>
              <w:rPr>
                <w:rFonts w:hint="eastAsia" w:ascii="宋体" w:hAnsi="宋体" w:eastAsia="宋体" w:cs="宋体"/>
                <w:b w:val="0"/>
                <w:bCs w:val="0"/>
                <w:snapToGrid w:val="0"/>
                <w:color w:val="auto"/>
                <w:kern w:val="0"/>
                <w:sz w:val="21"/>
                <w:szCs w:val="21"/>
                <w:highlight w:val="none"/>
              </w:rPr>
              <w:t>企业近5年</w:t>
            </w:r>
            <w:r>
              <w:rPr>
                <w:rFonts w:hint="eastAsia" w:ascii="宋体" w:hAnsi="宋体" w:eastAsia="宋体" w:cs="宋体"/>
                <w:b w:val="0"/>
                <w:bCs w:val="0"/>
                <w:snapToGrid w:val="0"/>
                <w:color w:val="auto"/>
                <w:kern w:val="0"/>
                <w:sz w:val="21"/>
                <w:szCs w:val="21"/>
                <w:highlight w:val="none"/>
                <w:lang w:val="en-US" w:eastAsia="zh-CN"/>
              </w:rPr>
              <w:t>来</w:t>
            </w:r>
            <w:r>
              <w:rPr>
                <w:rFonts w:hint="eastAsia" w:ascii="宋体" w:hAnsi="宋体" w:eastAsia="宋体" w:cs="宋体"/>
                <w:b w:val="0"/>
                <w:bCs w:val="0"/>
                <w:snapToGrid w:val="0"/>
                <w:color w:val="auto"/>
                <w:kern w:val="0"/>
                <w:sz w:val="21"/>
                <w:szCs w:val="21"/>
                <w:highlight w:val="none"/>
              </w:rPr>
              <w:t>（202</w:t>
            </w:r>
            <w:r>
              <w:rPr>
                <w:rFonts w:hint="eastAsia" w:ascii="宋体" w:hAnsi="宋体" w:eastAsia="宋体" w:cs="宋体"/>
                <w:b w:val="0"/>
                <w:bCs w:val="0"/>
                <w:snapToGrid w:val="0"/>
                <w:color w:val="auto"/>
                <w:kern w:val="0"/>
                <w:sz w:val="21"/>
                <w:szCs w:val="21"/>
                <w:highlight w:val="none"/>
                <w:lang w:val="en-US" w:eastAsia="zh-CN"/>
              </w:rPr>
              <w:t>1</w:t>
            </w:r>
            <w:r>
              <w:rPr>
                <w:rFonts w:hint="eastAsia" w:hAnsi="宋体" w:eastAsia="宋体" w:cs="宋体"/>
                <w:b w:val="0"/>
                <w:bCs w:val="0"/>
                <w:snapToGrid w:val="0"/>
                <w:color w:val="auto"/>
                <w:kern w:val="0"/>
                <w:sz w:val="21"/>
                <w:szCs w:val="21"/>
                <w:highlight w:val="none"/>
                <w:lang w:val="en-US" w:eastAsia="zh-CN"/>
              </w:rPr>
              <w:t>年</w:t>
            </w:r>
            <w:r>
              <w:rPr>
                <w:rFonts w:hint="eastAsia" w:ascii="宋体" w:hAnsi="宋体" w:eastAsia="宋体" w:cs="宋体"/>
                <w:b w:val="0"/>
                <w:bCs w:val="0"/>
                <w:snapToGrid w:val="0"/>
                <w:color w:val="auto"/>
                <w:kern w:val="0"/>
                <w:sz w:val="21"/>
                <w:szCs w:val="21"/>
                <w:highlight w:val="none"/>
                <w:lang w:val="en-US" w:eastAsia="zh-CN"/>
              </w:rPr>
              <w:t>1月1日</w:t>
            </w:r>
            <w:r>
              <w:rPr>
                <w:rFonts w:hint="eastAsia" w:ascii="宋体" w:hAnsi="宋体" w:eastAsia="宋体" w:cs="宋体"/>
                <w:b w:val="0"/>
                <w:bCs w:val="0"/>
                <w:snapToGrid w:val="0"/>
                <w:color w:val="auto"/>
                <w:kern w:val="0"/>
                <w:sz w:val="21"/>
                <w:szCs w:val="21"/>
                <w:highlight w:val="none"/>
              </w:rPr>
              <w:t>至今）</w:t>
            </w:r>
            <w:r>
              <w:rPr>
                <w:rFonts w:hint="eastAsia" w:hAnsi="宋体" w:eastAsia="宋体" w:cs="宋体"/>
                <w:b w:val="0"/>
                <w:bCs w:val="0"/>
                <w:snapToGrid w:val="0"/>
                <w:color w:val="auto"/>
                <w:kern w:val="0"/>
                <w:sz w:val="21"/>
                <w:szCs w:val="21"/>
                <w:highlight w:val="none"/>
                <w:lang w:eastAsia="zh-CN"/>
              </w:rPr>
              <w:t>，</w:t>
            </w:r>
            <w:r>
              <w:rPr>
                <w:rFonts w:hint="eastAsia" w:ascii="宋体" w:hAnsi="宋体" w:eastAsia="宋体" w:cs="宋体"/>
                <w:b w:val="0"/>
                <w:bCs w:val="0"/>
                <w:snapToGrid w:val="0"/>
                <w:color w:val="auto"/>
                <w:kern w:val="0"/>
                <w:sz w:val="21"/>
                <w:szCs w:val="21"/>
                <w:highlight w:val="none"/>
                <w:lang w:bidi="ar"/>
              </w:rPr>
              <w:t>连续</w:t>
            </w:r>
            <w:r>
              <w:rPr>
                <w:rFonts w:hint="eastAsia" w:ascii="宋体" w:hAnsi="宋体" w:eastAsia="宋体" w:cs="宋体"/>
                <w:b w:val="0"/>
                <w:bCs w:val="0"/>
                <w:snapToGrid w:val="0"/>
                <w:color w:val="auto"/>
                <w:kern w:val="0"/>
                <w:sz w:val="21"/>
                <w:szCs w:val="21"/>
                <w:highlight w:val="none"/>
                <w:lang w:val="en-US" w:eastAsia="zh-CN" w:bidi="ar"/>
              </w:rPr>
              <w:t>三</w:t>
            </w:r>
            <w:r>
              <w:rPr>
                <w:rFonts w:hint="eastAsia" w:ascii="宋体" w:hAnsi="宋体" w:eastAsia="宋体" w:cs="宋体"/>
                <w:b w:val="0"/>
                <w:bCs w:val="0"/>
                <w:snapToGrid w:val="0"/>
                <w:color w:val="auto"/>
                <w:kern w:val="0"/>
                <w:sz w:val="21"/>
                <w:szCs w:val="21"/>
                <w:highlight w:val="none"/>
                <w:lang w:bidi="ar"/>
              </w:rPr>
              <w:t>年以上（含</w:t>
            </w:r>
            <w:r>
              <w:rPr>
                <w:rFonts w:hint="eastAsia" w:ascii="宋体" w:hAnsi="宋体" w:eastAsia="宋体" w:cs="宋体"/>
                <w:b w:val="0"/>
                <w:bCs w:val="0"/>
                <w:snapToGrid w:val="0"/>
                <w:color w:val="auto"/>
                <w:kern w:val="0"/>
                <w:sz w:val="21"/>
                <w:szCs w:val="21"/>
                <w:highlight w:val="none"/>
                <w:lang w:val="en-US" w:eastAsia="zh-CN" w:bidi="ar"/>
              </w:rPr>
              <w:t>三</w:t>
            </w:r>
            <w:r>
              <w:rPr>
                <w:rFonts w:hint="eastAsia" w:ascii="宋体" w:hAnsi="宋体" w:eastAsia="宋体" w:cs="宋体"/>
                <w:b w:val="0"/>
                <w:bCs w:val="0"/>
                <w:snapToGrid w:val="0"/>
                <w:color w:val="auto"/>
                <w:kern w:val="0"/>
                <w:sz w:val="21"/>
                <w:szCs w:val="21"/>
                <w:highlight w:val="none"/>
                <w:lang w:bidi="ar"/>
              </w:rPr>
              <w:t>年）</w:t>
            </w:r>
            <w:r>
              <w:rPr>
                <w:rFonts w:hint="eastAsia" w:ascii="宋体" w:hAnsi="宋体" w:eastAsia="宋体" w:cs="宋体"/>
                <w:b w:val="0"/>
                <w:bCs w:val="0"/>
                <w:snapToGrid w:val="0"/>
                <w:color w:val="auto"/>
                <w:kern w:val="0"/>
                <w:sz w:val="21"/>
                <w:szCs w:val="21"/>
                <w:highlight w:val="none"/>
              </w:rPr>
              <w:t>获得过县（市、区）级行政主管部门或以上人民政府、人民武装部颁发的“民兵建设先进企业”证书的，得</w:t>
            </w:r>
            <w:r>
              <w:rPr>
                <w:rFonts w:hint="eastAsia" w:ascii="宋体" w:hAnsi="宋体" w:eastAsia="宋体" w:cs="宋体"/>
                <w:b w:val="0"/>
                <w:bCs w:val="0"/>
                <w:snapToGrid w:val="0"/>
                <w:color w:val="auto"/>
                <w:kern w:val="0"/>
                <w:sz w:val="21"/>
                <w:szCs w:val="21"/>
                <w:highlight w:val="none"/>
                <w:lang w:val="en-US" w:eastAsia="zh-CN"/>
              </w:rPr>
              <w:t>5</w:t>
            </w:r>
            <w:r>
              <w:rPr>
                <w:rFonts w:hint="eastAsia" w:ascii="宋体" w:hAnsi="宋体" w:eastAsia="宋体" w:cs="宋体"/>
                <w:b w:val="0"/>
                <w:bCs w:val="0"/>
                <w:snapToGrid w:val="0"/>
                <w:color w:val="auto"/>
                <w:kern w:val="0"/>
                <w:sz w:val="21"/>
                <w:szCs w:val="21"/>
                <w:highlight w:val="none"/>
              </w:rPr>
              <w:t>分。</w:t>
            </w:r>
          </w:p>
          <w:p w14:paraId="56A8C952">
            <w:pPr>
              <w:keepNext w:val="0"/>
              <w:keepLines w:val="0"/>
              <w:pageBreakBefore w:val="0"/>
              <w:widowControl/>
              <w:suppressLineNumbers w:val="0"/>
              <w:kinsoku/>
              <w:overflowPunct/>
              <w:topLinePunct w:val="0"/>
              <w:autoSpaceDE/>
              <w:autoSpaceDN/>
              <w:bidi w:val="0"/>
              <w:adjustRightInd w:val="0"/>
              <w:snapToGrid w:val="0"/>
              <w:spacing w:before="0" w:beforeAutospacing="0" w:after="0" w:afterAutospacing="0" w:line="240" w:lineRule="auto"/>
              <w:ind w:left="0" w:right="12" w:rightChars="0"/>
              <w:jc w:val="left"/>
              <w:rPr>
                <w:rFonts w:hint="eastAsia" w:ascii="宋体" w:hAnsi="宋体" w:eastAsia="宋体" w:cs="宋体"/>
                <w:color w:val="auto"/>
                <w:sz w:val="22"/>
                <w:szCs w:val="22"/>
                <w:highlight w:val="none"/>
              </w:rPr>
            </w:pPr>
            <w:r>
              <w:rPr>
                <w:rFonts w:hint="eastAsia" w:ascii="宋体" w:hAnsi="宋体" w:eastAsia="宋体" w:cs="宋体"/>
                <w:b w:val="0"/>
                <w:bCs w:val="0"/>
                <w:snapToGrid w:val="0"/>
                <w:color w:val="auto"/>
                <w:kern w:val="0"/>
                <w:sz w:val="21"/>
                <w:szCs w:val="21"/>
                <w:highlight w:val="none"/>
                <w:lang w:val="en-US" w:eastAsia="zh-CN"/>
              </w:rPr>
              <w:t>2.</w:t>
            </w:r>
            <w:r>
              <w:rPr>
                <w:rFonts w:hint="eastAsia" w:ascii="宋体" w:hAnsi="宋体" w:eastAsia="宋体" w:cs="宋体"/>
                <w:b w:val="0"/>
                <w:bCs w:val="0"/>
                <w:color w:val="auto"/>
                <w:sz w:val="21"/>
                <w:szCs w:val="21"/>
                <w:highlight w:val="none"/>
              </w:rPr>
              <w:t>本项最高得</w:t>
            </w:r>
            <w:r>
              <w:rPr>
                <w:rFonts w:hint="eastAsia" w:ascii="宋体" w:hAnsi="宋体" w:eastAsia="宋体" w:cs="宋体"/>
                <w:b w:val="0"/>
                <w:bCs w:val="0"/>
                <w:color w:val="auto"/>
                <w:sz w:val="21"/>
                <w:szCs w:val="21"/>
                <w:highlight w:val="none"/>
                <w:lang w:val="en-US" w:eastAsia="zh-CN"/>
              </w:rPr>
              <w:t>5</w:t>
            </w:r>
            <w:r>
              <w:rPr>
                <w:rFonts w:hint="eastAsia" w:ascii="宋体" w:hAnsi="宋体" w:eastAsia="宋体" w:cs="宋体"/>
                <w:b w:val="0"/>
                <w:bCs w:val="0"/>
                <w:color w:val="auto"/>
                <w:sz w:val="21"/>
                <w:szCs w:val="21"/>
                <w:highlight w:val="none"/>
              </w:rPr>
              <w:t>分。</w:t>
            </w:r>
          </w:p>
        </w:tc>
        <w:tc>
          <w:tcPr>
            <w:tcW w:w="3882" w:type="dxa"/>
            <w:tcBorders>
              <w:top w:val="single" w:color="auto" w:sz="4" w:space="0"/>
              <w:left w:val="single" w:color="auto" w:sz="4" w:space="0"/>
              <w:bottom w:val="single" w:color="auto" w:sz="4" w:space="0"/>
              <w:right w:val="single" w:color="auto" w:sz="4" w:space="0"/>
              <w:tl2br w:val="nil"/>
              <w:tr2bl w:val="nil"/>
            </w:tcBorders>
            <w:vAlign w:val="center"/>
          </w:tcPr>
          <w:p w14:paraId="6984DDA4">
            <w:pPr>
              <w:pStyle w:val="8"/>
              <w:keepNext w:val="0"/>
              <w:keepLines w:val="0"/>
              <w:pageBreakBefore w:val="0"/>
              <w:widowControl/>
              <w:suppressLineNumbers w:val="0"/>
              <w:kinsoku/>
              <w:overflowPunct/>
              <w:topLinePunct w:val="0"/>
              <w:autoSpaceDE/>
              <w:autoSpaceDN/>
              <w:bidi w:val="0"/>
              <w:adjustRightInd w:val="0"/>
              <w:snapToGrid w:val="0"/>
              <w:spacing w:before="0" w:beforeAutospacing="0" w:after="0" w:afterAutospacing="0" w:line="240" w:lineRule="auto"/>
              <w:ind w:left="0" w:right="0"/>
              <w:rPr>
                <w:rFonts w:hint="eastAsia" w:ascii="宋体" w:hAnsi="宋体" w:eastAsia="宋体" w:cs="宋体"/>
                <w:strike/>
                <w:snapToGrid w:val="0"/>
                <w:color w:val="auto"/>
                <w:kern w:val="0"/>
                <w:sz w:val="21"/>
                <w:szCs w:val="21"/>
                <w:highlight w:val="none"/>
              </w:rPr>
            </w:pPr>
            <w:r>
              <w:rPr>
                <w:rFonts w:hint="eastAsia" w:ascii="宋体" w:hAnsi="宋体" w:eastAsia="宋体" w:cs="宋体"/>
                <w:snapToGrid w:val="0"/>
                <w:color w:val="auto"/>
                <w:kern w:val="0"/>
                <w:sz w:val="21"/>
                <w:szCs w:val="21"/>
                <w:highlight w:val="none"/>
                <w:lang w:val="en-US" w:eastAsia="zh-CN"/>
              </w:rPr>
              <w:t>1.</w:t>
            </w:r>
            <w:r>
              <w:rPr>
                <w:rFonts w:hint="eastAsia" w:ascii="宋体" w:hAnsi="宋体" w:eastAsia="宋体" w:cs="宋体"/>
                <w:snapToGrid w:val="0"/>
                <w:color w:val="auto"/>
                <w:kern w:val="0"/>
                <w:sz w:val="21"/>
                <w:szCs w:val="21"/>
                <w:highlight w:val="none"/>
              </w:rPr>
              <w:t>需提供有关证书彩色扫描件</w:t>
            </w:r>
            <w:r>
              <w:rPr>
                <w:rFonts w:hint="eastAsia" w:ascii="宋体" w:hAnsi="宋体" w:eastAsia="宋体" w:cs="宋体"/>
                <w:snapToGrid w:val="0"/>
                <w:color w:val="auto"/>
                <w:kern w:val="0"/>
                <w:sz w:val="21"/>
                <w:szCs w:val="21"/>
                <w:highlight w:val="none"/>
                <w:lang w:eastAsia="zh-CN"/>
              </w:rPr>
              <w:t>。</w:t>
            </w:r>
            <w:r>
              <w:rPr>
                <w:rFonts w:hint="eastAsia" w:ascii="宋体" w:hAnsi="宋体" w:eastAsia="宋体" w:cs="宋体"/>
                <w:b/>
                <w:bCs/>
                <w:color w:val="auto"/>
                <w:sz w:val="21"/>
                <w:szCs w:val="21"/>
                <w:highlight w:val="none"/>
                <w:lang w:val="en-US" w:eastAsia="zh-CN"/>
              </w:rPr>
              <w:t>组成联合体时由联合体牵头人提交。</w:t>
            </w:r>
          </w:p>
          <w:p w14:paraId="30A1A07D">
            <w:pPr>
              <w:pStyle w:val="8"/>
              <w:keepNext w:val="0"/>
              <w:keepLines w:val="0"/>
              <w:pageBreakBefore w:val="0"/>
              <w:suppressLineNumbers w:val="0"/>
              <w:kinsoku/>
              <w:overflowPunct/>
              <w:topLinePunct w:val="0"/>
              <w:autoSpaceDE/>
              <w:autoSpaceDN/>
              <w:bidi w:val="0"/>
              <w:adjustRightInd w:val="0"/>
              <w:snapToGrid w:val="0"/>
              <w:spacing w:before="0" w:beforeAutospacing="0" w:after="0" w:afterAutospacing="0" w:line="240" w:lineRule="auto"/>
              <w:ind w:left="0" w:right="0"/>
              <w:rPr>
                <w:rFonts w:hint="eastAsia" w:ascii="宋体" w:hAnsi="宋体" w:eastAsia="宋体" w:cs="宋体"/>
                <w:color w:val="auto"/>
                <w:sz w:val="22"/>
                <w:szCs w:val="22"/>
                <w:highlight w:val="none"/>
              </w:rPr>
            </w:pPr>
          </w:p>
        </w:tc>
      </w:tr>
      <w:tr w14:paraId="04F888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92" w:hRule="atLeast"/>
          <w:jc w:val="center"/>
        </w:trPr>
        <w:tc>
          <w:tcPr>
            <w:tcW w:w="1023" w:type="dxa"/>
            <w:vMerge w:val="continue"/>
            <w:tcBorders>
              <w:top w:val="single" w:color="auto" w:sz="4" w:space="0"/>
              <w:left w:val="single" w:color="auto" w:sz="4" w:space="0"/>
              <w:bottom w:val="single" w:color="auto" w:sz="4" w:space="0"/>
              <w:right w:val="single" w:color="auto" w:sz="4" w:space="0"/>
              <w:tl2br w:val="nil"/>
              <w:tr2bl w:val="nil"/>
            </w:tcBorders>
            <w:vAlign w:val="center"/>
          </w:tcPr>
          <w:p w14:paraId="2A0A984E">
            <w:pPr>
              <w:keepNext w:val="0"/>
              <w:keepLines w:val="0"/>
              <w:pageBreakBefore w:val="0"/>
              <w:widowControl/>
              <w:suppressLineNumbers w:val="0"/>
              <w:kinsoku/>
              <w:overflowPunct/>
              <w:topLinePunct w:val="0"/>
              <w:autoSpaceDE/>
              <w:autoSpaceDN/>
              <w:bidi w:val="0"/>
              <w:spacing w:before="0" w:beforeLines="0" w:beforeAutospacing="0" w:after="0" w:afterLines="0" w:afterAutospacing="0" w:line="240" w:lineRule="auto"/>
              <w:ind w:left="0" w:right="0"/>
              <w:jc w:val="left"/>
              <w:rPr>
                <w:rFonts w:hint="eastAsia" w:ascii="宋体" w:hAnsi="宋体" w:eastAsia="宋体" w:cs="宋体"/>
                <w:color w:val="auto"/>
                <w:kern w:val="0"/>
                <w:sz w:val="22"/>
                <w:szCs w:val="22"/>
                <w:highlight w:val="none"/>
              </w:rPr>
            </w:pPr>
          </w:p>
        </w:tc>
        <w:tc>
          <w:tcPr>
            <w:tcW w:w="1021" w:type="dxa"/>
            <w:vMerge w:val="continue"/>
            <w:tcBorders>
              <w:top w:val="single" w:color="auto" w:sz="4" w:space="0"/>
              <w:left w:val="single" w:color="auto" w:sz="4" w:space="0"/>
              <w:bottom w:val="single" w:color="auto" w:sz="4" w:space="0"/>
              <w:right w:val="single" w:color="auto" w:sz="4" w:space="0"/>
              <w:tl2br w:val="nil"/>
              <w:tr2bl w:val="nil"/>
            </w:tcBorders>
            <w:vAlign w:val="center"/>
          </w:tcPr>
          <w:p w14:paraId="15654568">
            <w:pPr>
              <w:keepNext w:val="0"/>
              <w:keepLines w:val="0"/>
              <w:pageBreakBefore w:val="0"/>
              <w:widowControl/>
              <w:suppressLineNumbers w:val="0"/>
              <w:kinsoku/>
              <w:overflowPunct/>
              <w:topLinePunct w:val="0"/>
              <w:autoSpaceDE/>
              <w:autoSpaceDN/>
              <w:bidi w:val="0"/>
              <w:spacing w:before="0" w:beforeLines="0" w:beforeAutospacing="0" w:after="0" w:afterLines="0" w:afterAutospacing="0" w:line="240" w:lineRule="auto"/>
              <w:ind w:left="0" w:right="0"/>
              <w:jc w:val="left"/>
              <w:rPr>
                <w:rFonts w:hint="eastAsia" w:ascii="宋体" w:hAnsi="宋体" w:eastAsia="宋体" w:cs="宋体"/>
                <w:color w:val="auto"/>
                <w:kern w:val="0"/>
                <w:sz w:val="22"/>
                <w:szCs w:val="22"/>
                <w:highlight w:val="none"/>
              </w:rPr>
            </w:pPr>
          </w:p>
        </w:tc>
        <w:tc>
          <w:tcPr>
            <w:tcW w:w="924" w:type="dxa"/>
            <w:vMerge w:val="continue"/>
            <w:tcBorders>
              <w:left w:val="single" w:color="auto" w:sz="4" w:space="0"/>
              <w:right w:val="single" w:color="auto" w:sz="4" w:space="0"/>
              <w:tl2br w:val="nil"/>
              <w:tr2bl w:val="nil"/>
            </w:tcBorders>
            <w:vAlign w:val="center"/>
          </w:tcPr>
          <w:p w14:paraId="3D8D2F6E">
            <w:pPr>
              <w:pStyle w:val="8"/>
              <w:keepNext w:val="0"/>
              <w:keepLines w:val="0"/>
              <w:pageBreakBefore w:val="0"/>
              <w:suppressLineNumbers w:val="0"/>
              <w:kinsoku/>
              <w:wordWrap w:val="0"/>
              <w:overflowPunct/>
              <w:topLinePunct w:val="0"/>
              <w:autoSpaceDE/>
              <w:autoSpaceDN/>
              <w:bidi w:val="0"/>
              <w:adjustRightInd w:val="0"/>
              <w:snapToGrid w:val="0"/>
              <w:spacing w:before="0" w:beforeAutospacing="0" w:after="0" w:afterAutospacing="0" w:line="240" w:lineRule="auto"/>
              <w:ind w:left="0" w:right="0"/>
              <w:jc w:val="center"/>
              <w:rPr>
                <w:rFonts w:hint="eastAsia" w:ascii="宋体" w:hAnsi="宋体" w:eastAsia="宋体" w:cs="宋体"/>
                <w:color w:val="auto"/>
                <w:sz w:val="22"/>
                <w:szCs w:val="22"/>
                <w:highlight w:val="none"/>
              </w:rPr>
            </w:pPr>
          </w:p>
        </w:tc>
        <w:tc>
          <w:tcPr>
            <w:tcW w:w="3558" w:type="dxa"/>
            <w:tcBorders>
              <w:top w:val="single" w:color="auto" w:sz="4" w:space="0"/>
              <w:left w:val="single" w:color="auto" w:sz="4" w:space="0"/>
              <w:bottom w:val="single" w:color="auto" w:sz="4" w:space="0"/>
              <w:right w:val="single" w:color="auto" w:sz="4" w:space="0"/>
              <w:tl2br w:val="nil"/>
              <w:tr2bl w:val="nil"/>
            </w:tcBorders>
            <w:vAlign w:val="center"/>
          </w:tcPr>
          <w:p w14:paraId="60576030">
            <w:pPr>
              <w:keepNext w:val="0"/>
              <w:keepLines w:val="0"/>
              <w:pageBreakBefore w:val="0"/>
              <w:widowControl/>
              <w:suppressLineNumbers w:val="0"/>
              <w:kinsoku/>
              <w:overflowPunct/>
              <w:topLinePunct w:val="0"/>
              <w:autoSpaceDE/>
              <w:autoSpaceDN/>
              <w:bidi w:val="0"/>
              <w:adjustRightInd w:val="0"/>
              <w:snapToGrid w:val="0"/>
              <w:spacing w:before="0" w:beforeAutospacing="0" w:after="0" w:afterAutospacing="0" w:line="240" w:lineRule="auto"/>
              <w:ind w:left="0" w:right="0"/>
              <w:jc w:val="left"/>
              <w:rPr>
                <w:rFonts w:hint="eastAsia" w:ascii="宋体" w:hAnsi="宋体" w:eastAsia="宋体" w:cs="宋体"/>
                <w:b w:val="0"/>
                <w:bCs w:val="0"/>
                <w:color w:val="auto"/>
                <w:kern w:val="0"/>
                <w:sz w:val="21"/>
                <w:szCs w:val="21"/>
                <w:highlight w:val="none"/>
                <w:lang w:val="en-US" w:eastAsia="zh-CN" w:bidi="ar"/>
              </w:rPr>
            </w:pPr>
            <w:r>
              <w:rPr>
                <w:rFonts w:hint="eastAsia" w:ascii="宋体" w:hAnsi="宋体" w:eastAsia="宋体" w:cs="宋体"/>
                <w:b w:val="0"/>
                <w:bCs w:val="0"/>
                <w:color w:val="auto"/>
                <w:kern w:val="0"/>
                <w:sz w:val="21"/>
                <w:szCs w:val="21"/>
                <w:highlight w:val="none"/>
                <w:lang w:val="en-US" w:eastAsia="zh-CN" w:bidi="ar"/>
              </w:rPr>
              <w:t>1.企业近5年度（2021年1月1日至今获得过用户满意企业的</w:t>
            </w:r>
            <w:r>
              <w:rPr>
                <w:rFonts w:hint="eastAsia" w:hAnsi="宋体" w:eastAsia="宋体" w:cs="宋体"/>
                <w:b w:val="0"/>
                <w:bCs w:val="0"/>
                <w:color w:val="auto"/>
                <w:kern w:val="0"/>
                <w:sz w:val="21"/>
                <w:szCs w:val="21"/>
                <w:highlight w:val="none"/>
                <w:lang w:val="en-US" w:eastAsia="zh-CN" w:bidi="ar"/>
              </w:rPr>
              <w:t>，得5分</w:t>
            </w:r>
            <w:r>
              <w:rPr>
                <w:rFonts w:hint="eastAsia" w:ascii="宋体" w:hAnsi="宋体" w:eastAsia="宋体" w:cs="宋体"/>
                <w:b w:val="0"/>
                <w:bCs w:val="0"/>
                <w:color w:val="auto"/>
                <w:kern w:val="0"/>
                <w:sz w:val="21"/>
                <w:szCs w:val="21"/>
                <w:highlight w:val="none"/>
                <w:lang w:val="en-US" w:eastAsia="zh-CN" w:bidi="ar"/>
              </w:rPr>
              <w:t>。</w:t>
            </w:r>
          </w:p>
          <w:p w14:paraId="3F659CA3">
            <w:pPr>
              <w:keepNext w:val="0"/>
              <w:keepLines w:val="0"/>
              <w:pageBreakBefore w:val="0"/>
              <w:widowControl/>
              <w:suppressLineNumbers w:val="0"/>
              <w:kinsoku/>
              <w:overflowPunct/>
              <w:topLinePunct w:val="0"/>
              <w:autoSpaceDE/>
              <w:autoSpaceDN/>
              <w:bidi w:val="0"/>
              <w:adjustRightInd w:val="0"/>
              <w:snapToGrid w:val="0"/>
              <w:spacing w:before="0" w:beforeAutospacing="0" w:after="0" w:afterAutospacing="0" w:line="240" w:lineRule="auto"/>
              <w:ind w:left="0" w:right="0"/>
              <w:jc w:val="left"/>
              <w:rPr>
                <w:rFonts w:hint="eastAsia" w:ascii="宋体" w:hAnsi="宋体" w:eastAsia="宋体" w:cs="宋体"/>
                <w:color w:val="auto"/>
                <w:sz w:val="22"/>
                <w:szCs w:val="22"/>
                <w:highlight w:val="none"/>
              </w:rPr>
            </w:pPr>
            <w:r>
              <w:rPr>
                <w:rFonts w:hint="eastAsia" w:ascii="宋体" w:hAnsi="宋体" w:eastAsia="宋体" w:cs="宋体"/>
                <w:b w:val="0"/>
                <w:bCs w:val="0"/>
                <w:color w:val="auto"/>
                <w:kern w:val="0"/>
                <w:sz w:val="21"/>
                <w:szCs w:val="21"/>
                <w:highlight w:val="none"/>
                <w:lang w:val="en-US" w:eastAsia="zh-CN" w:bidi="ar"/>
              </w:rPr>
              <w:t>2.</w:t>
            </w:r>
            <w:r>
              <w:rPr>
                <w:rFonts w:hint="eastAsia" w:ascii="宋体" w:hAnsi="宋体" w:eastAsia="宋体" w:cs="宋体"/>
                <w:b w:val="0"/>
                <w:bCs w:val="0"/>
                <w:color w:val="auto"/>
                <w:sz w:val="21"/>
                <w:szCs w:val="21"/>
                <w:highlight w:val="none"/>
              </w:rPr>
              <w:t>本项最高得</w:t>
            </w:r>
            <w:r>
              <w:rPr>
                <w:rFonts w:hint="eastAsia" w:ascii="宋体" w:hAnsi="宋体" w:eastAsia="宋体" w:cs="宋体"/>
                <w:b w:val="0"/>
                <w:bCs w:val="0"/>
                <w:color w:val="auto"/>
                <w:sz w:val="21"/>
                <w:szCs w:val="21"/>
                <w:highlight w:val="none"/>
                <w:lang w:val="en-US" w:eastAsia="zh-CN"/>
              </w:rPr>
              <w:t>5</w:t>
            </w:r>
            <w:r>
              <w:rPr>
                <w:rFonts w:hint="eastAsia" w:ascii="宋体" w:hAnsi="宋体" w:eastAsia="宋体" w:cs="宋体"/>
                <w:b w:val="0"/>
                <w:bCs w:val="0"/>
                <w:color w:val="auto"/>
                <w:sz w:val="21"/>
                <w:szCs w:val="21"/>
                <w:highlight w:val="none"/>
              </w:rPr>
              <w:t>分。</w:t>
            </w:r>
          </w:p>
        </w:tc>
        <w:tc>
          <w:tcPr>
            <w:tcW w:w="3882" w:type="dxa"/>
            <w:tcBorders>
              <w:top w:val="single" w:color="auto" w:sz="4" w:space="0"/>
              <w:left w:val="single" w:color="auto" w:sz="4" w:space="0"/>
              <w:bottom w:val="single" w:color="auto" w:sz="4" w:space="0"/>
              <w:right w:val="single" w:color="auto" w:sz="4" w:space="0"/>
              <w:tl2br w:val="nil"/>
              <w:tr2bl w:val="nil"/>
            </w:tcBorders>
            <w:vAlign w:val="center"/>
          </w:tcPr>
          <w:p w14:paraId="46079592">
            <w:pPr>
              <w:pStyle w:val="8"/>
              <w:keepNext w:val="0"/>
              <w:keepLines w:val="0"/>
              <w:pageBreakBefore w:val="0"/>
              <w:widowControl w:val="0"/>
              <w:suppressLineNumbers w:val="0"/>
              <w:kinsoku/>
              <w:wordWrap w:val="0"/>
              <w:overflowPunct/>
              <w:topLinePunct w:val="0"/>
              <w:autoSpaceDE/>
              <w:autoSpaceDN/>
              <w:bidi w:val="0"/>
              <w:adjustRightInd w:val="0"/>
              <w:snapToGrid w:val="0"/>
              <w:spacing w:before="0" w:beforeAutospacing="0" w:after="0" w:afterLines="0" w:afterAutospacing="0" w:line="240" w:lineRule="auto"/>
              <w:ind w:left="0" w:leftChars="0" w:right="0" w:rightChars="0"/>
              <w:textAlignment w:val="auto"/>
              <w:rPr>
                <w:rFonts w:hint="eastAsia" w:ascii="宋体" w:hAnsi="宋体" w:eastAsia="宋体" w:cs="宋体"/>
                <w:snapToGrid w:val="0"/>
                <w:color w:val="auto"/>
                <w:kern w:val="0"/>
                <w:sz w:val="21"/>
                <w:szCs w:val="21"/>
                <w:highlight w:val="none"/>
                <w:lang w:val="en-US" w:eastAsia="zh-CN" w:bidi="ar-SA"/>
              </w:rPr>
            </w:pPr>
            <w:r>
              <w:rPr>
                <w:rFonts w:hint="eastAsia" w:ascii="宋体" w:hAnsi="宋体" w:eastAsia="宋体" w:cs="宋体"/>
                <w:snapToGrid w:val="0"/>
                <w:color w:val="auto"/>
                <w:kern w:val="0"/>
                <w:sz w:val="21"/>
                <w:szCs w:val="21"/>
                <w:highlight w:val="none"/>
                <w:lang w:val="en-US" w:eastAsia="zh-CN" w:bidi="ar-SA"/>
              </w:rPr>
              <w:t>1.需提供证书彩色扫描件</w:t>
            </w:r>
            <w:r>
              <w:rPr>
                <w:rFonts w:hint="eastAsia" w:hAnsi="宋体" w:eastAsia="宋体" w:cs="宋体"/>
                <w:snapToGrid w:val="0"/>
                <w:color w:val="auto"/>
                <w:kern w:val="0"/>
                <w:sz w:val="21"/>
                <w:szCs w:val="21"/>
                <w:highlight w:val="none"/>
                <w:lang w:val="en-US" w:eastAsia="zh-CN" w:bidi="ar-SA"/>
              </w:rPr>
              <w:t>、</w:t>
            </w:r>
            <w:r>
              <w:rPr>
                <w:rFonts w:hint="eastAsia" w:ascii="宋体" w:hAnsi="宋体" w:eastAsia="宋体" w:cs="宋体"/>
                <w:snapToGrid w:val="0"/>
                <w:color w:val="auto"/>
                <w:kern w:val="0"/>
                <w:sz w:val="21"/>
                <w:szCs w:val="21"/>
                <w:highlight w:val="none"/>
                <w:lang w:val="en-US" w:eastAsia="zh-CN" w:bidi="ar-SA"/>
              </w:rPr>
              <w:t>相关网页截图及网址供查询</w:t>
            </w:r>
            <w:r>
              <w:rPr>
                <w:rFonts w:hint="eastAsia" w:hAnsi="宋体" w:eastAsia="宋体" w:cs="宋体"/>
                <w:snapToGrid w:val="0"/>
                <w:color w:val="auto"/>
                <w:kern w:val="0"/>
                <w:sz w:val="21"/>
                <w:szCs w:val="21"/>
                <w:highlight w:val="none"/>
                <w:lang w:val="en-US" w:eastAsia="zh-CN" w:bidi="ar-SA"/>
              </w:rPr>
              <w:t>。</w:t>
            </w:r>
            <w:r>
              <w:rPr>
                <w:rFonts w:hint="eastAsia" w:ascii="宋体" w:hAnsi="宋体" w:eastAsia="宋体" w:cs="宋体"/>
                <w:b/>
                <w:bCs/>
                <w:color w:val="auto"/>
                <w:sz w:val="21"/>
                <w:szCs w:val="21"/>
                <w:highlight w:val="none"/>
                <w:lang w:val="en-US" w:eastAsia="zh-CN"/>
              </w:rPr>
              <w:t>组成联合体时由联合体牵头人提交。</w:t>
            </w:r>
          </w:p>
          <w:p w14:paraId="1AD8B1AE">
            <w:pPr>
              <w:pStyle w:val="8"/>
              <w:keepNext w:val="0"/>
              <w:keepLines w:val="0"/>
              <w:pageBreakBefore w:val="0"/>
              <w:widowControl w:val="0"/>
              <w:suppressLineNumbers w:val="0"/>
              <w:kinsoku/>
              <w:wordWrap w:val="0"/>
              <w:overflowPunct/>
              <w:topLinePunct w:val="0"/>
              <w:autoSpaceDE/>
              <w:autoSpaceDN/>
              <w:bidi w:val="0"/>
              <w:adjustRightInd w:val="0"/>
              <w:snapToGrid w:val="0"/>
              <w:spacing w:before="0" w:beforeAutospacing="0" w:after="0" w:afterLines="0" w:afterAutospacing="0" w:line="240" w:lineRule="auto"/>
              <w:ind w:left="0" w:leftChars="0" w:right="0" w:rightChars="0"/>
              <w:textAlignment w:val="auto"/>
              <w:rPr>
                <w:rFonts w:hint="eastAsia" w:ascii="宋体" w:hAnsi="宋体" w:eastAsia="宋体" w:cs="宋体"/>
                <w:snapToGrid w:val="0"/>
                <w:color w:val="auto"/>
                <w:kern w:val="0"/>
                <w:sz w:val="21"/>
                <w:szCs w:val="21"/>
                <w:highlight w:val="none"/>
                <w:lang w:val="en-US" w:eastAsia="zh-CN" w:bidi="ar-SA"/>
              </w:rPr>
            </w:pPr>
            <w:r>
              <w:rPr>
                <w:rFonts w:hint="eastAsia" w:ascii="宋体" w:hAnsi="宋体" w:eastAsia="宋体" w:cs="宋体"/>
                <w:snapToGrid w:val="0"/>
                <w:color w:val="auto"/>
                <w:kern w:val="0"/>
                <w:sz w:val="21"/>
                <w:szCs w:val="21"/>
                <w:highlight w:val="none"/>
                <w:lang w:val="en-US" w:eastAsia="zh-CN" w:bidi="ar-SA"/>
              </w:rPr>
              <w:t>2.证书须由省级/国级质量协会颁发</w:t>
            </w:r>
            <w:r>
              <w:rPr>
                <w:rFonts w:hint="eastAsia" w:hAnsi="宋体" w:eastAsia="宋体" w:cs="宋体"/>
                <w:snapToGrid w:val="0"/>
                <w:color w:val="auto"/>
                <w:kern w:val="0"/>
                <w:sz w:val="21"/>
                <w:szCs w:val="21"/>
                <w:highlight w:val="none"/>
                <w:lang w:val="en-US" w:eastAsia="zh-CN" w:bidi="ar-SA"/>
              </w:rPr>
              <w:t>。</w:t>
            </w:r>
          </w:p>
          <w:p w14:paraId="414F42C6">
            <w:pPr>
              <w:pStyle w:val="8"/>
              <w:keepNext w:val="0"/>
              <w:keepLines w:val="0"/>
              <w:pageBreakBefore w:val="0"/>
              <w:widowControl w:val="0"/>
              <w:suppressLineNumbers w:val="0"/>
              <w:kinsoku/>
              <w:wordWrap w:val="0"/>
              <w:overflowPunct/>
              <w:topLinePunct w:val="0"/>
              <w:autoSpaceDE/>
              <w:autoSpaceDN/>
              <w:bidi w:val="0"/>
              <w:adjustRightInd w:val="0"/>
              <w:snapToGrid w:val="0"/>
              <w:spacing w:before="0" w:beforeAutospacing="0" w:after="0" w:afterLines="0" w:afterAutospacing="0" w:line="240" w:lineRule="auto"/>
              <w:ind w:left="0" w:leftChars="0" w:right="0" w:rightChars="0"/>
              <w:textAlignment w:val="auto"/>
              <w:rPr>
                <w:rFonts w:hint="eastAsia" w:ascii="宋体" w:hAnsi="宋体" w:eastAsia="宋体" w:cs="宋体"/>
                <w:color w:val="auto"/>
                <w:sz w:val="22"/>
                <w:szCs w:val="22"/>
                <w:highlight w:val="none"/>
              </w:rPr>
            </w:pPr>
            <w:r>
              <w:rPr>
                <w:rFonts w:hint="eastAsia" w:ascii="宋体" w:hAnsi="宋体" w:eastAsia="宋体" w:cs="宋体"/>
                <w:snapToGrid w:val="0"/>
                <w:color w:val="auto"/>
                <w:kern w:val="0"/>
                <w:sz w:val="21"/>
                <w:szCs w:val="21"/>
                <w:highlight w:val="none"/>
                <w:lang w:val="en-US" w:eastAsia="zh-CN" w:bidi="ar-SA"/>
              </w:rPr>
              <w:t>3.奖项类别、颁发机构、不符合评分标准和备注规定的，不予计分。</w:t>
            </w:r>
          </w:p>
        </w:tc>
      </w:tr>
      <w:tr w14:paraId="5C9EBD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03" w:hRule="atLeast"/>
          <w:jc w:val="center"/>
        </w:trPr>
        <w:tc>
          <w:tcPr>
            <w:tcW w:w="1023" w:type="dxa"/>
            <w:vMerge w:val="continue"/>
            <w:tcBorders>
              <w:top w:val="single" w:color="auto" w:sz="4" w:space="0"/>
              <w:left w:val="single" w:color="auto" w:sz="4" w:space="0"/>
              <w:bottom w:val="single" w:color="auto" w:sz="4" w:space="0"/>
              <w:right w:val="single" w:color="auto" w:sz="4" w:space="0"/>
              <w:tl2br w:val="nil"/>
              <w:tr2bl w:val="nil"/>
            </w:tcBorders>
            <w:vAlign w:val="center"/>
          </w:tcPr>
          <w:p w14:paraId="0E55E90B">
            <w:pPr>
              <w:keepNext w:val="0"/>
              <w:keepLines w:val="0"/>
              <w:pageBreakBefore w:val="0"/>
              <w:widowControl/>
              <w:suppressLineNumbers w:val="0"/>
              <w:kinsoku/>
              <w:overflowPunct/>
              <w:topLinePunct w:val="0"/>
              <w:autoSpaceDE/>
              <w:autoSpaceDN/>
              <w:bidi w:val="0"/>
              <w:spacing w:before="0" w:beforeLines="0" w:beforeAutospacing="0" w:after="0" w:afterLines="0" w:afterAutospacing="0" w:line="240" w:lineRule="auto"/>
              <w:ind w:left="0" w:right="0"/>
              <w:jc w:val="left"/>
              <w:rPr>
                <w:rFonts w:hint="eastAsia" w:ascii="宋体" w:hAnsi="宋体" w:eastAsia="宋体" w:cs="宋体"/>
                <w:color w:val="auto"/>
                <w:kern w:val="0"/>
                <w:sz w:val="22"/>
                <w:szCs w:val="22"/>
                <w:highlight w:val="none"/>
              </w:rPr>
            </w:pPr>
          </w:p>
        </w:tc>
        <w:tc>
          <w:tcPr>
            <w:tcW w:w="1021" w:type="dxa"/>
            <w:vMerge w:val="continue"/>
            <w:tcBorders>
              <w:top w:val="single" w:color="auto" w:sz="4" w:space="0"/>
              <w:left w:val="single" w:color="auto" w:sz="4" w:space="0"/>
              <w:bottom w:val="single" w:color="auto" w:sz="4" w:space="0"/>
              <w:right w:val="single" w:color="auto" w:sz="4" w:space="0"/>
              <w:tl2br w:val="nil"/>
              <w:tr2bl w:val="nil"/>
            </w:tcBorders>
            <w:vAlign w:val="center"/>
          </w:tcPr>
          <w:p w14:paraId="03F25E4D">
            <w:pPr>
              <w:keepNext w:val="0"/>
              <w:keepLines w:val="0"/>
              <w:pageBreakBefore w:val="0"/>
              <w:widowControl/>
              <w:suppressLineNumbers w:val="0"/>
              <w:kinsoku/>
              <w:overflowPunct/>
              <w:topLinePunct w:val="0"/>
              <w:autoSpaceDE/>
              <w:autoSpaceDN/>
              <w:bidi w:val="0"/>
              <w:spacing w:before="0" w:beforeLines="0" w:beforeAutospacing="0" w:after="0" w:afterLines="0" w:afterAutospacing="0" w:line="240" w:lineRule="auto"/>
              <w:ind w:left="0" w:right="0"/>
              <w:jc w:val="left"/>
              <w:rPr>
                <w:rFonts w:hint="eastAsia" w:ascii="宋体" w:hAnsi="宋体" w:eastAsia="宋体" w:cs="宋体"/>
                <w:color w:val="auto"/>
                <w:kern w:val="0"/>
                <w:sz w:val="22"/>
                <w:szCs w:val="22"/>
                <w:highlight w:val="none"/>
              </w:rPr>
            </w:pPr>
          </w:p>
        </w:tc>
        <w:tc>
          <w:tcPr>
            <w:tcW w:w="924" w:type="dxa"/>
            <w:vMerge w:val="continue"/>
            <w:tcBorders>
              <w:left w:val="single" w:color="auto" w:sz="4" w:space="0"/>
              <w:right w:val="single" w:color="auto" w:sz="4" w:space="0"/>
              <w:tl2br w:val="nil"/>
              <w:tr2bl w:val="nil"/>
            </w:tcBorders>
            <w:vAlign w:val="center"/>
          </w:tcPr>
          <w:p w14:paraId="7D26E2E4">
            <w:pPr>
              <w:pStyle w:val="8"/>
              <w:keepNext w:val="0"/>
              <w:keepLines w:val="0"/>
              <w:pageBreakBefore w:val="0"/>
              <w:suppressLineNumbers w:val="0"/>
              <w:kinsoku/>
              <w:wordWrap w:val="0"/>
              <w:overflowPunct/>
              <w:topLinePunct w:val="0"/>
              <w:autoSpaceDE/>
              <w:autoSpaceDN/>
              <w:bidi w:val="0"/>
              <w:adjustRightInd w:val="0"/>
              <w:snapToGrid w:val="0"/>
              <w:spacing w:before="0" w:beforeAutospacing="0" w:after="0" w:afterAutospacing="0" w:line="240" w:lineRule="auto"/>
              <w:ind w:left="0" w:right="0"/>
              <w:jc w:val="center"/>
              <w:rPr>
                <w:rFonts w:hint="eastAsia" w:ascii="宋体" w:hAnsi="宋体" w:eastAsia="宋体" w:cs="宋体"/>
                <w:color w:val="auto"/>
                <w:kern w:val="0"/>
                <w:sz w:val="22"/>
                <w:szCs w:val="22"/>
                <w:highlight w:val="none"/>
              </w:rPr>
            </w:pPr>
          </w:p>
        </w:tc>
        <w:tc>
          <w:tcPr>
            <w:tcW w:w="3558" w:type="dxa"/>
            <w:tcBorders>
              <w:top w:val="single" w:color="auto" w:sz="4" w:space="0"/>
              <w:left w:val="single" w:color="auto" w:sz="4" w:space="0"/>
              <w:bottom w:val="single" w:color="auto" w:sz="4" w:space="0"/>
              <w:right w:val="single" w:color="auto" w:sz="4" w:space="0"/>
              <w:tl2br w:val="nil"/>
              <w:tr2bl w:val="nil"/>
            </w:tcBorders>
            <w:vAlign w:val="center"/>
          </w:tcPr>
          <w:p w14:paraId="5CE5FCDF">
            <w:pPr>
              <w:pStyle w:val="8"/>
              <w:keepNext w:val="0"/>
              <w:keepLines w:val="0"/>
              <w:pageBreakBefore w:val="0"/>
              <w:widowControl/>
              <w:suppressLineNumbers w:val="0"/>
              <w:kinsoku/>
              <w:overflowPunct/>
              <w:topLinePunct w:val="0"/>
              <w:autoSpaceDE/>
              <w:autoSpaceDN/>
              <w:bidi w:val="0"/>
              <w:adjustRightInd w:val="0"/>
              <w:snapToGrid w:val="0"/>
              <w:spacing w:before="0" w:beforeAutospacing="0" w:after="0" w:afterLines="0" w:afterAutospacing="0" w:line="240" w:lineRule="auto"/>
              <w:ind w:left="0" w:right="0"/>
              <w:rPr>
                <w:rFonts w:hint="eastAsia" w:ascii="宋体" w:hAnsi="宋体" w:eastAsia="宋体" w:cs="宋体"/>
                <w:b w:val="0"/>
                <w:bCs w:val="0"/>
                <w:snapToGrid w:val="0"/>
                <w:color w:val="auto"/>
                <w:kern w:val="0"/>
                <w:sz w:val="21"/>
                <w:szCs w:val="21"/>
                <w:highlight w:val="none"/>
              </w:rPr>
            </w:pPr>
            <w:r>
              <w:rPr>
                <w:rFonts w:hint="eastAsia" w:ascii="宋体" w:hAnsi="宋体" w:eastAsia="宋体" w:cs="宋体"/>
                <w:b w:val="0"/>
                <w:bCs w:val="0"/>
                <w:snapToGrid w:val="0"/>
                <w:color w:val="auto"/>
                <w:kern w:val="0"/>
                <w:sz w:val="21"/>
                <w:szCs w:val="21"/>
                <w:highlight w:val="none"/>
                <w:lang w:val="en-US" w:eastAsia="zh-CN"/>
              </w:rPr>
              <w:t>1.</w:t>
            </w:r>
            <w:r>
              <w:rPr>
                <w:rFonts w:hint="eastAsia" w:ascii="宋体" w:hAnsi="宋体" w:eastAsia="宋体" w:cs="宋体"/>
                <w:b w:val="0"/>
                <w:bCs w:val="0"/>
                <w:snapToGrid w:val="0"/>
                <w:color w:val="auto"/>
                <w:kern w:val="0"/>
                <w:sz w:val="21"/>
                <w:szCs w:val="21"/>
                <w:highlight w:val="none"/>
              </w:rPr>
              <w:t>企业获得过高新技术企业证书且证件在有效期内的，得</w:t>
            </w:r>
            <w:r>
              <w:rPr>
                <w:rFonts w:hint="eastAsia" w:ascii="宋体" w:hAnsi="宋体" w:eastAsia="宋体" w:cs="宋体"/>
                <w:b w:val="0"/>
                <w:bCs w:val="0"/>
                <w:snapToGrid w:val="0"/>
                <w:color w:val="auto"/>
                <w:kern w:val="0"/>
                <w:sz w:val="21"/>
                <w:szCs w:val="21"/>
                <w:highlight w:val="none"/>
                <w:lang w:val="en-US" w:eastAsia="zh-CN"/>
              </w:rPr>
              <w:t>5</w:t>
            </w:r>
            <w:r>
              <w:rPr>
                <w:rFonts w:hint="eastAsia" w:ascii="宋体" w:hAnsi="宋体" w:eastAsia="宋体" w:cs="宋体"/>
                <w:b w:val="0"/>
                <w:bCs w:val="0"/>
                <w:snapToGrid w:val="0"/>
                <w:color w:val="auto"/>
                <w:kern w:val="0"/>
                <w:sz w:val="21"/>
                <w:szCs w:val="21"/>
                <w:highlight w:val="none"/>
              </w:rPr>
              <w:t>分。</w:t>
            </w:r>
          </w:p>
          <w:p w14:paraId="4BF33E5F">
            <w:pPr>
              <w:pStyle w:val="8"/>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Lines="0" w:afterAutospacing="0" w:line="240" w:lineRule="auto"/>
              <w:ind w:left="0" w:right="0"/>
              <w:textAlignment w:val="auto"/>
              <w:rPr>
                <w:rFonts w:hint="eastAsia" w:ascii="宋体" w:hAnsi="宋体" w:eastAsia="宋体" w:cs="宋体"/>
                <w:snapToGrid w:val="0"/>
                <w:color w:val="auto"/>
                <w:kern w:val="0"/>
                <w:sz w:val="22"/>
                <w:szCs w:val="22"/>
                <w:highlight w:val="none"/>
              </w:rPr>
            </w:pPr>
            <w:r>
              <w:rPr>
                <w:rFonts w:hint="eastAsia" w:ascii="宋体" w:hAnsi="宋体" w:eastAsia="宋体" w:cs="宋体"/>
                <w:b w:val="0"/>
                <w:bCs w:val="0"/>
                <w:color w:val="auto"/>
                <w:kern w:val="0"/>
                <w:sz w:val="21"/>
                <w:szCs w:val="21"/>
                <w:highlight w:val="none"/>
                <w:lang w:val="en-US" w:eastAsia="zh-CN" w:bidi="ar"/>
              </w:rPr>
              <w:t>2.</w:t>
            </w:r>
            <w:r>
              <w:rPr>
                <w:rFonts w:hint="eastAsia" w:ascii="宋体" w:hAnsi="宋体" w:eastAsia="宋体" w:cs="宋体"/>
                <w:b w:val="0"/>
                <w:bCs w:val="0"/>
                <w:color w:val="auto"/>
                <w:sz w:val="21"/>
                <w:szCs w:val="21"/>
                <w:highlight w:val="none"/>
              </w:rPr>
              <w:t>本项最高得</w:t>
            </w:r>
            <w:r>
              <w:rPr>
                <w:rFonts w:hint="eastAsia" w:ascii="宋体" w:hAnsi="宋体" w:eastAsia="宋体" w:cs="宋体"/>
                <w:b w:val="0"/>
                <w:bCs w:val="0"/>
                <w:color w:val="auto"/>
                <w:sz w:val="21"/>
                <w:szCs w:val="21"/>
                <w:highlight w:val="none"/>
                <w:lang w:val="en-US" w:eastAsia="zh-CN"/>
              </w:rPr>
              <w:t>5</w:t>
            </w:r>
            <w:r>
              <w:rPr>
                <w:rFonts w:hint="eastAsia" w:ascii="宋体" w:hAnsi="宋体" w:eastAsia="宋体" w:cs="宋体"/>
                <w:b w:val="0"/>
                <w:bCs w:val="0"/>
                <w:color w:val="auto"/>
                <w:sz w:val="21"/>
                <w:szCs w:val="21"/>
                <w:highlight w:val="none"/>
              </w:rPr>
              <w:t>分。</w:t>
            </w:r>
          </w:p>
        </w:tc>
        <w:tc>
          <w:tcPr>
            <w:tcW w:w="3882" w:type="dxa"/>
            <w:tcBorders>
              <w:top w:val="single" w:color="auto" w:sz="4" w:space="0"/>
              <w:left w:val="single" w:color="auto" w:sz="4" w:space="0"/>
              <w:bottom w:val="single" w:color="auto" w:sz="4" w:space="0"/>
              <w:right w:val="single" w:color="auto" w:sz="4" w:space="0"/>
              <w:tl2br w:val="nil"/>
              <w:tr2bl w:val="nil"/>
            </w:tcBorders>
            <w:vAlign w:val="center"/>
          </w:tcPr>
          <w:p w14:paraId="25145FAA">
            <w:pPr>
              <w:pStyle w:val="8"/>
              <w:keepNext w:val="0"/>
              <w:keepLines w:val="0"/>
              <w:pageBreakBefore w:val="0"/>
              <w:widowControl w:val="0"/>
              <w:suppressLineNumbers w:val="0"/>
              <w:kinsoku/>
              <w:wordWrap w:val="0"/>
              <w:overflowPunct/>
              <w:topLinePunct w:val="0"/>
              <w:autoSpaceDE/>
              <w:autoSpaceDN/>
              <w:bidi w:val="0"/>
              <w:adjustRightInd w:val="0"/>
              <w:snapToGrid w:val="0"/>
              <w:spacing w:before="0" w:beforeAutospacing="0" w:after="0" w:afterLines="0" w:afterAutospacing="0" w:line="240" w:lineRule="auto"/>
              <w:ind w:left="0" w:leftChars="0" w:right="0" w:rightChars="0"/>
              <w:textAlignment w:val="auto"/>
              <w:rPr>
                <w:rFonts w:hint="eastAsia" w:ascii="宋体" w:hAnsi="宋体" w:eastAsia="宋体" w:cs="宋体"/>
                <w:color w:val="auto"/>
                <w:kern w:val="0"/>
                <w:sz w:val="22"/>
                <w:szCs w:val="22"/>
                <w:highlight w:val="none"/>
              </w:rPr>
            </w:pPr>
            <w:r>
              <w:rPr>
                <w:rFonts w:hint="eastAsia" w:ascii="宋体" w:hAnsi="宋体" w:eastAsia="宋体" w:cs="宋体"/>
                <w:snapToGrid w:val="0"/>
                <w:color w:val="auto"/>
                <w:kern w:val="0"/>
                <w:sz w:val="21"/>
                <w:szCs w:val="21"/>
                <w:highlight w:val="none"/>
                <w:lang w:val="en-US" w:eastAsia="zh-CN" w:bidi="ar-SA"/>
              </w:rPr>
              <w:t>1.提供高新技术企业证书彩色扫描件且证件在有效期内。</w:t>
            </w:r>
            <w:r>
              <w:rPr>
                <w:rFonts w:hint="eastAsia" w:ascii="宋体" w:hAnsi="宋体" w:eastAsia="宋体" w:cs="宋体"/>
                <w:b/>
                <w:bCs/>
                <w:color w:val="auto"/>
                <w:sz w:val="21"/>
                <w:szCs w:val="21"/>
                <w:highlight w:val="none"/>
                <w:lang w:val="en-US" w:eastAsia="zh-CN"/>
              </w:rPr>
              <w:t>组成联合体时由联合体牵头人提交。</w:t>
            </w:r>
          </w:p>
        </w:tc>
      </w:tr>
      <w:tr w14:paraId="4FA553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58" w:hRule="atLeast"/>
          <w:jc w:val="center"/>
        </w:trPr>
        <w:tc>
          <w:tcPr>
            <w:tcW w:w="1023" w:type="dxa"/>
            <w:vMerge w:val="continue"/>
            <w:tcBorders>
              <w:top w:val="single" w:color="auto" w:sz="4" w:space="0"/>
              <w:left w:val="single" w:color="auto" w:sz="4" w:space="0"/>
              <w:bottom w:val="single" w:color="auto" w:sz="4" w:space="0"/>
              <w:right w:val="single" w:color="auto" w:sz="4" w:space="0"/>
              <w:tl2br w:val="nil"/>
              <w:tr2bl w:val="nil"/>
            </w:tcBorders>
            <w:vAlign w:val="center"/>
          </w:tcPr>
          <w:p w14:paraId="26742C5B">
            <w:pPr>
              <w:keepNext w:val="0"/>
              <w:keepLines w:val="0"/>
              <w:pageBreakBefore w:val="0"/>
              <w:widowControl/>
              <w:suppressLineNumbers w:val="0"/>
              <w:kinsoku/>
              <w:overflowPunct/>
              <w:topLinePunct w:val="0"/>
              <w:autoSpaceDE/>
              <w:autoSpaceDN/>
              <w:bidi w:val="0"/>
              <w:spacing w:before="0" w:beforeLines="0" w:beforeAutospacing="0" w:after="0" w:afterLines="0" w:afterAutospacing="0" w:line="240" w:lineRule="auto"/>
              <w:ind w:left="0" w:right="0"/>
              <w:jc w:val="left"/>
              <w:rPr>
                <w:rFonts w:hint="eastAsia" w:ascii="宋体" w:hAnsi="宋体" w:eastAsia="宋体" w:cs="宋体"/>
                <w:color w:val="auto"/>
                <w:kern w:val="0"/>
                <w:sz w:val="22"/>
                <w:szCs w:val="22"/>
                <w:highlight w:val="none"/>
              </w:rPr>
            </w:pPr>
          </w:p>
        </w:tc>
        <w:tc>
          <w:tcPr>
            <w:tcW w:w="1021" w:type="dxa"/>
            <w:vMerge w:val="continue"/>
            <w:tcBorders>
              <w:top w:val="single" w:color="auto" w:sz="4" w:space="0"/>
              <w:left w:val="single" w:color="auto" w:sz="4" w:space="0"/>
              <w:bottom w:val="single" w:color="auto" w:sz="4" w:space="0"/>
              <w:right w:val="single" w:color="auto" w:sz="4" w:space="0"/>
              <w:tl2br w:val="nil"/>
              <w:tr2bl w:val="nil"/>
            </w:tcBorders>
            <w:vAlign w:val="center"/>
          </w:tcPr>
          <w:p w14:paraId="5ACE5958">
            <w:pPr>
              <w:keepNext w:val="0"/>
              <w:keepLines w:val="0"/>
              <w:pageBreakBefore w:val="0"/>
              <w:widowControl/>
              <w:suppressLineNumbers w:val="0"/>
              <w:kinsoku/>
              <w:overflowPunct/>
              <w:topLinePunct w:val="0"/>
              <w:autoSpaceDE/>
              <w:autoSpaceDN/>
              <w:bidi w:val="0"/>
              <w:spacing w:before="0" w:beforeLines="0" w:beforeAutospacing="0" w:after="0" w:afterLines="0" w:afterAutospacing="0" w:line="240" w:lineRule="auto"/>
              <w:ind w:left="0" w:right="0"/>
              <w:jc w:val="left"/>
              <w:rPr>
                <w:rFonts w:hint="eastAsia" w:ascii="宋体" w:hAnsi="宋体" w:eastAsia="宋体" w:cs="宋体"/>
                <w:color w:val="auto"/>
                <w:kern w:val="0"/>
                <w:sz w:val="22"/>
                <w:szCs w:val="22"/>
                <w:highlight w:val="none"/>
              </w:rPr>
            </w:pPr>
          </w:p>
        </w:tc>
        <w:tc>
          <w:tcPr>
            <w:tcW w:w="924" w:type="dxa"/>
            <w:vMerge w:val="continue"/>
            <w:tcBorders>
              <w:left w:val="single" w:color="auto" w:sz="4" w:space="0"/>
              <w:bottom w:val="single" w:color="auto" w:sz="4" w:space="0"/>
              <w:right w:val="single" w:color="auto" w:sz="4" w:space="0"/>
              <w:tl2br w:val="nil"/>
              <w:tr2bl w:val="nil"/>
            </w:tcBorders>
            <w:shd w:val="clear" w:color="auto" w:fill="auto"/>
            <w:vAlign w:val="center"/>
          </w:tcPr>
          <w:p w14:paraId="47483BDC">
            <w:pPr>
              <w:pStyle w:val="8"/>
              <w:keepNext w:val="0"/>
              <w:keepLines w:val="0"/>
              <w:pageBreakBefore w:val="0"/>
              <w:suppressLineNumbers w:val="0"/>
              <w:kinsoku/>
              <w:wordWrap w:val="0"/>
              <w:overflowPunct/>
              <w:topLinePunct w:val="0"/>
              <w:autoSpaceDE/>
              <w:autoSpaceDN/>
              <w:bidi w:val="0"/>
              <w:adjustRightInd w:val="0"/>
              <w:snapToGrid w:val="0"/>
              <w:spacing w:before="0" w:beforeAutospacing="0" w:after="0" w:afterAutospacing="0" w:line="240" w:lineRule="auto"/>
              <w:ind w:left="0" w:right="0"/>
              <w:jc w:val="center"/>
              <w:rPr>
                <w:rFonts w:hint="eastAsia" w:ascii="宋体" w:hAnsi="宋体" w:eastAsia="宋体" w:cs="宋体"/>
                <w:color w:val="auto"/>
                <w:kern w:val="0"/>
                <w:sz w:val="22"/>
                <w:szCs w:val="22"/>
                <w:highlight w:val="none"/>
                <w:lang w:val="en-US" w:eastAsia="zh-CN" w:bidi="ar-SA"/>
              </w:rPr>
            </w:pPr>
          </w:p>
        </w:tc>
        <w:tc>
          <w:tcPr>
            <w:tcW w:w="3558" w:type="dxa"/>
            <w:tcBorders>
              <w:top w:val="single" w:color="auto" w:sz="4" w:space="0"/>
              <w:left w:val="single" w:color="auto" w:sz="4" w:space="0"/>
              <w:bottom w:val="single" w:color="auto" w:sz="4" w:space="0"/>
              <w:right w:val="single" w:color="auto" w:sz="4" w:space="0"/>
              <w:tl2br w:val="nil"/>
              <w:tr2bl w:val="nil"/>
            </w:tcBorders>
            <w:shd w:val="clear" w:color="auto" w:fill="auto"/>
            <w:vAlign w:val="center"/>
          </w:tcPr>
          <w:p w14:paraId="1D837F3E">
            <w:pPr>
              <w:pStyle w:val="8"/>
              <w:keepNext w:val="0"/>
              <w:keepLines w:val="0"/>
              <w:pageBreakBefore w:val="0"/>
              <w:widowControl/>
              <w:suppressLineNumbers w:val="0"/>
              <w:kinsoku/>
              <w:overflowPunct/>
              <w:topLinePunct w:val="0"/>
              <w:autoSpaceDE/>
              <w:autoSpaceDN/>
              <w:bidi w:val="0"/>
              <w:adjustRightInd w:val="0"/>
              <w:snapToGrid w:val="0"/>
              <w:spacing w:before="0" w:beforeAutospacing="0" w:after="0" w:afterLines="0" w:afterAutospacing="0" w:line="240" w:lineRule="auto"/>
              <w:ind w:left="0" w:right="0"/>
              <w:rPr>
                <w:rFonts w:hint="eastAsia" w:ascii="宋体" w:hAnsi="宋体" w:eastAsia="宋体" w:cs="宋体"/>
                <w:b w:val="0"/>
                <w:bCs w:val="0"/>
                <w:snapToGrid w:val="0"/>
                <w:color w:val="auto"/>
                <w:kern w:val="0"/>
                <w:sz w:val="21"/>
                <w:szCs w:val="21"/>
                <w:highlight w:val="none"/>
                <w:lang w:val="en-US" w:eastAsia="zh-CN"/>
              </w:rPr>
            </w:pPr>
            <w:r>
              <w:rPr>
                <w:rFonts w:hint="eastAsia" w:ascii="宋体" w:hAnsi="宋体" w:eastAsia="宋体" w:cs="宋体"/>
                <w:b w:val="0"/>
                <w:bCs w:val="0"/>
                <w:snapToGrid w:val="0"/>
                <w:color w:val="auto"/>
                <w:kern w:val="0"/>
                <w:sz w:val="21"/>
                <w:szCs w:val="21"/>
                <w:highlight w:val="none"/>
                <w:lang w:val="en-US" w:eastAsia="zh-CN"/>
              </w:rPr>
              <w:t>1.企业连续10年或10年以上（含10年）获得纳税信用 A 级纳税人的，得5分</w:t>
            </w:r>
            <w:r>
              <w:rPr>
                <w:rFonts w:hint="eastAsia" w:hAnsi="宋体" w:eastAsia="宋体" w:cs="宋体"/>
                <w:b w:val="0"/>
                <w:bCs w:val="0"/>
                <w:snapToGrid w:val="0"/>
                <w:color w:val="auto"/>
                <w:kern w:val="0"/>
                <w:sz w:val="21"/>
                <w:szCs w:val="21"/>
                <w:highlight w:val="none"/>
                <w:lang w:val="en-US" w:eastAsia="zh-CN"/>
              </w:rPr>
              <w:t>（</w:t>
            </w:r>
            <w:r>
              <w:rPr>
                <w:rFonts w:hint="eastAsia" w:ascii="宋体" w:hAnsi="宋体" w:eastAsia="宋体" w:cs="宋体"/>
                <w:b w:val="0"/>
                <w:bCs w:val="0"/>
                <w:snapToGrid w:val="0"/>
                <w:color w:val="auto"/>
                <w:kern w:val="0"/>
                <w:sz w:val="21"/>
                <w:szCs w:val="21"/>
                <w:highlight w:val="none"/>
                <w:lang w:val="en-US" w:eastAsia="zh-CN"/>
              </w:rPr>
              <w:t>其中必须有2025年度</w:t>
            </w:r>
            <w:r>
              <w:rPr>
                <w:rFonts w:hint="eastAsia" w:hAnsi="宋体" w:eastAsia="宋体" w:cs="宋体"/>
                <w:b w:val="0"/>
                <w:bCs w:val="0"/>
                <w:snapToGrid w:val="0"/>
                <w:color w:val="auto"/>
                <w:kern w:val="0"/>
                <w:sz w:val="21"/>
                <w:szCs w:val="21"/>
                <w:highlight w:val="none"/>
                <w:lang w:val="en-US" w:eastAsia="zh-CN"/>
              </w:rPr>
              <w:t>）</w:t>
            </w:r>
            <w:r>
              <w:rPr>
                <w:rFonts w:hint="eastAsia" w:ascii="宋体" w:hAnsi="宋体" w:eastAsia="宋体" w:cs="宋体"/>
                <w:b w:val="0"/>
                <w:bCs w:val="0"/>
                <w:snapToGrid w:val="0"/>
                <w:color w:val="auto"/>
                <w:kern w:val="0"/>
                <w:sz w:val="21"/>
                <w:szCs w:val="21"/>
                <w:highlight w:val="none"/>
                <w:lang w:val="en-US" w:eastAsia="zh-CN"/>
              </w:rPr>
              <w:t>。</w:t>
            </w:r>
          </w:p>
          <w:p w14:paraId="48291E5B">
            <w:pPr>
              <w:pStyle w:val="8"/>
              <w:keepNext w:val="0"/>
              <w:keepLines w:val="0"/>
              <w:pageBreakBefore w:val="0"/>
              <w:widowControl/>
              <w:suppressLineNumbers w:val="0"/>
              <w:kinsoku/>
              <w:overflowPunct/>
              <w:topLinePunct w:val="0"/>
              <w:autoSpaceDE/>
              <w:autoSpaceDN/>
              <w:bidi w:val="0"/>
              <w:adjustRightInd w:val="0"/>
              <w:snapToGrid w:val="0"/>
              <w:spacing w:before="0" w:beforeAutospacing="0" w:after="0" w:afterLines="0" w:afterAutospacing="0" w:line="240" w:lineRule="auto"/>
              <w:ind w:left="0" w:right="0"/>
              <w:rPr>
                <w:rFonts w:hint="eastAsia" w:ascii="宋体" w:hAnsi="宋体" w:eastAsia="宋体" w:cs="宋体"/>
                <w:color w:val="auto"/>
                <w:kern w:val="0"/>
                <w:sz w:val="22"/>
                <w:szCs w:val="22"/>
                <w:highlight w:val="none"/>
                <w:lang w:val="en-US" w:eastAsia="zh-CN" w:bidi="ar-SA"/>
              </w:rPr>
            </w:pPr>
            <w:r>
              <w:rPr>
                <w:rFonts w:hint="eastAsia" w:ascii="宋体" w:hAnsi="宋体" w:eastAsia="宋体" w:cs="宋体"/>
                <w:b w:val="0"/>
                <w:bCs w:val="0"/>
                <w:snapToGrid w:val="0"/>
                <w:color w:val="auto"/>
                <w:kern w:val="0"/>
                <w:sz w:val="21"/>
                <w:szCs w:val="21"/>
                <w:highlight w:val="none"/>
                <w:lang w:val="en-US" w:eastAsia="zh-CN"/>
              </w:rPr>
              <w:t>2.</w:t>
            </w:r>
            <w:r>
              <w:rPr>
                <w:rFonts w:hint="eastAsia" w:ascii="宋体" w:hAnsi="宋体" w:eastAsia="宋体" w:cs="宋体"/>
                <w:b w:val="0"/>
                <w:bCs w:val="0"/>
                <w:color w:val="auto"/>
                <w:sz w:val="21"/>
                <w:szCs w:val="21"/>
                <w:highlight w:val="none"/>
              </w:rPr>
              <w:t>本项最高得</w:t>
            </w:r>
            <w:r>
              <w:rPr>
                <w:rFonts w:hint="eastAsia" w:ascii="宋体" w:hAnsi="宋体" w:eastAsia="宋体" w:cs="宋体"/>
                <w:b w:val="0"/>
                <w:bCs w:val="0"/>
                <w:color w:val="auto"/>
                <w:sz w:val="21"/>
                <w:szCs w:val="21"/>
                <w:highlight w:val="none"/>
                <w:lang w:val="en-US" w:eastAsia="zh-CN"/>
              </w:rPr>
              <w:t>5</w:t>
            </w:r>
            <w:r>
              <w:rPr>
                <w:rFonts w:hint="eastAsia" w:ascii="宋体" w:hAnsi="宋体" w:eastAsia="宋体" w:cs="宋体"/>
                <w:b w:val="0"/>
                <w:bCs w:val="0"/>
                <w:color w:val="auto"/>
                <w:sz w:val="21"/>
                <w:szCs w:val="21"/>
                <w:highlight w:val="none"/>
              </w:rPr>
              <w:t>分。</w:t>
            </w:r>
          </w:p>
        </w:tc>
        <w:tc>
          <w:tcPr>
            <w:tcW w:w="3882" w:type="dxa"/>
            <w:tcBorders>
              <w:top w:val="single" w:color="auto" w:sz="4" w:space="0"/>
              <w:left w:val="single" w:color="auto" w:sz="4" w:space="0"/>
              <w:bottom w:val="single" w:color="auto" w:sz="4" w:space="0"/>
              <w:right w:val="single" w:color="auto" w:sz="4" w:space="0"/>
              <w:tl2br w:val="nil"/>
              <w:tr2bl w:val="nil"/>
            </w:tcBorders>
            <w:shd w:val="clear" w:color="auto" w:fill="auto"/>
            <w:vAlign w:val="center"/>
          </w:tcPr>
          <w:p w14:paraId="30A4EC14">
            <w:pPr>
              <w:pStyle w:val="8"/>
              <w:keepNext w:val="0"/>
              <w:keepLines w:val="0"/>
              <w:pageBreakBefore w:val="0"/>
              <w:widowControl/>
              <w:suppressLineNumbers w:val="0"/>
              <w:kinsoku/>
              <w:overflowPunct/>
              <w:topLinePunct w:val="0"/>
              <w:autoSpaceDE/>
              <w:autoSpaceDN/>
              <w:bidi w:val="0"/>
              <w:adjustRightInd w:val="0"/>
              <w:snapToGrid w:val="0"/>
              <w:spacing w:before="0" w:beforeAutospacing="0" w:after="0" w:afterLines="0" w:afterAutospacing="0" w:line="240" w:lineRule="auto"/>
              <w:ind w:left="0" w:right="0"/>
              <w:rPr>
                <w:rFonts w:hint="eastAsia" w:ascii="宋体" w:hAnsi="宋体" w:eastAsia="宋体" w:cs="宋体"/>
                <w:snapToGrid w:val="0"/>
                <w:color w:val="auto"/>
                <w:kern w:val="0"/>
                <w:sz w:val="21"/>
                <w:szCs w:val="21"/>
                <w:highlight w:val="none"/>
                <w:lang w:val="en-US" w:eastAsia="zh-CN"/>
              </w:rPr>
            </w:pPr>
            <w:r>
              <w:rPr>
                <w:rFonts w:hint="eastAsia" w:ascii="宋体" w:hAnsi="宋体" w:eastAsia="宋体" w:cs="宋体"/>
                <w:snapToGrid w:val="0"/>
                <w:color w:val="auto"/>
                <w:kern w:val="0"/>
                <w:sz w:val="21"/>
                <w:szCs w:val="21"/>
                <w:highlight w:val="none"/>
                <w:lang w:val="en-US" w:eastAsia="zh-CN"/>
              </w:rPr>
              <w:t>1.必须提供企业纳税信用A级纳税人证明材料（或证书）彩色扫描件，否则不得分。</w:t>
            </w:r>
            <w:r>
              <w:rPr>
                <w:rFonts w:hint="eastAsia" w:ascii="宋体" w:hAnsi="宋体" w:eastAsia="宋体" w:cs="宋体"/>
                <w:b/>
                <w:bCs/>
                <w:color w:val="auto"/>
                <w:sz w:val="21"/>
                <w:szCs w:val="21"/>
                <w:highlight w:val="none"/>
                <w:lang w:val="en-US" w:eastAsia="zh-CN"/>
              </w:rPr>
              <w:t>组成联合体时由联合体牵头人提交。</w:t>
            </w:r>
          </w:p>
          <w:p w14:paraId="3EC1DF9A">
            <w:pPr>
              <w:pStyle w:val="8"/>
              <w:keepNext w:val="0"/>
              <w:keepLines w:val="0"/>
              <w:pageBreakBefore w:val="0"/>
              <w:widowControl/>
              <w:suppressLineNumbers w:val="0"/>
              <w:kinsoku/>
              <w:overflowPunct/>
              <w:topLinePunct w:val="0"/>
              <w:autoSpaceDE/>
              <w:autoSpaceDN/>
              <w:bidi w:val="0"/>
              <w:adjustRightInd w:val="0"/>
              <w:snapToGrid w:val="0"/>
              <w:spacing w:before="0" w:beforeAutospacing="0" w:after="0" w:afterLines="0" w:afterAutospacing="0" w:line="240" w:lineRule="auto"/>
              <w:ind w:left="0" w:right="0"/>
              <w:rPr>
                <w:rFonts w:hint="eastAsia" w:ascii="宋体" w:hAnsi="宋体" w:eastAsia="宋体" w:cs="宋体"/>
                <w:color w:val="auto"/>
                <w:kern w:val="0"/>
                <w:sz w:val="22"/>
                <w:szCs w:val="22"/>
                <w:highlight w:val="none"/>
                <w:lang w:val="en-US" w:eastAsia="zh-CN" w:bidi="ar-SA"/>
              </w:rPr>
            </w:pPr>
            <w:r>
              <w:rPr>
                <w:rFonts w:hint="eastAsia" w:ascii="宋体" w:hAnsi="宋体" w:eastAsia="宋体" w:cs="宋体"/>
                <w:snapToGrid w:val="0"/>
                <w:color w:val="auto"/>
                <w:kern w:val="0"/>
                <w:sz w:val="21"/>
                <w:szCs w:val="21"/>
                <w:highlight w:val="none"/>
                <w:lang w:val="en-US" w:eastAsia="zh-CN"/>
              </w:rPr>
              <w:t>2.只计算投标人自身（不计算投标人的分公司、子公司及分支机构）。</w:t>
            </w:r>
          </w:p>
        </w:tc>
      </w:tr>
      <w:tr w14:paraId="05189C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82" w:hRule="atLeast"/>
          <w:jc w:val="center"/>
        </w:trPr>
        <w:tc>
          <w:tcPr>
            <w:tcW w:w="1023" w:type="dxa"/>
            <w:vMerge w:val="continue"/>
            <w:tcBorders>
              <w:top w:val="single" w:color="auto" w:sz="4" w:space="0"/>
              <w:left w:val="single" w:color="auto" w:sz="4" w:space="0"/>
              <w:bottom w:val="single" w:color="auto" w:sz="4" w:space="0"/>
              <w:right w:val="single" w:color="auto" w:sz="4" w:space="0"/>
              <w:tl2br w:val="nil"/>
              <w:tr2bl w:val="nil"/>
            </w:tcBorders>
            <w:vAlign w:val="center"/>
          </w:tcPr>
          <w:p w14:paraId="77D3FFB6">
            <w:pPr>
              <w:keepNext w:val="0"/>
              <w:keepLines w:val="0"/>
              <w:pageBreakBefore w:val="0"/>
              <w:widowControl/>
              <w:suppressLineNumbers w:val="0"/>
              <w:kinsoku/>
              <w:overflowPunct/>
              <w:topLinePunct w:val="0"/>
              <w:autoSpaceDE/>
              <w:autoSpaceDN/>
              <w:bidi w:val="0"/>
              <w:spacing w:before="0" w:beforeLines="0" w:beforeAutospacing="0" w:after="0" w:afterLines="0" w:afterAutospacing="0" w:line="240" w:lineRule="auto"/>
              <w:ind w:left="0" w:right="0"/>
              <w:jc w:val="left"/>
              <w:rPr>
                <w:rFonts w:hint="eastAsia" w:ascii="宋体" w:hAnsi="宋体" w:eastAsia="宋体" w:cs="宋体"/>
                <w:color w:val="auto"/>
                <w:kern w:val="0"/>
                <w:sz w:val="22"/>
                <w:szCs w:val="22"/>
                <w:highlight w:val="none"/>
              </w:rPr>
            </w:pPr>
          </w:p>
        </w:tc>
        <w:tc>
          <w:tcPr>
            <w:tcW w:w="1021" w:type="dxa"/>
            <w:vMerge w:val="restart"/>
            <w:tcBorders>
              <w:top w:val="single" w:color="auto" w:sz="4" w:space="0"/>
              <w:left w:val="single" w:color="auto" w:sz="4" w:space="0"/>
              <w:right w:val="single" w:color="auto" w:sz="4" w:space="0"/>
              <w:tl2br w:val="nil"/>
              <w:tr2bl w:val="nil"/>
            </w:tcBorders>
            <w:vAlign w:val="center"/>
          </w:tcPr>
          <w:p w14:paraId="6AA787BF">
            <w:pPr>
              <w:keepNext w:val="0"/>
              <w:keepLines w:val="0"/>
              <w:pageBreakBefore w:val="0"/>
              <w:widowControl/>
              <w:suppressLineNumbers w:val="0"/>
              <w:kinsoku/>
              <w:overflowPunct/>
              <w:topLinePunct w:val="0"/>
              <w:autoSpaceDE/>
              <w:autoSpaceDN/>
              <w:bidi w:val="0"/>
              <w:spacing w:before="0" w:beforeLines="0" w:beforeAutospacing="0" w:after="0" w:afterLines="0" w:afterAutospacing="0" w:line="240" w:lineRule="auto"/>
              <w:ind w:left="0" w:right="0"/>
              <w:jc w:val="center"/>
              <w:rPr>
                <w:rFonts w:hint="eastAsia" w:ascii="宋体" w:hAnsi="宋体" w:eastAsia="宋体" w:cs="宋体"/>
                <w:color w:val="auto"/>
                <w:kern w:val="0"/>
                <w:sz w:val="22"/>
                <w:szCs w:val="22"/>
                <w:highlight w:val="none"/>
              </w:rPr>
            </w:pPr>
            <w:r>
              <w:rPr>
                <w:rFonts w:hint="eastAsia" w:ascii="宋体" w:hAnsi="宋体" w:eastAsia="宋体" w:cs="宋体"/>
                <w:color w:val="auto"/>
                <w:kern w:val="0"/>
                <w:sz w:val="22"/>
                <w:szCs w:val="22"/>
                <w:highlight w:val="none"/>
              </w:rPr>
              <w:t>设计</w:t>
            </w:r>
          </w:p>
          <w:p w14:paraId="20071FB7">
            <w:pPr>
              <w:keepNext w:val="0"/>
              <w:keepLines w:val="0"/>
              <w:pageBreakBefore w:val="0"/>
              <w:widowControl/>
              <w:suppressLineNumbers w:val="0"/>
              <w:kinsoku/>
              <w:overflowPunct/>
              <w:topLinePunct w:val="0"/>
              <w:autoSpaceDE/>
              <w:autoSpaceDN/>
              <w:bidi w:val="0"/>
              <w:spacing w:before="0" w:beforeLines="0" w:beforeAutospacing="0" w:after="0" w:afterLines="0" w:afterAutospacing="0" w:line="240" w:lineRule="auto"/>
              <w:ind w:left="0" w:right="0"/>
              <w:jc w:val="center"/>
              <w:rPr>
                <w:rFonts w:hint="eastAsia" w:ascii="宋体" w:hAnsi="宋体" w:eastAsia="宋体" w:cs="宋体"/>
                <w:color w:val="auto"/>
                <w:kern w:val="0"/>
                <w:sz w:val="22"/>
                <w:szCs w:val="22"/>
                <w:highlight w:val="none"/>
              </w:rPr>
            </w:pPr>
            <w:r>
              <w:rPr>
                <w:rFonts w:hint="eastAsia" w:ascii="宋体" w:hAnsi="宋体" w:eastAsia="宋体" w:cs="宋体"/>
                <w:color w:val="auto"/>
                <w:kern w:val="0"/>
                <w:sz w:val="22"/>
                <w:szCs w:val="22"/>
                <w:highlight w:val="none"/>
              </w:rPr>
              <w:t>企业</w:t>
            </w:r>
          </w:p>
          <w:p w14:paraId="21217EBE">
            <w:pPr>
              <w:keepNext w:val="0"/>
              <w:keepLines w:val="0"/>
              <w:pageBreakBefore w:val="0"/>
              <w:widowControl/>
              <w:suppressLineNumbers w:val="0"/>
              <w:kinsoku/>
              <w:overflowPunct/>
              <w:topLinePunct w:val="0"/>
              <w:autoSpaceDE/>
              <w:autoSpaceDN/>
              <w:bidi w:val="0"/>
              <w:spacing w:before="0" w:beforeLines="0" w:beforeAutospacing="0" w:after="0" w:afterLines="0" w:afterAutospacing="0" w:line="240" w:lineRule="auto"/>
              <w:ind w:left="0" w:right="0"/>
              <w:jc w:val="center"/>
              <w:rPr>
                <w:rFonts w:hint="eastAsia" w:ascii="宋体" w:hAnsi="宋体" w:eastAsia="宋体" w:cs="宋体"/>
                <w:color w:val="auto"/>
                <w:kern w:val="0"/>
                <w:sz w:val="22"/>
                <w:szCs w:val="22"/>
                <w:highlight w:val="none"/>
              </w:rPr>
            </w:pPr>
            <w:r>
              <w:rPr>
                <w:rFonts w:hint="eastAsia" w:ascii="宋体" w:hAnsi="宋体" w:eastAsia="宋体" w:cs="宋体"/>
                <w:color w:val="auto"/>
                <w:kern w:val="0"/>
                <w:sz w:val="22"/>
                <w:szCs w:val="22"/>
                <w:highlight w:val="none"/>
              </w:rPr>
              <w:t>（</w:t>
            </w:r>
            <w:r>
              <w:rPr>
                <w:rFonts w:hint="eastAsia" w:hAnsi="宋体" w:eastAsia="宋体" w:cs="宋体"/>
                <w:color w:val="auto"/>
                <w:kern w:val="0"/>
                <w:sz w:val="22"/>
                <w:szCs w:val="22"/>
                <w:highlight w:val="none"/>
                <w:lang w:val="en-US" w:eastAsia="zh-CN"/>
              </w:rPr>
              <w:t>1</w:t>
            </w:r>
            <w:r>
              <w:rPr>
                <w:rFonts w:hint="eastAsia" w:ascii="宋体" w:hAnsi="宋体" w:eastAsia="宋体" w:cs="宋体"/>
                <w:color w:val="auto"/>
                <w:kern w:val="0"/>
                <w:sz w:val="22"/>
                <w:szCs w:val="22"/>
                <w:highlight w:val="none"/>
              </w:rPr>
              <w:t>0分）</w:t>
            </w:r>
          </w:p>
        </w:tc>
        <w:tc>
          <w:tcPr>
            <w:tcW w:w="924" w:type="dxa"/>
            <w:tcBorders>
              <w:top w:val="single" w:color="auto" w:sz="4" w:space="0"/>
              <w:left w:val="single" w:color="auto" w:sz="4" w:space="0"/>
              <w:bottom w:val="single" w:color="auto" w:sz="4" w:space="0"/>
              <w:right w:val="single" w:color="auto" w:sz="4" w:space="0"/>
              <w:tl2br w:val="nil"/>
              <w:tr2bl w:val="nil"/>
            </w:tcBorders>
            <w:shd w:val="clear" w:color="auto" w:fill="auto"/>
            <w:vAlign w:val="center"/>
          </w:tcPr>
          <w:p w14:paraId="069E8E45">
            <w:pPr>
              <w:pStyle w:val="8"/>
              <w:keepNext w:val="0"/>
              <w:keepLines w:val="0"/>
              <w:pageBreakBefore w:val="0"/>
              <w:suppressLineNumbers w:val="0"/>
              <w:kinsoku/>
              <w:overflowPunct/>
              <w:topLinePunct w:val="0"/>
              <w:autoSpaceDE/>
              <w:autoSpaceDN/>
              <w:bidi w:val="0"/>
              <w:adjustRightInd w:val="0"/>
              <w:snapToGrid w:val="0"/>
              <w:spacing w:before="0" w:beforeAutospacing="0" w:after="0" w:afterAutospacing="0" w:line="240" w:lineRule="auto"/>
              <w:ind w:left="0" w:right="0"/>
              <w:jc w:val="center"/>
              <w:rPr>
                <w:rFonts w:hint="eastAsia" w:ascii="宋体" w:hAnsi="宋体" w:eastAsia="宋体" w:cs="宋体"/>
                <w:b w:val="0"/>
                <w:bCs w:val="0"/>
                <w:snapToGrid w:val="0"/>
                <w:color w:val="auto"/>
                <w:kern w:val="0"/>
                <w:sz w:val="21"/>
                <w:szCs w:val="21"/>
                <w:highlight w:val="none"/>
              </w:rPr>
            </w:pPr>
            <w:r>
              <w:rPr>
                <w:rFonts w:hint="eastAsia" w:ascii="宋体" w:hAnsi="宋体" w:eastAsia="宋体" w:cs="宋体"/>
                <w:b w:val="0"/>
                <w:bCs w:val="0"/>
                <w:snapToGrid w:val="0"/>
                <w:color w:val="auto"/>
                <w:kern w:val="0"/>
                <w:sz w:val="21"/>
                <w:szCs w:val="21"/>
                <w:highlight w:val="none"/>
              </w:rPr>
              <w:t>企业</w:t>
            </w:r>
          </w:p>
          <w:p w14:paraId="2DCFF418">
            <w:pPr>
              <w:pStyle w:val="8"/>
              <w:keepNext w:val="0"/>
              <w:keepLines w:val="0"/>
              <w:pageBreakBefore w:val="0"/>
              <w:suppressLineNumbers w:val="0"/>
              <w:kinsoku/>
              <w:overflowPunct/>
              <w:topLinePunct w:val="0"/>
              <w:autoSpaceDE/>
              <w:autoSpaceDN/>
              <w:bidi w:val="0"/>
              <w:adjustRightInd w:val="0"/>
              <w:snapToGrid w:val="0"/>
              <w:spacing w:before="0" w:beforeAutospacing="0" w:after="0" w:afterAutospacing="0" w:line="240" w:lineRule="auto"/>
              <w:ind w:left="0" w:right="0"/>
              <w:jc w:val="center"/>
              <w:rPr>
                <w:rFonts w:hint="eastAsia" w:ascii="宋体" w:hAnsi="宋体" w:eastAsia="宋体" w:cs="宋体"/>
                <w:b w:val="0"/>
                <w:bCs w:val="0"/>
                <w:snapToGrid w:val="0"/>
                <w:color w:val="auto"/>
                <w:kern w:val="0"/>
                <w:sz w:val="21"/>
                <w:szCs w:val="21"/>
                <w:highlight w:val="none"/>
              </w:rPr>
            </w:pPr>
            <w:r>
              <w:rPr>
                <w:rFonts w:hint="eastAsia" w:ascii="宋体" w:hAnsi="宋体" w:eastAsia="宋体" w:cs="宋体"/>
                <w:b w:val="0"/>
                <w:bCs w:val="0"/>
                <w:snapToGrid w:val="0"/>
                <w:color w:val="auto"/>
                <w:kern w:val="0"/>
                <w:sz w:val="21"/>
                <w:szCs w:val="21"/>
                <w:highlight w:val="none"/>
              </w:rPr>
              <w:t>业绩</w:t>
            </w:r>
          </w:p>
          <w:p w14:paraId="6FA33157">
            <w:pPr>
              <w:pStyle w:val="8"/>
              <w:keepNext w:val="0"/>
              <w:keepLines w:val="0"/>
              <w:pageBreakBefore w:val="0"/>
              <w:suppressLineNumbers w:val="0"/>
              <w:kinsoku/>
              <w:overflowPunct/>
              <w:topLinePunct w:val="0"/>
              <w:autoSpaceDE/>
              <w:autoSpaceDN/>
              <w:bidi w:val="0"/>
              <w:adjustRightInd w:val="0"/>
              <w:snapToGrid w:val="0"/>
              <w:spacing w:before="0" w:beforeAutospacing="0" w:after="0" w:afterAutospacing="0" w:line="240" w:lineRule="auto"/>
              <w:ind w:left="0" w:right="0"/>
              <w:jc w:val="center"/>
              <w:rPr>
                <w:rFonts w:hint="eastAsia" w:ascii="宋体" w:hAnsi="宋体" w:eastAsia="宋体" w:cs="宋体"/>
                <w:color w:val="auto"/>
                <w:kern w:val="0"/>
                <w:sz w:val="22"/>
                <w:szCs w:val="22"/>
                <w:highlight w:val="none"/>
                <w:lang w:val="en-US" w:eastAsia="zh-CN" w:bidi="ar-SA"/>
              </w:rPr>
            </w:pPr>
            <w:r>
              <w:rPr>
                <w:rFonts w:hint="eastAsia" w:ascii="宋体" w:hAnsi="宋体" w:eastAsia="宋体" w:cs="宋体"/>
                <w:b w:val="0"/>
                <w:bCs w:val="0"/>
                <w:snapToGrid w:val="0"/>
                <w:color w:val="auto"/>
                <w:kern w:val="0"/>
                <w:sz w:val="21"/>
                <w:szCs w:val="21"/>
                <w:highlight w:val="none"/>
              </w:rPr>
              <w:t>（</w:t>
            </w:r>
            <w:r>
              <w:rPr>
                <w:rFonts w:hint="eastAsia" w:ascii="宋体" w:hAnsi="宋体" w:eastAsia="宋体" w:cs="宋体"/>
                <w:b w:val="0"/>
                <w:bCs w:val="0"/>
                <w:snapToGrid w:val="0"/>
                <w:color w:val="auto"/>
                <w:kern w:val="0"/>
                <w:sz w:val="21"/>
                <w:szCs w:val="21"/>
                <w:highlight w:val="none"/>
                <w:lang w:val="en-US" w:eastAsia="zh-CN"/>
              </w:rPr>
              <w:t>5</w:t>
            </w:r>
            <w:r>
              <w:rPr>
                <w:rFonts w:hint="eastAsia" w:ascii="宋体" w:hAnsi="宋体" w:eastAsia="宋体" w:cs="宋体"/>
                <w:b w:val="0"/>
                <w:bCs w:val="0"/>
                <w:snapToGrid w:val="0"/>
                <w:color w:val="auto"/>
                <w:kern w:val="0"/>
                <w:sz w:val="21"/>
                <w:szCs w:val="21"/>
                <w:highlight w:val="none"/>
              </w:rPr>
              <w:t>分）</w:t>
            </w:r>
          </w:p>
        </w:tc>
        <w:tc>
          <w:tcPr>
            <w:tcW w:w="3558" w:type="dxa"/>
            <w:tcBorders>
              <w:top w:val="single" w:color="auto" w:sz="4" w:space="0"/>
              <w:left w:val="single" w:color="auto" w:sz="4" w:space="0"/>
              <w:bottom w:val="single" w:color="auto" w:sz="4" w:space="0"/>
              <w:right w:val="single" w:color="auto" w:sz="4" w:space="0"/>
              <w:tl2br w:val="nil"/>
              <w:tr2bl w:val="nil"/>
            </w:tcBorders>
            <w:shd w:val="clear" w:color="auto" w:fill="auto"/>
            <w:vAlign w:val="center"/>
          </w:tcPr>
          <w:p w14:paraId="0C3FB467">
            <w:pPr>
              <w:pStyle w:val="8"/>
              <w:keepNext w:val="0"/>
              <w:keepLines w:val="0"/>
              <w:pageBreakBefore w:val="0"/>
              <w:widowControl/>
              <w:suppressLineNumbers w:val="0"/>
              <w:kinsoku/>
              <w:overflowPunct/>
              <w:topLinePunct w:val="0"/>
              <w:autoSpaceDE/>
              <w:autoSpaceDN/>
              <w:bidi w:val="0"/>
              <w:adjustRightInd w:val="0"/>
              <w:snapToGrid w:val="0"/>
              <w:spacing w:before="0" w:beforeAutospacing="0" w:after="0" w:afterAutospacing="0" w:line="240" w:lineRule="auto"/>
              <w:ind w:left="0" w:right="0"/>
              <w:rPr>
                <w:rFonts w:hint="eastAsia" w:ascii="宋体" w:hAnsi="宋体" w:eastAsia="宋体" w:cs="宋体"/>
                <w:b w:val="0"/>
                <w:bCs w:val="0"/>
                <w:snapToGrid w:val="0"/>
                <w:color w:val="auto"/>
                <w:kern w:val="0"/>
                <w:sz w:val="21"/>
                <w:szCs w:val="21"/>
                <w:highlight w:val="none"/>
              </w:rPr>
            </w:pPr>
            <w:r>
              <w:rPr>
                <w:rFonts w:hint="eastAsia" w:ascii="宋体" w:hAnsi="宋体" w:eastAsia="宋体" w:cs="宋体"/>
                <w:b w:val="0"/>
                <w:bCs w:val="0"/>
                <w:snapToGrid w:val="0"/>
                <w:color w:val="auto"/>
                <w:kern w:val="0"/>
                <w:sz w:val="21"/>
                <w:szCs w:val="21"/>
                <w:highlight w:val="none"/>
              </w:rPr>
              <w:t>企业近5年来（202</w:t>
            </w:r>
            <w:r>
              <w:rPr>
                <w:rFonts w:hint="eastAsia" w:ascii="宋体" w:hAnsi="宋体" w:eastAsia="宋体" w:cs="宋体"/>
                <w:b w:val="0"/>
                <w:bCs w:val="0"/>
                <w:snapToGrid w:val="0"/>
                <w:color w:val="auto"/>
                <w:kern w:val="0"/>
                <w:sz w:val="21"/>
                <w:szCs w:val="21"/>
                <w:highlight w:val="none"/>
                <w:lang w:val="en-US" w:eastAsia="zh-CN"/>
              </w:rPr>
              <w:t>1</w:t>
            </w:r>
            <w:r>
              <w:rPr>
                <w:rFonts w:hint="eastAsia" w:ascii="宋体" w:hAnsi="宋体" w:eastAsia="宋体" w:cs="宋体"/>
                <w:b w:val="0"/>
                <w:bCs w:val="0"/>
                <w:snapToGrid w:val="0"/>
                <w:color w:val="auto"/>
                <w:kern w:val="0"/>
                <w:sz w:val="21"/>
                <w:szCs w:val="21"/>
                <w:highlight w:val="none"/>
              </w:rPr>
              <w:t>年1月1日至今）业绩情况：</w:t>
            </w:r>
          </w:p>
          <w:p w14:paraId="67BAD61E">
            <w:pPr>
              <w:pStyle w:val="8"/>
              <w:keepNext w:val="0"/>
              <w:keepLines w:val="0"/>
              <w:pageBreakBefore w:val="0"/>
              <w:widowControl/>
              <w:suppressLineNumbers w:val="0"/>
              <w:kinsoku/>
              <w:overflowPunct/>
              <w:topLinePunct w:val="0"/>
              <w:autoSpaceDE/>
              <w:autoSpaceDN/>
              <w:bidi w:val="0"/>
              <w:adjustRightInd w:val="0"/>
              <w:snapToGrid w:val="0"/>
              <w:spacing w:before="0" w:beforeAutospacing="0" w:after="0" w:afterAutospacing="0" w:line="240" w:lineRule="auto"/>
              <w:ind w:left="0" w:right="0"/>
              <w:rPr>
                <w:rFonts w:hint="eastAsia" w:ascii="宋体" w:hAnsi="宋体" w:eastAsia="宋体" w:cs="宋体"/>
                <w:b w:val="0"/>
                <w:bCs w:val="0"/>
                <w:snapToGrid w:val="0"/>
                <w:color w:val="auto"/>
                <w:kern w:val="0"/>
                <w:sz w:val="21"/>
                <w:szCs w:val="21"/>
                <w:highlight w:val="none"/>
              </w:rPr>
            </w:pPr>
            <w:r>
              <w:rPr>
                <w:rFonts w:hint="eastAsia" w:ascii="宋体" w:hAnsi="宋体" w:eastAsia="宋体" w:cs="宋体"/>
                <w:b w:val="0"/>
                <w:bCs w:val="0"/>
                <w:snapToGrid w:val="0"/>
                <w:color w:val="auto"/>
                <w:kern w:val="0"/>
                <w:sz w:val="21"/>
                <w:szCs w:val="21"/>
                <w:highlight w:val="none"/>
              </w:rPr>
              <w:t>1.承接过类似工程</w:t>
            </w:r>
            <w:r>
              <w:rPr>
                <w:rFonts w:hint="eastAsia" w:ascii="宋体" w:hAnsi="宋体" w:eastAsia="宋体" w:cs="宋体"/>
                <w:b w:val="0"/>
                <w:bCs w:val="0"/>
                <w:snapToGrid w:val="0"/>
                <w:color w:val="auto"/>
                <w:kern w:val="0"/>
                <w:sz w:val="21"/>
                <w:szCs w:val="21"/>
                <w:highlight w:val="none"/>
                <w:lang w:eastAsia="zh-CN"/>
              </w:rPr>
              <w:t>设计</w:t>
            </w:r>
            <w:r>
              <w:rPr>
                <w:rFonts w:hint="eastAsia" w:ascii="宋体" w:hAnsi="宋体" w:eastAsia="宋体" w:cs="宋体"/>
                <w:b w:val="0"/>
                <w:bCs w:val="0"/>
                <w:snapToGrid w:val="0"/>
                <w:color w:val="auto"/>
                <w:kern w:val="0"/>
                <w:sz w:val="21"/>
                <w:szCs w:val="21"/>
                <w:highlight w:val="none"/>
              </w:rPr>
              <w:t>的，每个得</w:t>
            </w:r>
            <w:r>
              <w:rPr>
                <w:rFonts w:hint="eastAsia" w:ascii="宋体" w:hAnsi="宋体" w:eastAsia="宋体" w:cs="宋体"/>
                <w:b w:val="0"/>
                <w:bCs w:val="0"/>
                <w:snapToGrid w:val="0"/>
                <w:color w:val="auto"/>
                <w:kern w:val="0"/>
                <w:sz w:val="21"/>
                <w:szCs w:val="21"/>
                <w:highlight w:val="none"/>
                <w:lang w:val="en-US" w:eastAsia="zh-CN"/>
              </w:rPr>
              <w:t>2.5</w:t>
            </w:r>
            <w:r>
              <w:rPr>
                <w:rFonts w:hint="eastAsia" w:ascii="宋体" w:hAnsi="宋体" w:eastAsia="宋体" w:cs="宋体"/>
                <w:b w:val="0"/>
                <w:bCs w:val="0"/>
                <w:snapToGrid w:val="0"/>
                <w:color w:val="auto"/>
                <w:kern w:val="0"/>
                <w:sz w:val="21"/>
                <w:szCs w:val="21"/>
                <w:highlight w:val="none"/>
              </w:rPr>
              <w:t>分。</w:t>
            </w:r>
          </w:p>
          <w:p w14:paraId="14DEC58D">
            <w:pPr>
              <w:pStyle w:val="8"/>
              <w:keepNext w:val="0"/>
              <w:keepLines w:val="0"/>
              <w:pageBreakBefore w:val="0"/>
              <w:widowControl/>
              <w:suppressLineNumbers w:val="0"/>
              <w:kinsoku/>
              <w:overflowPunct/>
              <w:topLinePunct w:val="0"/>
              <w:autoSpaceDE/>
              <w:autoSpaceDN/>
              <w:bidi w:val="0"/>
              <w:adjustRightInd w:val="0"/>
              <w:snapToGrid w:val="0"/>
              <w:spacing w:before="0" w:beforeAutospacing="0" w:after="0" w:afterAutospacing="0" w:line="240" w:lineRule="auto"/>
              <w:ind w:left="0" w:right="0"/>
              <w:rPr>
                <w:rFonts w:hint="eastAsia" w:ascii="宋体" w:hAnsi="宋体" w:eastAsia="宋体" w:cs="宋体"/>
                <w:b w:val="0"/>
                <w:bCs w:val="0"/>
                <w:snapToGrid w:val="0"/>
                <w:color w:val="auto"/>
                <w:kern w:val="0"/>
                <w:sz w:val="21"/>
                <w:szCs w:val="21"/>
                <w:highlight w:val="none"/>
              </w:rPr>
            </w:pPr>
            <w:r>
              <w:rPr>
                <w:rFonts w:hint="eastAsia" w:ascii="宋体" w:hAnsi="宋体" w:eastAsia="宋体" w:cs="宋体"/>
                <w:b w:val="0"/>
                <w:bCs w:val="0"/>
                <w:snapToGrid w:val="0"/>
                <w:color w:val="auto"/>
                <w:kern w:val="0"/>
                <w:sz w:val="21"/>
                <w:szCs w:val="21"/>
                <w:highlight w:val="none"/>
              </w:rPr>
              <w:t>2.未承接过类似工程</w:t>
            </w:r>
            <w:r>
              <w:rPr>
                <w:rFonts w:hint="eastAsia" w:ascii="宋体" w:hAnsi="宋体" w:eastAsia="宋体" w:cs="宋体"/>
                <w:b w:val="0"/>
                <w:bCs w:val="0"/>
                <w:snapToGrid w:val="0"/>
                <w:color w:val="auto"/>
                <w:kern w:val="0"/>
                <w:sz w:val="21"/>
                <w:szCs w:val="21"/>
                <w:highlight w:val="none"/>
                <w:lang w:eastAsia="zh-CN"/>
              </w:rPr>
              <w:t>设计</w:t>
            </w:r>
            <w:r>
              <w:rPr>
                <w:rFonts w:hint="eastAsia" w:ascii="宋体" w:hAnsi="宋体" w:eastAsia="宋体" w:cs="宋体"/>
                <w:b w:val="0"/>
                <w:bCs w:val="0"/>
                <w:snapToGrid w:val="0"/>
                <w:color w:val="auto"/>
                <w:kern w:val="0"/>
                <w:sz w:val="21"/>
                <w:szCs w:val="21"/>
                <w:highlight w:val="none"/>
              </w:rPr>
              <w:t>的，不予计分。</w:t>
            </w:r>
          </w:p>
          <w:p w14:paraId="03B59495">
            <w:pPr>
              <w:pStyle w:val="8"/>
              <w:keepNext w:val="0"/>
              <w:keepLines w:val="0"/>
              <w:pageBreakBefore w:val="0"/>
              <w:widowControl/>
              <w:suppressLineNumbers w:val="0"/>
              <w:kinsoku/>
              <w:overflowPunct/>
              <w:topLinePunct w:val="0"/>
              <w:autoSpaceDE/>
              <w:autoSpaceDN/>
              <w:bidi w:val="0"/>
              <w:adjustRightInd w:val="0"/>
              <w:snapToGrid w:val="0"/>
              <w:spacing w:before="0" w:beforeAutospacing="0" w:after="0" w:afterAutospacing="0" w:line="240" w:lineRule="auto"/>
              <w:ind w:left="0" w:right="0"/>
              <w:rPr>
                <w:rFonts w:hint="eastAsia" w:ascii="宋体" w:hAnsi="宋体" w:eastAsia="宋体" w:cs="宋体"/>
                <w:snapToGrid w:val="0"/>
                <w:color w:val="auto"/>
                <w:kern w:val="0"/>
                <w:sz w:val="22"/>
                <w:szCs w:val="22"/>
                <w:highlight w:val="none"/>
                <w:lang w:bidi="ar"/>
              </w:rPr>
            </w:pPr>
            <w:r>
              <w:rPr>
                <w:rFonts w:hint="eastAsia" w:ascii="宋体" w:hAnsi="宋体" w:eastAsia="宋体" w:cs="宋体"/>
                <w:b w:val="0"/>
                <w:bCs w:val="0"/>
                <w:snapToGrid w:val="0"/>
                <w:color w:val="auto"/>
                <w:kern w:val="0"/>
                <w:sz w:val="21"/>
                <w:szCs w:val="21"/>
                <w:highlight w:val="none"/>
              </w:rPr>
              <w:t>3.本项最高得</w:t>
            </w:r>
            <w:r>
              <w:rPr>
                <w:rFonts w:hint="eastAsia" w:ascii="宋体" w:hAnsi="宋体" w:eastAsia="宋体" w:cs="宋体"/>
                <w:b w:val="0"/>
                <w:bCs w:val="0"/>
                <w:snapToGrid w:val="0"/>
                <w:color w:val="auto"/>
                <w:kern w:val="0"/>
                <w:sz w:val="21"/>
                <w:szCs w:val="21"/>
                <w:highlight w:val="none"/>
                <w:lang w:val="en-US" w:eastAsia="zh-CN"/>
              </w:rPr>
              <w:t>5</w:t>
            </w:r>
            <w:r>
              <w:rPr>
                <w:rFonts w:hint="eastAsia" w:ascii="宋体" w:hAnsi="宋体" w:eastAsia="宋体" w:cs="宋体"/>
                <w:b w:val="0"/>
                <w:bCs w:val="0"/>
                <w:snapToGrid w:val="0"/>
                <w:color w:val="auto"/>
                <w:kern w:val="0"/>
                <w:sz w:val="21"/>
                <w:szCs w:val="21"/>
                <w:highlight w:val="none"/>
              </w:rPr>
              <w:t xml:space="preserve">分。 </w:t>
            </w:r>
          </w:p>
        </w:tc>
        <w:tc>
          <w:tcPr>
            <w:tcW w:w="3882" w:type="dxa"/>
            <w:tcBorders>
              <w:top w:val="single" w:color="auto" w:sz="4" w:space="0"/>
              <w:left w:val="single" w:color="auto" w:sz="4" w:space="0"/>
              <w:bottom w:val="single" w:color="auto" w:sz="4" w:space="0"/>
              <w:right w:val="single" w:color="auto" w:sz="4" w:space="0"/>
              <w:tl2br w:val="nil"/>
              <w:tr2bl w:val="nil"/>
            </w:tcBorders>
            <w:shd w:val="clear" w:color="auto" w:fill="auto"/>
            <w:vAlign w:val="center"/>
          </w:tcPr>
          <w:p w14:paraId="1EBB9F3F">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left"/>
              <w:textAlignment w:val="auto"/>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rPr>
              <w:t>1.</w:t>
            </w:r>
            <w:r>
              <w:rPr>
                <w:rFonts w:hint="eastAsia" w:ascii="宋体" w:hAnsi="宋体" w:eastAsia="宋体" w:cs="宋体"/>
                <w:color w:val="auto"/>
                <w:sz w:val="21"/>
                <w:szCs w:val="21"/>
                <w:highlight w:val="none"/>
              </w:rPr>
              <w:t>类似工程指：</w:t>
            </w:r>
            <w:r>
              <w:rPr>
                <w:rFonts w:hint="eastAsia" w:ascii="宋体" w:hAnsi="宋体" w:eastAsia="宋体" w:cs="宋体"/>
                <w:color w:val="auto"/>
                <w:sz w:val="21"/>
                <w:szCs w:val="21"/>
                <w:highlight w:val="none"/>
                <w:lang w:val="en-US" w:eastAsia="zh-CN"/>
              </w:rPr>
              <w:t>单项</w:t>
            </w:r>
            <w:r>
              <w:rPr>
                <w:rFonts w:hint="eastAsia" w:ascii="宋体" w:hAnsi="宋体" w:eastAsia="宋体" w:cs="宋体"/>
                <w:snapToGrid/>
                <w:color w:val="auto"/>
                <w:kern w:val="2"/>
                <w:sz w:val="21"/>
                <w:szCs w:val="21"/>
                <w:highlight w:val="none"/>
              </w:rPr>
              <w:t>设计合同金额</w:t>
            </w:r>
            <w:r>
              <w:rPr>
                <w:rFonts w:hint="eastAsia" w:ascii="宋体" w:hAnsi="宋体" w:eastAsia="宋体" w:cs="宋体"/>
                <w:b/>
                <w:bCs/>
                <w:snapToGrid w:val="0"/>
                <w:color w:val="auto"/>
                <w:kern w:val="0"/>
                <w:sz w:val="21"/>
                <w:szCs w:val="21"/>
                <w:highlight w:val="none"/>
              </w:rPr>
              <w:t>≥</w:t>
            </w:r>
            <w:r>
              <w:rPr>
                <w:rFonts w:hint="eastAsia" w:ascii="宋体" w:hAnsi="宋体" w:eastAsia="宋体" w:cs="宋体"/>
                <w:snapToGrid w:val="0"/>
                <w:color w:val="auto"/>
                <w:kern w:val="0"/>
                <w:sz w:val="21"/>
                <w:szCs w:val="21"/>
                <w:highlight w:val="none"/>
                <w:lang w:val="en-US" w:eastAsia="zh-CN"/>
              </w:rPr>
              <w:t>100</w:t>
            </w:r>
            <w:r>
              <w:rPr>
                <w:rFonts w:hint="eastAsia" w:ascii="宋体" w:hAnsi="宋体" w:eastAsia="宋体" w:cs="宋体"/>
                <w:snapToGrid w:val="0"/>
                <w:color w:val="auto"/>
                <w:kern w:val="0"/>
                <w:sz w:val="21"/>
                <w:szCs w:val="21"/>
                <w:highlight w:val="none"/>
              </w:rPr>
              <w:t>万元</w:t>
            </w:r>
            <w:r>
              <w:rPr>
                <w:rFonts w:hint="eastAsia" w:hAnsi="宋体" w:eastAsia="宋体" w:cs="宋体"/>
                <w:snapToGrid w:val="0"/>
                <w:color w:val="auto"/>
                <w:kern w:val="0"/>
                <w:sz w:val="21"/>
                <w:szCs w:val="21"/>
                <w:highlight w:val="none"/>
                <w:lang w:eastAsia="zh-CN"/>
              </w:rPr>
              <w:t>的房屋建筑</w:t>
            </w:r>
            <w:r>
              <w:rPr>
                <w:rFonts w:hint="eastAsia" w:ascii="宋体" w:hAnsi="宋体" w:eastAsia="宋体" w:cs="宋体"/>
                <w:snapToGrid w:val="0"/>
                <w:color w:val="auto"/>
                <w:kern w:val="0"/>
                <w:sz w:val="21"/>
                <w:szCs w:val="21"/>
                <w:highlight w:val="none"/>
              </w:rPr>
              <w:t>工程类</w:t>
            </w:r>
            <w:r>
              <w:rPr>
                <w:rFonts w:hint="eastAsia" w:ascii="宋体" w:hAnsi="宋体" w:eastAsia="宋体" w:cs="宋体"/>
                <w:snapToGrid w:val="0"/>
                <w:color w:val="auto"/>
                <w:kern w:val="0"/>
                <w:sz w:val="21"/>
                <w:szCs w:val="21"/>
                <w:highlight w:val="none"/>
                <w:lang w:eastAsia="zh-CN"/>
              </w:rPr>
              <w:t>设计项目</w:t>
            </w:r>
            <w:r>
              <w:rPr>
                <w:rFonts w:hint="eastAsia" w:ascii="宋体" w:hAnsi="宋体" w:eastAsia="宋体" w:cs="宋体"/>
                <w:color w:val="auto"/>
                <w:sz w:val="21"/>
                <w:szCs w:val="21"/>
                <w:highlight w:val="none"/>
                <w:u w:val="single"/>
              </w:rPr>
              <w:t>（含设计、勘察设计、勘察设计施工总承包项目、EPC等）</w:t>
            </w:r>
            <w:r>
              <w:rPr>
                <w:rFonts w:hint="eastAsia" w:ascii="宋体" w:hAnsi="宋体" w:eastAsia="宋体" w:cs="宋体"/>
                <w:snapToGrid w:val="0"/>
                <w:color w:val="auto"/>
                <w:kern w:val="0"/>
                <w:sz w:val="21"/>
                <w:szCs w:val="21"/>
                <w:highlight w:val="none"/>
              </w:rPr>
              <w:t>。</w:t>
            </w:r>
          </w:p>
          <w:p w14:paraId="6672C30C">
            <w:pPr>
              <w:keepNext w:val="0"/>
              <w:keepLines w:val="0"/>
              <w:pageBreakBefore w:val="0"/>
              <w:suppressLineNumbers w:val="0"/>
              <w:kinsoku/>
              <w:overflowPunct/>
              <w:topLinePunct w:val="0"/>
              <w:autoSpaceDE/>
              <w:autoSpaceDN/>
              <w:bidi w:val="0"/>
              <w:adjustRightInd w:val="0"/>
              <w:snapToGrid w:val="0"/>
              <w:spacing w:before="0" w:beforeAutospacing="0" w:after="0" w:afterAutospacing="0" w:line="240" w:lineRule="auto"/>
              <w:ind w:left="0" w:right="0"/>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rPr>
              <w:t>2.需附有关业绩合同协议书彩色扫描件</w:t>
            </w:r>
            <w:r>
              <w:rPr>
                <w:rFonts w:hint="eastAsia" w:ascii="宋体" w:hAnsi="宋体" w:eastAsia="宋体" w:cs="宋体"/>
                <w:snapToGrid w:val="0"/>
                <w:color w:val="auto"/>
                <w:kern w:val="0"/>
                <w:sz w:val="21"/>
                <w:szCs w:val="21"/>
                <w:highlight w:val="none"/>
                <w:u w:val="none"/>
                <w:lang w:eastAsia="zh-CN"/>
              </w:rPr>
              <w:t>。</w:t>
            </w:r>
            <w:r>
              <w:rPr>
                <w:rFonts w:hint="eastAsia" w:ascii="宋体" w:hAnsi="宋体" w:eastAsia="宋体" w:cs="宋体"/>
                <w:b/>
                <w:bCs/>
                <w:color w:val="auto"/>
                <w:sz w:val="21"/>
                <w:szCs w:val="21"/>
                <w:highlight w:val="none"/>
                <w:lang w:val="en-US" w:eastAsia="zh-CN"/>
              </w:rPr>
              <w:t>组成联合体时由设计单位提交。</w:t>
            </w:r>
          </w:p>
          <w:p w14:paraId="0C2087C2">
            <w:pPr>
              <w:keepNext w:val="0"/>
              <w:keepLines w:val="0"/>
              <w:pageBreakBefore w:val="0"/>
              <w:suppressLineNumbers w:val="0"/>
              <w:kinsoku/>
              <w:overflowPunct/>
              <w:topLinePunct w:val="0"/>
              <w:autoSpaceDE/>
              <w:autoSpaceDN/>
              <w:bidi w:val="0"/>
              <w:adjustRightInd w:val="0"/>
              <w:snapToGrid w:val="0"/>
              <w:spacing w:before="0" w:beforeAutospacing="0" w:after="0" w:afterAutospacing="0" w:line="240" w:lineRule="auto"/>
              <w:ind w:left="0" w:right="0"/>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rPr>
              <w:t>3.业绩时间以合同协议书日期为准。</w:t>
            </w:r>
          </w:p>
          <w:p w14:paraId="206AC9DF">
            <w:pPr>
              <w:keepNext w:val="0"/>
              <w:keepLines w:val="0"/>
              <w:pageBreakBefore w:val="0"/>
              <w:suppressLineNumbers w:val="0"/>
              <w:kinsoku/>
              <w:overflowPunct/>
              <w:topLinePunct w:val="0"/>
              <w:autoSpaceDE/>
              <w:autoSpaceDN/>
              <w:bidi w:val="0"/>
              <w:adjustRightInd w:val="0"/>
              <w:snapToGrid w:val="0"/>
              <w:spacing w:before="0" w:beforeAutospacing="0" w:after="0" w:afterAutospacing="0" w:line="240" w:lineRule="auto"/>
              <w:ind w:left="0" w:right="0"/>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rPr>
              <w:t>4.任一业绩有以下情形之一的，该业绩视为无效，不予计分：</w:t>
            </w:r>
          </w:p>
          <w:p w14:paraId="2669AA59">
            <w:pPr>
              <w:keepNext w:val="0"/>
              <w:keepLines w:val="0"/>
              <w:pageBreakBefore w:val="0"/>
              <w:suppressLineNumbers w:val="0"/>
              <w:kinsoku/>
              <w:overflowPunct/>
              <w:topLinePunct w:val="0"/>
              <w:autoSpaceDE/>
              <w:autoSpaceDN/>
              <w:bidi w:val="0"/>
              <w:adjustRightInd w:val="0"/>
              <w:snapToGrid w:val="0"/>
              <w:spacing w:before="0" w:beforeAutospacing="0" w:after="0" w:afterAutospacing="0" w:line="240" w:lineRule="auto"/>
              <w:ind w:left="0" w:right="0"/>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rPr>
              <w:t>①业绩不属于类似工程的；</w:t>
            </w:r>
          </w:p>
          <w:p w14:paraId="4DFD927B">
            <w:pPr>
              <w:keepNext w:val="0"/>
              <w:keepLines w:val="0"/>
              <w:pageBreakBefore w:val="0"/>
              <w:suppressLineNumbers w:val="0"/>
              <w:kinsoku/>
              <w:overflowPunct/>
              <w:topLinePunct w:val="0"/>
              <w:autoSpaceDE/>
              <w:autoSpaceDN/>
              <w:bidi w:val="0"/>
              <w:adjustRightInd w:val="0"/>
              <w:snapToGrid w:val="0"/>
              <w:spacing w:before="0" w:beforeAutospacing="0" w:after="0" w:afterAutospacing="0" w:line="240" w:lineRule="auto"/>
              <w:ind w:left="0" w:right="0"/>
              <w:rPr>
                <w:rFonts w:hint="eastAsia" w:ascii="宋体" w:hAnsi="宋体" w:eastAsia="宋体" w:cs="宋体"/>
                <w:snapToGrid w:val="0"/>
                <w:color w:val="auto"/>
                <w:kern w:val="0"/>
                <w:sz w:val="22"/>
                <w:szCs w:val="22"/>
                <w:highlight w:val="none"/>
                <w:lang w:bidi="ar"/>
              </w:rPr>
            </w:pPr>
            <w:r>
              <w:rPr>
                <w:rFonts w:hint="eastAsia" w:ascii="宋体" w:hAnsi="宋体" w:eastAsia="宋体" w:cs="宋体"/>
                <w:snapToGrid w:val="0"/>
                <w:color w:val="auto"/>
                <w:kern w:val="0"/>
                <w:sz w:val="21"/>
                <w:szCs w:val="21"/>
                <w:highlight w:val="none"/>
              </w:rPr>
              <w:t>②业绩时间不符合要求的。</w:t>
            </w:r>
          </w:p>
        </w:tc>
      </w:tr>
      <w:tr w14:paraId="2FD889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82" w:hRule="atLeast"/>
          <w:jc w:val="center"/>
        </w:trPr>
        <w:tc>
          <w:tcPr>
            <w:tcW w:w="1023" w:type="dxa"/>
            <w:vMerge w:val="continue"/>
            <w:tcBorders>
              <w:top w:val="single" w:color="auto" w:sz="4" w:space="0"/>
              <w:left w:val="single" w:color="auto" w:sz="4" w:space="0"/>
              <w:bottom w:val="single" w:color="auto" w:sz="4" w:space="0"/>
              <w:right w:val="single" w:color="auto" w:sz="4" w:space="0"/>
              <w:tl2br w:val="nil"/>
              <w:tr2bl w:val="nil"/>
            </w:tcBorders>
            <w:vAlign w:val="center"/>
          </w:tcPr>
          <w:p w14:paraId="3C4676EB">
            <w:pPr>
              <w:keepNext w:val="0"/>
              <w:keepLines w:val="0"/>
              <w:pageBreakBefore w:val="0"/>
              <w:widowControl/>
              <w:suppressLineNumbers w:val="0"/>
              <w:kinsoku/>
              <w:overflowPunct/>
              <w:topLinePunct w:val="0"/>
              <w:autoSpaceDE/>
              <w:autoSpaceDN/>
              <w:bidi w:val="0"/>
              <w:spacing w:before="0" w:beforeLines="0" w:beforeAutospacing="0" w:after="0" w:afterLines="0" w:afterAutospacing="0" w:line="240" w:lineRule="auto"/>
              <w:ind w:left="0" w:right="0"/>
              <w:jc w:val="left"/>
              <w:rPr>
                <w:rFonts w:hint="eastAsia" w:ascii="宋体" w:hAnsi="宋体" w:eastAsia="宋体" w:cs="宋体"/>
                <w:color w:val="auto"/>
                <w:kern w:val="0"/>
                <w:sz w:val="22"/>
                <w:szCs w:val="22"/>
                <w:highlight w:val="none"/>
              </w:rPr>
            </w:pPr>
          </w:p>
        </w:tc>
        <w:tc>
          <w:tcPr>
            <w:tcW w:w="1021" w:type="dxa"/>
            <w:vMerge w:val="continue"/>
            <w:tcBorders>
              <w:top w:val="single" w:color="auto" w:sz="4" w:space="0"/>
              <w:left w:val="single" w:color="auto" w:sz="4" w:space="0"/>
              <w:bottom w:val="single" w:color="auto" w:sz="4" w:space="0"/>
              <w:right w:val="single" w:color="auto" w:sz="4" w:space="0"/>
              <w:tl2br w:val="nil"/>
              <w:tr2bl w:val="nil"/>
            </w:tcBorders>
            <w:vAlign w:val="center"/>
          </w:tcPr>
          <w:p w14:paraId="6E2FF948">
            <w:pPr>
              <w:keepNext w:val="0"/>
              <w:keepLines w:val="0"/>
              <w:pageBreakBefore w:val="0"/>
              <w:widowControl/>
              <w:suppressLineNumbers w:val="0"/>
              <w:kinsoku/>
              <w:overflowPunct/>
              <w:topLinePunct w:val="0"/>
              <w:autoSpaceDE/>
              <w:autoSpaceDN/>
              <w:bidi w:val="0"/>
              <w:spacing w:before="0" w:beforeLines="0" w:beforeAutospacing="0" w:after="0" w:afterLines="0" w:afterAutospacing="0" w:line="240" w:lineRule="auto"/>
              <w:ind w:left="0" w:right="0"/>
              <w:jc w:val="left"/>
              <w:rPr>
                <w:rFonts w:hint="eastAsia" w:ascii="宋体" w:hAnsi="宋体" w:eastAsia="宋体" w:cs="宋体"/>
                <w:color w:val="auto"/>
                <w:kern w:val="0"/>
                <w:sz w:val="22"/>
                <w:szCs w:val="22"/>
                <w:highlight w:val="none"/>
              </w:rPr>
            </w:pPr>
          </w:p>
        </w:tc>
        <w:tc>
          <w:tcPr>
            <w:tcW w:w="924" w:type="dxa"/>
            <w:tcBorders>
              <w:top w:val="single" w:color="auto" w:sz="4" w:space="0"/>
              <w:left w:val="single" w:color="auto" w:sz="4" w:space="0"/>
              <w:bottom w:val="single" w:color="auto" w:sz="4" w:space="0"/>
              <w:right w:val="single" w:color="auto" w:sz="4" w:space="0"/>
              <w:tl2br w:val="nil"/>
              <w:tr2bl w:val="nil"/>
            </w:tcBorders>
            <w:shd w:val="clear" w:color="auto" w:fill="auto"/>
            <w:vAlign w:val="center"/>
          </w:tcPr>
          <w:p w14:paraId="65875CFF">
            <w:pPr>
              <w:pStyle w:val="8"/>
              <w:keepNext w:val="0"/>
              <w:keepLines w:val="0"/>
              <w:pageBreakBefore w:val="0"/>
              <w:widowControl/>
              <w:suppressLineNumbers w:val="0"/>
              <w:kinsoku/>
              <w:overflowPunct/>
              <w:topLinePunct w:val="0"/>
              <w:autoSpaceDE/>
              <w:autoSpaceDN/>
              <w:bidi w:val="0"/>
              <w:adjustRightInd w:val="0"/>
              <w:snapToGrid w:val="0"/>
              <w:spacing w:before="0" w:beforeAutospacing="0" w:after="0" w:afterAutospacing="0" w:line="240" w:lineRule="auto"/>
              <w:ind w:left="0" w:right="0"/>
              <w:jc w:val="center"/>
              <w:rPr>
                <w:rFonts w:hint="eastAsia" w:ascii="宋体" w:hAnsi="宋体" w:eastAsia="宋体" w:cs="宋体"/>
                <w:color w:val="auto"/>
                <w:kern w:val="0"/>
                <w:sz w:val="22"/>
                <w:szCs w:val="22"/>
                <w:highlight w:val="none"/>
                <w:lang w:val="en-US" w:eastAsia="zh-CN" w:bidi="ar-SA"/>
              </w:rPr>
            </w:pPr>
            <w:r>
              <w:rPr>
                <w:rFonts w:hint="eastAsia" w:ascii="宋体" w:hAnsi="宋体" w:eastAsia="宋体" w:cs="宋体"/>
                <w:b w:val="0"/>
                <w:bCs w:val="0"/>
                <w:snapToGrid w:val="0"/>
                <w:color w:val="auto"/>
                <w:kern w:val="0"/>
                <w:sz w:val="21"/>
                <w:szCs w:val="21"/>
                <w:highlight w:val="none"/>
                <w:lang w:eastAsia="zh-CN"/>
              </w:rPr>
              <w:t>设计负责人</w:t>
            </w:r>
            <w:r>
              <w:rPr>
                <w:rFonts w:hint="eastAsia" w:ascii="宋体" w:hAnsi="宋体" w:eastAsia="宋体" w:cs="宋体"/>
                <w:b w:val="0"/>
                <w:bCs w:val="0"/>
                <w:snapToGrid w:val="0"/>
                <w:color w:val="auto"/>
                <w:kern w:val="0"/>
                <w:sz w:val="21"/>
                <w:szCs w:val="21"/>
                <w:highlight w:val="none"/>
              </w:rPr>
              <w:t>综合实力（</w:t>
            </w:r>
            <w:r>
              <w:rPr>
                <w:rFonts w:hint="eastAsia" w:ascii="宋体" w:hAnsi="宋体" w:eastAsia="宋体" w:cs="宋体"/>
                <w:b w:val="0"/>
                <w:bCs w:val="0"/>
                <w:snapToGrid w:val="0"/>
                <w:color w:val="auto"/>
                <w:kern w:val="0"/>
                <w:sz w:val="21"/>
                <w:szCs w:val="21"/>
                <w:highlight w:val="none"/>
                <w:lang w:val="en-US" w:eastAsia="zh-CN"/>
              </w:rPr>
              <w:t>5</w:t>
            </w:r>
            <w:r>
              <w:rPr>
                <w:rFonts w:hint="eastAsia" w:ascii="宋体" w:hAnsi="宋体" w:eastAsia="宋体" w:cs="宋体"/>
                <w:b w:val="0"/>
                <w:bCs w:val="0"/>
                <w:snapToGrid w:val="0"/>
                <w:color w:val="auto"/>
                <w:kern w:val="0"/>
                <w:sz w:val="21"/>
                <w:szCs w:val="21"/>
                <w:highlight w:val="none"/>
              </w:rPr>
              <w:t>分）</w:t>
            </w:r>
          </w:p>
        </w:tc>
        <w:tc>
          <w:tcPr>
            <w:tcW w:w="3558" w:type="dxa"/>
            <w:tcBorders>
              <w:top w:val="single" w:color="auto" w:sz="4" w:space="0"/>
              <w:left w:val="single" w:color="auto" w:sz="4" w:space="0"/>
              <w:bottom w:val="single" w:color="auto" w:sz="4" w:space="0"/>
              <w:right w:val="single" w:color="auto" w:sz="4" w:space="0"/>
              <w:tl2br w:val="nil"/>
              <w:tr2bl w:val="nil"/>
            </w:tcBorders>
            <w:shd w:val="clear" w:color="auto" w:fill="auto"/>
            <w:vAlign w:val="center"/>
          </w:tcPr>
          <w:p w14:paraId="3FDE250C">
            <w:pPr>
              <w:pStyle w:val="8"/>
              <w:keepNext w:val="0"/>
              <w:keepLines w:val="0"/>
              <w:pageBreakBefore w:val="0"/>
              <w:numPr>
                <w:ilvl w:val="0"/>
                <w:numId w:val="0"/>
              </w:numPr>
              <w:suppressLineNumbers w:val="0"/>
              <w:kinsoku/>
              <w:wordWrap w:val="0"/>
              <w:overflowPunct/>
              <w:topLinePunct w:val="0"/>
              <w:autoSpaceDE/>
              <w:autoSpaceDN/>
              <w:bidi w:val="0"/>
              <w:adjustRightInd w:val="0"/>
              <w:snapToGrid w:val="0"/>
              <w:spacing w:before="0" w:beforeAutospacing="0" w:after="0" w:afterAutospacing="0" w:line="240" w:lineRule="auto"/>
              <w:ind w:left="0" w:right="0"/>
              <w:jc w:val="left"/>
              <w:rPr>
                <w:rFonts w:hint="eastAsia" w:ascii="宋体" w:hAnsi="宋体" w:eastAsia="宋体" w:cs="宋体"/>
                <w:b w:val="0"/>
                <w:bCs w:val="0"/>
                <w:snapToGrid w:val="0"/>
                <w:color w:val="auto"/>
                <w:kern w:val="0"/>
                <w:sz w:val="21"/>
                <w:szCs w:val="21"/>
                <w:highlight w:val="none"/>
                <w:lang w:val="en-US" w:eastAsia="zh-CN"/>
              </w:rPr>
            </w:pPr>
            <w:r>
              <w:rPr>
                <w:rFonts w:hint="eastAsia" w:ascii="宋体" w:hAnsi="宋体" w:eastAsia="宋体" w:cs="宋体"/>
                <w:b w:val="0"/>
                <w:bCs w:val="0"/>
                <w:snapToGrid w:val="0"/>
                <w:color w:val="auto"/>
                <w:kern w:val="0"/>
                <w:sz w:val="21"/>
                <w:szCs w:val="21"/>
                <w:highlight w:val="none"/>
                <w:lang w:val="en-US" w:eastAsia="zh-CN"/>
              </w:rPr>
              <w:t>设计负责人：具有高级工程师或以上职称的，得5分；具有工程师职称的，得3分；具有助理工程师职称的，得1分。</w:t>
            </w:r>
          </w:p>
          <w:p w14:paraId="3202CFD1">
            <w:pPr>
              <w:pStyle w:val="8"/>
              <w:keepNext w:val="0"/>
              <w:keepLines w:val="0"/>
              <w:pageBreakBefore w:val="0"/>
              <w:suppressLineNumbers w:val="0"/>
              <w:kinsoku/>
              <w:wordWrap w:val="0"/>
              <w:overflowPunct/>
              <w:topLinePunct w:val="0"/>
              <w:autoSpaceDE/>
              <w:autoSpaceDN/>
              <w:bidi w:val="0"/>
              <w:adjustRightInd w:val="0"/>
              <w:snapToGrid w:val="0"/>
              <w:spacing w:before="0" w:beforeAutospacing="0" w:after="0" w:afterAutospacing="0" w:line="240" w:lineRule="auto"/>
              <w:ind w:left="0" w:right="0"/>
              <w:jc w:val="left"/>
              <w:rPr>
                <w:rFonts w:hint="eastAsia" w:ascii="宋体" w:hAnsi="宋体" w:eastAsia="宋体" w:cs="宋体"/>
                <w:snapToGrid w:val="0"/>
                <w:color w:val="auto"/>
                <w:kern w:val="0"/>
                <w:sz w:val="22"/>
                <w:szCs w:val="22"/>
                <w:highlight w:val="none"/>
                <w:lang w:bidi="ar"/>
              </w:rPr>
            </w:pPr>
            <w:r>
              <w:rPr>
                <w:rFonts w:hint="eastAsia" w:ascii="宋体" w:hAnsi="宋体" w:eastAsia="宋体" w:cs="宋体"/>
                <w:b w:val="0"/>
                <w:bCs w:val="0"/>
                <w:snapToGrid w:val="0"/>
                <w:color w:val="auto"/>
                <w:kern w:val="0"/>
                <w:sz w:val="21"/>
                <w:szCs w:val="21"/>
                <w:highlight w:val="none"/>
                <w:lang w:val="en-US" w:eastAsia="zh-CN"/>
              </w:rPr>
              <w:t>本项最高得5分。</w:t>
            </w:r>
          </w:p>
        </w:tc>
        <w:tc>
          <w:tcPr>
            <w:tcW w:w="3882" w:type="dxa"/>
            <w:tcBorders>
              <w:top w:val="single" w:color="auto" w:sz="4" w:space="0"/>
              <w:left w:val="single" w:color="auto" w:sz="4" w:space="0"/>
              <w:bottom w:val="single" w:color="auto" w:sz="4" w:space="0"/>
              <w:right w:val="single" w:color="auto" w:sz="4" w:space="0"/>
              <w:tl2br w:val="nil"/>
              <w:tr2bl w:val="nil"/>
            </w:tcBorders>
            <w:shd w:val="clear" w:color="auto" w:fill="auto"/>
            <w:vAlign w:val="center"/>
          </w:tcPr>
          <w:p w14:paraId="55BBAF7A">
            <w:pPr>
              <w:pStyle w:val="8"/>
              <w:keepNext w:val="0"/>
              <w:keepLines w:val="0"/>
              <w:pageBreakBefore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left"/>
              <w:rPr>
                <w:rFonts w:hint="eastAsia" w:ascii="宋体" w:hAnsi="宋体" w:eastAsia="宋体" w:cs="宋体"/>
                <w:snapToGrid w:val="0"/>
                <w:color w:val="auto"/>
                <w:kern w:val="0"/>
                <w:sz w:val="21"/>
                <w:szCs w:val="21"/>
                <w:highlight w:val="none"/>
                <w:lang w:eastAsia="zh-CN"/>
              </w:rPr>
            </w:pPr>
            <w:r>
              <w:rPr>
                <w:rFonts w:hint="eastAsia" w:ascii="宋体" w:hAnsi="宋体" w:eastAsia="宋体" w:cs="宋体"/>
                <w:snapToGrid w:val="0"/>
                <w:color w:val="auto"/>
                <w:kern w:val="0"/>
                <w:sz w:val="21"/>
                <w:szCs w:val="21"/>
                <w:highlight w:val="none"/>
                <w:lang w:val="en-US" w:eastAsia="zh-CN"/>
              </w:rPr>
              <w:t>1. 需提供证书</w:t>
            </w:r>
            <w:r>
              <w:rPr>
                <w:rFonts w:hint="eastAsia" w:ascii="宋体" w:hAnsi="宋体" w:eastAsia="宋体" w:cs="宋体"/>
                <w:snapToGrid w:val="0"/>
                <w:color w:val="auto"/>
                <w:kern w:val="0"/>
                <w:sz w:val="21"/>
                <w:szCs w:val="21"/>
                <w:highlight w:val="none"/>
              </w:rPr>
              <w:t>彩色扫描件</w:t>
            </w:r>
            <w:r>
              <w:rPr>
                <w:rFonts w:hint="eastAsia" w:ascii="宋体" w:hAnsi="宋体" w:eastAsia="宋体" w:cs="宋体"/>
                <w:snapToGrid w:val="0"/>
                <w:color w:val="auto"/>
                <w:kern w:val="0"/>
                <w:sz w:val="21"/>
                <w:szCs w:val="21"/>
                <w:highlight w:val="none"/>
                <w:lang w:eastAsia="zh-CN"/>
              </w:rPr>
              <w:t>。</w:t>
            </w:r>
            <w:r>
              <w:rPr>
                <w:rFonts w:hint="eastAsia" w:ascii="宋体" w:hAnsi="宋体" w:eastAsia="宋体" w:cs="宋体"/>
                <w:b/>
                <w:bCs/>
                <w:color w:val="auto"/>
                <w:sz w:val="21"/>
                <w:szCs w:val="21"/>
                <w:highlight w:val="none"/>
                <w:lang w:val="en-US" w:eastAsia="zh-CN"/>
              </w:rPr>
              <w:t>组成联合体时由设计单位提交。</w:t>
            </w:r>
          </w:p>
          <w:p w14:paraId="28965376">
            <w:pPr>
              <w:pStyle w:val="8"/>
              <w:keepNext w:val="0"/>
              <w:keepLines w:val="0"/>
              <w:pageBreakBefore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left"/>
              <w:rPr>
                <w:rFonts w:hint="eastAsia" w:ascii="宋体" w:hAnsi="宋体" w:eastAsia="宋体" w:cs="宋体"/>
                <w:snapToGrid w:val="0"/>
                <w:color w:val="auto"/>
                <w:kern w:val="0"/>
                <w:sz w:val="21"/>
                <w:szCs w:val="21"/>
                <w:highlight w:val="none"/>
                <w:lang w:val="en-US" w:eastAsia="zh-CN"/>
              </w:rPr>
            </w:pPr>
            <w:r>
              <w:rPr>
                <w:rFonts w:hint="eastAsia" w:ascii="宋体" w:hAnsi="宋体" w:eastAsia="宋体" w:cs="宋体"/>
                <w:snapToGrid w:val="0"/>
                <w:color w:val="auto"/>
                <w:kern w:val="0"/>
                <w:sz w:val="21"/>
                <w:szCs w:val="21"/>
                <w:highlight w:val="none"/>
                <w:lang w:val="en-US" w:eastAsia="zh-CN"/>
              </w:rPr>
              <w:t>2.提供在本单位缴纳社保的证明（近三个月，其中必须有2026年8月）彩色扫描件（或打印件），非独立法人分支机构出具社保，予以认可。</w:t>
            </w:r>
          </w:p>
          <w:p w14:paraId="1E4D7DF8">
            <w:pPr>
              <w:pStyle w:val="8"/>
              <w:keepNext w:val="0"/>
              <w:keepLines w:val="0"/>
              <w:pageBreakBefore w:val="0"/>
              <w:widowControl/>
              <w:suppressLineNumbers w:val="0"/>
              <w:kinsoku/>
              <w:overflowPunct/>
              <w:topLinePunct w:val="0"/>
              <w:autoSpaceDE/>
              <w:autoSpaceDN/>
              <w:bidi w:val="0"/>
              <w:adjustRightInd w:val="0"/>
              <w:snapToGrid w:val="0"/>
              <w:spacing w:before="0" w:beforeAutospacing="0" w:after="0" w:afterAutospacing="0" w:line="240" w:lineRule="auto"/>
              <w:ind w:left="0" w:right="0"/>
              <w:jc w:val="left"/>
              <w:rPr>
                <w:rFonts w:hint="eastAsia" w:ascii="宋体" w:hAnsi="宋体" w:eastAsia="宋体" w:cs="宋体"/>
                <w:snapToGrid w:val="0"/>
                <w:color w:val="auto"/>
                <w:kern w:val="0"/>
                <w:sz w:val="22"/>
                <w:szCs w:val="22"/>
                <w:highlight w:val="none"/>
                <w:lang w:bidi="ar"/>
              </w:rPr>
            </w:pPr>
          </w:p>
        </w:tc>
      </w:tr>
      <w:tr w14:paraId="49B11F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54" w:hRule="atLeast"/>
          <w:jc w:val="center"/>
        </w:trPr>
        <w:tc>
          <w:tcPr>
            <w:tcW w:w="1023" w:type="dxa"/>
            <w:vMerge w:val="restart"/>
            <w:tcBorders>
              <w:top w:val="single" w:color="auto" w:sz="4" w:space="0"/>
              <w:left w:val="single" w:color="auto" w:sz="4" w:space="0"/>
              <w:right w:val="single" w:color="auto" w:sz="4" w:space="0"/>
              <w:tl2br w:val="nil"/>
              <w:tr2bl w:val="nil"/>
            </w:tcBorders>
            <w:vAlign w:val="center"/>
          </w:tcPr>
          <w:p w14:paraId="05CD2387">
            <w:pPr>
              <w:keepNext w:val="0"/>
              <w:keepLines w:val="0"/>
              <w:pageBreakBefore w:val="0"/>
              <w:widowControl/>
              <w:suppressLineNumbers w:val="0"/>
              <w:kinsoku/>
              <w:overflowPunct/>
              <w:topLinePunct w:val="0"/>
              <w:autoSpaceDE/>
              <w:autoSpaceDN/>
              <w:bidi w:val="0"/>
              <w:spacing w:before="0" w:beforeLines="0" w:beforeAutospacing="0" w:after="0" w:afterLines="0" w:afterAutospacing="0" w:line="240" w:lineRule="auto"/>
              <w:ind w:left="0" w:right="0"/>
              <w:jc w:val="center"/>
              <w:rPr>
                <w:rFonts w:hint="eastAsia" w:hAnsi="宋体" w:eastAsia="宋体" w:cs="宋体"/>
                <w:color w:val="auto"/>
                <w:kern w:val="0"/>
                <w:sz w:val="22"/>
                <w:szCs w:val="22"/>
                <w:highlight w:val="none"/>
                <w:lang w:eastAsia="zh-CN"/>
              </w:rPr>
            </w:pPr>
            <w:r>
              <w:rPr>
                <w:rFonts w:hint="eastAsia" w:hAnsi="宋体" w:eastAsia="宋体" w:cs="宋体"/>
                <w:color w:val="auto"/>
                <w:kern w:val="0"/>
                <w:sz w:val="22"/>
                <w:szCs w:val="22"/>
                <w:highlight w:val="none"/>
                <w:lang w:eastAsia="zh-CN"/>
              </w:rPr>
              <w:t>技术</w:t>
            </w:r>
          </w:p>
          <w:p w14:paraId="074C5395">
            <w:pPr>
              <w:keepNext w:val="0"/>
              <w:keepLines w:val="0"/>
              <w:pageBreakBefore w:val="0"/>
              <w:widowControl/>
              <w:suppressLineNumbers w:val="0"/>
              <w:kinsoku/>
              <w:overflowPunct/>
              <w:topLinePunct w:val="0"/>
              <w:autoSpaceDE/>
              <w:autoSpaceDN/>
              <w:bidi w:val="0"/>
              <w:spacing w:before="0" w:beforeLines="0" w:beforeAutospacing="0" w:after="0" w:afterLines="0" w:afterAutospacing="0" w:line="240" w:lineRule="auto"/>
              <w:ind w:left="0" w:right="0"/>
              <w:jc w:val="center"/>
              <w:rPr>
                <w:rFonts w:hint="eastAsia" w:hAnsi="宋体" w:eastAsia="宋体" w:cs="宋体"/>
                <w:color w:val="auto"/>
                <w:kern w:val="0"/>
                <w:sz w:val="22"/>
                <w:szCs w:val="22"/>
                <w:highlight w:val="none"/>
                <w:lang w:eastAsia="zh-CN"/>
              </w:rPr>
            </w:pPr>
            <w:r>
              <w:rPr>
                <w:rFonts w:hint="eastAsia" w:hAnsi="宋体" w:eastAsia="宋体" w:cs="宋体"/>
                <w:color w:val="auto"/>
                <w:kern w:val="0"/>
                <w:sz w:val="22"/>
                <w:szCs w:val="22"/>
                <w:highlight w:val="none"/>
                <w:lang w:eastAsia="zh-CN"/>
              </w:rPr>
              <w:t>部分</w:t>
            </w:r>
          </w:p>
          <w:p w14:paraId="1DF64AD3">
            <w:pPr>
              <w:keepNext w:val="0"/>
              <w:keepLines w:val="0"/>
              <w:pageBreakBefore w:val="0"/>
              <w:widowControl/>
              <w:suppressLineNumbers w:val="0"/>
              <w:kinsoku/>
              <w:overflowPunct/>
              <w:topLinePunct w:val="0"/>
              <w:autoSpaceDE/>
              <w:autoSpaceDN/>
              <w:bidi w:val="0"/>
              <w:spacing w:before="0" w:beforeLines="0" w:beforeAutospacing="0" w:after="0" w:afterLines="0" w:afterAutospacing="0" w:line="240" w:lineRule="auto"/>
              <w:ind w:left="0" w:right="0"/>
              <w:jc w:val="center"/>
              <w:rPr>
                <w:rFonts w:hint="eastAsia" w:ascii="宋体" w:hAnsi="宋体" w:eastAsia="宋体" w:cs="宋体"/>
                <w:color w:val="auto"/>
                <w:kern w:val="0"/>
                <w:sz w:val="22"/>
                <w:szCs w:val="22"/>
                <w:highlight w:val="none"/>
                <w:lang w:eastAsia="zh-CN"/>
              </w:rPr>
            </w:pPr>
            <w:r>
              <w:rPr>
                <w:rFonts w:hint="eastAsia" w:hAnsi="宋体" w:eastAsia="宋体" w:cs="宋体"/>
                <w:color w:val="auto"/>
                <w:kern w:val="0"/>
                <w:sz w:val="22"/>
                <w:szCs w:val="22"/>
                <w:highlight w:val="none"/>
                <w:lang w:eastAsia="zh-CN"/>
              </w:rPr>
              <w:t>（</w:t>
            </w:r>
            <w:r>
              <w:rPr>
                <w:rFonts w:hint="eastAsia" w:hAnsi="宋体" w:eastAsia="宋体" w:cs="宋体"/>
                <w:color w:val="auto"/>
                <w:kern w:val="0"/>
                <w:sz w:val="22"/>
                <w:szCs w:val="22"/>
                <w:highlight w:val="none"/>
                <w:lang w:val="en-US" w:eastAsia="zh-CN"/>
              </w:rPr>
              <w:t>10分</w:t>
            </w:r>
            <w:r>
              <w:rPr>
                <w:rFonts w:hint="eastAsia" w:hAnsi="宋体" w:eastAsia="宋体" w:cs="宋体"/>
                <w:color w:val="auto"/>
                <w:kern w:val="0"/>
                <w:sz w:val="22"/>
                <w:szCs w:val="22"/>
                <w:highlight w:val="none"/>
                <w:lang w:eastAsia="zh-CN"/>
              </w:rPr>
              <w:t>）</w:t>
            </w:r>
          </w:p>
        </w:tc>
        <w:tc>
          <w:tcPr>
            <w:tcW w:w="1945" w:type="dxa"/>
            <w:gridSpan w:val="2"/>
            <w:tcBorders>
              <w:top w:val="single" w:color="auto" w:sz="4" w:space="0"/>
              <w:left w:val="single" w:color="auto" w:sz="4" w:space="0"/>
              <w:bottom w:val="single" w:color="auto" w:sz="4" w:space="0"/>
              <w:right w:val="single" w:color="auto" w:sz="4" w:space="0"/>
              <w:tl2br w:val="nil"/>
              <w:tr2bl w:val="nil"/>
            </w:tcBorders>
            <w:vAlign w:val="center"/>
          </w:tcPr>
          <w:p w14:paraId="1B172F87">
            <w:pPr>
              <w:pStyle w:val="8"/>
              <w:keepNext w:val="0"/>
              <w:keepLines w:val="0"/>
              <w:pageBreakBefore w:val="0"/>
              <w:suppressLineNumbers w:val="0"/>
              <w:kinsoku/>
              <w:wordWrap w:val="0"/>
              <w:overflowPunct/>
              <w:topLinePunct w:val="0"/>
              <w:autoSpaceDE/>
              <w:autoSpaceDN/>
              <w:bidi w:val="0"/>
              <w:adjustRightInd w:val="0"/>
              <w:snapToGrid w:val="0"/>
              <w:spacing w:before="0" w:beforeAutospacing="0" w:after="0" w:afterAutospacing="0" w:line="240" w:lineRule="auto"/>
              <w:ind w:left="0" w:right="0"/>
              <w:jc w:val="center"/>
              <w:rPr>
                <w:rFonts w:hint="eastAsia" w:ascii="宋体" w:hAnsi="宋体" w:eastAsia="宋体" w:cs="宋体"/>
                <w:b w:val="0"/>
                <w:bCs w:val="0"/>
                <w:snapToGrid w:val="0"/>
                <w:color w:val="auto"/>
                <w:kern w:val="0"/>
                <w:sz w:val="21"/>
                <w:szCs w:val="21"/>
                <w:highlight w:val="none"/>
              </w:rPr>
            </w:pPr>
            <w:r>
              <w:rPr>
                <w:rFonts w:hint="eastAsia" w:ascii="宋体" w:hAnsi="宋体" w:eastAsia="宋体" w:cs="宋体"/>
                <w:b w:val="0"/>
                <w:bCs w:val="0"/>
                <w:snapToGrid w:val="0"/>
                <w:color w:val="auto"/>
                <w:kern w:val="0"/>
                <w:sz w:val="21"/>
                <w:szCs w:val="21"/>
                <w:highlight w:val="none"/>
                <w:lang w:eastAsia="zh-CN"/>
              </w:rPr>
              <w:t>施工图</w:t>
            </w:r>
            <w:r>
              <w:rPr>
                <w:rFonts w:hint="eastAsia" w:ascii="宋体" w:hAnsi="宋体" w:eastAsia="宋体" w:cs="宋体"/>
                <w:b w:val="0"/>
                <w:bCs w:val="0"/>
                <w:snapToGrid w:val="0"/>
                <w:color w:val="auto"/>
                <w:kern w:val="0"/>
                <w:sz w:val="21"/>
                <w:szCs w:val="21"/>
                <w:highlight w:val="none"/>
              </w:rPr>
              <w:t>设计进度计划及保证措施</w:t>
            </w:r>
          </w:p>
          <w:p w14:paraId="09D8C6ED">
            <w:pPr>
              <w:pStyle w:val="8"/>
              <w:keepNext w:val="0"/>
              <w:keepLines w:val="0"/>
              <w:pageBreakBefore w:val="0"/>
              <w:suppressLineNumbers w:val="0"/>
              <w:kinsoku/>
              <w:wordWrap w:val="0"/>
              <w:overflowPunct/>
              <w:topLinePunct w:val="0"/>
              <w:autoSpaceDE/>
              <w:autoSpaceDN/>
              <w:bidi w:val="0"/>
              <w:adjustRightInd w:val="0"/>
              <w:snapToGrid w:val="0"/>
              <w:spacing w:before="0" w:beforeAutospacing="0" w:after="0" w:afterAutospacing="0" w:line="240" w:lineRule="auto"/>
              <w:ind w:left="0" w:right="0"/>
              <w:jc w:val="center"/>
              <w:rPr>
                <w:rFonts w:hint="eastAsia" w:ascii="宋体" w:hAnsi="宋体" w:eastAsia="宋体" w:cs="宋体"/>
                <w:color w:val="auto"/>
                <w:sz w:val="22"/>
                <w:szCs w:val="22"/>
                <w:highlight w:val="none"/>
              </w:rPr>
            </w:pPr>
            <w:r>
              <w:rPr>
                <w:rFonts w:hint="eastAsia" w:ascii="宋体" w:hAnsi="宋体" w:eastAsia="宋体" w:cs="宋体"/>
                <w:b w:val="0"/>
                <w:bCs w:val="0"/>
                <w:snapToGrid w:val="0"/>
                <w:color w:val="auto"/>
                <w:kern w:val="0"/>
                <w:sz w:val="21"/>
                <w:szCs w:val="21"/>
                <w:highlight w:val="none"/>
              </w:rPr>
              <w:t>（</w:t>
            </w:r>
            <w:r>
              <w:rPr>
                <w:rFonts w:hint="eastAsia" w:ascii="宋体" w:hAnsi="宋体" w:eastAsia="宋体" w:cs="宋体"/>
                <w:b w:val="0"/>
                <w:bCs w:val="0"/>
                <w:snapToGrid w:val="0"/>
                <w:color w:val="auto"/>
                <w:kern w:val="0"/>
                <w:sz w:val="21"/>
                <w:szCs w:val="21"/>
                <w:highlight w:val="none"/>
                <w:lang w:val="en-US" w:eastAsia="zh-CN"/>
              </w:rPr>
              <w:t>4</w:t>
            </w:r>
            <w:r>
              <w:rPr>
                <w:rFonts w:hint="eastAsia" w:ascii="宋体" w:hAnsi="宋体" w:eastAsia="宋体" w:cs="宋体"/>
                <w:b w:val="0"/>
                <w:bCs w:val="0"/>
                <w:snapToGrid w:val="0"/>
                <w:color w:val="auto"/>
                <w:kern w:val="0"/>
                <w:sz w:val="21"/>
                <w:szCs w:val="21"/>
                <w:highlight w:val="none"/>
              </w:rPr>
              <w:t>分）</w:t>
            </w:r>
          </w:p>
        </w:tc>
        <w:tc>
          <w:tcPr>
            <w:tcW w:w="3558" w:type="dxa"/>
            <w:tcBorders>
              <w:top w:val="single" w:color="auto" w:sz="4" w:space="0"/>
              <w:left w:val="single" w:color="auto" w:sz="4" w:space="0"/>
              <w:bottom w:val="single" w:color="auto" w:sz="4" w:space="0"/>
              <w:right w:val="single" w:color="auto" w:sz="4" w:space="0"/>
              <w:tl2br w:val="nil"/>
              <w:tr2bl w:val="nil"/>
            </w:tcBorders>
            <w:vAlign w:val="center"/>
          </w:tcPr>
          <w:p w14:paraId="46F1B264">
            <w:pPr>
              <w:pStyle w:val="8"/>
              <w:keepNext w:val="0"/>
              <w:keepLines w:val="0"/>
              <w:pageBreakBefore w:val="0"/>
              <w:suppressLineNumbers w:val="0"/>
              <w:kinsoku/>
              <w:wordWrap w:val="0"/>
              <w:overflowPunct/>
              <w:topLinePunct w:val="0"/>
              <w:autoSpaceDE/>
              <w:autoSpaceDN/>
              <w:bidi w:val="0"/>
              <w:adjustRightInd w:val="0"/>
              <w:snapToGrid w:val="0"/>
              <w:spacing w:before="0" w:beforeAutospacing="0" w:after="0" w:afterAutospacing="0" w:line="240" w:lineRule="auto"/>
              <w:ind w:left="0" w:right="0"/>
              <w:jc w:val="left"/>
              <w:rPr>
                <w:rFonts w:hint="eastAsia" w:ascii="宋体" w:hAnsi="宋体" w:eastAsia="宋体" w:cs="宋体"/>
                <w:b w:val="0"/>
                <w:bCs w:val="0"/>
                <w:snapToGrid w:val="0"/>
                <w:color w:val="auto"/>
                <w:kern w:val="0"/>
                <w:sz w:val="21"/>
                <w:szCs w:val="21"/>
                <w:highlight w:val="none"/>
              </w:rPr>
            </w:pPr>
            <w:r>
              <w:rPr>
                <w:rFonts w:hint="eastAsia" w:ascii="宋体" w:hAnsi="宋体" w:eastAsia="宋体" w:cs="宋体"/>
                <w:b w:val="0"/>
                <w:bCs w:val="0"/>
                <w:snapToGrid w:val="0"/>
                <w:color w:val="auto"/>
                <w:kern w:val="0"/>
                <w:sz w:val="21"/>
                <w:szCs w:val="21"/>
                <w:highlight w:val="none"/>
              </w:rPr>
              <w:t>【优良】得该项评分因素分值的95%～100%（含95%）；</w:t>
            </w:r>
          </w:p>
          <w:p w14:paraId="5DBAA4FB">
            <w:pPr>
              <w:pStyle w:val="8"/>
              <w:keepNext w:val="0"/>
              <w:keepLines w:val="0"/>
              <w:pageBreakBefore w:val="0"/>
              <w:suppressLineNumbers w:val="0"/>
              <w:kinsoku/>
              <w:wordWrap w:val="0"/>
              <w:overflowPunct/>
              <w:topLinePunct w:val="0"/>
              <w:autoSpaceDE/>
              <w:autoSpaceDN/>
              <w:bidi w:val="0"/>
              <w:adjustRightInd w:val="0"/>
              <w:snapToGrid w:val="0"/>
              <w:spacing w:before="0" w:beforeAutospacing="0" w:after="0" w:afterAutospacing="0" w:line="240" w:lineRule="auto"/>
              <w:ind w:left="0" w:right="0"/>
              <w:jc w:val="left"/>
              <w:rPr>
                <w:rFonts w:hint="eastAsia" w:ascii="宋体" w:hAnsi="宋体" w:eastAsia="宋体" w:cs="宋体"/>
                <w:b w:val="0"/>
                <w:bCs w:val="0"/>
                <w:snapToGrid w:val="0"/>
                <w:color w:val="auto"/>
                <w:kern w:val="0"/>
                <w:sz w:val="21"/>
                <w:szCs w:val="21"/>
                <w:highlight w:val="none"/>
              </w:rPr>
            </w:pPr>
            <w:r>
              <w:rPr>
                <w:rFonts w:hint="eastAsia" w:ascii="宋体" w:hAnsi="宋体" w:eastAsia="宋体" w:cs="宋体"/>
                <w:b w:val="0"/>
                <w:bCs w:val="0"/>
                <w:snapToGrid w:val="0"/>
                <w:color w:val="auto"/>
                <w:kern w:val="0"/>
                <w:sz w:val="21"/>
                <w:szCs w:val="21"/>
                <w:highlight w:val="none"/>
              </w:rPr>
              <w:t>【一般】得该项评分因素分值的90%～95%（含90%）；</w:t>
            </w:r>
          </w:p>
          <w:p w14:paraId="3826C28E">
            <w:pPr>
              <w:pStyle w:val="8"/>
              <w:keepNext w:val="0"/>
              <w:keepLines w:val="0"/>
              <w:pageBreakBefore w:val="0"/>
              <w:suppressLineNumbers w:val="0"/>
              <w:kinsoku/>
              <w:wordWrap w:val="0"/>
              <w:overflowPunct/>
              <w:topLinePunct w:val="0"/>
              <w:autoSpaceDE/>
              <w:autoSpaceDN/>
              <w:bidi w:val="0"/>
              <w:adjustRightInd w:val="0"/>
              <w:snapToGrid w:val="0"/>
              <w:spacing w:before="0" w:beforeAutospacing="0" w:after="0" w:afterAutospacing="0" w:line="240" w:lineRule="auto"/>
              <w:ind w:left="0" w:right="0"/>
              <w:jc w:val="left"/>
              <w:rPr>
                <w:rFonts w:hint="eastAsia" w:ascii="宋体" w:hAnsi="宋体" w:eastAsia="宋体" w:cs="宋体"/>
                <w:snapToGrid w:val="0"/>
                <w:color w:val="auto"/>
                <w:kern w:val="0"/>
                <w:sz w:val="22"/>
                <w:szCs w:val="22"/>
                <w:highlight w:val="none"/>
              </w:rPr>
            </w:pPr>
            <w:r>
              <w:rPr>
                <w:rFonts w:hint="eastAsia" w:ascii="宋体" w:hAnsi="宋体" w:eastAsia="宋体" w:cs="宋体"/>
                <w:b w:val="0"/>
                <w:bCs w:val="0"/>
                <w:snapToGrid w:val="0"/>
                <w:color w:val="auto"/>
                <w:kern w:val="0"/>
                <w:sz w:val="21"/>
                <w:szCs w:val="21"/>
                <w:highlight w:val="none"/>
              </w:rPr>
              <w:t>【合格】得该项评分因素分值的 85%～90%（含85%）。</w:t>
            </w:r>
          </w:p>
        </w:tc>
        <w:tc>
          <w:tcPr>
            <w:tcW w:w="3882" w:type="dxa"/>
            <w:tcBorders>
              <w:top w:val="single" w:color="auto" w:sz="4" w:space="0"/>
              <w:left w:val="single" w:color="auto" w:sz="4" w:space="0"/>
              <w:bottom w:val="single" w:color="auto" w:sz="4" w:space="0"/>
              <w:right w:val="single" w:color="auto" w:sz="4" w:space="0"/>
              <w:tl2br w:val="nil"/>
              <w:tr2bl w:val="nil"/>
            </w:tcBorders>
            <w:vAlign w:val="center"/>
          </w:tcPr>
          <w:p w14:paraId="16D63C91">
            <w:pPr>
              <w:pStyle w:val="8"/>
              <w:keepNext w:val="0"/>
              <w:keepLines w:val="0"/>
              <w:pageBreakBefore w:val="0"/>
              <w:suppressLineNumbers w:val="0"/>
              <w:kinsoku/>
              <w:wordWrap w:val="0"/>
              <w:overflowPunct/>
              <w:topLinePunct w:val="0"/>
              <w:autoSpaceDE/>
              <w:autoSpaceDN/>
              <w:bidi w:val="0"/>
              <w:adjustRightInd w:val="0"/>
              <w:snapToGrid w:val="0"/>
              <w:spacing w:before="0" w:beforeAutospacing="0" w:after="0" w:afterAutospacing="0" w:line="240" w:lineRule="auto"/>
              <w:ind w:left="0" w:right="0"/>
              <w:jc w:val="left"/>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rPr>
              <w:t>【优良】</w:t>
            </w:r>
            <w:r>
              <w:rPr>
                <w:rFonts w:hint="eastAsia" w:ascii="宋体" w:hAnsi="宋体" w:eastAsia="宋体" w:cs="宋体"/>
                <w:snapToGrid w:val="0"/>
                <w:color w:val="auto"/>
                <w:kern w:val="0"/>
                <w:sz w:val="21"/>
                <w:szCs w:val="21"/>
                <w:highlight w:val="none"/>
                <w:lang w:eastAsia="zh-CN"/>
              </w:rPr>
              <w:t>施工图</w:t>
            </w:r>
            <w:r>
              <w:rPr>
                <w:rFonts w:hint="eastAsia" w:ascii="宋体" w:hAnsi="宋体" w:eastAsia="宋体" w:cs="宋体"/>
                <w:snapToGrid w:val="0"/>
                <w:color w:val="auto"/>
                <w:kern w:val="0"/>
                <w:sz w:val="21"/>
                <w:szCs w:val="21"/>
                <w:highlight w:val="none"/>
              </w:rPr>
              <w:t>设计进度、质量保证措施具体、针对性强。</w:t>
            </w:r>
          </w:p>
          <w:p w14:paraId="684205D7">
            <w:pPr>
              <w:pStyle w:val="8"/>
              <w:keepNext w:val="0"/>
              <w:keepLines w:val="0"/>
              <w:pageBreakBefore w:val="0"/>
              <w:suppressLineNumbers w:val="0"/>
              <w:kinsoku/>
              <w:wordWrap w:val="0"/>
              <w:overflowPunct/>
              <w:topLinePunct w:val="0"/>
              <w:autoSpaceDE/>
              <w:autoSpaceDN/>
              <w:bidi w:val="0"/>
              <w:adjustRightInd w:val="0"/>
              <w:snapToGrid w:val="0"/>
              <w:spacing w:before="0" w:beforeAutospacing="0" w:after="0" w:afterAutospacing="0" w:line="240" w:lineRule="auto"/>
              <w:ind w:left="0" w:right="0"/>
              <w:jc w:val="left"/>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rPr>
              <w:t>【一般】</w:t>
            </w:r>
            <w:r>
              <w:rPr>
                <w:rFonts w:hint="eastAsia" w:ascii="宋体" w:hAnsi="宋体" w:eastAsia="宋体" w:cs="宋体"/>
                <w:snapToGrid w:val="0"/>
                <w:color w:val="auto"/>
                <w:kern w:val="0"/>
                <w:sz w:val="21"/>
                <w:szCs w:val="21"/>
                <w:highlight w:val="none"/>
                <w:lang w:eastAsia="zh-CN"/>
              </w:rPr>
              <w:t>施工图</w:t>
            </w:r>
            <w:r>
              <w:rPr>
                <w:rFonts w:hint="eastAsia" w:ascii="宋体" w:hAnsi="宋体" w:eastAsia="宋体" w:cs="宋体"/>
                <w:snapToGrid w:val="0"/>
                <w:color w:val="auto"/>
                <w:kern w:val="0"/>
                <w:sz w:val="21"/>
                <w:szCs w:val="21"/>
                <w:highlight w:val="none"/>
              </w:rPr>
              <w:t>设计进度、质量保证措施具体、针对性较强。</w:t>
            </w:r>
          </w:p>
          <w:p w14:paraId="1BA9DDAF">
            <w:pPr>
              <w:pStyle w:val="8"/>
              <w:keepNext w:val="0"/>
              <w:keepLines w:val="0"/>
              <w:pageBreakBefore w:val="0"/>
              <w:suppressLineNumbers w:val="0"/>
              <w:kinsoku/>
              <w:wordWrap w:val="0"/>
              <w:overflowPunct/>
              <w:topLinePunct w:val="0"/>
              <w:autoSpaceDE/>
              <w:autoSpaceDN/>
              <w:bidi w:val="0"/>
              <w:adjustRightInd w:val="0"/>
              <w:snapToGrid w:val="0"/>
              <w:spacing w:before="0" w:beforeAutospacing="0" w:after="0" w:afterAutospacing="0" w:line="240" w:lineRule="auto"/>
              <w:ind w:left="0" w:right="0"/>
              <w:jc w:val="left"/>
              <w:rPr>
                <w:rFonts w:hint="eastAsia" w:ascii="宋体" w:hAnsi="宋体" w:eastAsia="宋体" w:cs="宋体"/>
                <w:color w:val="auto"/>
                <w:sz w:val="22"/>
                <w:szCs w:val="22"/>
                <w:highlight w:val="none"/>
              </w:rPr>
            </w:pPr>
            <w:r>
              <w:rPr>
                <w:rFonts w:hint="eastAsia" w:ascii="宋体" w:hAnsi="宋体" w:eastAsia="宋体" w:cs="宋体"/>
                <w:snapToGrid w:val="0"/>
                <w:color w:val="auto"/>
                <w:kern w:val="0"/>
                <w:sz w:val="21"/>
                <w:szCs w:val="21"/>
                <w:highlight w:val="none"/>
              </w:rPr>
              <w:t>【合格】</w:t>
            </w:r>
            <w:r>
              <w:rPr>
                <w:rFonts w:hint="eastAsia" w:ascii="宋体" w:hAnsi="宋体" w:eastAsia="宋体" w:cs="宋体"/>
                <w:snapToGrid w:val="0"/>
                <w:color w:val="auto"/>
                <w:kern w:val="0"/>
                <w:sz w:val="21"/>
                <w:szCs w:val="21"/>
                <w:highlight w:val="none"/>
                <w:lang w:eastAsia="zh-CN"/>
              </w:rPr>
              <w:t>施工图</w:t>
            </w:r>
            <w:r>
              <w:rPr>
                <w:rFonts w:hint="eastAsia" w:ascii="宋体" w:hAnsi="宋体" w:eastAsia="宋体" w:cs="宋体"/>
                <w:snapToGrid w:val="0"/>
                <w:color w:val="auto"/>
                <w:kern w:val="0"/>
                <w:sz w:val="21"/>
                <w:szCs w:val="21"/>
                <w:highlight w:val="none"/>
              </w:rPr>
              <w:t>设计进度、质量保证措施具体、针对性一般。</w:t>
            </w:r>
          </w:p>
        </w:tc>
      </w:tr>
      <w:tr w14:paraId="404E7F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9" w:hRule="atLeast"/>
          <w:jc w:val="center"/>
        </w:trPr>
        <w:tc>
          <w:tcPr>
            <w:tcW w:w="1023" w:type="dxa"/>
            <w:vMerge w:val="continue"/>
            <w:tcBorders>
              <w:left w:val="single" w:color="auto" w:sz="4" w:space="0"/>
              <w:right w:val="single" w:color="auto" w:sz="4" w:space="0"/>
              <w:tl2br w:val="nil"/>
              <w:tr2bl w:val="nil"/>
            </w:tcBorders>
            <w:vAlign w:val="top"/>
          </w:tcPr>
          <w:p w14:paraId="2195C582">
            <w:pPr>
              <w:keepNext w:val="0"/>
              <w:keepLines w:val="0"/>
              <w:pageBreakBefore w:val="0"/>
              <w:widowControl/>
              <w:suppressLineNumbers w:val="0"/>
              <w:kinsoku/>
              <w:overflowPunct/>
              <w:topLinePunct w:val="0"/>
              <w:autoSpaceDE/>
              <w:autoSpaceDN/>
              <w:bidi w:val="0"/>
              <w:spacing w:before="0" w:beforeLines="0" w:beforeAutospacing="0" w:after="0" w:afterLines="0" w:afterAutospacing="0" w:line="240" w:lineRule="auto"/>
              <w:ind w:left="0" w:right="0"/>
              <w:jc w:val="left"/>
              <w:rPr>
                <w:rFonts w:hint="eastAsia" w:ascii="宋体" w:hAnsi="宋体" w:eastAsia="宋体" w:cs="宋体"/>
                <w:color w:val="auto"/>
                <w:kern w:val="0"/>
                <w:sz w:val="22"/>
                <w:szCs w:val="22"/>
                <w:highlight w:val="none"/>
              </w:rPr>
            </w:pPr>
          </w:p>
        </w:tc>
        <w:tc>
          <w:tcPr>
            <w:tcW w:w="1945" w:type="dxa"/>
            <w:gridSpan w:val="2"/>
            <w:tcBorders>
              <w:top w:val="single" w:color="auto" w:sz="4" w:space="0"/>
              <w:left w:val="single" w:color="auto" w:sz="4" w:space="0"/>
              <w:bottom w:val="single" w:color="auto" w:sz="4" w:space="0"/>
              <w:right w:val="single" w:color="auto" w:sz="4" w:space="0"/>
              <w:tl2br w:val="nil"/>
              <w:tr2bl w:val="nil"/>
            </w:tcBorders>
            <w:vAlign w:val="center"/>
          </w:tcPr>
          <w:p w14:paraId="3763694B">
            <w:pPr>
              <w:keepNext w:val="0"/>
              <w:keepLines w:val="0"/>
              <w:pageBreakBefore w:val="0"/>
              <w:widowControl/>
              <w:suppressLineNumbers w:val="0"/>
              <w:kinsoku/>
              <w:overflowPunct/>
              <w:topLinePunct w:val="0"/>
              <w:autoSpaceDE/>
              <w:autoSpaceDN/>
              <w:bidi w:val="0"/>
              <w:adjustRightInd w:val="0"/>
              <w:snapToGrid w:val="0"/>
              <w:spacing w:before="0" w:beforeAutospacing="0" w:after="0" w:afterAutospacing="0" w:line="240" w:lineRule="auto"/>
              <w:ind w:left="0" w:right="0"/>
              <w:jc w:val="center"/>
              <w:rPr>
                <w:rFonts w:hint="eastAsia" w:ascii="宋体" w:hAnsi="宋体" w:eastAsia="宋体" w:cs="宋体"/>
                <w:b w:val="0"/>
                <w:bCs w:val="0"/>
                <w:color w:val="auto"/>
                <w:sz w:val="21"/>
                <w:szCs w:val="21"/>
                <w:highlight w:val="none"/>
              </w:rPr>
            </w:pPr>
            <w:r>
              <w:rPr>
                <w:rFonts w:hint="eastAsia" w:ascii="宋体" w:hAnsi="宋体" w:eastAsia="宋体" w:cs="宋体"/>
                <w:b w:val="0"/>
                <w:bCs w:val="0"/>
                <w:color w:val="auto"/>
                <w:sz w:val="21"/>
                <w:szCs w:val="21"/>
                <w:highlight w:val="none"/>
              </w:rPr>
              <w:t>施工总承包项目实施方案</w:t>
            </w:r>
          </w:p>
          <w:p w14:paraId="091A8D6E">
            <w:pPr>
              <w:keepNext w:val="0"/>
              <w:keepLines w:val="0"/>
              <w:pageBreakBefore w:val="0"/>
              <w:widowControl/>
              <w:suppressLineNumbers w:val="0"/>
              <w:kinsoku/>
              <w:overflowPunct/>
              <w:topLinePunct w:val="0"/>
              <w:autoSpaceDE/>
              <w:autoSpaceDN/>
              <w:bidi w:val="0"/>
              <w:adjustRightInd w:val="0"/>
              <w:snapToGrid w:val="0"/>
              <w:spacing w:before="0" w:beforeAutospacing="0" w:after="0" w:afterAutospacing="0" w:line="240" w:lineRule="auto"/>
              <w:ind w:left="0" w:right="0"/>
              <w:jc w:val="center"/>
              <w:rPr>
                <w:rFonts w:hint="eastAsia" w:ascii="宋体" w:hAnsi="宋体" w:eastAsia="宋体" w:cs="宋体"/>
                <w:color w:val="auto"/>
                <w:sz w:val="22"/>
                <w:szCs w:val="22"/>
                <w:highlight w:val="none"/>
              </w:rPr>
            </w:pPr>
            <w:r>
              <w:rPr>
                <w:rFonts w:hint="eastAsia" w:ascii="宋体" w:hAnsi="宋体" w:eastAsia="宋体" w:cs="宋体"/>
                <w:b w:val="0"/>
                <w:bCs w:val="0"/>
                <w:color w:val="auto"/>
                <w:sz w:val="21"/>
                <w:szCs w:val="21"/>
                <w:highlight w:val="none"/>
                <w:lang w:bidi="ar"/>
              </w:rPr>
              <w:t>（</w:t>
            </w:r>
            <w:r>
              <w:rPr>
                <w:rFonts w:hint="eastAsia" w:ascii="宋体" w:hAnsi="宋体" w:eastAsia="宋体" w:cs="宋体"/>
                <w:b w:val="0"/>
                <w:bCs w:val="0"/>
                <w:color w:val="auto"/>
                <w:sz w:val="21"/>
                <w:szCs w:val="21"/>
                <w:highlight w:val="none"/>
                <w:lang w:val="en-US" w:eastAsia="zh-CN" w:bidi="ar"/>
              </w:rPr>
              <w:t>2</w:t>
            </w:r>
            <w:r>
              <w:rPr>
                <w:rFonts w:hint="eastAsia" w:ascii="宋体" w:hAnsi="宋体" w:eastAsia="宋体" w:cs="宋体"/>
                <w:b w:val="0"/>
                <w:bCs w:val="0"/>
                <w:color w:val="auto"/>
                <w:sz w:val="21"/>
                <w:szCs w:val="21"/>
                <w:highlight w:val="none"/>
                <w:lang w:bidi="ar"/>
              </w:rPr>
              <w:t>分）</w:t>
            </w:r>
          </w:p>
        </w:tc>
        <w:tc>
          <w:tcPr>
            <w:tcW w:w="3558" w:type="dxa"/>
            <w:tcBorders>
              <w:top w:val="single" w:color="auto" w:sz="4" w:space="0"/>
              <w:left w:val="single" w:color="auto" w:sz="4" w:space="0"/>
              <w:bottom w:val="single" w:color="auto" w:sz="4" w:space="0"/>
              <w:right w:val="single" w:color="auto" w:sz="4" w:space="0"/>
              <w:tl2br w:val="nil"/>
              <w:tr2bl w:val="nil"/>
            </w:tcBorders>
            <w:vAlign w:val="center"/>
          </w:tcPr>
          <w:p w14:paraId="1CFA8109">
            <w:pPr>
              <w:pStyle w:val="8"/>
              <w:keepNext w:val="0"/>
              <w:keepLines w:val="0"/>
              <w:pageBreakBefore w:val="0"/>
              <w:suppressLineNumbers w:val="0"/>
              <w:kinsoku/>
              <w:wordWrap w:val="0"/>
              <w:overflowPunct/>
              <w:topLinePunct w:val="0"/>
              <w:autoSpaceDE/>
              <w:autoSpaceDN/>
              <w:bidi w:val="0"/>
              <w:adjustRightInd w:val="0"/>
              <w:snapToGrid w:val="0"/>
              <w:spacing w:before="0" w:beforeAutospacing="0" w:after="0" w:afterAutospacing="0" w:line="240" w:lineRule="auto"/>
              <w:ind w:left="0" w:right="0"/>
              <w:jc w:val="left"/>
              <w:rPr>
                <w:rFonts w:hint="eastAsia" w:ascii="宋体" w:hAnsi="宋体" w:eastAsia="宋体" w:cs="宋体"/>
                <w:b w:val="0"/>
                <w:bCs w:val="0"/>
                <w:snapToGrid w:val="0"/>
                <w:color w:val="auto"/>
                <w:kern w:val="0"/>
                <w:sz w:val="21"/>
                <w:szCs w:val="21"/>
                <w:highlight w:val="none"/>
              </w:rPr>
            </w:pPr>
            <w:r>
              <w:rPr>
                <w:rFonts w:hint="eastAsia" w:ascii="宋体" w:hAnsi="宋体" w:eastAsia="宋体" w:cs="宋体"/>
                <w:b w:val="0"/>
                <w:bCs w:val="0"/>
                <w:snapToGrid w:val="0"/>
                <w:color w:val="auto"/>
                <w:kern w:val="0"/>
                <w:sz w:val="21"/>
                <w:szCs w:val="21"/>
                <w:highlight w:val="none"/>
              </w:rPr>
              <w:t>【优良】得该项评分因素分值的95%～100%（含95%）；</w:t>
            </w:r>
          </w:p>
          <w:p w14:paraId="753EFD30">
            <w:pPr>
              <w:pStyle w:val="8"/>
              <w:keepNext w:val="0"/>
              <w:keepLines w:val="0"/>
              <w:pageBreakBefore w:val="0"/>
              <w:suppressLineNumbers w:val="0"/>
              <w:kinsoku/>
              <w:wordWrap w:val="0"/>
              <w:overflowPunct/>
              <w:topLinePunct w:val="0"/>
              <w:autoSpaceDE/>
              <w:autoSpaceDN/>
              <w:bidi w:val="0"/>
              <w:adjustRightInd w:val="0"/>
              <w:snapToGrid w:val="0"/>
              <w:spacing w:before="0" w:beforeAutospacing="0" w:after="0" w:afterAutospacing="0" w:line="240" w:lineRule="auto"/>
              <w:ind w:left="0" w:right="0"/>
              <w:jc w:val="left"/>
              <w:rPr>
                <w:rFonts w:hint="eastAsia" w:ascii="宋体" w:hAnsi="宋体" w:eastAsia="宋体" w:cs="宋体"/>
                <w:b w:val="0"/>
                <w:bCs w:val="0"/>
                <w:snapToGrid w:val="0"/>
                <w:color w:val="auto"/>
                <w:kern w:val="0"/>
                <w:sz w:val="21"/>
                <w:szCs w:val="21"/>
                <w:highlight w:val="none"/>
              </w:rPr>
            </w:pPr>
            <w:r>
              <w:rPr>
                <w:rFonts w:hint="eastAsia" w:ascii="宋体" w:hAnsi="宋体" w:eastAsia="宋体" w:cs="宋体"/>
                <w:b w:val="0"/>
                <w:bCs w:val="0"/>
                <w:snapToGrid w:val="0"/>
                <w:color w:val="auto"/>
                <w:kern w:val="0"/>
                <w:sz w:val="21"/>
                <w:szCs w:val="21"/>
                <w:highlight w:val="none"/>
              </w:rPr>
              <w:t>【一般】得该项评分因素分值的90%～95%（含90%）；</w:t>
            </w:r>
          </w:p>
          <w:p w14:paraId="74546331">
            <w:pPr>
              <w:pStyle w:val="8"/>
              <w:keepNext w:val="0"/>
              <w:keepLines w:val="0"/>
              <w:pageBreakBefore w:val="0"/>
              <w:suppressLineNumbers w:val="0"/>
              <w:kinsoku/>
              <w:wordWrap w:val="0"/>
              <w:overflowPunct/>
              <w:topLinePunct w:val="0"/>
              <w:autoSpaceDE/>
              <w:autoSpaceDN/>
              <w:bidi w:val="0"/>
              <w:adjustRightInd w:val="0"/>
              <w:snapToGrid w:val="0"/>
              <w:spacing w:before="0" w:beforeAutospacing="0" w:after="0" w:afterAutospacing="0" w:line="240" w:lineRule="auto"/>
              <w:ind w:left="0" w:right="0"/>
              <w:jc w:val="left"/>
              <w:rPr>
                <w:rFonts w:hint="eastAsia" w:ascii="宋体" w:hAnsi="宋体" w:eastAsia="宋体" w:cs="宋体"/>
                <w:snapToGrid w:val="0"/>
                <w:color w:val="auto"/>
                <w:kern w:val="0"/>
                <w:sz w:val="22"/>
                <w:szCs w:val="22"/>
                <w:highlight w:val="none"/>
              </w:rPr>
            </w:pPr>
            <w:r>
              <w:rPr>
                <w:rFonts w:hint="eastAsia" w:ascii="宋体" w:hAnsi="宋体" w:eastAsia="宋体" w:cs="宋体"/>
                <w:b w:val="0"/>
                <w:bCs w:val="0"/>
                <w:snapToGrid w:val="0"/>
                <w:color w:val="auto"/>
                <w:kern w:val="0"/>
                <w:sz w:val="21"/>
                <w:szCs w:val="21"/>
                <w:highlight w:val="none"/>
              </w:rPr>
              <w:t>【合格】得该项评分因素分值的85%～90%（含85%）。</w:t>
            </w:r>
          </w:p>
        </w:tc>
        <w:tc>
          <w:tcPr>
            <w:tcW w:w="3882" w:type="dxa"/>
            <w:tcBorders>
              <w:top w:val="single" w:color="auto" w:sz="4" w:space="0"/>
              <w:left w:val="single" w:color="auto" w:sz="4" w:space="0"/>
              <w:bottom w:val="single" w:color="auto" w:sz="4" w:space="0"/>
              <w:right w:val="single" w:color="auto" w:sz="4" w:space="0"/>
              <w:tl2br w:val="nil"/>
              <w:tr2bl w:val="nil"/>
            </w:tcBorders>
            <w:vAlign w:val="center"/>
          </w:tcPr>
          <w:p w14:paraId="0F8E075A">
            <w:pPr>
              <w:pStyle w:val="8"/>
              <w:keepNext w:val="0"/>
              <w:keepLines w:val="0"/>
              <w:pageBreakBefore w:val="0"/>
              <w:suppressLineNumbers w:val="0"/>
              <w:kinsoku/>
              <w:wordWrap w:val="0"/>
              <w:overflowPunct/>
              <w:topLinePunct w:val="0"/>
              <w:autoSpaceDE/>
              <w:autoSpaceDN/>
              <w:bidi w:val="0"/>
              <w:adjustRightInd w:val="0"/>
              <w:snapToGrid w:val="0"/>
              <w:spacing w:before="0" w:beforeAutospacing="0" w:after="0" w:afterAutospacing="0" w:line="240" w:lineRule="auto"/>
              <w:ind w:left="0" w:right="0"/>
              <w:jc w:val="left"/>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rPr>
              <w:t>【优良】对项目总体有深刻认识，表述清晰、完整、严谨、合理，措施先进、具体、有效、成熟，采用了新技术、新工艺、新材料、新设备；施工段划分呼应总体表述，划分清晰、合理，符合规范要求。</w:t>
            </w:r>
          </w:p>
          <w:p w14:paraId="70DF34F0">
            <w:pPr>
              <w:pStyle w:val="8"/>
              <w:keepNext w:val="0"/>
              <w:keepLines w:val="0"/>
              <w:pageBreakBefore w:val="0"/>
              <w:suppressLineNumbers w:val="0"/>
              <w:kinsoku/>
              <w:wordWrap w:val="0"/>
              <w:overflowPunct/>
              <w:topLinePunct w:val="0"/>
              <w:autoSpaceDE/>
              <w:autoSpaceDN/>
              <w:bidi w:val="0"/>
              <w:adjustRightInd w:val="0"/>
              <w:snapToGrid w:val="0"/>
              <w:spacing w:before="0" w:beforeAutospacing="0" w:after="0" w:afterAutospacing="0" w:line="240" w:lineRule="auto"/>
              <w:ind w:left="0" w:right="0"/>
              <w:jc w:val="left"/>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rPr>
              <w:t>【一般】对项目总体有一定认识，表述清晰、完整，措施具体有效；施工段划分呼应总体表述，划分清晰，符合规范要求。</w:t>
            </w:r>
          </w:p>
          <w:p w14:paraId="55CB7CE7">
            <w:pPr>
              <w:pStyle w:val="8"/>
              <w:keepNext w:val="0"/>
              <w:keepLines w:val="0"/>
              <w:pageBreakBefore w:val="0"/>
              <w:suppressLineNumbers w:val="0"/>
              <w:kinsoku/>
              <w:wordWrap w:val="0"/>
              <w:overflowPunct/>
              <w:topLinePunct w:val="0"/>
              <w:autoSpaceDE/>
              <w:autoSpaceDN/>
              <w:bidi w:val="0"/>
              <w:adjustRightInd w:val="0"/>
              <w:snapToGrid w:val="0"/>
              <w:spacing w:before="0" w:beforeAutospacing="0" w:after="0" w:afterAutospacing="0" w:line="240" w:lineRule="auto"/>
              <w:ind w:left="0" w:right="0"/>
              <w:jc w:val="left"/>
              <w:rPr>
                <w:rFonts w:hint="eastAsia" w:ascii="宋体" w:hAnsi="宋体" w:eastAsia="宋体" w:cs="宋体"/>
                <w:color w:val="auto"/>
                <w:sz w:val="22"/>
                <w:szCs w:val="22"/>
                <w:highlight w:val="none"/>
              </w:rPr>
            </w:pPr>
            <w:r>
              <w:rPr>
                <w:rFonts w:hint="eastAsia" w:ascii="宋体" w:hAnsi="宋体" w:eastAsia="宋体" w:cs="宋体"/>
                <w:snapToGrid w:val="0"/>
                <w:color w:val="auto"/>
                <w:kern w:val="0"/>
                <w:sz w:val="21"/>
                <w:szCs w:val="21"/>
                <w:highlight w:val="none"/>
              </w:rPr>
              <w:t>【合格】对项目总体有认识，有一定的措施但部分不具体；施工段划分较合理，符合规范要求。</w:t>
            </w:r>
          </w:p>
        </w:tc>
      </w:tr>
      <w:tr w14:paraId="6FE367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2" w:hRule="atLeast"/>
          <w:jc w:val="center"/>
        </w:trPr>
        <w:tc>
          <w:tcPr>
            <w:tcW w:w="1023" w:type="dxa"/>
            <w:vMerge w:val="continue"/>
            <w:tcBorders>
              <w:left w:val="single" w:color="auto" w:sz="4" w:space="0"/>
              <w:right w:val="single" w:color="auto" w:sz="4" w:space="0"/>
              <w:tl2br w:val="nil"/>
              <w:tr2bl w:val="nil"/>
            </w:tcBorders>
            <w:vAlign w:val="top"/>
          </w:tcPr>
          <w:p w14:paraId="4D7E68CF">
            <w:pPr>
              <w:keepNext w:val="0"/>
              <w:keepLines w:val="0"/>
              <w:pageBreakBefore w:val="0"/>
              <w:widowControl/>
              <w:suppressLineNumbers w:val="0"/>
              <w:kinsoku/>
              <w:overflowPunct/>
              <w:topLinePunct w:val="0"/>
              <w:autoSpaceDE/>
              <w:autoSpaceDN/>
              <w:bidi w:val="0"/>
              <w:spacing w:before="0" w:beforeLines="0" w:beforeAutospacing="0" w:after="0" w:afterLines="0" w:afterAutospacing="0" w:line="240" w:lineRule="auto"/>
              <w:ind w:left="0" w:right="0"/>
              <w:jc w:val="left"/>
              <w:rPr>
                <w:rFonts w:hint="eastAsia" w:ascii="宋体" w:hAnsi="宋体" w:eastAsia="宋体" w:cs="宋体"/>
                <w:color w:val="auto"/>
                <w:kern w:val="0"/>
                <w:sz w:val="22"/>
                <w:szCs w:val="22"/>
                <w:highlight w:val="none"/>
              </w:rPr>
            </w:pPr>
          </w:p>
        </w:tc>
        <w:tc>
          <w:tcPr>
            <w:tcW w:w="1945" w:type="dxa"/>
            <w:gridSpan w:val="2"/>
            <w:tcBorders>
              <w:top w:val="single" w:color="auto" w:sz="4" w:space="0"/>
              <w:left w:val="single" w:color="auto" w:sz="4" w:space="0"/>
              <w:bottom w:val="single" w:color="auto" w:sz="4" w:space="0"/>
              <w:right w:val="single" w:color="auto" w:sz="4" w:space="0"/>
              <w:tl2br w:val="nil"/>
              <w:tr2bl w:val="nil"/>
            </w:tcBorders>
            <w:vAlign w:val="center"/>
          </w:tcPr>
          <w:p w14:paraId="5B81A83E">
            <w:pPr>
              <w:keepNext w:val="0"/>
              <w:keepLines w:val="0"/>
              <w:pageBreakBefore w:val="0"/>
              <w:widowControl/>
              <w:suppressLineNumbers w:val="0"/>
              <w:kinsoku/>
              <w:overflowPunct/>
              <w:topLinePunct w:val="0"/>
              <w:autoSpaceDE/>
              <w:autoSpaceDN/>
              <w:bidi w:val="0"/>
              <w:adjustRightInd w:val="0"/>
              <w:snapToGrid w:val="0"/>
              <w:spacing w:before="0" w:beforeAutospacing="0" w:after="0" w:afterAutospacing="0" w:line="240" w:lineRule="auto"/>
              <w:ind w:left="0" w:right="0"/>
              <w:jc w:val="center"/>
              <w:rPr>
                <w:rFonts w:hint="eastAsia" w:ascii="宋体" w:hAnsi="宋体" w:eastAsia="宋体" w:cs="宋体"/>
                <w:b w:val="0"/>
                <w:bCs w:val="0"/>
                <w:color w:val="auto"/>
                <w:sz w:val="21"/>
                <w:szCs w:val="21"/>
                <w:highlight w:val="none"/>
              </w:rPr>
            </w:pPr>
            <w:r>
              <w:rPr>
                <w:rFonts w:hint="eastAsia" w:ascii="宋体" w:hAnsi="宋体" w:eastAsia="宋体" w:cs="宋体"/>
                <w:b w:val="0"/>
                <w:bCs w:val="0"/>
                <w:color w:val="auto"/>
                <w:sz w:val="21"/>
                <w:szCs w:val="21"/>
                <w:highlight w:val="none"/>
              </w:rPr>
              <w:t>施工总承包项目实施要点</w:t>
            </w:r>
          </w:p>
          <w:p w14:paraId="152FCFC9">
            <w:pPr>
              <w:keepNext w:val="0"/>
              <w:keepLines w:val="0"/>
              <w:pageBreakBefore w:val="0"/>
              <w:widowControl/>
              <w:suppressLineNumbers w:val="0"/>
              <w:kinsoku/>
              <w:overflowPunct/>
              <w:topLinePunct w:val="0"/>
              <w:autoSpaceDE/>
              <w:autoSpaceDN/>
              <w:bidi w:val="0"/>
              <w:adjustRightInd w:val="0"/>
              <w:snapToGrid w:val="0"/>
              <w:spacing w:before="0" w:beforeAutospacing="0" w:after="0" w:afterAutospacing="0" w:line="240" w:lineRule="auto"/>
              <w:ind w:left="0" w:right="0"/>
              <w:jc w:val="center"/>
              <w:rPr>
                <w:rFonts w:hint="eastAsia" w:ascii="宋体" w:hAnsi="宋体" w:eastAsia="宋体" w:cs="宋体"/>
                <w:color w:val="auto"/>
                <w:sz w:val="22"/>
                <w:szCs w:val="22"/>
                <w:highlight w:val="none"/>
              </w:rPr>
            </w:pPr>
            <w:r>
              <w:rPr>
                <w:rFonts w:hint="eastAsia" w:ascii="宋体" w:hAnsi="宋体" w:eastAsia="宋体" w:cs="宋体"/>
                <w:b w:val="0"/>
                <w:bCs w:val="0"/>
                <w:color w:val="auto"/>
                <w:sz w:val="21"/>
                <w:szCs w:val="21"/>
                <w:highlight w:val="none"/>
                <w:lang w:bidi="ar"/>
              </w:rPr>
              <w:t>（</w:t>
            </w:r>
            <w:r>
              <w:rPr>
                <w:rFonts w:hint="eastAsia" w:ascii="宋体" w:hAnsi="宋体" w:eastAsia="宋体" w:cs="宋体"/>
                <w:b w:val="0"/>
                <w:bCs w:val="0"/>
                <w:color w:val="auto"/>
                <w:sz w:val="21"/>
                <w:szCs w:val="21"/>
                <w:highlight w:val="none"/>
                <w:lang w:val="en-US" w:eastAsia="zh-CN" w:bidi="ar"/>
              </w:rPr>
              <w:t>2</w:t>
            </w:r>
            <w:r>
              <w:rPr>
                <w:rFonts w:hint="eastAsia" w:ascii="宋体" w:hAnsi="宋体" w:eastAsia="宋体" w:cs="宋体"/>
                <w:b w:val="0"/>
                <w:bCs w:val="0"/>
                <w:color w:val="auto"/>
                <w:sz w:val="21"/>
                <w:szCs w:val="21"/>
                <w:highlight w:val="none"/>
                <w:lang w:bidi="ar"/>
              </w:rPr>
              <w:t>分）</w:t>
            </w:r>
          </w:p>
        </w:tc>
        <w:tc>
          <w:tcPr>
            <w:tcW w:w="3558" w:type="dxa"/>
            <w:tcBorders>
              <w:top w:val="single" w:color="auto" w:sz="4" w:space="0"/>
              <w:left w:val="single" w:color="auto" w:sz="4" w:space="0"/>
              <w:bottom w:val="single" w:color="auto" w:sz="4" w:space="0"/>
              <w:right w:val="single" w:color="auto" w:sz="4" w:space="0"/>
              <w:tl2br w:val="nil"/>
              <w:tr2bl w:val="nil"/>
            </w:tcBorders>
            <w:vAlign w:val="center"/>
          </w:tcPr>
          <w:p w14:paraId="671E410B">
            <w:pPr>
              <w:pStyle w:val="8"/>
              <w:keepNext w:val="0"/>
              <w:keepLines w:val="0"/>
              <w:pageBreakBefore w:val="0"/>
              <w:suppressLineNumbers w:val="0"/>
              <w:kinsoku/>
              <w:wordWrap w:val="0"/>
              <w:overflowPunct/>
              <w:topLinePunct w:val="0"/>
              <w:autoSpaceDE/>
              <w:autoSpaceDN/>
              <w:bidi w:val="0"/>
              <w:adjustRightInd w:val="0"/>
              <w:snapToGrid w:val="0"/>
              <w:spacing w:before="0" w:beforeAutospacing="0" w:after="0" w:afterAutospacing="0" w:line="240" w:lineRule="auto"/>
              <w:ind w:left="0" w:right="0"/>
              <w:jc w:val="left"/>
              <w:rPr>
                <w:rFonts w:hint="eastAsia" w:ascii="宋体" w:hAnsi="宋体" w:eastAsia="宋体" w:cs="宋体"/>
                <w:b w:val="0"/>
                <w:bCs w:val="0"/>
                <w:snapToGrid w:val="0"/>
                <w:color w:val="auto"/>
                <w:kern w:val="0"/>
                <w:sz w:val="21"/>
                <w:szCs w:val="21"/>
                <w:highlight w:val="none"/>
              </w:rPr>
            </w:pPr>
            <w:r>
              <w:rPr>
                <w:rFonts w:hint="eastAsia" w:ascii="宋体" w:hAnsi="宋体" w:eastAsia="宋体" w:cs="宋体"/>
                <w:b w:val="0"/>
                <w:bCs w:val="0"/>
                <w:snapToGrid w:val="0"/>
                <w:color w:val="auto"/>
                <w:kern w:val="0"/>
                <w:sz w:val="21"/>
                <w:szCs w:val="21"/>
                <w:highlight w:val="none"/>
              </w:rPr>
              <w:t>【优良】得该项评分因素分值的95%～100%（含95%）；</w:t>
            </w:r>
          </w:p>
          <w:p w14:paraId="4DDF8B71">
            <w:pPr>
              <w:pStyle w:val="8"/>
              <w:keepNext w:val="0"/>
              <w:keepLines w:val="0"/>
              <w:pageBreakBefore w:val="0"/>
              <w:suppressLineNumbers w:val="0"/>
              <w:kinsoku/>
              <w:wordWrap w:val="0"/>
              <w:overflowPunct/>
              <w:topLinePunct w:val="0"/>
              <w:autoSpaceDE/>
              <w:autoSpaceDN/>
              <w:bidi w:val="0"/>
              <w:adjustRightInd w:val="0"/>
              <w:snapToGrid w:val="0"/>
              <w:spacing w:before="0" w:beforeAutospacing="0" w:after="0" w:afterAutospacing="0" w:line="240" w:lineRule="auto"/>
              <w:ind w:left="0" w:right="0"/>
              <w:jc w:val="left"/>
              <w:rPr>
                <w:rFonts w:hint="eastAsia" w:ascii="宋体" w:hAnsi="宋体" w:eastAsia="宋体" w:cs="宋体"/>
                <w:b w:val="0"/>
                <w:bCs w:val="0"/>
                <w:snapToGrid w:val="0"/>
                <w:color w:val="auto"/>
                <w:kern w:val="0"/>
                <w:sz w:val="21"/>
                <w:szCs w:val="21"/>
                <w:highlight w:val="none"/>
              </w:rPr>
            </w:pPr>
            <w:r>
              <w:rPr>
                <w:rFonts w:hint="eastAsia" w:ascii="宋体" w:hAnsi="宋体" w:eastAsia="宋体" w:cs="宋体"/>
                <w:b w:val="0"/>
                <w:bCs w:val="0"/>
                <w:snapToGrid w:val="0"/>
                <w:color w:val="auto"/>
                <w:kern w:val="0"/>
                <w:sz w:val="21"/>
                <w:szCs w:val="21"/>
                <w:highlight w:val="none"/>
              </w:rPr>
              <w:t>【一般】得该项评分因素分值的90%～95%（含90%）；</w:t>
            </w:r>
          </w:p>
          <w:p w14:paraId="2DD9B211">
            <w:pPr>
              <w:pStyle w:val="8"/>
              <w:keepNext w:val="0"/>
              <w:keepLines w:val="0"/>
              <w:pageBreakBefore w:val="0"/>
              <w:suppressLineNumbers w:val="0"/>
              <w:kinsoku/>
              <w:wordWrap w:val="0"/>
              <w:overflowPunct/>
              <w:topLinePunct w:val="0"/>
              <w:autoSpaceDE/>
              <w:autoSpaceDN/>
              <w:bidi w:val="0"/>
              <w:adjustRightInd w:val="0"/>
              <w:snapToGrid w:val="0"/>
              <w:spacing w:before="0" w:beforeAutospacing="0" w:after="0" w:afterAutospacing="0" w:line="240" w:lineRule="auto"/>
              <w:ind w:left="0" w:right="0"/>
              <w:jc w:val="left"/>
              <w:rPr>
                <w:rFonts w:hint="eastAsia" w:ascii="宋体" w:hAnsi="宋体" w:eastAsia="宋体" w:cs="宋体"/>
                <w:snapToGrid w:val="0"/>
                <w:color w:val="auto"/>
                <w:kern w:val="0"/>
                <w:sz w:val="22"/>
                <w:szCs w:val="22"/>
                <w:highlight w:val="none"/>
              </w:rPr>
            </w:pPr>
            <w:r>
              <w:rPr>
                <w:rFonts w:hint="eastAsia" w:ascii="宋体" w:hAnsi="宋体" w:eastAsia="宋体" w:cs="宋体"/>
                <w:b w:val="0"/>
                <w:bCs w:val="0"/>
                <w:snapToGrid w:val="0"/>
                <w:color w:val="auto"/>
                <w:kern w:val="0"/>
                <w:sz w:val="21"/>
                <w:szCs w:val="21"/>
                <w:highlight w:val="none"/>
              </w:rPr>
              <w:t>【合格】得该项评分因素分值的85%～90%（含85%）。</w:t>
            </w:r>
          </w:p>
        </w:tc>
        <w:tc>
          <w:tcPr>
            <w:tcW w:w="3882" w:type="dxa"/>
            <w:tcBorders>
              <w:top w:val="single" w:color="auto" w:sz="4" w:space="0"/>
              <w:left w:val="single" w:color="auto" w:sz="4" w:space="0"/>
              <w:bottom w:val="single" w:color="auto" w:sz="4" w:space="0"/>
              <w:right w:val="single" w:color="auto" w:sz="4" w:space="0"/>
              <w:tl2br w:val="nil"/>
              <w:tr2bl w:val="nil"/>
            </w:tcBorders>
            <w:vAlign w:val="center"/>
          </w:tcPr>
          <w:p w14:paraId="74A8F286">
            <w:pPr>
              <w:pStyle w:val="8"/>
              <w:keepNext w:val="0"/>
              <w:keepLines w:val="0"/>
              <w:pageBreakBefore w:val="0"/>
              <w:suppressLineNumbers w:val="0"/>
              <w:kinsoku/>
              <w:wordWrap w:val="0"/>
              <w:overflowPunct/>
              <w:topLinePunct w:val="0"/>
              <w:autoSpaceDE/>
              <w:autoSpaceDN/>
              <w:bidi w:val="0"/>
              <w:adjustRightInd w:val="0"/>
              <w:snapToGrid w:val="0"/>
              <w:spacing w:before="0" w:beforeAutospacing="0" w:after="0" w:afterAutospacing="0" w:line="240" w:lineRule="auto"/>
              <w:ind w:left="0" w:right="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w:t>
            </w:r>
            <w:r>
              <w:rPr>
                <w:rFonts w:hint="eastAsia" w:ascii="宋体" w:hAnsi="宋体" w:eastAsia="宋体" w:cs="宋体"/>
                <w:snapToGrid w:val="0"/>
                <w:color w:val="auto"/>
                <w:kern w:val="0"/>
                <w:sz w:val="21"/>
                <w:szCs w:val="21"/>
                <w:highlight w:val="none"/>
              </w:rPr>
              <w:t>优良</w:t>
            </w:r>
            <w:r>
              <w:rPr>
                <w:rFonts w:hint="eastAsia" w:ascii="宋体" w:hAnsi="宋体" w:eastAsia="宋体" w:cs="宋体"/>
                <w:color w:val="auto"/>
                <w:sz w:val="21"/>
                <w:szCs w:val="21"/>
                <w:highlight w:val="none"/>
              </w:rPr>
              <w:t>】对项目关键技术、工艺有深入的表述，对重点、难点有先进、合理的建议，解决方案完整、经济、安全、切实可行，措施得力。针对项目实际，提出采用新技术的具体措施。新技术的验证材料可靠，对节约投资和工期的保证措施得力、具体、严谨。对采用新技术可能产生的风险有充分的预见，违约承诺具体，经济赔偿合理。</w:t>
            </w:r>
          </w:p>
          <w:p w14:paraId="1486A6A6">
            <w:pPr>
              <w:pStyle w:val="8"/>
              <w:keepNext w:val="0"/>
              <w:keepLines w:val="0"/>
              <w:pageBreakBefore w:val="0"/>
              <w:suppressLineNumbers w:val="0"/>
              <w:kinsoku/>
              <w:wordWrap w:val="0"/>
              <w:overflowPunct/>
              <w:topLinePunct w:val="0"/>
              <w:autoSpaceDE/>
              <w:autoSpaceDN/>
              <w:bidi w:val="0"/>
              <w:adjustRightInd w:val="0"/>
              <w:snapToGrid w:val="0"/>
              <w:spacing w:before="0" w:beforeAutospacing="0" w:after="0" w:afterAutospacing="0" w:line="240" w:lineRule="auto"/>
              <w:ind w:left="0" w:right="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w:t>
            </w:r>
            <w:r>
              <w:rPr>
                <w:rFonts w:hint="eastAsia" w:ascii="宋体" w:hAnsi="宋体" w:eastAsia="宋体" w:cs="宋体"/>
                <w:snapToGrid w:val="0"/>
                <w:color w:val="auto"/>
                <w:kern w:val="0"/>
                <w:sz w:val="21"/>
                <w:szCs w:val="21"/>
                <w:highlight w:val="none"/>
              </w:rPr>
              <w:t>一般</w:t>
            </w:r>
            <w:r>
              <w:rPr>
                <w:rFonts w:hint="eastAsia" w:ascii="宋体" w:hAnsi="宋体" w:eastAsia="宋体" w:cs="宋体"/>
                <w:color w:val="auto"/>
                <w:sz w:val="21"/>
                <w:szCs w:val="21"/>
                <w:highlight w:val="none"/>
              </w:rPr>
              <w:t>】对项目关键技术、工艺有深入的表述，对重点、难点有合理的建议，解决方案经济、安全、基本可行。针对项目实际，提出采用新技术的具体措施。新技术的验证材料可靠，对节约投资和工期有保证措施。对采用新技术可能产生的风险有一定的预见，违约责任承诺具体，经济赔偿较合理。</w:t>
            </w:r>
          </w:p>
          <w:p w14:paraId="39447510">
            <w:pPr>
              <w:pStyle w:val="8"/>
              <w:keepNext w:val="0"/>
              <w:keepLines w:val="0"/>
              <w:pageBreakBefore w:val="0"/>
              <w:suppressLineNumbers w:val="0"/>
              <w:kinsoku/>
              <w:wordWrap w:val="0"/>
              <w:overflowPunct/>
              <w:topLinePunct w:val="0"/>
              <w:autoSpaceDE/>
              <w:autoSpaceDN/>
              <w:bidi w:val="0"/>
              <w:adjustRightInd w:val="0"/>
              <w:snapToGrid w:val="0"/>
              <w:spacing w:before="0" w:beforeAutospacing="0" w:after="0" w:afterAutospacing="0" w:line="240" w:lineRule="auto"/>
              <w:ind w:left="0" w:right="0"/>
              <w:jc w:val="left"/>
              <w:rPr>
                <w:rFonts w:hint="eastAsia" w:ascii="宋体" w:hAnsi="宋体" w:eastAsia="宋体" w:cs="宋体"/>
                <w:color w:val="auto"/>
                <w:sz w:val="22"/>
                <w:szCs w:val="22"/>
                <w:highlight w:val="none"/>
              </w:rPr>
            </w:pPr>
            <w:r>
              <w:rPr>
                <w:rFonts w:hint="eastAsia" w:ascii="宋体" w:hAnsi="宋体" w:eastAsia="宋体" w:cs="宋体"/>
                <w:color w:val="auto"/>
                <w:sz w:val="21"/>
                <w:szCs w:val="21"/>
                <w:highlight w:val="none"/>
              </w:rPr>
              <w:t>【</w:t>
            </w:r>
            <w:r>
              <w:rPr>
                <w:rFonts w:hint="eastAsia" w:ascii="宋体" w:hAnsi="宋体" w:eastAsia="宋体" w:cs="宋体"/>
                <w:snapToGrid w:val="0"/>
                <w:color w:val="auto"/>
                <w:kern w:val="0"/>
                <w:sz w:val="21"/>
                <w:szCs w:val="21"/>
                <w:highlight w:val="none"/>
              </w:rPr>
              <w:t>合格</w:t>
            </w:r>
            <w:r>
              <w:rPr>
                <w:rFonts w:hint="eastAsia" w:ascii="宋体" w:hAnsi="宋体" w:eastAsia="宋体" w:cs="宋体"/>
                <w:color w:val="auto"/>
                <w:sz w:val="21"/>
                <w:szCs w:val="21"/>
                <w:highlight w:val="none"/>
              </w:rPr>
              <w:t>】对项目关键技术有一定了解，对重点、难点有建议，解决方案基本可行。有新技术措施，但验证材料不充分，对节约投资和工期可能有一定收益，但对采用的新技术可能产生的风险预见不足。有违约责任承诺。</w:t>
            </w:r>
          </w:p>
        </w:tc>
      </w:tr>
      <w:tr w14:paraId="593154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29" w:hRule="atLeast"/>
          <w:jc w:val="center"/>
        </w:trPr>
        <w:tc>
          <w:tcPr>
            <w:tcW w:w="1023" w:type="dxa"/>
            <w:vMerge w:val="continue"/>
            <w:tcBorders>
              <w:left w:val="single" w:color="auto" w:sz="4" w:space="0"/>
              <w:bottom w:val="single" w:color="auto" w:sz="4" w:space="0"/>
              <w:right w:val="single" w:color="auto" w:sz="4" w:space="0"/>
              <w:tl2br w:val="nil"/>
              <w:tr2bl w:val="nil"/>
            </w:tcBorders>
            <w:vAlign w:val="top"/>
          </w:tcPr>
          <w:p w14:paraId="1148A65D">
            <w:pPr>
              <w:keepNext w:val="0"/>
              <w:keepLines w:val="0"/>
              <w:pageBreakBefore w:val="0"/>
              <w:widowControl/>
              <w:suppressLineNumbers w:val="0"/>
              <w:kinsoku/>
              <w:overflowPunct/>
              <w:topLinePunct w:val="0"/>
              <w:autoSpaceDE/>
              <w:autoSpaceDN/>
              <w:bidi w:val="0"/>
              <w:spacing w:before="0" w:beforeLines="0" w:beforeAutospacing="0" w:after="0" w:afterLines="0" w:afterAutospacing="0" w:line="240" w:lineRule="auto"/>
              <w:ind w:left="0" w:right="0"/>
              <w:jc w:val="left"/>
              <w:rPr>
                <w:rFonts w:hint="eastAsia" w:ascii="宋体" w:hAnsi="宋体" w:eastAsia="宋体" w:cs="宋体"/>
                <w:color w:val="auto"/>
                <w:kern w:val="0"/>
                <w:sz w:val="22"/>
                <w:szCs w:val="22"/>
                <w:highlight w:val="none"/>
              </w:rPr>
            </w:pPr>
          </w:p>
        </w:tc>
        <w:tc>
          <w:tcPr>
            <w:tcW w:w="1945" w:type="dxa"/>
            <w:gridSpan w:val="2"/>
            <w:tcBorders>
              <w:top w:val="single" w:color="auto" w:sz="4" w:space="0"/>
              <w:left w:val="single" w:color="auto" w:sz="4" w:space="0"/>
              <w:bottom w:val="single" w:color="auto" w:sz="4" w:space="0"/>
              <w:right w:val="single" w:color="auto" w:sz="4" w:space="0"/>
              <w:tl2br w:val="nil"/>
              <w:tr2bl w:val="nil"/>
            </w:tcBorders>
            <w:vAlign w:val="center"/>
          </w:tcPr>
          <w:p w14:paraId="05B2EE77">
            <w:pPr>
              <w:keepNext w:val="0"/>
              <w:keepLines w:val="0"/>
              <w:pageBreakBefore w:val="0"/>
              <w:widowControl/>
              <w:suppressLineNumbers w:val="0"/>
              <w:kinsoku/>
              <w:overflowPunct/>
              <w:topLinePunct w:val="0"/>
              <w:autoSpaceDE/>
              <w:autoSpaceDN/>
              <w:bidi w:val="0"/>
              <w:adjustRightInd w:val="0"/>
              <w:snapToGrid w:val="0"/>
              <w:spacing w:before="0" w:beforeAutospacing="0" w:after="0" w:afterAutospacing="0" w:line="240" w:lineRule="auto"/>
              <w:ind w:left="0" w:right="0"/>
              <w:jc w:val="center"/>
              <w:rPr>
                <w:rFonts w:hint="eastAsia" w:ascii="宋体" w:hAnsi="宋体" w:eastAsia="宋体" w:cs="宋体"/>
                <w:b w:val="0"/>
                <w:bCs w:val="0"/>
                <w:color w:val="auto"/>
                <w:sz w:val="21"/>
                <w:szCs w:val="21"/>
                <w:highlight w:val="none"/>
              </w:rPr>
            </w:pPr>
            <w:r>
              <w:rPr>
                <w:rFonts w:hint="eastAsia" w:ascii="宋体" w:hAnsi="宋体" w:eastAsia="宋体" w:cs="宋体"/>
                <w:b w:val="0"/>
                <w:bCs w:val="0"/>
                <w:color w:val="auto"/>
                <w:sz w:val="21"/>
                <w:szCs w:val="21"/>
                <w:highlight w:val="none"/>
              </w:rPr>
              <w:t>施工总承包项目管理要点</w:t>
            </w:r>
          </w:p>
          <w:p w14:paraId="4166AEB8">
            <w:pPr>
              <w:keepNext w:val="0"/>
              <w:keepLines w:val="0"/>
              <w:pageBreakBefore w:val="0"/>
              <w:widowControl/>
              <w:suppressLineNumbers w:val="0"/>
              <w:kinsoku/>
              <w:overflowPunct/>
              <w:topLinePunct w:val="0"/>
              <w:autoSpaceDE/>
              <w:autoSpaceDN/>
              <w:bidi w:val="0"/>
              <w:adjustRightInd w:val="0"/>
              <w:snapToGrid w:val="0"/>
              <w:spacing w:before="0" w:beforeAutospacing="0" w:after="0" w:afterAutospacing="0" w:line="240" w:lineRule="auto"/>
              <w:ind w:left="0" w:right="0"/>
              <w:jc w:val="center"/>
              <w:rPr>
                <w:rFonts w:hint="eastAsia" w:ascii="宋体" w:hAnsi="宋体" w:eastAsia="宋体" w:cs="宋体"/>
                <w:color w:val="auto"/>
                <w:sz w:val="22"/>
                <w:szCs w:val="22"/>
                <w:highlight w:val="none"/>
              </w:rPr>
            </w:pPr>
            <w:r>
              <w:rPr>
                <w:rFonts w:hint="eastAsia" w:ascii="宋体" w:hAnsi="宋体" w:eastAsia="宋体" w:cs="宋体"/>
                <w:b w:val="0"/>
                <w:bCs w:val="0"/>
                <w:color w:val="auto"/>
                <w:sz w:val="21"/>
                <w:szCs w:val="21"/>
                <w:highlight w:val="none"/>
                <w:lang w:bidi="ar"/>
              </w:rPr>
              <w:t>（</w:t>
            </w:r>
            <w:r>
              <w:rPr>
                <w:rFonts w:hint="eastAsia" w:ascii="宋体" w:hAnsi="宋体" w:eastAsia="宋体" w:cs="宋体"/>
                <w:b w:val="0"/>
                <w:bCs w:val="0"/>
                <w:color w:val="auto"/>
                <w:sz w:val="21"/>
                <w:szCs w:val="21"/>
                <w:highlight w:val="none"/>
                <w:lang w:val="en-US" w:eastAsia="zh-CN" w:bidi="ar"/>
              </w:rPr>
              <w:t>2</w:t>
            </w:r>
            <w:r>
              <w:rPr>
                <w:rFonts w:hint="eastAsia" w:ascii="宋体" w:hAnsi="宋体" w:eastAsia="宋体" w:cs="宋体"/>
                <w:b w:val="0"/>
                <w:bCs w:val="0"/>
                <w:color w:val="auto"/>
                <w:sz w:val="21"/>
                <w:szCs w:val="21"/>
                <w:highlight w:val="none"/>
                <w:lang w:bidi="ar"/>
              </w:rPr>
              <w:t>分）</w:t>
            </w:r>
          </w:p>
        </w:tc>
        <w:tc>
          <w:tcPr>
            <w:tcW w:w="3558" w:type="dxa"/>
            <w:tcBorders>
              <w:top w:val="single" w:color="auto" w:sz="4" w:space="0"/>
              <w:left w:val="single" w:color="auto" w:sz="4" w:space="0"/>
              <w:bottom w:val="single" w:color="auto" w:sz="4" w:space="0"/>
              <w:right w:val="single" w:color="auto" w:sz="4" w:space="0"/>
              <w:tl2br w:val="nil"/>
              <w:tr2bl w:val="nil"/>
            </w:tcBorders>
            <w:vAlign w:val="center"/>
          </w:tcPr>
          <w:p w14:paraId="37C6E3D9">
            <w:pPr>
              <w:pStyle w:val="8"/>
              <w:keepNext w:val="0"/>
              <w:keepLines w:val="0"/>
              <w:pageBreakBefore w:val="0"/>
              <w:suppressLineNumbers w:val="0"/>
              <w:kinsoku/>
              <w:wordWrap w:val="0"/>
              <w:overflowPunct/>
              <w:topLinePunct w:val="0"/>
              <w:autoSpaceDE/>
              <w:autoSpaceDN/>
              <w:bidi w:val="0"/>
              <w:adjustRightInd w:val="0"/>
              <w:snapToGrid w:val="0"/>
              <w:spacing w:before="0" w:beforeAutospacing="0" w:after="0" w:afterAutospacing="0" w:line="240" w:lineRule="auto"/>
              <w:ind w:left="0" w:right="0"/>
              <w:jc w:val="left"/>
              <w:rPr>
                <w:rFonts w:hint="eastAsia" w:ascii="宋体" w:hAnsi="宋体" w:eastAsia="宋体" w:cs="宋体"/>
                <w:b w:val="0"/>
                <w:bCs w:val="0"/>
                <w:snapToGrid w:val="0"/>
                <w:color w:val="auto"/>
                <w:kern w:val="0"/>
                <w:sz w:val="21"/>
                <w:szCs w:val="21"/>
                <w:highlight w:val="none"/>
              </w:rPr>
            </w:pPr>
            <w:r>
              <w:rPr>
                <w:rFonts w:hint="eastAsia" w:ascii="宋体" w:hAnsi="宋体" w:eastAsia="宋体" w:cs="宋体"/>
                <w:b w:val="0"/>
                <w:bCs w:val="0"/>
                <w:snapToGrid w:val="0"/>
                <w:color w:val="auto"/>
                <w:kern w:val="0"/>
                <w:sz w:val="21"/>
                <w:szCs w:val="21"/>
                <w:highlight w:val="none"/>
              </w:rPr>
              <w:t>【优良】得该项评分因素分值的95%～100%（含95%）；</w:t>
            </w:r>
          </w:p>
          <w:p w14:paraId="218D0A27">
            <w:pPr>
              <w:pStyle w:val="8"/>
              <w:keepNext w:val="0"/>
              <w:keepLines w:val="0"/>
              <w:pageBreakBefore w:val="0"/>
              <w:suppressLineNumbers w:val="0"/>
              <w:kinsoku/>
              <w:wordWrap w:val="0"/>
              <w:overflowPunct/>
              <w:topLinePunct w:val="0"/>
              <w:autoSpaceDE/>
              <w:autoSpaceDN/>
              <w:bidi w:val="0"/>
              <w:adjustRightInd w:val="0"/>
              <w:snapToGrid w:val="0"/>
              <w:spacing w:before="0" w:beforeAutospacing="0" w:after="0" w:afterAutospacing="0" w:line="240" w:lineRule="auto"/>
              <w:ind w:left="0" w:right="0"/>
              <w:jc w:val="left"/>
              <w:rPr>
                <w:rFonts w:hint="eastAsia" w:ascii="宋体" w:hAnsi="宋体" w:eastAsia="宋体" w:cs="宋体"/>
                <w:b w:val="0"/>
                <w:bCs w:val="0"/>
                <w:snapToGrid w:val="0"/>
                <w:color w:val="auto"/>
                <w:kern w:val="0"/>
                <w:sz w:val="21"/>
                <w:szCs w:val="21"/>
                <w:highlight w:val="none"/>
              </w:rPr>
            </w:pPr>
            <w:r>
              <w:rPr>
                <w:rFonts w:hint="eastAsia" w:ascii="宋体" w:hAnsi="宋体" w:eastAsia="宋体" w:cs="宋体"/>
                <w:b w:val="0"/>
                <w:bCs w:val="0"/>
                <w:snapToGrid w:val="0"/>
                <w:color w:val="auto"/>
                <w:kern w:val="0"/>
                <w:sz w:val="21"/>
                <w:szCs w:val="21"/>
                <w:highlight w:val="none"/>
              </w:rPr>
              <w:t>【一般】得该项评分因素分值的90%～95%（含90%）；</w:t>
            </w:r>
          </w:p>
          <w:p w14:paraId="01953A27">
            <w:pPr>
              <w:pStyle w:val="8"/>
              <w:keepNext w:val="0"/>
              <w:keepLines w:val="0"/>
              <w:pageBreakBefore w:val="0"/>
              <w:suppressLineNumbers w:val="0"/>
              <w:kinsoku/>
              <w:wordWrap w:val="0"/>
              <w:overflowPunct/>
              <w:topLinePunct w:val="0"/>
              <w:autoSpaceDE/>
              <w:autoSpaceDN/>
              <w:bidi w:val="0"/>
              <w:adjustRightInd w:val="0"/>
              <w:snapToGrid w:val="0"/>
              <w:spacing w:before="0" w:beforeAutospacing="0" w:after="0" w:afterAutospacing="0" w:line="240" w:lineRule="auto"/>
              <w:ind w:left="0" w:right="0"/>
              <w:jc w:val="left"/>
              <w:rPr>
                <w:rFonts w:hint="eastAsia" w:ascii="宋体" w:hAnsi="宋体" w:eastAsia="宋体" w:cs="宋体"/>
                <w:snapToGrid w:val="0"/>
                <w:color w:val="auto"/>
                <w:kern w:val="0"/>
                <w:sz w:val="22"/>
                <w:szCs w:val="22"/>
                <w:highlight w:val="none"/>
              </w:rPr>
            </w:pPr>
            <w:r>
              <w:rPr>
                <w:rFonts w:hint="eastAsia" w:ascii="宋体" w:hAnsi="宋体" w:eastAsia="宋体" w:cs="宋体"/>
                <w:b w:val="0"/>
                <w:bCs w:val="0"/>
                <w:snapToGrid w:val="0"/>
                <w:color w:val="auto"/>
                <w:kern w:val="0"/>
                <w:sz w:val="21"/>
                <w:szCs w:val="21"/>
                <w:highlight w:val="none"/>
              </w:rPr>
              <w:t>【合格】得该项评分因素分值的85%～90%（含85%）。</w:t>
            </w:r>
          </w:p>
        </w:tc>
        <w:tc>
          <w:tcPr>
            <w:tcW w:w="3882" w:type="dxa"/>
            <w:tcBorders>
              <w:top w:val="single" w:color="auto" w:sz="4" w:space="0"/>
              <w:left w:val="single" w:color="auto" w:sz="4" w:space="0"/>
              <w:bottom w:val="single" w:color="auto" w:sz="4" w:space="0"/>
              <w:right w:val="single" w:color="auto" w:sz="4" w:space="0"/>
              <w:tl2br w:val="nil"/>
              <w:tr2bl w:val="nil"/>
            </w:tcBorders>
            <w:vAlign w:val="center"/>
          </w:tcPr>
          <w:p w14:paraId="703F1E92">
            <w:pPr>
              <w:pStyle w:val="82"/>
              <w:keepNext w:val="0"/>
              <w:keepLines w:val="0"/>
              <w:pageBreakBefore w:val="0"/>
              <w:suppressLineNumbers w:val="0"/>
              <w:kinsoku/>
              <w:wordWrap w:val="0"/>
              <w:overflowPunct/>
              <w:topLinePunct w:val="0"/>
              <w:autoSpaceDE/>
              <w:autoSpaceDN/>
              <w:bidi w:val="0"/>
              <w:adjustRightInd w:val="0"/>
              <w:snapToGrid w:val="0"/>
              <w:spacing w:before="0" w:beforeAutospacing="0" w:after="0" w:afterAutospacing="0" w:line="240" w:lineRule="auto"/>
              <w:ind w:left="0" w:right="0"/>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rPr>
              <w:t>【优良】组织机构形式合理，有完善的指挥系统，生产及质量、绿色施工、安全、文明施工、创优达标监控系统、联络协调系统，项目管理人员内高级职称人员20%（含20%）以上、中级职称人员</w:t>
            </w:r>
            <w:r>
              <w:rPr>
                <w:rFonts w:hint="eastAsia" w:ascii="宋体" w:hAnsi="宋体" w:eastAsia="宋体" w:cs="宋体"/>
                <w:b/>
                <w:bCs/>
                <w:snapToGrid w:val="0"/>
                <w:color w:val="auto"/>
                <w:kern w:val="0"/>
                <w:sz w:val="21"/>
                <w:szCs w:val="21"/>
                <w:highlight w:val="none"/>
              </w:rPr>
              <w:t>及以上职称</w:t>
            </w:r>
            <w:r>
              <w:rPr>
                <w:rFonts w:hint="eastAsia" w:ascii="宋体" w:hAnsi="宋体" w:eastAsia="宋体" w:cs="宋体"/>
                <w:snapToGrid w:val="0"/>
                <w:color w:val="auto"/>
                <w:kern w:val="0"/>
                <w:sz w:val="21"/>
                <w:szCs w:val="21"/>
                <w:highlight w:val="none"/>
              </w:rPr>
              <w:t>60%（含60%）以上。</w:t>
            </w:r>
          </w:p>
          <w:p w14:paraId="7C7B4757">
            <w:pPr>
              <w:pStyle w:val="82"/>
              <w:keepNext w:val="0"/>
              <w:keepLines w:val="0"/>
              <w:pageBreakBefore w:val="0"/>
              <w:suppressLineNumbers w:val="0"/>
              <w:kinsoku/>
              <w:wordWrap w:val="0"/>
              <w:overflowPunct/>
              <w:topLinePunct w:val="0"/>
              <w:autoSpaceDE/>
              <w:autoSpaceDN/>
              <w:bidi w:val="0"/>
              <w:adjustRightInd w:val="0"/>
              <w:snapToGrid w:val="0"/>
              <w:spacing w:before="0" w:beforeAutospacing="0" w:after="0" w:afterAutospacing="0" w:line="240" w:lineRule="auto"/>
              <w:ind w:left="0" w:right="0"/>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rPr>
              <w:t>【一般】组织机构形式合理，指挥系统，生产及质量、绿色施工、安全、文明施工、创优达标监控系统、联络协调系统齐全，项目管理人员内高级职称人员10%～20%（含10%）、中级职称</w:t>
            </w:r>
            <w:r>
              <w:rPr>
                <w:rFonts w:hint="eastAsia" w:ascii="宋体" w:hAnsi="宋体" w:eastAsia="宋体" w:cs="宋体"/>
                <w:b/>
                <w:bCs/>
                <w:snapToGrid w:val="0"/>
                <w:color w:val="auto"/>
                <w:kern w:val="0"/>
                <w:sz w:val="21"/>
                <w:szCs w:val="21"/>
                <w:highlight w:val="none"/>
              </w:rPr>
              <w:t>及以上职称</w:t>
            </w:r>
            <w:r>
              <w:rPr>
                <w:rFonts w:hint="eastAsia" w:ascii="宋体" w:hAnsi="宋体" w:eastAsia="宋体" w:cs="宋体"/>
                <w:snapToGrid w:val="0"/>
                <w:color w:val="auto"/>
                <w:kern w:val="0"/>
                <w:sz w:val="21"/>
                <w:szCs w:val="21"/>
                <w:highlight w:val="none"/>
              </w:rPr>
              <w:t>人员40%～60%（含40%）。</w:t>
            </w:r>
          </w:p>
          <w:p w14:paraId="48C28503">
            <w:pPr>
              <w:pStyle w:val="8"/>
              <w:keepNext w:val="0"/>
              <w:keepLines w:val="0"/>
              <w:pageBreakBefore w:val="0"/>
              <w:suppressLineNumbers w:val="0"/>
              <w:kinsoku/>
              <w:wordWrap w:val="0"/>
              <w:overflowPunct/>
              <w:topLinePunct w:val="0"/>
              <w:autoSpaceDE/>
              <w:autoSpaceDN/>
              <w:bidi w:val="0"/>
              <w:adjustRightInd w:val="0"/>
              <w:snapToGrid w:val="0"/>
              <w:spacing w:before="0" w:beforeAutospacing="0" w:after="0" w:afterAutospacing="0" w:line="240" w:lineRule="auto"/>
              <w:ind w:left="0" w:right="0"/>
              <w:jc w:val="left"/>
              <w:rPr>
                <w:rFonts w:hint="eastAsia" w:ascii="宋体" w:hAnsi="宋体" w:eastAsia="宋体" w:cs="宋体"/>
                <w:color w:val="auto"/>
                <w:sz w:val="22"/>
                <w:szCs w:val="22"/>
                <w:highlight w:val="none"/>
              </w:rPr>
            </w:pPr>
            <w:r>
              <w:rPr>
                <w:rFonts w:hint="eastAsia" w:ascii="宋体" w:hAnsi="宋体" w:eastAsia="宋体" w:cs="宋体"/>
                <w:snapToGrid w:val="0"/>
                <w:color w:val="auto"/>
                <w:kern w:val="0"/>
                <w:sz w:val="21"/>
                <w:szCs w:val="21"/>
                <w:highlight w:val="none"/>
              </w:rPr>
              <w:t>【合格】组织机构形式基本合理，有指挥系统，生产及质量、绿色施工、安全、文明施工、创优达标监控系统、联络协调系统，项目管理人员内高级职称人员少于10%、中级职称人员</w:t>
            </w:r>
            <w:r>
              <w:rPr>
                <w:rFonts w:hint="eastAsia" w:ascii="宋体" w:hAnsi="宋体" w:eastAsia="宋体" w:cs="宋体"/>
                <w:b/>
                <w:bCs/>
                <w:snapToGrid w:val="0"/>
                <w:color w:val="auto"/>
                <w:kern w:val="0"/>
                <w:sz w:val="21"/>
                <w:szCs w:val="21"/>
                <w:highlight w:val="none"/>
              </w:rPr>
              <w:t>及以上职称少于</w:t>
            </w:r>
            <w:r>
              <w:rPr>
                <w:rFonts w:hint="eastAsia" w:ascii="宋体" w:hAnsi="宋体" w:eastAsia="宋体" w:cs="宋体"/>
                <w:snapToGrid w:val="0"/>
                <w:color w:val="auto"/>
                <w:kern w:val="0"/>
                <w:sz w:val="21"/>
                <w:szCs w:val="21"/>
                <w:highlight w:val="none"/>
              </w:rPr>
              <w:t>40%。</w:t>
            </w:r>
          </w:p>
        </w:tc>
      </w:tr>
      <w:tr w14:paraId="36425A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79" w:hRule="atLeast"/>
          <w:jc w:val="center"/>
        </w:trPr>
        <w:tc>
          <w:tcPr>
            <w:tcW w:w="1023" w:type="dxa"/>
            <w:vMerge w:val="restart"/>
            <w:tcBorders>
              <w:top w:val="single" w:color="auto" w:sz="4" w:space="0"/>
              <w:left w:val="single" w:color="auto" w:sz="4" w:space="0"/>
              <w:right w:val="single" w:color="auto" w:sz="4" w:space="0"/>
              <w:tl2br w:val="nil"/>
              <w:tr2bl w:val="nil"/>
            </w:tcBorders>
            <w:vAlign w:val="center"/>
          </w:tcPr>
          <w:p w14:paraId="1515C0DE">
            <w:pPr>
              <w:keepNext w:val="0"/>
              <w:keepLines w:val="0"/>
              <w:pageBreakBefore w:val="0"/>
              <w:widowControl/>
              <w:suppressLineNumbers w:val="0"/>
              <w:kinsoku/>
              <w:overflowPunct/>
              <w:topLinePunct w:val="0"/>
              <w:autoSpaceDE/>
              <w:autoSpaceDN/>
              <w:bidi w:val="0"/>
              <w:spacing w:before="0" w:beforeLines="0" w:beforeAutospacing="0" w:after="0" w:afterLines="0" w:afterAutospacing="0" w:line="240" w:lineRule="auto"/>
              <w:ind w:left="0" w:right="0"/>
              <w:jc w:val="center"/>
              <w:rPr>
                <w:rFonts w:hint="eastAsia" w:ascii="宋体" w:hAnsi="宋体" w:eastAsia="宋体" w:cs="宋体"/>
                <w:color w:val="auto"/>
                <w:kern w:val="0"/>
                <w:sz w:val="22"/>
                <w:szCs w:val="22"/>
                <w:highlight w:val="none"/>
              </w:rPr>
            </w:pPr>
            <w:r>
              <w:rPr>
                <w:rFonts w:hint="eastAsia" w:ascii="宋体" w:hAnsi="宋体" w:eastAsia="宋体" w:cs="宋体"/>
                <w:color w:val="auto"/>
                <w:sz w:val="22"/>
                <w:szCs w:val="22"/>
                <w:highlight w:val="none"/>
              </w:rPr>
              <w:t>经济部分得分（</w:t>
            </w:r>
            <w:r>
              <w:rPr>
                <w:rFonts w:hint="eastAsia" w:hAnsi="宋体" w:eastAsia="宋体" w:cs="宋体"/>
                <w:color w:val="auto"/>
                <w:sz w:val="22"/>
                <w:szCs w:val="22"/>
                <w:highlight w:val="none"/>
                <w:lang w:val="en-US" w:eastAsia="zh-CN"/>
              </w:rPr>
              <w:t>4</w:t>
            </w:r>
            <w:r>
              <w:rPr>
                <w:rFonts w:hint="eastAsia" w:ascii="宋体" w:hAnsi="宋体" w:eastAsia="宋体" w:cs="宋体"/>
                <w:color w:val="auto"/>
                <w:sz w:val="22"/>
                <w:szCs w:val="22"/>
                <w:highlight w:val="none"/>
              </w:rPr>
              <w:t>0分）</w:t>
            </w:r>
          </w:p>
        </w:tc>
        <w:tc>
          <w:tcPr>
            <w:tcW w:w="1945" w:type="dxa"/>
            <w:gridSpan w:val="2"/>
            <w:tcBorders>
              <w:top w:val="single" w:color="auto" w:sz="4" w:space="0"/>
              <w:left w:val="single" w:color="auto" w:sz="4" w:space="0"/>
              <w:bottom w:val="single" w:color="auto" w:sz="4" w:space="0"/>
              <w:right w:val="single" w:color="auto" w:sz="4" w:space="0"/>
              <w:tl2br w:val="nil"/>
              <w:tr2bl w:val="nil"/>
            </w:tcBorders>
            <w:vAlign w:val="center"/>
          </w:tcPr>
          <w:p w14:paraId="77CE878F">
            <w:pPr>
              <w:keepNext/>
              <w:keepLines w:val="0"/>
              <w:pageBreakBefore w:val="0"/>
              <w:widowControl/>
              <w:suppressLineNumbers w:val="0"/>
              <w:kinsoku/>
              <w:overflowPunct/>
              <w:topLinePunct w:val="0"/>
              <w:autoSpaceDE/>
              <w:autoSpaceDN/>
              <w:bidi w:val="0"/>
              <w:spacing w:before="0" w:beforeLines="0" w:beforeAutospacing="0" w:after="0" w:afterLines="0" w:afterAutospacing="0" w:line="240" w:lineRule="auto"/>
              <w:ind w:left="0" w:leftChars="0" w:right="0" w:rightChars="0"/>
              <w:outlineLvl w:val="3"/>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评标基准价D</w:t>
            </w:r>
          </w:p>
        </w:tc>
        <w:tc>
          <w:tcPr>
            <w:tcW w:w="7440" w:type="dxa"/>
            <w:gridSpan w:val="2"/>
            <w:tcBorders>
              <w:top w:val="single" w:color="auto" w:sz="4" w:space="0"/>
              <w:left w:val="single" w:color="auto" w:sz="4" w:space="0"/>
              <w:bottom w:val="single" w:color="auto" w:sz="4" w:space="0"/>
              <w:right w:val="single" w:color="auto" w:sz="4" w:space="0"/>
              <w:tl2br w:val="nil"/>
              <w:tr2bl w:val="nil"/>
            </w:tcBorders>
            <w:vAlign w:val="center"/>
          </w:tcPr>
          <w:p w14:paraId="67299925">
            <w:pPr>
              <w:keepNext/>
              <w:keepLines w:val="0"/>
              <w:pageBreakBefore w:val="0"/>
              <w:widowControl/>
              <w:suppressLineNumbers w:val="0"/>
              <w:kinsoku/>
              <w:overflowPunct/>
              <w:topLinePunct w:val="0"/>
              <w:autoSpaceDE/>
              <w:autoSpaceDN/>
              <w:bidi w:val="0"/>
              <w:snapToGrid w:val="0"/>
              <w:spacing w:before="0" w:beforeLines="0" w:beforeAutospacing="0" w:after="0" w:afterLines="0" w:afterAutospacing="0" w:line="240" w:lineRule="auto"/>
              <w:ind w:left="0" w:right="0"/>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1）确定招标控制价下浮系数n：用1～21号球分别代表一个下浮系数，由评委代表从这21个号码中随机抽取3次，每次抽取1个号码，抽出的号球不参与下次抽取。所抽取的3个号码对应下浮系数的算术平均值作为招标控制价下浮系数n。具体号码对应的下浮系数可参考下表。</w:t>
            </w:r>
          </w:p>
          <w:tbl>
            <w:tblPr>
              <w:tblStyle w:val="23"/>
              <w:tblW w:w="7016"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023"/>
              <w:gridCol w:w="1128"/>
              <w:gridCol w:w="724"/>
              <w:gridCol w:w="838"/>
              <w:gridCol w:w="792"/>
              <w:gridCol w:w="923"/>
              <w:gridCol w:w="871"/>
              <w:gridCol w:w="717"/>
            </w:tblGrid>
            <w:tr w14:paraId="55DB6E0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8" w:hRule="atLeast"/>
                <w:jc w:val="center"/>
              </w:trPr>
              <w:tc>
                <w:tcPr>
                  <w:tcW w:w="1023" w:type="dxa"/>
                  <w:tcBorders>
                    <w:top w:val="single" w:color="000000" w:sz="4" w:space="0"/>
                    <w:left w:val="single" w:color="000000" w:sz="4" w:space="0"/>
                    <w:bottom w:val="single" w:color="000000" w:sz="4" w:space="0"/>
                    <w:right w:val="single" w:color="000000" w:sz="4" w:space="0"/>
                    <w:tl2br w:val="nil"/>
                    <w:tr2bl w:val="nil"/>
                  </w:tcBorders>
                  <w:shd w:val="clear" w:color="auto" w:fill="FFFFFF"/>
                  <w:vAlign w:val="center"/>
                </w:tcPr>
                <w:p w14:paraId="526B4788">
                  <w:pPr>
                    <w:keepNext w:val="0"/>
                    <w:keepLines/>
                    <w:pageBreakBefore w:val="0"/>
                    <w:widowControl/>
                    <w:suppressLineNumbers w:val="0"/>
                    <w:kinsoku/>
                    <w:wordWrap w:val="0"/>
                    <w:overflowPunct/>
                    <w:topLinePunct/>
                    <w:autoSpaceDE/>
                    <w:autoSpaceDN/>
                    <w:bidi w:val="0"/>
                    <w:adjustRightInd w:val="0"/>
                    <w:snapToGrid w:val="0"/>
                    <w:spacing w:before="0" w:beforeAutospacing="0" w:after="0" w:afterAutospacing="0" w:line="240" w:lineRule="auto"/>
                    <w:ind w:left="0" w:right="0"/>
                    <w:jc w:val="center"/>
                    <w:rPr>
                      <w:rFonts w:hint="eastAsia" w:ascii="宋体" w:hAnsi="宋体" w:eastAsia="宋体" w:cs="宋体"/>
                      <w:color w:val="auto"/>
                      <w:sz w:val="22"/>
                      <w:szCs w:val="22"/>
                      <w:highlight w:val="none"/>
                    </w:rPr>
                  </w:pPr>
                  <w:r>
                    <w:rPr>
                      <w:rFonts w:hint="eastAsia" w:ascii="宋体" w:hAnsi="宋体" w:eastAsia="宋体" w:cs="宋体"/>
                      <w:bCs/>
                      <w:snapToGrid w:val="0"/>
                      <w:color w:val="auto"/>
                      <w:kern w:val="0"/>
                      <w:sz w:val="22"/>
                      <w:szCs w:val="22"/>
                      <w:highlight w:val="none"/>
                      <w:lang w:bidi="ar"/>
                    </w:rPr>
                    <w:t>号球</w:t>
                  </w:r>
                </w:p>
              </w:tc>
              <w:tc>
                <w:tcPr>
                  <w:tcW w:w="1128" w:type="dxa"/>
                  <w:tcBorders>
                    <w:top w:val="single" w:color="000000" w:sz="4" w:space="0"/>
                    <w:left w:val="single" w:color="000000" w:sz="4" w:space="0"/>
                    <w:bottom w:val="single" w:color="000000" w:sz="4" w:space="0"/>
                    <w:right w:val="single" w:color="000000" w:sz="4" w:space="0"/>
                    <w:tl2br w:val="nil"/>
                    <w:tr2bl w:val="nil"/>
                  </w:tcBorders>
                  <w:shd w:val="clear" w:color="auto" w:fill="FFFFFF"/>
                  <w:vAlign w:val="center"/>
                </w:tcPr>
                <w:p w14:paraId="0F4FD62C">
                  <w:pPr>
                    <w:keepNext w:val="0"/>
                    <w:keepLines/>
                    <w:pageBreakBefore w:val="0"/>
                    <w:widowControl/>
                    <w:suppressLineNumbers w:val="0"/>
                    <w:kinsoku/>
                    <w:wordWrap w:val="0"/>
                    <w:overflowPunct/>
                    <w:topLinePunct/>
                    <w:autoSpaceDE/>
                    <w:autoSpaceDN/>
                    <w:bidi w:val="0"/>
                    <w:adjustRightInd w:val="0"/>
                    <w:snapToGrid w:val="0"/>
                    <w:spacing w:before="0" w:beforeAutospacing="0" w:after="0" w:afterAutospacing="0" w:line="240" w:lineRule="auto"/>
                    <w:ind w:left="0" w:right="0"/>
                    <w:jc w:val="center"/>
                    <w:rPr>
                      <w:rFonts w:hint="eastAsia" w:ascii="宋体" w:hAnsi="宋体" w:eastAsia="宋体" w:cs="宋体"/>
                      <w:color w:val="auto"/>
                      <w:sz w:val="22"/>
                      <w:szCs w:val="22"/>
                      <w:highlight w:val="none"/>
                    </w:rPr>
                  </w:pPr>
                  <w:r>
                    <w:rPr>
                      <w:rFonts w:hint="eastAsia" w:ascii="宋体" w:hAnsi="宋体" w:eastAsia="宋体" w:cs="宋体"/>
                      <w:snapToGrid w:val="0"/>
                      <w:color w:val="auto"/>
                      <w:kern w:val="0"/>
                      <w:sz w:val="22"/>
                      <w:szCs w:val="22"/>
                      <w:highlight w:val="none"/>
                      <w:lang w:bidi="ar"/>
                    </w:rPr>
                    <w:t>1</w:t>
                  </w:r>
                </w:p>
              </w:tc>
              <w:tc>
                <w:tcPr>
                  <w:tcW w:w="724" w:type="dxa"/>
                  <w:tcBorders>
                    <w:top w:val="single" w:color="000000" w:sz="4" w:space="0"/>
                    <w:left w:val="single" w:color="000000" w:sz="4" w:space="0"/>
                    <w:bottom w:val="single" w:color="000000" w:sz="4" w:space="0"/>
                    <w:right w:val="single" w:color="000000" w:sz="4" w:space="0"/>
                    <w:tl2br w:val="nil"/>
                    <w:tr2bl w:val="nil"/>
                  </w:tcBorders>
                  <w:shd w:val="clear" w:color="auto" w:fill="FFFFFF"/>
                  <w:vAlign w:val="center"/>
                </w:tcPr>
                <w:p w14:paraId="3935406C">
                  <w:pPr>
                    <w:keepNext w:val="0"/>
                    <w:keepLines/>
                    <w:pageBreakBefore w:val="0"/>
                    <w:widowControl/>
                    <w:suppressLineNumbers w:val="0"/>
                    <w:kinsoku/>
                    <w:wordWrap w:val="0"/>
                    <w:overflowPunct/>
                    <w:topLinePunct/>
                    <w:autoSpaceDE/>
                    <w:autoSpaceDN/>
                    <w:bidi w:val="0"/>
                    <w:adjustRightInd w:val="0"/>
                    <w:snapToGrid w:val="0"/>
                    <w:spacing w:before="0" w:beforeAutospacing="0" w:after="0" w:afterAutospacing="0" w:line="240" w:lineRule="auto"/>
                    <w:ind w:left="0" w:right="0"/>
                    <w:jc w:val="center"/>
                    <w:rPr>
                      <w:rFonts w:hint="eastAsia" w:ascii="宋体" w:hAnsi="宋体" w:eastAsia="宋体" w:cs="宋体"/>
                      <w:color w:val="auto"/>
                      <w:sz w:val="22"/>
                      <w:szCs w:val="22"/>
                      <w:highlight w:val="none"/>
                    </w:rPr>
                  </w:pPr>
                  <w:r>
                    <w:rPr>
                      <w:rFonts w:hint="eastAsia" w:ascii="宋体" w:hAnsi="宋体" w:eastAsia="宋体" w:cs="宋体"/>
                      <w:snapToGrid w:val="0"/>
                      <w:color w:val="auto"/>
                      <w:kern w:val="0"/>
                      <w:sz w:val="22"/>
                      <w:szCs w:val="22"/>
                      <w:highlight w:val="none"/>
                      <w:lang w:bidi="ar"/>
                    </w:rPr>
                    <w:t>2</w:t>
                  </w:r>
                </w:p>
              </w:tc>
              <w:tc>
                <w:tcPr>
                  <w:tcW w:w="838" w:type="dxa"/>
                  <w:tcBorders>
                    <w:top w:val="single" w:color="000000" w:sz="4" w:space="0"/>
                    <w:left w:val="single" w:color="000000" w:sz="4" w:space="0"/>
                    <w:bottom w:val="single" w:color="000000" w:sz="4" w:space="0"/>
                    <w:right w:val="single" w:color="000000" w:sz="4" w:space="0"/>
                    <w:tl2br w:val="nil"/>
                    <w:tr2bl w:val="nil"/>
                  </w:tcBorders>
                  <w:shd w:val="clear" w:color="auto" w:fill="FFFFFF"/>
                  <w:vAlign w:val="center"/>
                </w:tcPr>
                <w:p w14:paraId="6D863A1D">
                  <w:pPr>
                    <w:keepNext w:val="0"/>
                    <w:keepLines/>
                    <w:pageBreakBefore w:val="0"/>
                    <w:widowControl/>
                    <w:suppressLineNumbers w:val="0"/>
                    <w:kinsoku/>
                    <w:wordWrap w:val="0"/>
                    <w:overflowPunct/>
                    <w:topLinePunct/>
                    <w:autoSpaceDE/>
                    <w:autoSpaceDN/>
                    <w:bidi w:val="0"/>
                    <w:adjustRightInd w:val="0"/>
                    <w:snapToGrid w:val="0"/>
                    <w:spacing w:before="0" w:beforeAutospacing="0" w:after="0" w:afterAutospacing="0" w:line="240" w:lineRule="auto"/>
                    <w:ind w:left="0" w:right="0"/>
                    <w:jc w:val="center"/>
                    <w:rPr>
                      <w:rFonts w:hint="eastAsia" w:ascii="宋体" w:hAnsi="宋体" w:eastAsia="宋体" w:cs="宋体"/>
                      <w:color w:val="auto"/>
                      <w:sz w:val="22"/>
                      <w:szCs w:val="22"/>
                      <w:highlight w:val="none"/>
                    </w:rPr>
                  </w:pPr>
                  <w:r>
                    <w:rPr>
                      <w:rFonts w:hint="eastAsia" w:ascii="宋体" w:hAnsi="宋体" w:eastAsia="宋体" w:cs="宋体"/>
                      <w:snapToGrid w:val="0"/>
                      <w:color w:val="auto"/>
                      <w:kern w:val="0"/>
                      <w:sz w:val="22"/>
                      <w:szCs w:val="22"/>
                      <w:highlight w:val="none"/>
                      <w:lang w:bidi="ar"/>
                    </w:rPr>
                    <w:t>3</w:t>
                  </w:r>
                </w:p>
              </w:tc>
              <w:tc>
                <w:tcPr>
                  <w:tcW w:w="792" w:type="dxa"/>
                  <w:tcBorders>
                    <w:top w:val="single" w:color="000000" w:sz="4" w:space="0"/>
                    <w:left w:val="single" w:color="000000" w:sz="4" w:space="0"/>
                    <w:bottom w:val="single" w:color="000000" w:sz="4" w:space="0"/>
                    <w:right w:val="single" w:color="000000" w:sz="4" w:space="0"/>
                    <w:tl2br w:val="nil"/>
                    <w:tr2bl w:val="nil"/>
                  </w:tcBorders>
                  <w:shd w:val="clear" w:color="auto" w:fill="FFFFFF"/>
                  <w:vAlign w:val="center"/>
                </w:tcPr>
                <w:p w14:paraId="170445F7">
                  <w:pPr>
                    <w:keepNext w:val="0"/>
                    <w:keepLines/>
                    <w:pageBreakBefore w:val="0"/>
                    <w:widowControl/>
                    <w:suppressLineNumbers w:val="0"/>
                    <w:kinsoku/>
                    <w:wordWrap w:val="0"/>
                    <w:overflowPunct/>
                    <w:topLinePunct/>
                    <w:autoSpaceDE/>
                    <w:autoSpaceDN/>
                    <w:bidi w:val="0"/>
                    <w:adjustRightInd w:val="0"/>
                    <w:snapToGrid w:val="0"/>
                    <w:spacing w:before="0" w:beforeAutospacing="0" w:after="0" w:afterAutospacing="0" w:line="240" w:lineRule="auto"/>
                    <w:ind w:left="0" w:right="0"/>
                    <w:jc w:val="center"/>
                    <w:rPr>
                      <w:rFonts w:hint="eastAsia" w:ascii="宋体" w:hAnsi="宋体" w:eastAsia="宋体" w:cs="宋体"/>
                      <w:color w:val="auto"/>
                      <w:sz w:val="22"/>
                      <w:szCs w:val="22"/>
                      <w:highlight w:val="none"/>
                    </w:rPr>
                  </w:pPr>
                  <w:r>
                    <w:rPr>
                      <w:rFonts w:hint="eastAsia" w:ascii="宋体" w:hAnsi="宋体" w:eastAsia="宋体" w:cs="宋体"/>
                      <w:snapToGrid w:val="0"/>
                      <w:color w:val="auto"/>
                      <w:kern w:val="0"/>
                      <w:sz w:val="22"/>
                      <w:szCs w:val="22"/>
                      <w:highlight w:val="none"/>
                      <w:lang w:bidi="ar"/>
                    </w:rPr>
                    <w:t>4</w:t>
                  </w:r>
                </w:p>
              </w:tc>
              <w:tc>
                <w:tcPr>
                  <w:tcW w:w="923" w:type="dxa"/>
                  <w:tcBorders>
                    <w:top w:val="single" w:color="000000" w:sz="4" w:space="0"/>
                    <w:left w:val="single" w:color="000000" w:sz="4" w:space="0"/>
                    <w:bottom w:val="single" w:color="000000" w:sz="4" w:space="0"/>
                    <w:right w:val="single" w:color="000000" w:sz="4" w:space="0"/>
                    <w:tl2br w:val="nil"/>
                    <w:tr2bl w:val="nil"/>
                  </w:tcBorders>
                  <w:shd w:val="clear" w:color="auto" w:fill="FFFFFF"/>
                  <w:vAlign w:val="center"/>
                </w:tcPr>
                <w:p w14:paraId="19CFFA00">
                  <w:pPr>
                    <w:keepNext w:val="0"/>
                    <w:keepLines/>
                    <w:pageBreakBefore w:val="0"/>
                    <w:widowControl/>
                    <w:suppressLineNumbers w:val="0"/>
                    <w:kinsoku/>
                    <w:wordWrap w:val="0"/>
                    <w:overflowPunct/>
                    <w:topLinePunct/>
                    <w:autoSpaceDE/>
                    <w:autoSpaceDN/>
                    <w:bidi w:val="0"/>
                    <w:adjustRightInd w:val="0"/>
                    <w:snapToGrid w:val="0"/>
                    <w:spacing w:before="0" w:beforeAutospacing="0" w:after="0" w:afterAutospacing="0" w:line="240" w:lineRule="auto"/>
                    <w:ind w:left="0" w:right="0"/>
                    <w:jc w:val="center"/>
                    <w:rPr>
                      <w:rFonts w:hint="eastAsia" w:ascii="宋体" w:hAnsi="宋体" w:eastAsia="宋体" w:cs="宋体"/>
                      <w:color w:val="auto"/>
                      <w:sz w:val="22"/>
                      <w:szCs w:val="22"/>
                      <w:highlight w:val="none"/>
                    </w:rPr>
                  </w:pPr>
                  <w:r>
                    <w:rPr>
                      <w:rFonts w:hint="eastAsia" w:ascii="宋体" w:hAnsi="宋体" w:eastAsia="宋体" w:cs="宋体"/>
                      <w:snapToGrid w:val="0"/>
                      <w:color w:val="auto"/>
                      <w:kern w:val="0"/>
                      <w:sz w:val="22"/>
                      <w:szCs w:val="22"/>
                      <w:highlight w:val="none"/>
                      <w:lang w:bidi="ar"/>
                    </w:rPr>
                    <w:t>5</w:t>
                  </w:r>
                </w:p>
              </w:tc>
              <w:tc>
                <w:tcPr>
                  <w:tcW w:w="871" w:type="dxa"/>
                  <w:tcBorders>
                    <w:top w:val="single" w:color="000000" w:sz="4" w:space="0"/>
                    <w:left w:val="single" w:color="000000" w:sz="4" w:space="0"/>
                    <w:bottom w:val="single" w:color="000000" w:sz="4" w:space="0"/>
                    <w:right w:val="single" w:color="000000" w:sz="4" w:space="0"/>
                    <w:tl2br w:val="nil"/>
                    <w:tr2bl w:val="nil"/>
                  </w:tcBorders>
                  <w:shd w:val="clear" w:color="auto" w:fill="FFFFFF"/>
                  <w:vAlign w:val="center"/>
                </w:tcPr>
                <w:p w14:paraId="46109B94">
                  <w:pPr>
                    <w:keepNext w:val="0"/>
                    <w:keepLines/>
                    <w:pageBreakBefore w:val="0"/>
                    <w:widowControl/>
                    <w:suppressLineNumbers w:val="0"/>
                    <w:kinsoku/>
                    <w:wordWrap w:val="0"/>
                    <w:overflowPunct/>
                    <w:topLinePunct/>
                    <w:autoSpaceDE/>
                    <w:autoSpaceDN/>
                    <w:bidi w:val="0"/>
                    <w:adjustRightInd w:val="0"/>
                    <w:snapToGrid w:val="0"/>
                    <w:spacing w:before="0" w:beforeAutospacing="0" w:after="0" w:afterAutospacing="0" w:line="240" w:lineRule="auto"/>
                    <w:ind w:left="0" w:right="0"/>
                    <w:jc w:val="center"/>
                    <w:rPr>
                      <w:rFonts w:hint="eastAsia" w:ascii="宋体" w:hAnsi="宋体" w:eastAsia="宋体" w:cs="宋体"/>
                      <w:color w:val="auto"/>
                      <w:sz w:val="22"/>
                      <w:szCs w:val="22"/>
                      <w:highlight w:val="none"/>
                    </w:rPr>
                  </w:pPr>
                  <w:r>
                    <w:rPr>
                      <w:rFonts w:hint="eastAsia" w:ascii="宋体" w:hAnsi="宋体" w:eastAsia="宋体" w:cs="宋体"/>
                      <w:snapToGrid w:val="0"/>
                      <w:color w:val="auto"/>
                      <w:kern w:val="0"/>
                      <w:sz w:val="22"/>
                      <w:szCs w:val="22"/>
                      <w:highlight w:val="none"/>
                      <w:lang w:bidi="ar"/>
                    </w:rPr>
                    <w:t>6</w:t>
                  </w:r>
                </w:p>
              </w:tc>
              <w:tc>
                <w:tcPr>
                  <w:tcW w:w="717" w:type="dxa"/>
                  <w:tcBorders>
                    <w:top w:val="single" w:color="000000" w:sz="4" w:space="0"/>
                    <w:left w:val="single" w:color="000000" w:sz="4" w:space="0"/>
                    <w:bottom w:val="single" w:color="000000" w:sz="4" w:space="0"/>
                    <w:right w:val="single" w:color="000000" w:sz="4" w:space="0"/>
                    <w:tl2br w:val="nil"/>
                    <w:tr2bl w:val="nil"/>
                  </w:tcBorders>
                  <w:shd w:val="clear" w:color="auto" w:fill="FFFFFF"/>
                  <w:vAlign w:val="center"/>
                </w:tcPr>
                <w:p w14:paraId="251DCC5A">
                  <w:pPr>
                    <w:keepNext w:val="0"/>
                    <w:keepLines/>
                    <w:pageBreakBefore w:val="0"/>
                    <w:widowControl/>
                    <w:suppressLineNumbers w:val="0"/>
                    <w:kinsoku/>
                    <w:wordWrap w:val="0"/>
                    <w:overflowPunct/>
                    <w:topLinePunct/>
                    <w:autoSpaceDE/>
                    <w:autoSpaceDN/>
                    <w:bidi w:val="0"/>
                    <w:adjustRightInd w:val="0"/>
                    <w:snapToGrid w:val="0"/>
                    <w:spacing w:before="0" w:beforeAutospacing="0" w:after="0" w:afterAutospacing="0" w:line="240" w:lineRule="auto"/>
                    <w:ind w:left="0" w:right="0"/>
                    <w:jc w:val="center"/>
                    <w:rPr>
                      <w:rFonts w:hint="eastAsia" w:ascii="宋体" w:hAnsi="宋体" w:eastAsia="宋体" w:cs="宋体"/>
                      <w:color w:val="auto"/>
                      <w:sz w:val="22"/>
                      <w:szCs w:val="22"/>
                      <w:highlight w:val="none"/>
                    </w:rPr>
                  </w:pPr>
                  <w:r>
                    <w:rPr>
                      <w:rFonts w:hint="eastAsia" w:ascii="宋体" w:hAnsi="宋体" w:eastAsia="宋体" w:cs="宋体"/>
                      <w:snapToGrid w:val="0"/>
                      <w:color w:val="auto"/>
                      <w:kern w:val="0"/>
                      <w:sz w:val="22"/>
                      <w:szCs w:val="22"/>
                      <w:highlight w:val="none"/>
                      <w:lang w:bidi="ar"/>
                    </w:rPr>
                    <w:t>7</w:t>
                  </w:r>
                </w:p>
              </w:tc>
            </w:tr>
            <w:tr w14:paraId="35A58E4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jc w:val="center"/>
              </w:trPr>
              <w:tc>
                <w:tcPr>
                  <w:tcW w:w="1023" w:type="dxa"/>
                  <w:tcBorders>
                    <w:top w:val="single" w:color="000000" w:sz="4" w:space="0"/>
                    <w:left w:val="single" w:color="000000" w:sz="4" w:space="0"/>
                    <w:bottom w:val="single" w:color="000000" w:sz="4" w:space="0"/>
                    <w:right w:val="single" w:color="000000" w:sz="4" w:space="0"/>
                    <w:tl2br w:val="nil"/>
                    <w:tr2bl w:val="nil"/>
                  </w:tcBorders>
                  <w:shd w:val="clear" w:color="auto" w:fill="FFFFFF"/>
                  <w:vAlign w:val="center"/>
                </w:tcPr>
                <w:p w14:paraId="32E4068D">
                  <w:pPr>
                    <w:keepNext w:val="0"/>
                    <w:keepLines/>
                    <w:pageBreakBefore w:val="0"/>
                    <w:widowControl/>
                    <w:suppressLineNumbers w:val="0"/>
                    <w:kinsoku/>
                    <w:wordWrap w:val="0"/>
                    <w:overflowPunct/>
                    <w:topLinePunct/>
                    <w:autoSpaceDE/>
                    <w:autoSpaceDN/>
                    <w:bidi w:val="0"/>
                    <w:adjustRightInd w:val="0"/>
                    <w:snapToGrid w:val="0"/>
                    <w:spacing w:before="0" w:beforeAutospacing="0" w:after="0" w:afterAutospacing="0" w:line="240" w:lineRule="auto"/>
                    <w:ind w:left="0" w:right="0"/>
                    <w:jc w:val="center"/>
                    <w:rPr>
                      <w:rFonts w:hint="eastAsia" w:ascii="宋体" w:hAnsi="宋体" w:eastAsia="宋体" w:cs="宋体"/>
                      <w:color w:val="auto"/>
                      <w:sz w:val="22"/>
                      <w:szCs w:val="22"/>
                      <w:highlight w:val="none"/>
                    </w:rPr>
                  </w:pPr>
                  <w:r>
                    <w:rPr>
                      <w:rFonts w:hint="eastAsia" w:ascii="宋体" w:hAnsi="宋体" w:eastAsia="宋体" w:cs="宋体"/>
                      <w:snapToGrid w:val="0"/>
                      <w:color w:val="auto"/>
                      <w:kern w:val="0"/>
                      <w:sz w:val="22"/>
                      <w:szCs w:val="22"/>
                      <w:highlight w:val="none"/>
                      <w:lang w:bidi="ar"/>
                    </w:rPr>
                    <w:t>下浮系数（</w:t>
                  </w:r>
                  <w:r>
                    <w:rPr>
                      <w:rFonts w:hint="eastAsia" w:ascii="宋体" w:hAnsi="宋体" w:eastAsia="宋体" w:cs="宋体"/>
                      <w:color w:val="auto"/>
                      <w:kern w:val="0"/>
                      <w:sz w:val="22"/>
                      <w:szCs w:val="22"/>
                      <w:highlight w:val="none"/>
                      <w:lang w:bidi="ar"/>
                    </w:rPr>
                    <w:t>%</w:t>
                  </w:r>
                  <w:r>
                    <w:rPr>
                      <w:rFonts w:hint="eastAsia" w:ascii="宋体" w:hAnsi="宋体" w:eastAsia="宋体" w:cs="宋体"/>
                      <w:snapToGrid w:val="0"/>
                      <w:color w:val="auto"/>
                      <w:kern w:val="0"/>
                      <w:sz w:val="22"/>
                      <w:szCs w:val="22"/>
                      <w:highlight w:val="none"/>
                      <w:lang w:bidi="ar"/>
                    </w:rPr>
                    <w:t>）</w:t>
                  </w:r>
                </w:p>
              </w:tc>
              <w:tc>
                <w:tcPr>
                  <w:tcW w:w="1128" w:type="dxa"/>
                  <w:tcBorders>
                    <w:top w:val="single" w:color="000000" w:sz="4" w:space="0"/>
                    <w:left w:val="single" w:color="000000" w:sz="4" w:space="0"/>
                    <w:bottom w:val="single" w:color="000000" w:sz="4" w:space="0"/>
                    <w:right w:val="single" w:color="000000" w:sz="4" w:space="0"/>
                    <w:tl2br w:val="nil"/>
                    <w:tr2bl w:val="nil"/>
                  </w:tcBorders>
                  <w:shd w:val="clear" w:color="auto" w:fill="FFFFFF"/>
                  <w:vAlign w:val="center"/>
                </w:tcPr>
                <w:p w14:paraId="7C5B21C2">
                  <w:pPr>
                    <w:keepNext w:val="0"/>
                    <w:keepLines w:val="0"/>
                    <w:widowControl/>
                    <w:suppressLineNumbers w:val="0"/>
                    <w:spacing w:before="0" w:beforeAutospacing="0" w:after="0" w:afterAutospacing="0" w:line="240" w:lineRule="auto"/>
                    <w:ind w:left="0" w:right="0"/>
                    <w:jc w:val="center"/>
                    <w:textAlignment w:val="center"/>
                    <w:rPr>
                      <w:rFonts w:hint="eastAsia" w:ascii="宋体" w:hAnsi="宋体" w:eastAsia="宋体" w:cs="宋体"/>
                      <w:color w:val="auto"/>
                      <w:sz w:val="22"/>
                      <w:szCs w:val="22"/>
                      <w:highlight w:val="none"/>
                    </w:rPr>
                  </w:pPr>
                  <w:r>
                    <w:rPr>
                      <w:rFonts w:hint="eastAsia" w:ascii="宋体" w:hAnsi="宋体" w:eastAsia="宋体" w:cs="宋体"/>
                      <w:i w:val="0"/>
                      <w:iCs w:val="0"/>
                      <w:snapToGrid w:val="0"/>
                      <w:color w:val="auto"/>
                      <w:kern w:val="0"/>
                      <w:sz w:val="22"/>
                      <w:szCs w:val="22"/>
                      <w:highlight w:val="none"/>
                      <w:u w:val="none"/>
                      <w:lang w:val="en-US" w:eastAsia="zh-CN" w:bidi="ar"/>
                    </w:rPr>
                    <w:t>3.00</w:t>
                  </w:r>
                </w:p>
              </w:tc>
              <w:tc>
                <w:tcPr>
                  <w:tcW w:w="724" w:type="dxa"/>
                  <w:tcBorders>
                    <w:top w:val="single" w:color="000000" w:sz="4" w:space="0"/>
                    <w:left w:val="single" w:color="000000" w:sz="4" w:space="0"/>
                    <w:bottom w:val="single" w:color="000000" w:sz="4" w:space="0"/>
                    <w:right w:val="single" w:color="000000" w:sz="4" w:space="0"/>
                    <w:tl2br w:val="nil"/>
                    <w:tr2bl w:val="nil"/>
                  </w:tcBorders>
                  <w:shd w:val="clear" w:color="auto" w:fill="FFFFFF"/>
                  <w:vAlign w:val="center"/>
                </w:tcPr>
                <w:p w14:paraId="647AC4A1">
                  <w:pPr>
                    <w:keepNext w:val="0"/>
                    <w:keepLines w:val="0"/>
                    <w:widowControl/>
                    <w:suppressLineNumbers w:val="0"/>
                    <w:spacing w:before="0" w:beforeAutospacing="0" w:after="0" w:afterAutospacing="0" w:line="240" w:lineRule="auto"/>
                    <w:ind w:left="0" w:right="0"/>
                    <w:jc w:val="center"/>
                    <w:textAlignment w:val="center"/>
                    <w:rPr>
                      <w:rFonts w:hint="eastAsia" w:ascii="宋体" w:hAnsi="宋体" w:eastAsia="宋体" w:cs="宋体"/>
                      <w:color w:val="auto"/>
                      <w:sz w:val="22"/>
                      <w:szCs w:val="22"/>
                      <w:highlight w:val="none"/>
                    </w:rPr>
                  </w:pPr>
                  <w:r>
                    <w:rPr>
                      <w:rFonts w:hint="eastAsia" w:ascii="宋体" w:hAnsi="宋体" w:eastAsia="宋体" w:cs="宋体"/>
                      <w:i w:val="0"/>
                      <w:iCs w:val="0"/>
                      <w:snapToGrid w:val="0"/>
                      <w:color w:val="auto"/>
                      <w:kern w:val="0"/>
                      <w:sz w:val="22"/>
                      <w:szCs w:val="22"/>
                      <w:highlight w:val="none"/>
                      <w:u w:val="none"/>
                      <w:lang w:val="en-US" w:eastAsia="zh-CN" w:bidi="ar"/>
                    </w:rPr>
                    <w:t>3.10</w:t>
                  </w:r>
                </w:p>
              </w:tc>
              <w:tc>
                <w:tcPr>
                  <w:tcW w:w="838" w:type="dxa"/>
                  <w:tcBorders>
                    <w:top w:val="single" w:color="000000" w:sz="4" w:space="0"/>
                    <w:left w:val="single" w:color="000000" w:sz="4" w:space="0"/>
                    <w:bottom w:val="single" w:color="000000" w:sz="4" w:space="0"/>
                    <w:right w:val="single" w:color="000000" w:sz="4" w:space="0"/>
                    <w:tl2br w:val="nil"/>
                    <w:tr2bl w:val="nil"/>
                  </w:tcBorders>
                  <w:shd w:val="clear" w:color="auto" w:fill="FFFFFF"/>
                  <w:vAlign w:val="center"/>
                </w:tcPr>
                <w:p w14:paraId="7298BB05">
                  <w:pPr>
                    <w:keepNext w:val="0"/>
                    <w:keepLines w:val="0"/>
                    <w:widowControl/>
                    <w:suppressLineNumbers w:val="0"/>
                    <w:spacing w:before="0" w:beforeAutospacing="0" w:after="0" w:afterAutospacing="0" w:line="240" w:lineRule="auto"/>
                    <w:ind w:left="0" w:right="0"/>
                    <w:jc w:val="center"/>
                    <w:textAlignment w:val="center"/>
                    <w:rPr>
                      <w:rFonts w:hint="eastAsia" w:ascii="宋体" w:hAnsi="宋体" w:eastAsia="宋体" w:cs="宋体"/>
                      <w:color w:val="auto"/>
                      <w:sz w:val="22"/>
                      <w:szCs w:val="22"/>
                      <w:highlight w:val="none"/>
                    </w:rPr>
                  </w:pPr>
                  <w:r>
                    <w:rPr>
                      <w:rFonts w:hint="eastAsia" w:ascii="宋体" w:hAnsi="宋体" w:eastAsia="宋体" w:cs="宋体"/>
                      <w:i w:val="0"/>
                      <w:iCs w:val="0"/>
                      <w:snapToGrid w:val="0"/>
                      <w:color w:val="auto"/>
                      <w:kern w:val="0"/>
                      <w:sz w:val="22"/>
                      <w:szCs w:val="22"/>
                      <w:highlight w:val="none"/>
                      <w:u w:val="none"/>
                      <w:lang w:val="en-US" w:eastAsia="zh-CN" w:bidi="ar"/>
                    </w:rPr>
                    <w:t>3.20</w:t>
                  </w:r>
                </w:p>
              </w:tc>
              <w:tc>
                <w:tcPr>
                  <w:tcW w:w="792" w:type="dxa"/>
                  <w:tcBorders>
                    <w:top w:val="single" w:color="000000" w:sz="4" w:space="0"/>
                    <w:left w:val="single" w:color="000000" w:sz="4" w:space="0"/>
                    <w:bottom w:val="single" w:color="000000" w:sz="4" w:space="0"/>
                    <w:right w:val="single" w:color="000000" w:sz="4" w:space="0"/>
                    <w:tl2br w:val="nil"/>
                    <w:tr2bl w:val="nil"/>
                  </w:tcBorders>
                  <w:shd w:val="clear" w:color="auto" w:fill="FFFFFF"/>
                  <w:vAlign w:val="center"/>
                </w:tcPr>
                <w:p w14:paraId="7DB08B6A">
                  <w:pPr>
                    <w:keepNext w:val="0"/>
                    <w:keepLines w:val="0"/>
                    <w:widowControl/>
                    <w:suppressLineNumbers w:val="0"/>
                    <w:spacing w:before="0" w:beforeAutospacing="0" w:after="0" w:afterAutospacing="0" w:line="240" w:lineRule="auto"/>
                    <w:ind w:left="0" w:right="0"/>
                    <w:jc w:val="center"/>
                    <w:textAlignment w:val="center"/>
                    <w:rPr>
                      <w:rFonts w:hint="eastAsia" w:ascii="宋体" w:hAnsi="宋体" w:eastAsia="宋体" w:cs="宋体"/>
                      <w:color w:val="auto"/>
                      <w:sz w:val="22"/>
                      <w:szCs w:val="22"/>
                      <w:highlight w:val="none"/>
                    </w:rPr>
                  </w:pPr>
                  <w:r>
                    <w:rPr>
                      <w:rFonts w:hint="eastAsia" w:ascii="宋体" w:hAnsi="宋体" w:eastAsia="宋体" w:cs="宋体"/>
                      <w:i w:val="0"/>
                      <w:iCs w:val="0"/>
                      <w:snapToGrid w:val="0"/>
                      <w:color w:val="auto"/>
                      <w:kern w:val="0"/>
                      <w:sz w:val="22"/>
                      <w:szCs w:val="22"/>
                      <w:highlight w:val="none"/>
                      <w:u w:val="none"/>
                      <w:lang w:val="en-US" w:eastAsia="zh-CN" w:bidi="ar"/>
                    </w:rPr>
                    <w:t>3.30</w:t>
                  </w:r>
                </w:p>
              </w:tc>
              <w:tc>
                <w:tcPr>
                  <w:tcW w:w="923" w:type="dxa"/>
                  <w:tcBorders>
                    <w:top w:val="single" w:color="000000" w:sz="4" w:space="0"/>
                    <w:left w:val="single" w:color="000000" w:sz="4" w:space="0"/>
                    <w:bottom w:val="single" w:color="000000" w:sz="4" w:space="0"/>
                    <w:right w:val="single" w:color="000000" w:sz="4" w:space="0"/>
                    <w:tl2br w:val="nil"/>
                    <w:tr2bl w:val="nil"/>
                  </w:tcBorders>
                  <w:shd w:val="clear" w:color="auto" w:fill="FFFFFF"/>
                  <w:vAlign w:val="center"/>
                </w:tcPr>
                <w:p w14:paraId="406B688D">
                  <w:pPr>
                    <w:keepNext w:val="0"/>
                    <w:keepLines w:val="0"/>
                    <w:widowControl/>
                    <w:suppressLineNumbers w:val="0"/>
                    <w:spacing w:before="0" w:beforeAutospacing="0" w:after="0" w:afterAutospacing="0" w:line="240" w:lineRule="auto"/>
                    <w:ind w:left="0" w:right="0"/>
                    <w:jc w:val="center"/>
                    <w:textAlignment w:val="center"/>
                    <w:rPr>
                      <w:rFonts w:hint="eastAsia" w:ascii="宋体" w:hAnsi="宋体" w:eastAsia="宋体" w:cs="宋体"/>
                      <w:color w:val="auto"/>
                      <w:sz w:val="22"/>
                      <w:szCs w:val="22"/>
                      <w:highlight w:val="none"/>
                    </w:rPr>
                  </w:pPr>
                  <w:r>
                    <w:rPr>
                      <w:rFonts w:hint="eastAsia" w:ascii="宋体" w:hAnsi="宋体" w:eastAsia="宋体" w:cs="宋体"/>
                      <w:i w:val="0"/>
                      <w:iCs w:val="0"/>
                      <w:snapToGrid w:val="0"/>
                      <w:color w:val="auto"/>
                      <w:kern w:val="0"/>
                      <w:sz w:val="22"/>
                      <w:szCs w:val="22"/>
                      <w:highlight w:val="none"/>
                      <w:u w:val="none"/>
                      <w:lang w:val="en-US" w:eastAsia="zh-CN" w:bidi="ar"/>
                    </w:rPr>
                    <w:t>3.40</w:t>
                  </w:r>
                </w:p>
              </w:tc>
              <w:tc>
                <w:tcPr>
                  <w:tcW w:w="871" w:type="dxa"/>
                  <w:tcBorders>
                    <w:top w:val="single" w:color="000000" w:sz="4" w:space="0"/>
                    <w:left w:val="single" w:color="000000" w:sz="4" w:space="0"/>
                    <w:bottom w:val="single" w:color="000000" w:sz="4" w:space="0"/>
                    <w:right w:val="single" w:color="000000" w:sz="4" w:space="0"/>
                    <w:tl2br w:val="nil"/>
                    <w:tr2bl w:val="nil"/>
                  </w:tcBorders>
                  <w:shd w:val="clear" w:color="auto" w:fill="FFFFFF"/>
                  <w:vAlign w:val="center"/>
                </w:tcPr>
                <w:p w14:paraId="3C09033D">
                  <w:pPr>
                    <w:keepNext w:val="0"/>
                    <w:keepLines w:val="0"/>
                    <w:widowControl/>
                    <w:suppressLineNumbers w:val="0"/>
                    <w:spacing w:before="0" w:beforeAutospacing="0" w:after="0" w:afterAutospacing="0" w:line="240" w:lineRule="auto"/>
                    <w:ind w:left="0" w:right="0"/>
                    <w:jc w:val="center"/>
                    <w:textAlignment w:val="center"/>
                    <w:rPr>
                      <w:rFonts w:hint="eastAsia" w:ascii="宋体" w:hAnsi="宋体" w:eastAsia="宋体" w:cs="宋体"/>
                      <w:color w:val="auto"/>
                      <w:sz w:val="22"/>
                      <w:szCs w:val="22"/>
                      <w:highlight w:val="none"/>
                    </w:rPr>
                  </w:pPr>
                  <w:r>
                    <w:rPr>
                      <w:rFonts w:hint="eastAsia" w:ascii="宋体" w:hAnsi="宋体" w:eastAsia="宋体" w:cs="宋体"/>
                      <w:i w:val="0"/>
                      <w:iCs w:val="0"/>
                      <w:snapToGrid w:val="0"/>
                      <w:color w:val="auto"/>
                      <w:kern w:val="0"/>
                      <w:sz w:val="22"/>
                      <w:szCs w:val="22"/>
                      <w:highlight w:val="none"/>
                      <w:u w:val="none"/>
                      <w:lang w:val="en-US" w:eastAsia="zh-CN" w:bidi="ar"/>
                    </w:rPr>
                    <w:t>3.50</w:t>
                  </w:r>
                </w:p>
              </w:tc>
              <w:tc>
                <w:tcPr>
                  <w:tcW w:w="717" w:type="dxa"/>
                  <w:tcBorders>
                    <w:top w:val="single" w:color="000000" w:sz="4" w:space="0"/>
                    <w:left w:val="single" w:color="000000" w:sz="4" w:space="0"/>
                    <w:bottom w:val="single" w:color="000000" w:sz="4" w:space="0"/>
                    <w:right w:val="single" w:color="000000" w:sz="4" w:space="0"/>
                    <w:tl2br w:val="nil"/>
                    <w:tr2bl w:val="nil"/>
                  </w:tcBorders>
                  <w:shd w:val="clear" w:color="auto" w:fill="FFFFFF"/>
                  <w:vAlign w:val="center"/>
                </w:tcPr>
                <w:p w14:paraId="51B30565">
                  <w:pPr>
                    <w:keepNext w:val="0"/>
                    <w:keepLines w:val="0"/>
                    <w:widowControl/>
                    <w:suppressLineNumbers w:val="0"/>
                    <w:spacing w:before="0" w:beforeAutospacing="0" w:after="0" w:afterAutospacing="0" w:line="240" w:lineRule="auto"/>
                    <w:ind w:left="0" w:right="0"/>
                    <w:jc w:val="center"/>
                    <w:textAlignment w:val="center"/>
                    <w:rPr>
                      <w:rFonts w:hint="eastAsia" w:ascii="宋体" w:hAnsi="宋体" w:eastAsia="宋体" w:cs="宋体"/>
                      <w:color w:val="auto"/>
                      <w:sz w:val="22"/>
                      <w:szCs w:val="22"/>
                      <w:highlight w:val="none"/>
                    </w:rPr>
                  </w:pPr>
                  <w:r>
                    <w:rPr>
                      <w:rFonts w:hint="eastAsia" w:ascii="宋体" w:hAnsi="宋体" w:eastAsia="宋体" w:cs="宋体"/>
                      <w:i w:val="0"/>
                      <w:iCs w:val="0"/>
                      <w:snapToGrid w:val="0"/>
                      <w:color w:val="auto"/>
                      <w:kern w:val="0"/>
                      <w:sz w:val="22"/>
                      <w:szCs w:val="22"/>
                      <w:highlight w:val="none"/>
                      <w:u w:val="none"/>
                      <w:lang w:val="en-US" w:eastAsia="zh-CN" w:bidi="ar"/>
                    </w:rPr>
                    <w:t>3.60</w:t>
                  </w:r>
                </w:p>
              </w:tc>
            </w:tr>
            <w:tr w14:paraId="0CA899A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8" w:hRule="atLeast"/>
                <w:jc w:val="center"/>
              </w:trPr>
              <w:tc>
                <w:tcPr>
                  <w:tcW w:w="1023" w:type="dxa"/>
                  <w:tcBorders>
                    <w:top w:val="single" w:color="000000" w:sz="4" w:space="0"/>
                    <w:left w:val="single" w:color="000000" w:sz="4" w:space="0"/>
                    <w:bottom w:val="single" w:color="000000" w:sz="4" w:space="0"/>
                    <w:right w:val="single" w:color="000000" w:sz="4" w:space="0"/>
                    <w:tl2br w:val="nil"/>
                    <w:tr2bl w:val="nil"/>
                  </w:tcBorders>
                  <w:shd w:val="clear" w:color="auto" w:fill="FFFFFF"/>
                  <w:vAlign w:val="center"/>
                </w:tcPr>
                <w:p w14:paraId="4BADB37D">
                  <w:pPr>
                    <w:keepNext w:val="0"/>
                    <w:keepLines/>
                    <w:pageBreakBefore w:val="0"/>
                    <w:widowControl/>
                    <w:suppressLineNumbers w:val="0"/>
                    <w:kinsoku/>
                    <w:wordWrap w:val="0"/>
                    <w:overflowPunct/>
                    <w:topLinePunct/>
                    <w:autoSpaceDE/>
                    <w:autoSpaceDN/>
                    <w:bidi w:val="0"/>
                    <w:adjustRightInd w:val="0"/>
                    <w:snapToGrid w:val="0"/>
                    <w:spacing w:before="0" w:beforeAutospacing="0" w:after="0" w:afterAutospacing="0" w:line="240" w:lineRule="auto"/>
                    <w:ind w:left="0" w:right="0"/>
                    <w:jc w:val="center"/>
                    <w:rPr>
                      <w:rFonts w:hint="eastAsia" w:ascii="宋体" w:hAnsi="宋体" w:eastAsia="宋体" w:cs="宋体"/>
                      <w:color w:val="auto"/>
                      <w:sz w:val="22"/>
                      <w:szCs w:val="22"/>
                      <w:highlight w:val="none"/>
                    </w:rPr>
                  </w:pPr>
                  <w:r>
                    <w:rPr>
                      <w:rFonts w:hint="eastAsia" w:ascii="宋体" w:hAnsi="宋体" w:eastAsia="宋体" w:cs="宋体"/>
                      <w:bCs/>
                      <w:snapToGrid w:val="0"/>
                      <w:color w:val="auto"/>
                      <w:kern w:val="0"/>
                      <w:sz w:val="22"/>
                      <w:szCs w:val="22"/>
                      <w:highlight w:val="none"/>
                      <w:lang w:bidi="ar"/>
                    </w:rPr>
                    <w:t>号球</w:t>
                  </w:r>
                </w:p>
              </w:tc>
              <w:tc>
                <w:tcPr>
                  <w:tcW w:w="1128" w:type="dxa"/>
                  <w:tcBorders>
                    <w:top w:val="single" w:color="000000" w:sz="4" w:space="0"/>
                    <w:left w:val="single" w:color="000000" w:sz="4" w:space="0"/>
                    <w:bottom w:val="single" w:color="000000" w:sz="4" w:space="0"/>
                    <w:right w:val="single" w:color="000000" w:sz="4" w:space="0"/>
                    <w:tl2br w:val="nil"/>
                    <w:tr2bl w:val="nil"/>
                  </w:tcBorders>
                  <w:shd w:val="clear" w:color="auto" w:fill="FFFFFF"/>
                  <w:vAlign w:val="center"/>
                </w:tcPr>
                <w:p w14:paraId="1C099333">
                  <w:pPr>
                    <w:keepNext w:val="0"/>
                    <w:keepLines/>
                    <w:pageBreakBefore w:val="0"/>
                    <w:widowControl/>
                    <w:suppressLineNumbers w:val="0"/>
                    <w:kinsoku/>
                    <w:wordWrap w:val="0"/>
                    <w:overflowPunct/>
                    <w:topLinePunct/>
                    <w:autoSpaceDE/>
                    <w:autoSpaceDN/>
                    <w:bidi w:val="0"/>
                    <w:adjustRightInd w:val="0"/>
                    <w:snapToGrid w:val="0"/>
                    <w:spacing w:before="0" w:beforeAutospacing="0" w:after="0" w:afterAutospacing="0" w:line="240" w:lineRule="auto"/>
                    <w:ind w:left="0" w:right="0"/>
                    <w:jc w:val="center"/>
                    <w:rPr>
                      <w:rFonts w:hint="eastAsia" w:ascii="宋体" w:hAnsi="宋体" w:eastAsia="宋体" w:cs="宋体"/>
                      <w:color w:val="auto"/>
                      <w:sz w:val="22"/>
                      <w:szCs w:val="22"/>
                      <w:highlight w:val="none"/>
                    </w:rPr>
                  </w:pPr>
                  <w:r>
                    <w:rPr>
                      <w:rFonts w:hint="eastAsia" w:ascii="宋体" w:hAnsi="宋体" w:eastAsia="宋体" w:cs="宋体"/>
                      <w:snapToGrid w:val="0"/>
                      <w:color w:val="auto"/>
                      <w:kern w:val="0"/>
                      <w:sz w:val="22"/>
                      <w:szCs w:val="22"/>
                      <w:highlight w:val="none"/>
                      <w:lang w:bidi="ar"/>
                    </w:rPr>
                    <w:t>8</w:t>
                  </w:r>
                </w:p>
              </w:tc>
              <w:tc>
                <w:tcPr>
                  <w:tcW w:w="724" w:type="dxa"/>
                  <w:tcBorders>
                    <w:top w:val="single" w:color="000000" w:sz="4" w:space="0"/>
                    <w:left w:val="single" w:color="000000" w:sz="4" w:space="0"/>
                    <w:bottom w:val="single" w:color="000000" w:sz="4" w:space="0"/>
                    <w:right w:val="single" w:color="000000" w:sz="4" w:space="0"/>
                    <w:tl2br w:val="nil"/>
                    <w:tr2bl w:val="nil"/>
                  </w:tcBorders>
                  <w:shd w:val="clear" w:color="auto" w:fill="FFFFFF"/>
                  <w:vAlign w:val="center"/>
                </w:tcPr>
                <w:p w14:paraId="5A8DC88E">
                  <w:pPr>
                    <w:keepNext w:val="0"/>
                    <w:keepLines/>
                    <w:pageBreakBefore w:val="0"/>
                    <w:widowControl/>
                    <w:suppressLineNumbers w:val="0"/>
                    <w:kinsoku/>
                    <w:wordWrap w:val="0"/>
                    <w:overflowPunct/>
                    <w:topLinePunct/>
                    <w:autoSpaceDE/>
                    <w:autoSpaceDN/>
                    <w:bidi w:val="0"/>
                    <w:adjustRightInd w:val="0"/>
                    <w:snapToGrid w:val="0"/>
                    <w:spacing w:before="0" w:beforeAutospacing="0" w:after="0" w:afterAutospacing="0" w:line="240" w:lineRule="auto"/>
                    <w:ind w:left="0" w:right="0"/>
                    <w:jc w:val="center"/>
                    <w:rPr>
                      <w:rFonts w:hint="eastAsia" w:ascii="宋体" w:hAnsi="宋体" w:eastAsia="宋体" w:cs="宋体"/>
                      <w:color w:val="auto"/>
                      <w:sz w:val="22"/>
                      <w:szCs w:val="22"/>
                      <w:highlight w:val="none"/>
                    </w:rPr>
                  </w:pPr>
                  <w:r>
                    <w:rPr>
                      <w:rFonts w:hint="eastAsia" w:ascii="宋体" w:hAnsi="宋体" w:eastAsia="宋体" w:cs="宋体"/>
                      <w:snapToGrid w:val="0"/>
                      <w:color w:val="auto"/>
                      <w:kern w:val="0"/>
                      <w:sz w:val="22"/>
                      <w:szCs w:val="22"/>
                      <w:highlight w:val="none"/>
                      <w:lang w:bidi="ar"/>
                    </w:rPr>
                    <w:t>9</w:t>
                  </w:r>
                </w:p>
              </w:tc>
              <w:tc>
                <w:tcPr>
                  <w:tcW w:w="838" w:type="dxa"/>
                  <w:tcBorders>
                    <w:top w:val="single" w:color="000000" w:sz="4" w:space="0"/>
                    <w:left w:val="single" w:color="000000" w:sz="4" w:space="0"/>
                    <w:bottom w:val="single" w:color="000000" w:sz="4" w:space="0"/>
                    <w:right w:val="single" w:color="000000" w:sz="4" w:space="0"/>
                    <w:tl2br w:val="nil"/>
                    <w:tr2bl w:val="nil"/>
                  </w:tcBorders>
                  <w:shd w:val="clear" w:color="auto" w:fill="FFFFFF"/>
                  <w:vAlign w:val="center"/>
                </w:tcPr>
                <w:p w14:paraId="547D51B4">
                  <w:pPr>
                    <w:keepNext w:val="0"/>
                    <w:keepLines/>
                    <w:pageBreakBefore w:val="0"/>
                    <w:widowControl/>
                    <w:suppressLineNumbers w:val="0"/>
                    <w:kinsoku/>
                    <w:wordWrap w:val="0"/>
                    <w:overflowPunct/>
                    <w:topLinePunct/>
                    <w:autoSpaceDE/>
                    <w:autoSpaceDN/>
                    <w:bidi w:val="0"/>
                    <w:adjustRightInd w:val="0"/>
                    <w:snapToGrid w:val="0"/>
                    <w:spacing w:before="0" w:beforeAutospacing="0" w:after="0" w:afterAutospacing="0" w:line="240" w:lineRule="auto"/>
                    <w:ind w:left="0" w:right="0"/>
                    <w:jc w:val="center"/>
                    <w:rPr>
                      <w:rFonts w:hint="eastAsia" w:ascii="宋体" w:hAnsi="宋体" w:eastAsia="宋体" w:cs="宋体"/>
                      <w:color w:val="auto"/>
                      <w:sz w:val="22"/>
                      <w:szCs w:val="22"/>
                      <w:highlight w:val="none"/>
                    </w:rPr>
                  </w:pPr>
                  <w:r>
                    <w:rPr>
                      <w:rFonts w:hint="eastAsia" w:ascii="宋体" w:hAnsi="宋体" w:eastAsia="宋体" w:cs="宋体"/>
                      <w:snapToGrid w:val="0"/>
                      <w:color w:val="auto"/>
                      <w:kern w:val="0"/>
                      <w:sz w:val="22"/>
                      <w:szCs w:val="22"/>
                      <w:highlight w:val="none"/>
                      <w:lang w:bidi="ar"/>
                    </w:rPr>
                    <w:t>10</w:t>
                  </w:r>
                </w:p>
              </w:tc>
              <w:tc>
                <w:tcPr>
                  <w:tcW w:w="792" w:type="dxa"/>
                  <w:tcBorders>
                    <w:top w:val="single" w:color="000000" w:sz="4" w:space="0"/>
                    <w:left w:val="single" w:color="000000" w:sz="4" w:space="0"/>
                    <w:bottom w:val="single" w:color="000000" w:sz="4" w:space="0"/>
                    <w:right w:val="single" w:color="000000" w:sz="4" w:space="0"/>
                    <w:tl2br w:val="nil"/>
                    <w:tr2bl w:val="nil"/>
                  </w:tcBorders>
                  <w:shd w:val="clear" w:color="auto" w:fill="FFFFFF"/>
                  <w:vAlign w:val="center"/>
                </w:tcPr>
                <w:p w14:paraId="22780616">
                  <w:pPr>
                    <w:keepNext w:val="0"/>
                    <w:keepLines/>
                    <w:pageBreakBefore w:val="0"/>
                    <w:widowControl/>
                    <w:suppressLineNumbers w:val="0"/>
                    <w:kinsoku/>
                    <w:wordWrap w:val="0"/>
                    <w:overflowPunct/>
                    <w:topLinePunct/>
                    <w:autoSpaceDE/>
                    <w:autoSpaceDN/>
                    <w:bidi w:val="0"/>
                    <w:adjustRightInd w:val="0"/>
                    <w:snapToGrid w:val="0"/>
                    <w:spacing w:before="0" w:beforeAutospacing="0" w:after="0" w:afterAutospacing="0" w:line="240" w:lineRule="auto"/>
                    <w:ind w:left="0" w:right="0"/>
                    <w:jc w:val="center"/>
                    <w:rPr>
                      <w:rFonts w:hint="eastAsia" w:ascii="宋体" w:hAnsi="宋体" w:eastAsia="宋体" w:cs="宋体"/>
                      <w:color w:val="auto"/>
                      <w:sz w:val="22"/>
                      <w:szCs w:val="22"/>
                      <w:highlight w:val="none"/>
                    </w:rPr>
                  </w:pPr>
                  <w:r>
                    <w:rPr>
                      <w:rFonts w:hint="eastAsia" w:ascii="宋体" w:hAnsi="宋体" w:eastAsia="宋体" w:cs="宋体"/>
                      <w:snapToGrid w:val="0"/>
                      <w:color w:val="auto"/>
                      <w:kern w:val="0"/>
                      <w:sz w:val="22"/>
                      <w:szCs w:val="22"/>
                      <w:highlight w:val="none"/>
                      <w:lang w:bidi="ar"/>
                    </w:rPr>
                    <w:t>11</w:t>
                  </w:r>
                </w:p>
              </w:tc>
              <w:tc>
                <w:tcPr>
                  <w:tcW w:w="923" w:type="dxa"/>
                  <w:tcBorders>
                    <w:top w:val="single" w:color="000000" w:sz="4" w:space="0"/>
                    <w:left w:val="single" w:color="000000" w:sz="4" w:space="0"/>
                    <w:bottom w:val="single" w:color="000000" w:sz="4" w:space="0"/>
                    <w:right w:val="single" w:color="000000" w:sz="4" w:space="0"/>
                    <w:tl2br w:val="nil"/>
                    <w:tr2bl w:val="nil"/>
                  </w:tcBorders>
                  <w:shd w:val="clear" w:color="auto" w:fill="FFFFFF"/>
                  <w:vAlign w:val="center"/>
                </w:tcPr>
                <w:p w14:paraId="369D8DE7">
                  <w:pPr>
                    <w:keepNext w:val="0"/>
                    <w:keepLines/>
                    <w:pageBreakBefore w:val="0"/>
                    <w:widowControl/>
                    <w:suppressLineNumbers w:val="0"/>
                    <w:kinsoku/>
                    <w:wordWrap w:val="0"/>
                    <w:overflowPunct/>
                    <w:topLinePunct/>
                    <w:autoSpaceDE/>
                    <w:autoSpaceDN/>
                    <w:bidi w:val="0"/>
                    <w:adjustRightInd w:val="0"/>
                    <w:snapToGrid w:val="0"/>
                    <w:spacing w:before="0" w:beforeAutospacing="0" w:after="0" w:afterAutospacing="0" w:line="240" w:lineRule="auto"/>
                    <w:ind w:left="0" w:right="0"/>
                    <w:jc w:val="center"/>
                    <w:rPr>
                      <w:rFonts w:hint="eastAsia" w:ascii="宋体" w:hAnsi="宋体" w:eastAsia="宋体" w:cs="宋体"/>
                      <w:color w:val="auto"/>
                      <w:sz w:val="22"/>
                      <w:szCs w:val="22"/>
                      <w:highlight w:val="none"/>
                    </w:rPr>
                  </w:pPr>
                  <w:r>
                    <w:rPr>
                      <w:rFonts w:hint="eastAsia" w:ascii="宋体" w:hAnsi="宋体" w:eastAsia="宋体" w:cs="宋体"/>
                      <w:snapToGrid w:val="0"/>
                      <w:color w:val="auto"/>
                      <w:kern w:val="0"/>
                      <w:sz w:val="22"/>
                      <w:szCs w:val="22"/>
                      <w:highlight w:val="none"/>
                      <w:lang w:bidi="ar"/>
                    </w:rPr>
                    <w:t>12</w:t>
                  </w:r>
                </w:p>
              </w:tc>
              <w:tc>
                <w:tcPr>
                  <w:tcW w:w="871" w:type="dxa"/>
                  <w:tcBorders>
                    <w:top w:val="single" w:color="000000" w:sz="4" w:space="0"/>
                    <w:left w:val="single" w:color="000000" w:sz="4" w:space="0"/>
                    <w:bottom w:val="single" w:color="000000" w:sz="4" w:space="0"/>
                    <w:right w:val="single" w:color="000000" w:sz="4" w:space="0"/>
                    <w:tl2br w:val="nil"/>
                    <w:tr2bl w:val="nil"/>
                  </w:tcBorders>
                  <w:shd w:val="clear" w:color="auto" w:fill="FFFFFF"/>
                  <w:vAlign w:val="center"/>
                </w:tcPr>
                <w:p w14:paraId="34AAF4DA">
                  <w:pPr>
                    <w:keepNext w:val="0"/>
                    <w:keepLines/>
                    <w:pageBreakBefore w:val="0"/>
                    <w:widowControl/>
                    <w:suppressLineNumbers w:val="0"/>
                    <w:kinsoku/>
                    <w:wordWrap w:val="0"/>
                    <w:overflowPunct/>
                    <w:topLinePunct/>
                    <w:autoSpaceDE/>
                    <w:autoSpaceDN/>
                    <w:bidi w:val="0"/>
                    <w:adjustRightInd w:val="0"/>
                    <w:snapToGrid w:val="0"/>
                    <w:spacing w:before="0" w:beforeAutospacing="0" w:after="0" w:afterAutospacing="0" w:line="240" w:lineRule="auto"/>
                    <w:ind w:left="0" w:right="0"/>
                    <w:jc w:val="center"/>
                    <w:rPr>
                      <w:rFonts w:hint="eastAsia" w:ascii="宋体" w:hAnsi="宋体" w:eastAsia="宋体" w:cs="宋体"/>
                      <w:color w:val="auto"/>
                      <w:sz w:val="22"/>
                      <w:szCs w:val="22"/>
                      <w:highlight w:val="none"/>
                    </w:rPr>
                  </w:pPr>
                  <w:r>
                    <w:rPr>
                      <w:rFonts w:hint="eastAsia" w:ascii="宋体" w:hAnsi="宋体" w:eastAsia="宋体" w:cs="宋体"/>
                      <w:snapToGrid w:val="0"/>
                      <w:color w:val="auto"/>
                      <w:kern w:val="0"/>
                      <w:sz w:val="22"/>
                      <w:szCs w:val="22"/>
                      <w:highlight w:val="none"/>
                      <w:lang w:bidi="ar"/>
                    </w:rPr>
                    <w:t>13</w:t>
                  </w:r>
                </w:p>
              </w:tc>
              <w:tc>
                <w:tcPr>
                  <w:tcW w:w="717" w:type="dxa"/>
                  <w:tcBorders>
                    <w:top w:val="single" w:color="000000" w:sz="4" w:space="0"/>
                    <w:left w:val="single" w:color="000000" w:sz="4" w:space="0"/>
                    <w:bottom w:val="single" w:color="000000" w:sz="4" w:space="0"/>
                    <w:right w:val="single" w:color="000000" w:sz="4" w:space="0"/>
                    <w:tl2br w:val="nil"/>
                    <w:tr2bl w:val="nil"/>
                  </w:tcBorders>
                  <w:shd w:val="clear" w:color="auto" w:fill="FFFFFF"/>
                  <w:vAlign w:val="center"/>
                </w:tcPr>
                <w:p w14:paraId="64614283">
                  <w:pPr>
                    <w:keepNext w:val="0"/>
                    <w:keepLines/>
                    <w:pageBreakBefore w:val="0"/>
                    <w:widowControl/>
                    <w:suppressLineNumbers w:val="0"/>
                    <w:kinsoku/>
                    <w:wordWrap w:val="0"/>
                    <w:overflowPunct/>
                    <w:topLinePunct/>
                    <w:autoSpaceDE/>
                    <w:autoSpaceDN/>
                    <w:bidi w:val="0"/>
                    <w:adjustRightInd w:val="0"/>
                    <w:snapToGrid w:val="0"/>
                    <w:spacing w:before="0" w:beforeAutospacing="0" w:after="0" w:afterAutospacing="0" w:line="240" w:lineRule="auto"/>
                    <w:ind w:left="0" w:right="0"/>
                    <w:jc w:val="center"/>
                    <w:rPr>
                      <w:rFonts w:hint="eastAsia" w:ascii="宋体" w:hAnsi="宋体" w:eastAsia="宋体" w:cs="宋体"/>
                      <w:color w:val="auto"/>
                      <w:sz w:val="22"/>
                      <w:szCs w:val="22"/>
                      <w:highlight w:val="none"/>
                    </w:rPr>
                  </w:pPr>
                  <w:r>
                    <w:rPr>
                      <w:rFonts w:hint="eastAsia" w:ascii="宋体" w:hAnsi="宋体" w:eastAsia="宋体" w:cs="宋体"/>
                      <w:snapToGrid w:val="0"/>
                      <w:color w:val="auto"/>
                      <w:kern w:val="0"/>
                      <w:sz w:val="22"/>
                      <w:szCs w:val="22"/>
                      <w:highlight w:val="none"/>
                      <w:lang w:bidi="ar"/>
                    </w:rPr>
                    <w:t>14</w:t>
                  </w:r>
                </w:p>
              </w:tc>
            </w:tr>
            <w:tr w14:paraId="46C2E36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jc w:val="center"/>
              </w:trPr>
              <w:tc>
                <w:tcPr>
                  <w:tcW w:w="1023" w:type="dxa"/>
                  <w:tcBorders>
                    <w:top w:val="single" w:color="000000" w:sz="4" w:space="0"/>
                    <w:left w:val="single" w:color="000000" w:sz="4" w:space="0"/>
                    <w:bottom w:val="single" w:color="000000" w:sz="4" w:space="0"/>
                    <w:right w:val="single" w:color="000000" w:sz="4" w:space="0"/>
                    <w:tl2br w:val="nil"/>
                    <w:tr2bl w:val="nil"/>
                  </w:tcBorders>
                  <w:shd w:val="clear" w:color="auto" w:fill="FFFFFF"/>
                  <w:vAlign w:val="center"/>
                </w:tcPr>
                <w:p w14:paraId="54C35481">
                  <w:pPr>
                    <w:keepNext w:val="0"/>
                    <w:keepLines/>
                    <w:pageBreakBefore w:val="0"/>
                    <w:widowControl/>
                    <w:suppressLineNumbers w:val="0"/>
                    <w:kinsoku/>
                    <w:wordWrap w:val="0"/>
                    <w:overflowPunct/>
                    <w:topLinePunct/>
                    <w:autoSpaceDE/>
                    <w:autoSpaceDN/>
                    <w:bidi w:val="0"/>
                    <w:adjustRightInd w:val="0"/>
                    <w:snapToGrid w:val="0"/>
                    <w:spacing w:before="0" w:beforeAutospacing="0" w:after="0" w:afterAutospacing="0" w:line="240" w:lineRule="auto"/>
                    <w:ind w:left="0" w:right="0"/>
                    <w:jc w:val="center"/>
                    <w:rPr>
                      <w:rFonts w:hint="eastAsia" w:ascii="宋体" w:hAnsi="宋体" w:eastAsia="宋体" w:cs="宋体"/>
                      <w:color w:val="auto"/>
                      <w:sz w:val="22"/>
                      <w:szCs w:val="22"/>
                      <w:highlight w:val="none"/>
                    </w:rPr>
                  </w:pPr>
                  <w:r>
                    <w:rPr>
                      <w:rFonts w:hint="eastAsia" w:ascii="宋体" w:hAnsi="宋体" w:eastAsia="宋体" w:cs="宋体"/>
                      <w:snapToGrid w:val="0"/>
                      <w:color w:val="auto"/>
                      <w:kern w:val="0"/>
                      <w:sz w:val="22"/>
                      <w:szCs w:val="22"/>
                      <w:highlight w:val="none"/>
                      <w:lang w:bidi="ar"/>
                    </w:rPr>
                    <w:t>下浮系数（</w:t>
                  </w:r>
                  <w:r>
                    <w:rPr>
                      <w:rFonts w:hint="eastAsia" w:ascii="宋体" w:hAnsi="宋体" w:eastAsia="宋体" w:cs="宋体"/>
                      <w:color w:val="auto"/>
                      <w:kern w:val="0"/>
                      <w:sz w:val="22"/>
                      <w:szCs w:val="22"/>
                      <w:highlight w:val="none"/>
                      <w:lang w:bidi="ar"/>
                    </w:rPr>
                    <w:t>%</w:t>
                  </w:r>
                  <w:r>
                    <w:rPr>
                      <w:rFonts w:hint="eastAsia" w:ascii="宋体" w:hAnsi="宋体" w:eastAsia="宋体" w:cs="宋体"/>
                      <w:snapToGrid w:val="0"/>
                      <w:color w:val="auto"/>
                      <w:kern w:val="0"/>
                      <w:sz w:val="22"/>
                      <w:szCs w:val="22"/>
                      <w:highlight w:val="none"/>
                      <w:lang w:bidi="ar"/>
                    </w:rPr>
                    <w:t>）</w:t>
                  </w:r>
                </w:p>
              </w:tc>
              <w:tc>
                <w:tcPr>
                  <w:tcW w:w="1128" w:type="dxa"/>
                  <w:tcBorders>
                    <w:top w:val="single" w:color="000000" w:sz="4" w:space="0"/>
                    <w:left w:val="single" w:color="000000" w:sz="4" w:space="0"/>
                    <w:bottom w:val="single" w:color="000000" w:sz="4" w:space="0"/>
                    <w:right w:val="single" w:color="000000" w:sz="4" w:space="0"/>
                    <w:tl2br w:val="nil"/>
                    <w:tr2bl w:val="nil"/>
                  </w:tcBorders>
                  <w:shd w:val="clear" w:color="auto" w:fill="FFFFFF"/>
                  <w:vAlign w:val="center"/>
                </w:tcPr>
                <w:p w14:paraId="46CEBB0B">
                  <w:pPr>
                    <w:keepNext w:val="0"/>
                    <w:keepLines w:val="0"/>
                    <w:widowControl/>
                    <w:suppressLineNumbers w:val="0"/>
                    <w:spacing w:before="0" w:beforeAutospacing="0" w:after="0" w:afterAutospacing="0" w:line="240" w:lineRule="auto"/>
                    <w:ind w:left="0" w:right="0"/>
                    <w:jc w:val="center"/>
                    <w:textAlignment w:val="center"/>
                    <w:rPr>
                      <w:rFonts w:hint="eastAsia" w:ascii="宋体" w:hAnsi="宋体" w:eastAsia="宋体" w:cs="宋体"/>
                      <w:color w:val="auto"/>
                      <w:sz w:val="22"/>
                      <w:szCs w:val="22"/>
                      <w:highlight w:val="none"/>
                    </w:rPr>
                  </w:pPr>
                  <w:r>
                    <w:rPr>
                      <w:rFonts w:hint="eastAsia" w:ascii="宋体" w:hAnsi="宋体" w:eastAsia="宋体" w:cs="宋体"/>
                      <w:i w:val="0"/>
                      <w:iCs w:val="0"/>
                      <w:snapToGrid w:val="0"/>
                      <w:color w:val="auto"/>
                      <w:kern w:val="0"/>
                      <w:sz w:val="22"/>
                      <w:szCs w:val="22"/>
                      <w:highlight w:val="none"/>
                      <w:u w:val="none"/>
                      <w:lang w:val="en-US" w:eastAsia="zh-CN" w:bidi="ar"/>
                    </w:rPr>
                    <w:t>3.70</w:t>
                  </w:r>
                </w:p>
              </w:tc>
              <w:tc>
                <w:tcPr>
                  <w:tcW w:w="724" w:type="dxa"/>
                  <w:tcBorders>
                    <w:top w:val="single" w:color="000000" w:sz="4" w:space="0"/>
                    <w:left w:val="single" w:color="000000" w:sz="4" w:space="0"/>
                    <w:bottom w:val="single" w:color="000000" w:sz="4" w:space="0"/>
                    <w:right w:val="single" w:color="000000" w:sz="4" w:space="0"/>
                    <w:tl2br w:val="nil"/>
                    <w:tr2bl w:val="nil"/>
                  </w:tcBorders>
                  <w:shd w:val="clear" w:color="auto" w:fill="FFFFFF"/>
                  <w:vAlign w:val="center"/>
                </w:tcPr>
                <w:p w14:paraId="3858058E">
                  <w:pPr>
                    <w:keepNext w:val="0"/>
                    <w:keepLines w:val="0"/>
                    <w:widowControl/>
                    <w:suppressLineNumbers w:val="0"/>
                    <w:spacing w:before="0" w:beforeAutospacing="0" w:after="0" w:afterAutospacing="0" w:line="240" w:lineRule="auto"/>
                    <w:ind w:left="0" w:right="0"/>
                    <w:jc w:val="center"/>
                    <w:textAlignment w:val="center"/>
                    <w:rPr>
                      <w:rFonts w:hint="eastAsia" w:ascii="宋体" w:hAnsi="宋体" w:eastAsia="宋体" w:cs="宋体"/>
                      <w:color w:val="auto"/>
                      <w:sz w:val="22"/>
                      <w:szCs w:val="22"/>
                      <w:highlight w:val="none"/>
                    </w:rPr>
                  </w:pPr>
                  <w:r>
                    <w:rPr>
                      <w:rFonts w:hint="eastAsia" w:ascii="宋体" w:hAnsi="宋体" w:eastAsia="宋体" w:cs="宋体"/>
                      <w:i w:val="0"/>
                      <w:iCs w:val="0"/>
                      <w:snapToGrid w:val="0"/>
                      <w:color w:val="auto"/>
                      <w:kern w:val="0"/>
                      <w:sz w:val="22"/>
                      <w:szCs w:val="22"/>
                      <w:highlight w:val="none"/>
                      <w:u w:val="none"/>
                      <w:lang w:val="en-US" w:eastAsia="zh-CN" w:bidi="ar"/>
                    </w:rPr>
                    <w:t>3.80</w:t>
                  </w:r>
                </w:p>
              </w:tc>
              <w:tc>
                <w:tcPr>
                  <w:tcW w:w="838" w:type="dxa"/>
                  <w:tcBorders>
                    <w:top w:val="single" w:color="000000" w:sz="4" w:space="0"/>
                    <w:left w:val="single" w:color="000000" w:sz="4" w:space="0"/>
                    <w:bottom w:val="single" w:color="000000" w:sz="4" w:space="0"/>
                    <w:right w:val="single" w:color="000000" w:sz="4" w:space="0"/>
                    <w:tl2br w:val="nil"/>
                    <w:tr2bl w:val="nil"/>
                  </w:tcBorders>
                  <w:shd w:val="clear" w:color="auto" w:fill="FFFFFF"/>
                  <w:vAlign w:val="center"/>
                </w:tcPr>
                <w:p w14:paraId="06B2F3AF">
                  <w:pPr>
                    <w:keepNext w:val="0"/>
                    <w:keepLines w:val="0"/>
                    <w:widowControl/>
                    <w:suppressLineNumbers w:val="0"/>
                    <w:spacing w:before="0" w:beforeAutospacing="0" w:after="0" w:afterAutospacing="0" w:line="240" w:lineRule="auto"/>
                    <w:ind w:left="0" w:right="0"/>
                    <w:jc w:val="center"/>
                    <w:textAlignment w:val="center"/>
                    <w:rPr>
                      <w:rFonts w:hint="eastAsia" w:ascii="宋体" w:hAnsi="宋体" w:eastAsia="宋体" w:cs="宋体"/>
                      <w:color w:val="auto"/>
                      <w:sz w:val="22"/>
                      <w:szCs w:val="22"/>
                      <w:highlight w:val="none"/>
                    </w:rPr>
                  </w:pPr>
                  <w:r>
                    <w:rPr>
                      <w:rFonts w:hint="eastAsia" w:ascii="宋体" w:hAnsi="宋体" w:eastAsia="宋体" w:cs="宋体"/>
                      <w:i w:val="0"/>
                      <w:iCs w:val="0"/>
                      <w:snapToGrid w:val="0"/>
                      <w:color w:val="auto"/>
                      <w:kern w:val="0"/>
                      <w:sz w:val="22"/>
                      <w:szCs w:val="22"/>
                      <w:highlight w:val="none"/>
                      <w:u w:val="none"/>
                      <w:lang w:val="en-US" w:eastAsia="zh-CN" w:bidi="ar"/>
                    </w:rPr>
                    <w:t>3.90</w:t>
                  </w:r>
                </w:p>
              </w:tc>
              <w:tc>
                <w:tcPr>
                  <w:tcW w:w="792" w:type="dxa"/>
                  <w:tcBorders>
                    <w:top w:val="single" w:color="000000" w:sz="4" w:space="0"/>
                    <w:left w:val="single" w:color="000000" w:sz="4" w:space="0"/>
                    <w:bottom w:val="single" w:color="000000" w:sz="4" w:space="0"/>
                    <w:right w:val="single" w:color="000000" w:sz="4" w:space="0"/>
                    <w:tl2br w:val="nil"/>
                    <w:tr2bl w:val="nil"/>
                  </w:tcBorders>
                  <w:shd w:val="clear" w:color="auto" w:fill="FFFFFF"/>
                  <w:vAlign w:val="center"/>
                </w:tcPr>
                <w:p w14:paraId="7AB4CDDA">
                  <w:pPr>
                    <w:keepNext w:val="0"/>
                    <w:keepLines w:val="0"/>
                    <w:widowControl/>
                    <w:suppressLineNumbers w:val="0"/>
                    <w:spacing w:before="0" w:beforeAutospacing="0" w:after="0" w:afterAutospacing="0" w:line="240" w:lineRule="auto"/>
                    <w:ind w:left="0" w:right="0"/>
                    <w:jc w:val="center"/>
                    <w:textAlignment w:val="center"/>
                    <w:rPr>
                      <w:rFonts w:hint="eastAsia" w:ascii="宋体" w:hAnsi="宋体" w:eastAsia="宋体" w:cs="宋体"/>
                      <w:color w:val="auto"/>
                      <w:sz w:val="22"/>
                      <w:szCs w:val="22"/>
                      <w:highlight w:val="none"/>
                    </w:rPr>
                  </w:pPr>
                  <w:r>
                    <w:rPr>
                      <w:rFonts w:hint="eastAsia" w:ascii="宋体" w:hAnsi="宋体" w:eastAsia="宋体" w:cs="宋体"/>
                      <w:i w:val="0"/>
                      <w:iCs w:val="0"/>
                      <w:snapToGrid w:val="0"/>
                      <w:color w:val="auto"/>
                      <w:kern w:val="0"/>
                      <w:sz w:val="22"/>
                      <w:szCs w:val="22"/>
                      <w:highlight w:val="none"/>
                      <w:u w:val="none"/>
                      <w:lang w:val="en-US" w:eastAsia="zh-CN" w:bidi="ar"/>
                    </w:rPr>
                    <w:t>4.00</w:t>
                  </w:r>
                </w:p>
              </w:tc>
              <w:tc>
                <w:tcPr>
                  <w:tcW w:w="923" w:type="dxa"/>
                  <w:tcBorders>
                    <w:top w:val="single" w:color="000000" w:sz="4" w:space="0"/>
                    <w:left w:val="single" w:color="000000" w:sz="4" w:space="0"/>
                    <w:bottom w:val="single" w:color="000000" w:sz="4" w:space="0"/>
                    <w:right w:val="single" w:color="000000" w:sz="4" w:space="0"/>
                    <w:tl2br w:val="nil"/>
                    <w:tr2bl w:val="nil"/>
                  </w:tcBorders>
                  <w:shd w:val="clear" w:color="auto" w:fill="FFFFFF"/>
                  <w:vAlign w:val="center"/>
                </w:tcPr>
                <w:p w14:paraId="2C7D9781">
                  <w:pPr>
                    <w:keepNext w:val="0"/>
                    <w:keepLines w:val="0"/>
                    <w:widowControl/>
                    <w:suppressLineNumbers w:val="0"/>
                    <w:spacing w:before="0" w:beforeAutospacing="0" w:after="0" w:afterAutospacing="0" w:line="240" w:lineRule="auto"/>
                    <w:ind w:left="0" w:right="0"/>
                    <w:jc w:val="center"/>
                    <w:textAlignment w:val="center"/>
                    <w:rPr>
                      <w:rFonts w:hint="eastAsia" w:ascii="宋体" w:hAnsi="宋体" w:eastAsia="宋体" w:cs="宋体"/>
                      <w:color w:val="auto"/>
                      <w:sz w:val="22"/>
                      <w:szCs w:val="22"/>
                      <w:highlight w:val="none"/>
                    </w:rPr>
                  </w:pPr>
                  <w:r>
                    <w:rPr>
                      <w:rFonts w:hint="eastAsia" w:ascii="宋体" w:hAnsi="宋体" w:eastAsia="宋体" w:cs="宋体"/>
                      <w:i w:val="0"/>
                      <w:iCs w:val="0"/>
                      <w:snapToGrid w:val="0"/>
                      <w:color w:val="auto"/>
                      <w:kern w:val="0"/>
                      <w:sz w:val="22"/>
                      <w:szCs w:val="22"/>
                      <w:highlight w:val="none"/>
                      <w:u w:val="none"/>
                      <w:lang w:val="en-US" w:eastAsia="zh-CN" w:bidi="ar"/>
                    </w:rPr>
                    <w:t>4.10</w:t>
                  </w:r>
                </w:p>
              </w:tc>
              <w:tc>
                <w:tcPr>
                  <w:tcW w:w="871" w:type="dxa"/>
                  <w:tcBorders>
                    <w:top w:val="single" w:color="000000" w:sz="4" w:space="0"/>
                    <w:left w:val="single" w:color="000000" w:sz="4" w:space="0"/>
                    <w:bottom w:val="single" w:color="000000" w:sz="4" w:space="0"/>
                    <w:right w:val="single" w:color="000000" w:sz="4" w:space="0"/>
                    <w:tl2br w:val="nil"/>
                    <w:tr2bl w:val="nil"/>
                  </w:tcBorders>
                  <w:shd w:val="clear" w:color="auto" w:fill="FFFFFF"/>
                  <w:vAlign w:val="center"/>
                </w:tcPr>
                <w:p w14:paraId="3976373F">
                  <w:pPr>
                    <w:keepNext w:val="0"/>
                    <w:keepLines w:val="0"/>
                    <w:widowControl/>
                    <w:suppressLineNumbers w:val="0"/>
                    <w:spacing w:before="0" w:beforeAutospacing="0" w:after="0" w:afterAutospacing="0" w:line="240" w:lineRule="auto"/>
                    <w:ind w:left="0" w:right="0"/>
                    <w:jc w:val="center"/>
                    <w:textAlignment w:val="center"/>
                    <w:rPr>
                      <w:rFonts w:hint="eastAsia" w:ascii="宋体" w:hAnsi="宋体" w:eastAsia="宋体" w:cs="宋体"/>
                      <w:color w:val="auto"/>
                      <w:sz w:val="22"/>
                      <w:szCs w:val="22"/>
                      <w:highlight w:val="none"/>
                    </w:rPr>
                  </w:pPr>
                  <w:r>
                    <w:rPr>
                      <w:rFonts w:hint="eastAsia" w:ascii="宋体" w:hAnsi="宋体" w:eastAsia="宋体" w:cs="宋体"/>
                      <w:i w:val="0"/>
                      <w:iCs w:val="0"/>
                      <w:snapToGrid w:val="0"/>
                      <w:color w:val="auto"/>
                      <w:kern w:val="0"/>
                      <w:sz w:val="22"/>
                      <w:szCs w:val="22"/>
                      <w:highlight w:val="none"/>
                      <w:u w:val="none"/>
                      <w:lang w:val="en-US" w:eastAsia="zh-CN" w:bidi="ar"/>
                    </w:rPr>
                    <w:t>4.20</w:t>
                  </w:r>
                </w:p>
              </w:tc>
              <w:tc>
                <w:tcPr>
                  <w:tcW w:w="717" w:type="dxa"/>
                  <w:tcBorders>
                    <w:top w:val="single" w:color="000000" w:sz="4" w:space="0"/>
                    <w:left w:val="single" w:color="000000" w:sz="4" w:space="0"/>
                    <w:bottom w:val="single" w:color="000000" w:sz="4" w:space="0"/>
                    <w:right w:val="single" w:color="000000" w:sz="4" w:space="0"/>
                    <w:tl2br w:val="nil"/>
                    <w:tr2bl w:val="nil"/>
                  </w:tcBorders>
                  <w:shd w:val="clear" w:color="auto" w:fill="FFFFFF"/>
                  <w:vAlign w:val="center"/>
                </w:tcPr>
                <w:p w14:paraId="45C8E0A6">
                  <w:pPr>
                    <w:keepNext w:val="0"/>
                    <w:keepLines w:val="0"/>
                    <w:widowControl/>
                    <w:suppressLineNumbers w:val="0"/>
                    <w:spacing w:before="0" w:beforeAutospacing="0" w:after="0" w:afterAutospacing="0" w:line="240" w:lineRule="auto"/>
                    <w:ind w:left="0" w:right="0"/>
                    <w:jc w:val="center"/>
                    <w:textAlignment w:val="center"/>
                    <w:rPr>
                      <w:rFonts w:hint="eastAsia" w:ascii="宋体" w:hAnsi="宋体" w:eastAsia="宋体" w:cs="宋体"/>
                      <w:color w:val="auto"/>
                      <w:sz w:val="22"/>
                      <w:szCs w:val="22"/>
                      <w:highlight w:val="none"/>
                    </w:rPr>
                  </w:pPr>
                  <w:r>
                    <w:rPr>
                      <w:rFonts w:hint="eastAsia" w:ascii="宋体" w:hAnsi="宋体" w:eastAsia="宋体" w:cs="宋体"/>
                      <w:i w:val="0"/>
                      <w:iCs w:val="0"/>
                      <w:snapToGrid w:val="0"/>
                      <w:color w:val="auto"/>
                      <w:kern w:val="0"/>
                      <w:sz w:val="22"/>
                      <w:szCs w:val="22"/>
                      <w:highlight w:val="none"/>
                      <w:u w:val="none"/>
                      <w:lang w:val="en-US" w:eastAsia="zh-CN" w:bidi="ar"/>
                    </w:rPr>
                    <w:t>4.30</w:t>
                  </w:r>
                </w:p>
              </w:tc>
            </w:tr>
            <w:tr w14:paraId="5F6E75C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8" w:hRule="atLeast"/>
                <w:jc w:val="center"/>
              </w:trPr>
              <w:tc>
                <w:tcPr>
                  <w:tcW w:w="1023" w:type="dxa"/>
                  <w:tcBorders>
                    <w:top w:val="single" w:color="000000" w:sz="4" w:space="0"/>
                    <w:left w:val="single" w:color="000000" w:sz="4" w:space="0"/>
                    <w:bottom w:val="single" w:color="000000" w:sz="4" w:space="0"/>
                    <w:right w:val="single" w:color="000000" w:sz="4" w:space="0"/>
                    <w:tl2br w:val="nil"/>
                    <w:tr2bl w:val="nil"/>
                  </w:tcBorders>
                  <w:shd w:val="clear" w:color="auto" w:fill="FFFFFF"/>
                  <w:vAlign w:val="center"/>
                </w:tcPr>
                <w:p w14:paraId="3ECBCD99">
                  <w:pPr>
                    <w:keepNext w:val="0"/>
                    <w:keepLines/>
                    <w:pageBreakBefore w:val="0"/>
                    <w:widowControl/>
                    <w:suppressLineNumbers w:val="0"/>
                    <w:kinsoku/>
                    <w:wordWrap w:val="0"/>
                    <w:overflowPunct/>
                    <w:topLinePunct/>
                    <w:autoSpaceDE/>
                    <w:autoSpaceDN/>
                    <w:bidi w:val="0"/>
                    <w:adjustRightInd w:val="0"/>
                    <w:snapToGrid w:val="0"/>
                    <w:spacing w:before="0" w:beforeAutospacing="0" w:after="0" w:afterAutospacing="0" w:line="240" w:lineRule="auto"/>
                    <w:ind w:left="0" w:right="0"/>
                    <w:jc w:val="center"/>
                    <w:rPr>
                      <w:rFonts w:hint="eastAsia" w:ascii="宋体" w:hAnsi="宋体" w:eastAsia="宋体" w:cs="宋体"/>
                      <w:color w:val="auto"/>
                      <w:sz w:val="22"/>
                      <w:szCs w:val="22"/>
                      <w:highlight w:val="none"/>
                    </w:rPr>
                  </w:pPr>
                  <w:r>
                    <w:rPr>
                      <w:rFonts w:hint="eastAsia" w:ascii="宋体" w:hAnsi="宋体" w:eastAsia="宋体" w:cs="宋体"/>
                      <w:bCs/>
                      <w:snapToGrid w:val="0"/>
                      <w:color w:val="auto"/>
                      <w:kern w:val="0"/>
                      <w:sz w:val="22"/>
                      <w:szCs w:val="22"/>
                      <w:highlight w:val="none"/>
                      <w:lang w:bidi="ar"/>
                    </w:rPr>
                    <w:t>号球</w:t>
                  </w:r>
                </w:p>
              </w:tc>
              <w:tc>
                <w:tcPr>
                  <w:tcW w:w="1128" w:type="dxa"/>
                  <w:tcBorders>
                    <w:top w:val="single" w:color="000000" w:sz="4" w:space="0"/>
                    <w:left w:val="single" w:color="000000" w:sz="4" w:space="0"/>
                    <w:bottom w:val="single" w:color="000000" w:sz="4" w:space="0"/>
                    <w:right w:val="single" w:color="000000" w:sz="4" w:space="0"/>
                    <w:tl2br w:val="nil"/>
                    <w:tr2bl w:val="nil"/>
                  </w:tcBorders>
                  <w:shd w:val="clear" w:color="auto" w:fill="FFFFFF"/>
                  <w:vAlign w:val="center"/>
                </w:tcPr>
                <w:p w14:paraId="36AE6F5A">
                  <w:pPr>
                    <w:keepNext w:val="0"/>
                    <w:keepLines/>
                    <w:pageBreakBefore w:val="0"/>
                    <w:widowControl/>
                    <w:suppressLineNumbers w:val="0"/>
                    <w:kinsoku/>
                    <w:wordWrap w:val="0"/>
                    <w:overflowPunct/>
                    <w:topLinePunct/>
                    <w:autoSpaceDE/>
                    <w:autoSpaceDN/>
                    <w:bidi w:val="0"/>
                    <w:adjustRightInd w:val="0"/>
                    <w:snapToGrid w:val="0"/>
                    <w:spacing w:before="0" w:beforeAutospacing="0" w:after="0" w:afterAutospacing="0" w:line="240" w:lineRule="auto"/>
                    <w:ind w:left="0" w:right="0"/>
                    <w:jc w:val="center"/>
                    <w:rPr>
                      <w:rFonts w:hint="eastAsia" w:ascii="宋体" w:hAnsi="宋体" w:eastAsia="宋体" w:cs="宋体"/>
                      <w:color w:val="auto"/>
                      <w:sz w:val="22"/>
                      <w:szCs w:val="22"/>
                      <w:highlight w:val="none"/>
                    </w:rPr>
                  </w:pPr>
                  <w:r>
                    <w:rPr>
                      <w:rFonts w:hint="eastAsia" w:ascii="宋体" w:hAnsi="宋体" w:eastAsia="宋体" w:cs="宋体"/>
                      <w:snapToGrid w:val="0"/>
                      <w:color w:val="auto"/>
                      <w:kern w:val="0"/>
                      <w:sz w:val="22"/>
                      <w:szCs w:val="22"/>
                      <w:highlight w:val="none"/>
                      <w:lang w:bidi="ar"/>
                    </w:rPr>
                    <w:t>15</w:t>
                  </w:r>
                </w:p>
              </w:tc>
              <w:tc>
                <w:tcPr>
                  <w:tcW w:w="724" w:type="dxa"/>
                  <w:tcBorders>
                    <w:top w:val="single" w:color="000000" w:sz="4" w:space="0"/>
                    <w:left w:val="single" w:color="000000" w:sz="4" w:space="0"/>
                    <w:bottom w:val="single" w:color="000000" w:sz="4" w:space="0"/>
                    <w:right w:val="single" w:color="000000" w:sz="4" w:space="0"/>
                    <w:tl2br w:val="nil"/>
                    <w:tr2bl w:val="nil"/>
                  </w:tcBorders>
                  <w:shd w:val="clear" w:color="auto" w:fill="FFFFFF"/>
                  <w:vAlign w:val="center"/>
                </w:tcPr>
                <w:p w14:paraId="3FD9AE4F">
                  <w:pPr>
                    <w:keepNext w:val="0"/>
                    <w:keepLines/>
                    <w:pageBreakBefore w:val="0"/>
                    <w:widowControl/>
                    <w:suppressLineNumbers w:val="0"/>
                    <w:kinsoku/>
                    <w:wordWrap w:val="0"/>
                    <w:overflowPunct/>
                    <w:topLinePunct/>
                    <w:autoSpaceDE/>
                    <w:autoSpaceDN/>
                    <w:bidi w:val="0"/>
                    <w:adjustRightInd w:val="0"/>
                    <w:snapToGrid w:val="0"/>
                    <w:spacing w:before="0" w:beforeAutospacing="0" w:after="0" w:afterAutospacing="0" w:line="240" w:lineRule="auto"/>
                    <w:ind w:left="0" w:right="0"/>
                    <w:jc w:val="center"/>
                    <w:rPr>
                      <w:rFonts w:hint="eastAsia" w:ascii="宋体" w:hAnsi="宋体" w:eastAsia="宋体" w:cs="宋体"/>
                      <w:color w:val="auto"/>
                      <w:sz w:val="22"/>
                      <w:szCs w:val="22"/>
                      <w:highlight w:val="none"/>
                    </w:rPr>
                  </w:pPr>
                  <w:r>
                    <w:rPr>
                      <w:rFonts w:hint="eastAsia" w:ascii="宋体" w:hAnsi="宋体" w:eastAsia="宋体" w:cs="宋体"/>
                      <w:snapToGrid w:val="0"/>
                      <w:color w:val="auto"/>
                      <w:kern w:val="0"/>
                      <w:sz w:val="22"/>
                      <w:szCs w:val="22"/>
                      <w:highlight w:val="none"/>
                      <w:lang w:bidi="ar"/>
                    </w:rPr>
                    <w:t>16</w:t>
                  </w:r>
                </w:p>
              </w:tc>
              <w:tc>
                <w:tcPr>
                  <w:tcW w:w="838" w:type="dxa"/>
                  <w:tcBorders>
                    <w:top w:val="single" w:color="000000" w:sz="4" w:space="0"/>
                    <w:left w:val="single" w:color="000000" w:sz="4" w:space="0"/>
                    <w:bottom w:val="single" w:color="000000" w:sz="4" w:space="0"/>
                    <w:right w:val="single" w:color="000000" w:sz="4" w:space="0"/>
                    <w:tl2br w:val="nil"/>
                    <w:tr2bl w:val="nil"/>
                  </w:tcBorders>
                  <w:shd w:val="clear" w:color="auto" w:fill="FFFFFF"/>
                  <w:vAlign w:val="center"/>
                </w:tcPr>
                <w:p w14:paraId="2331FF93">
                  <w:pPr>
                    <w:keepNext w:val="0"/>
                    <w:keepLines/>
                    <w:pageBreakBefore w:val="0"/>
                    <w:widowControl/>
                    <w:suppressLineNumbers w:val="0"/>
                    <w:kinsoku/>
                    <w:wordWrap w:val="0"/>
                    <w:overflowPunct/>
                    <w:topLinePunct/>
                    <w:autoSpaceDE/>
                    <w:autoSpaceDN/>
                    <w:bidi w:val="0"/>
                    <w:adjustRightInd w:val="0"/>
                    <w:snapToGrid w:val="0"/>
                    <w:spacing w:before="0" w:beforeAutospacing="0" w:after="0" w:afterAutospacing="0" w:line="240" w:lineRule="auto"/>
                    <w:ind w:left="0" w:right="0"/>
                    <w:jc w:val="center"/>
                    <w:rPr>
                      <w:rFonts w:hint="eastAsia" w:ascii="宋体" w:hAnsi="宋体" w:eastAsia="宋体" w:cs="宋体"/>
                      <w:color w:val="auto"/>
                      <w:sz w:val="22"/>
                      <w:szCs w:val="22"/>
                      <w:highlight w:val="none"/>
                    </w:rPr>
                  </w:pPr>
                  <w:r>
                    <w:rPr>
                      <w:rFonts w:hint="eastAsia" w:ascii="宋体" w:hAnsi="宋体" w:eastAsia="宋体" w:cs="宋体"/>
                      <w:snapToGrid w:val="0"/>
                      <w:color w:val="auto"/>
                      <w:kern w:val="0"/>
                      <w:sz w:val="22"/>
                      <w:szCs w:val="22"/>
                      <w:highlight w:val="none"/>
                      <w:lang w:bidi="ar"/>
                    </w:rPr>
                    <w:t>17</w:t>
                  </w:r>
                </w:p>
              </w:tc>
              <w:tc>
                <w:tcPr>
                  <w:tcW w:w="792" w:type="dxa"/>
                  <w:tcBorders>
                    <w:top w:val="single" w:color="000000" w:sz="4" w:space="0"/>
                    <w:left w:val="single" w:color="000000" w:sz="4" w:space="0"/>
                    <w:bottom w:val="single" w:color="000000" w:sz="4" w:space="0"/>
                    <w:right w:val="single" w:color="000000" w:sz="4" w:space="0"/>
                    <w:tl2br w:val="nil"/>
                    <w:tr2bl w:val="nil"/>
                  </w:tcBorders>
                  <w:shd w:val="clear" w:color="auto" w:fill="FFFFFF"/>
                  <w:vAlign w:val="center"/>
                </w:tcPr>
                <w:p w14:paraId="7615DF9D">
                  <w:pPr>
                    <w:keepNext w:val="0"/>
                    <w:keepLines/>
                    <w:pageBreakBefore w:val="0"/>
                    <w:widowControl/>
                    <w:suppressLineNumbers w:val="0"/>
                    <w:kinsoku/>
                    <w:wordWrap w:val="0"/>
                    <w:overflowPunct/>
                    <w:topLinePunct/>
                    <w:autoSpaceDE/>
                    <w:autoSpaceDN/>
                    <w:bidi w:val="0"/>
                    <w:adjustRightInd w:val="0"/>
                    <w:snapToGrid w:val="0"/>
                    <w:spacing w:before="0" w:beforeAutospacing="0" w:after="0" w:afterAutospacing="0" w:line="240" w:lineRule="auto"/>
                    <w:ind w:left="0" w:right="0"/>
                    <w:jc w:val="center"/>
                    <w:rPr>
                      <w:rFonts w:hint="eastAsia" w:ascii="宋体" w:hAnsi="宋体" w:eastAsia="宋体" w:cs="宋体"/>
                      <w:color w:val="auto"/>
                      <w:sz w:val="22"/>
                      <w:szCs w:val="22"/>
                      <w:highlight w:val="none"/>
                    </w:rPr>
                  </w:pPr>
                  <w:r>
                    <w:rPr>
                      <w:rFonts w:hint="eastAsia" w:ascii="宋体" w:hAnsi="宋体" w:eastAsia="宋体" w:cs="宋体"/>
                      <w:snapToGrid w:val="0"/>
                      <w:color w:val="auto"/>
                      <w:kern w:val="0"/>
                      <w:sz w:val="22"/>
                      <w:szCs w:val="22"/>
                      <w:highlight w:val="none"/>
                      <w:lang w:bidi="ar"/>
                    </w:rPr>
                    <w:t>18</w:t>
                  </w:r>
                </w:p>
              </w:tc>
              <w:tc>
                <w:tcPr>
                  <w:tcW w:w="923" w:type="dxa"/>
                  <w:tcBorders>
                    <w:top w:val="single" w:color="000000" w:sz="4" w:space="0"/>
                    <w:left w:val="single" w:color="000000" w:sz="4" w:space="0"/>
                    <w:bottom w:val="single" w:color="000000" w:sz="4" w:space="0"/>
                    <w:right w:val="single" w:color="000000" w:sz="4" w:space="0"/>
                    <w:tl2br w:val="nil"/>
                    <w:tr2bl w:val="nil"/>
                  </w:tcBorders>
                  <w:shd w:val="clear" w:color="auto" w:fill="FFFFFF"/>
                  <w:vAlign w:val="center"/>
                </w:tcPr>
                <w:p w14:paraId="6EAEDE33">
                  <w:pPr>
                    <w:keepNext w:val="0"/>
                    <w:keepLines/>
                    <w:pageBreakBefore w:val="0"/>
                    <w:widowControl/>
                    <w:suppressLineNumbers w:val="0"/>
                    <w:kinsoku/>
                    <w:wordWrap w:val="0"/>
                    <w:overflowPunct/>
                    <w:topLinePunct/>
                    <w:autoSpaceDE/>
                    <w:autoSpaceDN/>
                    <w:bidi w:val="0"/>
                    <w:adjustRightInd w:val="0"/>
                    <w:snapToGrid w:val="0"/>
                    <w:spacing w:before="0" w:beforeAutospacing="0" w:after="0" w:afterAutospacing="0" w:line="240" w:lineRule="auto"/>
                    <w:ind w:left="0" w:right="0"/>
                    <w:jc w:val="center"/>
                    <w:rPr>
                      <w:rFonts w:hint="eastAsia" w:ascii="宋体" w:hAnsi="宋体" w:eastAsia="宋体" w:cs="宋体"/>
                      <w:color w:val="auto"/>
                      <w:sz w:val="22"/>
                      <w:szCs w:val="22"/>
                      <w:highlight w:val="none"/>
                    </w:rPr>
                  </w:pPr>
                  <w:r>
                    <w:rPr>
                      <w:rFonts w:hint="eastAsia" w:ascii="宋体" w:hAnsi="宋体" w:eastAsia="宋体" w:cs="宋体"/>
                      <w:snapToGrid w:val="0"/>
                      <w:color w:val="auto"/>
                      <w:kern w:val="0"/>
                      <w:sz w:val="22"/>
                      <w:szCs w:val="22"/>
                      <w:highlight w:val="none"/>
                      <w:lang w:bidi="ar"/>
                    </w:rPr>
                    <w:t>19</w:t>
                  </w:r>
                </w:p>
              </w:tc>
              <w:tc>
                <w:tcPr>
                  <w:tcW w:w="871" w:type="dxa"/>
                  <w:tcBorders>
                    <w:top w:val="single" w:color="000000" w:sz="4" w:space="0"/>
                    <w:left w:val="single" w:color="000000" w:sz="4" w:space="0"/>
                    <w:bottom w:val="single" w:color="000000" w:sz="4" w:space="0"/>
                    <w:right w:val="single" w:color="000000" w:sz="4" w:space="0"/>
                    <w:tl2br w:val="nil"/>
                    <w:tr2bl w:val="nil"/>
                  </w:tcBorders>
                  <w:shd w:val="clear" w:color="auto" w:fill="FFFFFF"/>
                  <w:vAlign w:val="center"/>
                </w:tcPr>
                <w:p w14:paraId="2EC0AB14">
                  <w:pPr>
                    <w:keepNext w:val="0"/>
                    <w:keepLines/>
                    <w:pageBreakBefore w:val="0"/>
                    <w:widowControl/>
                    <w:suppressLineNumbers w:val="0"/>
                    <w:kinsoku/>
                    <w:wordWrap w:val="0"/>
                    <w:overflowPunct/>
                    <w:topLinePunct/>
                    <w:autoSpaceDE/>
                    <w:autoSpaceDN/>
                    <w:bidi w:val="0"/>
                    <w:adjustRightInd w:val="0"/>
                    <w:snapToGrid w:val="0"/>
                    <w:spacing w:before="0" w:beforeAutospacing="0" w:after="0" w:afterAutospacing="0" w:line="240" w:lineRule="auto"/>
                    <w:ind w:left="0" w:right="0"/>
                    <w:jc w:val="center"/>
                    <w:rPr>
                      <w:rFonts w:hint="eastAsia" w:ascii="宋体" w:hAnsi="宋体" w:eastAsia="宋体" w:cs="宋体"/>
                      <w:color w:val="auto"/>
                      <w:sz w:val="22"/>
                      <w:szCs w:val="22"/>
                      <w:highlight w:val="none"/>
                    </w:rPr>
                  </w:pPr>
                  <w:r>
                    <w:rPr>
                      <w:rFonts w:hint="eastAsia" w:ascii="宋体" w:hAnsi="宋体" w:eastAsia="宋体" w:cs="宋体"/>
                      <w:snapToGrid w:val="0"/>
                      <w:color w:val="auto"/>
                      <w:kern w:val="0"/>
                      <w:sz w:val="22"/>
                      <w:szCs w:val="22"/>
                      <w:highlight w:val="none"/>
                      <w:lang w:bidi="ar"/>
                    </w:rPr>
                    <w:t>20</w:t>
                  </w:r>
                </w:p>
              </w:tc>
              <w:tc>
                <w:tcPr>
                  <w:tcW w:w="717" w:type="dxa"/>
                  <w:tcBorders>
                    <w:top w:val="single" w:color="000000" w:sz="4" w:space="0"/>
                    <w:left w:val="single" w:color="000000" w:sz="4" w:space="0"/>
                    <w:bottom w:val="single" w:color="000000" w:sz="4" w:space="0"/>
                    <w:right w:val="single" w:color="000000" w:sz="4" w:space="0"/>
                    <w:tl2br w:val="nil"/>
                    <w:tr2bl w:val="nil"/>
                  </w:tcBorders>
                  <w:shd w:val="clear" w:color="auto" w:fill="FFFFFF"/>
                  <w:vAlign w:val="center"/>
                </w:tcPr>
                <w:p w14:paraId="3E644310">
                  <w:pPr>
                    <w:keepNext w:val="0"/>
                    <w:keepLines/>
                    <w:pageBreakBefore w:val="0"/>
                    <w:widowControl/>
                    <w:suppressLineNumbers w:val="0"/>
                    <w:kinsoku/>
                    <w:wordWrap w:val="0"/>
                    <w:overflowPunct/>
                    <w:topLinePunct/>
                    <w:autoSpaceDE/>
                    <w:autoSpaceDN/>
                    <w:bidi w:val="0"/>
                    <w:adjustRightInd w:val="0"/>
                    <w:snapToGrid w:val="0"/>
                    <w:spacing w:before="0" w:beforeAutospacing="0" w:after="0" w:afterAutospacing="0" w:line="240" w:lineRule="auto"/>
                    <w:ind w:left="0" w:right="0"/>
                    <w:jc w:val="center"/>
                    <w:rPr>
                      <w:rFonts w:hint="eastAsia" w:ascii="宋体" w:hAnsi="宋体" w:eastAsia="宋体" w:cs="宋体"/>
                      <w:color w:val="auto"/>
                      <w:sz w:val="22"/>
                      <w:szCs w:val="22"/>
                      <w:highlight w:val="none"/>
                    </w:rPr>
                  </w:pPr>
                  <w:r>
                    <w:rPr>
                      <w:rFonts w:hint="eastAsia" w:ascii="宋体" w:hAnsi="宋体" w:eastAsia="宋体" w:cs="宋体"/>
                      <w:snapToGrid w:val="0"/>
                      <w:color w:val="auto"/>
                      <w:kern w:val="0"/>
                      <w:sz w:val="22"/>
                      <w:szCs w:val="22"/>
                      <w:highlight w:val="none"/>
                      <w:lang w:bidi="ar"/>
                    </w:rPr>
                    <w:t>21</w:t>
                  </w:r>
                </w:p>
              </w:tc>
            </w:tr>
            <w:tr w14:paraId="6709504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8" w:hRule="atLeast"/>
                <w:jc w:val="center"/>
              </w:trPr>
              <w:tc>
                <w:tcPr>
                  <w:tcW w:w="1023" w:type="dxa"/>
                  <w:tcBorders>
                    <w:top w:val="single" w:color="000000" w:sz="4" w:space="0"/>
                    <w:left w:val="single" w:color="000000" w:sz="4" w:space="0"/>
                    <w:bottom w:val="single" w:color="000000" w:sz="4" w:space="0"/>
                    <w:right w:val="single" w:color="000000" w:sz="4" w:space="0"/>
                    <w:tl2br w:val="nil"/>
                    <w:tr2bl w:val="nil"/>
                  </w:tcBorders>
                  <w:shd w:val="clear" w:color="auto" w:fill="FFFFFF"/>
                  <w:vAlign w:val="center"/>
                </w:tcPr>
                <w:p w14:paraId="157ABE2B">
                  <w:pPr>
                    <w:keepNext w:val="0"/>
                    <w:keepLines/>
                    <w:pageBreakBefore w:val="0"/>
                    <w:widowControl/>
                    <w:suppressLineNumbers w:val="0"/>
                    <w:kinsoku/>
                    <w:wordWrap w:val="0"/>
                    <w:overflowPunct/>
                    <w:topLinePunct/>
                    <w:autoSpaceDE/>
                    <w:autoSpaceDN/>
                    <w:bidi w:val="0"/>
                    <w:adjustRightInd w:val="0"/>
                    <w:snapToGrid w:val="0"/>
                    <w:spacing w:before="0" w:beforeAutospacing="0" w:after="0" w:afterAutospacing="0" w:line="240" w:lineRule="auto"/>
                    <w:ind w:left="0" w:right="0"/>
                    <w:jc w:val="center"/>
                    <w:rPr>
                      <w:rFonts w:hint="eastAsia" w:ascii="宋体" w:hAnsi="宋体" w:eastAsia="宋体" w:cs="宋体"/>
                      <w:color w:val="auto"/>
                      <w:sz w:val="22"/>
                      <w:szCs w:val="22"/>
                      <w:highlight w:val="none"/>
                    </w:rPr>
                  </w:pPr>
                  <w:r>
                    <w:rPr>
                      <w:rFonts w:hint="eastAsia" w:ascii="宋体" w:hAnsi="宋体" w:eastAsia="宋体" w:cs="宋体"/>
                      <w:snapToGrid w:val="0"/>
                      <w:color w:val="auto"/>
                      <w:kern w:val="0"/>
                      <w:sz w:val="22"/>
                      <w:szCs w:val="22"/>
                      <w:highlight w:val="none"/>
                      <w:lang w:bidi="ar"/>
                    </w:rPr>
                    <w:t>下浮系数（</w:t>
                  </w:r>
                  <w:r>
                    <w:rPr>
                      <w:rFonts w:hint="eastAsia" w:ascii="宋体" w:hAnsi="宋体" w:eastAsia="宋体" w:cs="宋体"/>
                      <w:color w:val="auto"/>
                      <w:kern w:val="0"/>
                      <w:sz w:val="22"/>
                      <w:szCs w:val="22"/>
                      <w:highlight w:val="none"/>
                      <w:lang w:bidi="ar"/>
                    </w:rPr>
                    <w:t>%</w:t>
                  </w:r>
                  <w:r>
                    <w:rPr>
                      <w:rFonts w:hint="eastAsia" w:ascii="宋体" w:hAnsi="宋体" w:eastAsia="宋体" w:cs="宋体"/>
                      <w:snapToGrid w:val="0"/>
                      <w:color w:val="auto"/>
                      <w:kern w:val="0"/>
                      <w:sz w:val="22"/>
                      <w:szCs w:val="22"/>
                      <w:highlight w:val="none"/>
                      <w:lang w:bidi="ar"/>
                    </w:rPr>
                    <w:t>）</w:t>
                  </w:r>
                </w:p>
              </w:tc>
              <w:tc>
                <w:tcPr>
                  <w:tcW w:w="1128" w:type="dxa"/>
                  <w:tcBorders>
                    <w:top w:val="single" w:color="000000" w:sz="4" w:space="0"/>
                    <w:left w:val="single" w:color="000000" w:sz="4" w:space="0"/>
                    <w:bottom w:val="single" w:color="000000" w:sz="4" w:space="0"/>
                    <w:right w:val="single" w:color="000000" w:sz="4" w:space="0"/>
                    <w:tl2br w:val="nil"/>
                    <w:tr2bl w:val="nil"/>
                  </w:tcBorders>
                  <w:shd w:val="clear" w:color="auto" w:fill="FFFFFF"/>
                  <w:vAlign w:val="center"/>
                </w:tcPr>
                <w:p w14:paraId="6ADEB7E4">
                  <w:pPr>
                    <w:keepNext w:val="0"/>
                    <w:keepLines w:val="0"/>
                    <w:widowControl/>
                    <w:suppressLineNumbers w:val="0"/>
                    <w:spacing w:before="0" w:beforeAutospacing="0" w:after="0" w:afterAutospacing="0" w:line="240" w:lineRule="auto"/>
                    <w:ind w:left="0" w:right="0"/>
                    <w:jc w:val="center"/>
                    <w:textAlignment w:val="center"/>
                    <w:rPr>
                      <w:rFonts w:hint="eastAsia" w:ascii="宋体" w:hAnsi="宋体" w:eastAsia="宋体" w:cs="宋体"/>
                      <w:color w:val="auto"/>
                      <w:sz w:val="22"/>
                      <w:szCs w:val="22"/>
                      <w:highlight w:val="none"/>
                    </w:rPr>
                  </w:pPr>
                  <w:r>
                    <w:rPr>
                      <w:rFonts w:hint="eastAsia" w:ascii="宋体" w:hAnsi="宋体" w:eastAsia="宋体" w:cs="宋体"/>
                      <w:i w:val="0"/>
                      <w:iCs w:val="0"/>
                      <w:snapToGrid w:val="0"/>
                      <w:color w:val="auto"/>
                      <w:kern w:val="0"/>
                      <w:sz w:val="22"/>
                      <w:szCs w:val="22"/>
                      <w:highlight w:val="none"/>
                      <w:u w:val="none"/>
                      <w:lang w:val="en-US" w:eastAsia="zh-CN" w:bidi="ar"/>
                    </w:rPr>
                    <w:t>4.40</w:t>
                  </w:r>
                </w:p>
              </w:tc>
              <w:tc>
                <w:tcPr>
                  <w:tcW w:w="724" w:type="dxa"/>
                  <w:tcBorders>
                    <w:top w:val="single" w:color="000000" w:sz="4" w:space="0"/>
                    <w:left w:val="single" w:color="000000" w:sz="4" w:space="0"/>
                    <w:bottom w:val="single" w:color="000000" w:sz="4" w:space="0"/>
                    <w:right w:val="single" w:color="000000" w:sz="4" w:space="0"/>
                    <w:tl2br w:val="nil"/>
                    <w:tr2bl w:val="nil"/>
                  </w:tcBorders>
                  <w:shd w:val="clear" w:color="auto" w:fill="FFFFFF"/>
                  <w:vAlign w:val="center"/>
                </w:tcPr>
                <w:p w14:paraId="6B6A04E1">
                  <w:pPr>
                    <w:keepNext w:val="0"/>
                    <w:keepLines w:val="0"/>
                    <w:widowControl/>
                    <w:suppressLineNumbers w:val="0"/>
                    <w:spacing w:before="0" w:beforeAutospacing="0" w:after="0" w:afterAutospacing="0" w:line="240" w:lineRule="auto"/>
                    <w:ind w:left="0" w:right="0"/>
                    <w:jc w:val="center"/>
                    <w:textAlignment w:val="center"/>
                    <w:rPr>
                      <w:rFonts w:hint="eastAsia" w:ascii="宋体" w:hAnsi="宋体" w:eastAsia="宋体" w:cs="宋体"/>
                      <w:color w:val="auto"/>
                      <w:sz w:val="22"/>
                      <w:szCs w:val="22"/>
                      <w:highlight w:val="none"/>
                    </w:rPr>
                  </w:pPr>
                  <w:r>
                    <w:rPr>
                      <w:rFonts w:hint="eastAsia" w:ascii="宋体" w:hAnsi="宋体" w:eastAsia="宋体" w:cs="宋体"/>
                      <w:i w:val="0"/>
                      <w:iCs w:val="0"/>
                      <w:snapToGrid w:val="0"/>
                      <w:color w:val="auto"/>
                      <w:kern w:val="0"/>
                      <w:sz w:val="22"/>
                      <w:szCs w:val="22"/>
                      <w:highlight w:val="none"/>
                      <w:u w:val="none"/>
                      <w:lang w:val="en-US" w:eastAsia="zh-CN" w:bidi="ar"/>
                    </w:rPr>
                    <w:t>4.50</w:t>
                  </w:r>
                </w:p>
              </w:tc>
              <w:tc>
                <w:tcPr>
                  <w:tcW w:w="838" w:type="dxa"/>
                  <w:tcBorders>
                    <w:top w:val="single" w:color="000000" w:sz="4" w:space="0"/>
                    <w:left w:val="single" w:color="000000" w:sz="4" w:space="0"/>
                    <w:bottom w:val="single" w:color="000000" w:sz="4" w:space="0"/>
                    <w:right w:val="single" w:color="000000" w:sz="4" w:space="0"/>
                    <w:tl2br w:val="nil"/>
                    <w:tr2bl w:val="nil"/>
                  </w:tcBorders>
                  <w:shd w:val="clear" w:color="auto" w:fill="FFFFFF"/>
                  <w:vAlign w:val="center"/>
                </w:tcPr>
                <w:p w14:paraId="3F87C1DB">
                  <w:pPr>
                    <w:keepNext w:val="0"/>
                    <w:keepLines w:val="0"/>
                    <w:widowControl/>
                    <w:suppressLineNumbers w:val="0"/>
                    <w:spacing w:before="0" w:beforeAutospacing="0" w:after="0" w:afterAutospacing="0" w:line="240" w:lineRule="auto"/>
                    <w:ind w:left="0" w:right="0"/>
                    <w:jc w:val="center"/>
                    <w:textAlignment w:val="center"/>
                    <w:rPr>
                      <w:rFonts w:hint="eastAsia" w:ascii="宋体" w:hAnsi="宋体" w:eastAsia="宋体" w:cs="宋体"/>
                      <w:color w:val="auto"/>
                      <w:sz w:val="22"/>
                      <w:szCs w:val="22"/>
                      <w:highlight w:val="none"/>
                    </w:rPr>
                  </w:pPr>
                  <w:r>
                    <w:rPr>
                      <w:rFonts w:hint="eastAsia" w:ascii="宋体" w:hAnsi="宋体" w:eastAsia="宋体" w:cs="宋体"/>
                      <w:i w:val="0"/>
                      <w:iCs w:val="0"/>
                      <w:snapToGrid w:val="0"/>
                      <w:color w:val="auto"/>
                      <w:kern w:val="0"/>
                      <w:sz w:val="22"/>
                      <w:szCs w:val="22"/>
                      <w:highlight w:val="none"/>
                      <w:u w:val="none"/>
                      <w:lang w:val="en-US" w:eastAsia="zh-CN" w:bidi="ar"/>
                    </w:rPr>
                    <w:t>4.60</w:t>
                  </w:r>
                </w:p>
              </w:tc>
              <w:tc>
                <w:tcPr>
                  <w:tcW w:w="792" w:type="dxa"/>
                  <w:tcBorders>
                    <w:top w:val="single" w:color="000000" w:sz="4" w:space="0"/>
                    <w:left w:val="single" w:color="000000" w:sz="4" w:space="0"/>
                    <w:bottom w:val="single" w:color="000000" w:sz="4" w:space="0"/>
                    <w:right w:val="single" w:color="000000" w:sz="4" w:space="0"/>
                    <w:tl2br w:val="nil"/>
                    <w:tr2bl w:val="nil"/>
                  </w:tcBorders>
                  <w:shd w:val="clear" w:color="auto" w:fill="FFFFFF"/>
                  <w:vAlign w:val="center"/>
                </w:tcPr>
                <w:p w14:paraId="361946F2">
                  <w:pPr>
                    <w:keepNext w:val="0"/>
                    <w:keepLines w:val="0"/>
                    <w:widowControl/>
                    <w:suppressLineNumbers w:val="0"/>
                    <w:spacing w:before="0" w:beforeAutospacing="0" w:after="0" w:afterAutospacing="0" w:line="240" w:lineRule="auto"/>
                    <w:ind w:left="0" w:right="0"/>
                    <w:jc w:val="center"/>
                    <w:textAlignment w:val="center"/>
                    <w:rPr>
                      <w:rFonts w:hint="eastAsia" w:ascii="宋体" w:hAnsi="宋体" w:eastAsia="宋体" w:cs="宋体"/>
                      <w:color w:val="auto"/>
                      <w:sz w:val="22"/>
                      <w:szCs w:val="22"/>
                      <w:highlight w:val="none"/>
                    </w:rPr>
                  </w:pPr>
                  <w:r>
                    <w:rPr>
                      <w:rFonts w:hint="eastAsia" w:ascii="宋体" w:hAnsi="宋体" w:eastAsia="宋体" w:cs="宋体"/>
                      <w:i w:val="0"/>
                      <w:iCs w:val="0"/>
                      <w:snapToGrid w:val="0"/>
                      <w:color w:val="auto"/>
                      <w:kern w:val="0"/>
                      <w:sz w:val="22"/>
                      <w:szCs w:val="22"/>
                      <w:highlight w:val="none"/>
                      <w:u w:val="none"/>
                      <w:lang w:val="en-US" w:eastAsia="zh-CN" w:bidi="ar"/>
                    </w:rPr>
                    <w:t>4.70</w:t>
                  </w:r>
                </w:p>
              </w:tc>
              <w:tc>
                <w:tcPr>
                  <w:tcW w:w="923" w:type="dxa"/>
                  <w:tcBorders>
                    <w:top w:val="single" w:color="000000" w:sz="4" w:space="0"/>
                    <w:left w:val="single" w:color="000000" w:sz="4" w:space="0"/>
                    <w:bottom w:val="single" w:color="000000" w:sz="4" w:space="0"/>
                    <w:right w:val="single" w:color="000000" w:sz="4" w:space="0"/>
                    <w:tl2br w:val="nil"/>
                    <w:tr2bl w:val="nil"/>
                  </w:tcBorders>
                  <w:shd w:val="clear" w:color="auto" w:fill="FFFFFF"/>
                  <w:vAlign w:val="center"/>
                </w:tcPr>
                <w:p w14:paraId="12B95BF3">
                  <w:pPr>
                    <w:keepNext w:val="0"/>
                    <w:keepLines w:val="0"/>
                    <w:widowControl/>
                    <w:suppressLineNumbers w:val="0"/>
                    <w:spacing w:before="0" w:beforeAutospacing="0" w:after="0" w:afterAutospacing="0" w:line="240" w:lineRule="auto"/>
                    <w:ind w:left="0" w:right="0"/>
                    <w:jc w:val="center"/>
                    <w:textAlignment w:val="center"/>
                    <w:rPr>
                      <w:rFonts w:hint="eastAsia" w:ascii="宋体" w:hAnsi="宋体" w:eastAsia="宋体" w:cs="宋体"/>
                      <w:color w:val="auto"/>
                      <w:sz w:val="22"/>
                      <w:szCs w:val="22"/>
                      <w:highlight w:val="none"/>
                    </w:rPr>
                  </w:pPr>
                  <w:r>
                    <w:rPr>
                      <w:rFonts w:hint="eastAsia" w:ascii="宋体" w:hAnsi="宋体" w:eastAsia="宋体" w:cs="宋体"/>
                      <w:i w:val="0"/>
                      <w:iCs w:val="0"/>
                      <w:snapToGrid w:val="0"/>
                      <w:color w:val="auto"/>
                      <w:kern w:val="0"/>
                      <w:sz w:val="22"/>
                      <w:szCs w:val="22"/>
                      <w:highlight w:val="none"/>
                      <w:u w:val="none"/>
                      <w:lang w:val="en-US" w:eastAsia="zh-CN" w:bidi="ar"/>
                    </w:rPr>
                    <w:t>4.80</w:t>
                  </w:r>
                </w:p>
              </w:tc>
              <w:tc>
                <w:tcPr>
                  <w:tcW w:w="871" w:type="dxa"/>
                  <w:tcBorders>
                    <w:top w:val="single" w:color="000000" w:sz="4" w:space="0"/>
                    <w:left w:val="single" w:color="000000" w:sz="4" w:space="0"/>
                    <w:bottom w:val="single" w:color="000000" w:sz="4" w:space="0"/>
                    <w:right w:val="single" w:color="000000" w:sz="4" w:space="0"/>
                    <w:tl2br w:val="nil"/>
                    <w:tr2bl w:val="nil"/>
                  </w:tcBorders>
                  <w:shd w:val="clear" w:color="auto" w:fill="FFFFFF"/>
                  <w:vAlign w:val="center"/>
                </w:tcPr>
                <w:p w14:paraId="4FAB98CE">
                  <w:pPr>
                    <w:keepNext w:val="0"/>
                    <w:keepLines w:val="0"/>
                    <w:widowControl/>
                    <w:suppressLineNumbers w:val="0"/>
                    <w:spacing w:before="0" w:beforeAutospacing="0" w:after="0" w:afterAutospacing="0" w:line="240" w:lineRule="auto"/>
                    <w:ind w:left="0" w:right="0"/>
                    <w:jc w:val="center"/>
                    <w:textAlignment w:val="center"/>
                    <w:rPr>
                      <w:rFonts w:hint="eastAsia" w:ascii="宋体" w:hAnsi="宋体" w:eastAsia="宋体" w:cs="宋体"/>
                      <w:color w:val="auto"/>
                      <w:sz w:val="22"/>
                      <w:szCs w:val="22"/>
                      <w:highlight w:val="none"/>
                    </w:rPr>
                  </w:pPr>
                  <w:r>
                    <w:rPr>
                      <w:rFonts w:hint="eastAsia" w:ascii="宋体" w:hAnsi="宋体" w:eastAsia="宋体" w:cs="宋体"/>
                      <w:i w:val="0"/>
                      <w:iCs w:val="0"/>
                      <w:snapToGrid w:val="0"/>
                      <w:color w:val="auto"/>
                      <w:kern w:val="0"/>
                      <w:sz w:val="22"/>
                      <w:szCs w:val="22"/>
                      <w:highlight w:val="none"/>
                      <w:u w:val="none"/>
                      <w:lang w:val="en-US" w:eastAsia="zh-CN" w:bidi="ar"/>
                    </w:rPr>
                    <w:t>4.90</w:t>
                  </w:r>
                </w:p>
              </w:tc>
              <w:tc>
                <w:tcPr>
                  <w:tcW w:w="717" w:type="dxa"/>
                  <w:tcBorders>
                    <w:top w:val="single" w:color="000000" w:sz="4" w:space="0"/>
                    <w:left w:val="single" w:color="000000" w:sz="4" w:space="0"/>
                    <w:bottom w:val="single" w:color="000000" w:sz="4" w:space="0"/>
                    <w:right w:val="single" w:color="000000" w:sz="4" w:space="0"/>
                    <w:tl2br w:val="nil"/>
                    <w:tr2bl w:val="nil"/>
                  </w:tcBorders>
                  <w:shd w:val="clear" w:color="auto" w:fill="FFFFFF"/>
                  <w:vAlign w:val="center"/>
                </w:tcPr>
                <w:p w14:paraId="64AEE54A">
                  <w:pPr>
                    <w:keepNext w:val="0"/>
                    <w:keepLines w:val="0"/>
                    <w:widowControl/>
                    <w:suppressLineNumbers w:val="0"/>
                    <w:spacing w:before="0" w:beforeAutospacing="0" w:after="0" w:afterAutospacing="0" w:line="240" w:lineRule="auto"/>
                    <w:ind w:left="0" w:right="0"/>
                    <w:jc w:val="center"/>
                    <w:textAlignment w:val="center"/>
                    <w:rPr>
                      <w:rFonts w:hint="eastAsia" w:ascii="宋体" w:hAnsi="宋体" w:eastAsia="宋体" w:cs="宋体"/>
                      <w:color w:val="auto"/>
                      <w:sz w:val="22"/>
                      <w:szCs w:val="22"/>
                      <w:highlight w:val="none"/>
                    </w:rPr>
                  </w:pPr>
                  <w:r>
                    <w:rPr>
                      <w:rFonts w:hint="eastAsia" w:ascii="宋体" w:hAnsi="宋体" w:eastAsia="宋体" w:cs="宋体"/>
                      <w:i w:val="0"/>
                      <w:iCs w:val="0"/>
                      <w:snapToGrid w:val="0"/>
                      <w:color w:val="auto"/>
                      <w:kern w:val="0"/>
                      <w:sz w:val="22"/>
                      <w:szCs w:val="22"/>
                      <w:highlight w:val="none"/>
                      <w:u w:val="none"/>
                      <w:lang w:val="en-US" w:eastAsia="zh-CN" w:bidi="ar"/>
                    </w:rPr>
                    <w:t>5.00</w:t>
                  </w:r>
                </w:p>
              </w:tc>
            </w:tr>
          </w:tbl>
          <w:p w14:paraId="4BC714EF">
            <w:pPr>
              <w:pStyle w:val="7"/>
              <w:keepNext w:val="0"/>
              <w:keepLines w:val="0"/>
              <w:pageBreakBefore w:val="0"/>
              <w:numPr>
                <w:ilvl w:val="0"/>
                <w:numId w:val="0"/>
              </w:numPr>
              <w:suppressLineNumbers w:val="0"/>
              <w:kinsoku/>
              <w:overflowPunct/>
              <w:topLinePunct w:val="0"/>
              <w:autoSpaceDE/>
              <w:autoSpaceDN/>
              <w:bidi w:val="0"/>
              <w:spacing w:before="0" w:beforeLines="0" w:beforeAutospacing="0" w:after="0" w:afterLines="0" w:afterAutospacing="0" w:line="240" w:lineRule="auto"/>
              <w:ind w:left="0" w:leftChars="0" w:right="0" w:rightChars="0" w:firstLine="0" w:firstLineChars="0"/>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（2）评标基准价D＝招标控制价×（1－n）</w:t>
            </w:r>
          </w:p>
        </w:tc>
      </w:tr>
      <w:tr w14:paraId="3F33D5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79" w:hRule="atLeast"/>
          <w:jc w:val="center"/>
        </w:trPr>
        <w:tc>
          <w:tcPr>
            <w:tcW w:w="1023" w:type="dxa"/>
            <w:vMerge w:val="continue"/>
            <w:tcBorders>
              <w:top w:val="single" w:color="auto" w:sz="4" w:space="0"/>
              <w:left w:val="single" w:color="auto" w:sz="4" w:space="0"/>
              <w:bottom w:val="single" w:color="auto" w:sz="4" w:space="0"/>
              <w:right w:val="single" w:color="auto" w:sz="4" w:space="0"/>
              <w:tl2br w:val="nil"/>
              <w:tr2bl w:val="nil"/>
            </w:tcBorders>
            <w:vAlign w:val="top"/>
          </w:tcPr>
          <w:p w14:paraId="6BCBF8FE">
            <w:pPr>
              <w:keepNext w:val="0"/>
              <w:keepLines w:val="0"/>
              <w:pageBreakBefore w:val="0"/>
              <w:widowControl/>
              <w:suppressLineNumbers w:val="0"/>
              <w:kinsoku/>
              <w:overflowPunct/>
              <w:topLinePunct w:val="0"/>
              <w:autoSpaceDE/>
              <w:autoSpaceDN/>
              <w:bidi w:val="0"/>
              <w:spacing w:before="0" w:beforeLines="0" w:beforeAutospacing="0" w:after="0" w:afterLines="0" w:afterAutospacing="0" w:line="240" w:lineRule="auto"/>
              <w:ind w:left="0" w:right="0"/>
              <w:jc w:val="left"/>
              <w:rPr>
                <w:rFonts w:hint="eastAsia" w:ascii="宋体" w:hAnsi="宋体" w:eastAsia="宋体" w:cs="宋体"/>
                <w:color w:val="auto"/>
                <w:kern w:val="0"/>
                <w:sz w:val="22"/>
                <w:szCs w:val="22"/>
                <w:highlight w:val="none"/>
              </w:rPr>
            </w:pPr>
          </w:p>
        </w:tc>
        <w:tc>
          <w:tcPr>
            <w:tcW w:w="1945" w:type="dxa"/>
            <w:gridSpan w:val="2"/>
            <w:tcBorders>
              <w:top w:val="single" w:color="auto" w:sz="4" w:space="0"/>
              <w:left w:val="single" w:color="auto" w:sz="4" w:space="0"/>
              <w:bottom w:val="single" w:color="auto" w:sz="4" w:space="0"/>
              <w:right w:val="single" w:color="auto" w:sz="4" w:space="0"/>
              <w:tl2br w:val="nil"/>
              <w:tr2bl w:val="nil"/>
            </w:tcBorders>
            <w:vAlign w:val="center"/>
          </w:tcPr>
          <w:p w14:paraId="45588546">
            <w:pPr>
              <w:keepNext/>
              <w:keepLines w:val="0"/>
              <w:pageBreakBefore w:val="0"/>
              <w:widowControl/>
              <w:suppressLineNumbers w:val="0"/>
              <w:kinsoku/>
              <w:overflowPunct/>
              <w:topLinePunct w:val="0"/>
              <w:autoSpaceDE/>
              <w:autoSpaceDN/>
              <w:bidi w:val="0"/>
              <w:snapToGrid w:val="0"/>
              <w:spacing w:before="0" w:beforeLines="0" w:beforeAutospacing="0" w:after="0" w:afterLines="0" w:afterAutospacing="0" w:line="240" w:lineRule="auto"/>
              <w:ind w:left="0" w:leftChars="0" w:right="0" w:rightChars="0"/>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投标报价得分N</w:t>
            </w:r>
          </w:p>
        </w:tc>
        <w:tc>
          <w:tcPr>
            <w:tcW w:w="7440" w:type="dxa"/>
            <w:gridSpan w:val="2"/>
            <w:tcBorders>
              <w:top w:val="single" w:color="auto" w:sz="4" w:space="0"/>
              <w:left w:val="single" w:color="auto" w:sz="4" w:space="0"/>
              <w:bottom w:val="single" w:color="auto" w:sz="4" w:space="0"/>
              <w:right w:val="single" w:color="auto" w:sz="4" w:space="0"/>
              <w:tl2br w:val="nil"/>
              <w:tr2bl w:val="nil"/>
            </w:tcBorders>
            <w:vAlign w:val="center"/>
          </w:tcPr>
          <w:p w14:paraId="09E9F34D">
            <w:pPr>
              <w:keepNext/>
              <w:keepLines w:val="0"/>
              <w:pageBreakBefore w:val="0"/>
              <w:widowControl/>
              <w:suppressLineNumbers w:val="0"/>
              <w:kinsoku/>
              <w:overflowPunct/>
              <w:topLinePunct w:val="0"/>
              <w:autoSpaceDE/>
              <w:autoSpaceDN/>
              <w:bidi w:val="0"/>
              <w:spacing w:before="0" w:beforeLines="0" w:beforeAutospacing="0" w:after="0" w:afterLines="0" w:afterAutospacing="0" w:line="240" w:lineRule="auto"/>
              <w:ind w:left="0" w:right="0"/>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采用内插法计算某投标人的投标报价得分N，即当投标人的投标总价等于评标基准价时得</w:t>
            </w:r>
            <w:r>
              <w:rPr>
                <w:rFonts w:hint="eastAsia" w:hAnsi="宋体" w:eastAsia="宋体" w:cs="宋体"/>
                <w:color w:val="auto"/>
                <w:sz w:val="22"/>
                <w:szCs w:val="22"/>
                <w:highlight w:val="none"/>
                <w:lang w:val="en-US" w:eastAsia="zh-CN"/>
              </w:rPr>
              <w:t>4</w:t>
            </w:r>
            <w:r>
              <w:rPr>
                <w:rFonts w:hint="eastAsia" w:ascii="宋体" w:hAnsi="宋体" w:eastAsia="宋体" w:cs="宋体"/>
                <w:color w:val="auto"/>
                <w:sz w:val="22"/>
                <w:szCs w:val="22"/>
                <w:highlight w:val="none"/>
              </w:rPr>
              <w:t>0分，每高于评标基准价一个百分点扣1分</w:t>
            </w:r>
            <w:r>
              <w:rPr>
                <w:rFonts w:hint="eastAsia" w:hAnsi="宋体" w:eastAsia="宋体" w:cs="宋体"/>
                <w:color w:val="auto"/>
                <w:sz w:val="22"/>
                <w:szCs w:val="22"/>
                <w:highlight w:val="none"/>
                <w:lang w:eastAsia="zh-CN"/>
              </w:rPr>
              <w:t>，</w:t>
            </w:r>
            <w:r>
              <w:rPr>
                <w:rFonts w:hint="eastAsia" w:ascii="宋体" w:hAnsi="宋体" w:eastAsia="宋体" w:cs="宋体"/>
                <w:color w:val="auto"/>
                <w:sz w:val="22"/>
                <w:szCs w:val="22"/>
                <w:highlight w:val="none"/>
              </w:rPr>
              <w:t>每低于评标基准价一个百分点扣0.5分，扣完为止。公式如下：</w:t>
            </w:r>
          </w:p>
          <w:p w14:paraId="6CEAF590">
            <w:pPr>
              <w:keepNext/>
              <w:keepLines w:val="0"/>
              <w:pageBreakBefore w:val="0"/>
              <w:widowControl/>
              <w:suppressLineNumbers w:val="0"/>
              <w:kinsoku/>
              <w:overflowPunct/>
              <w:topLinePunct w:val="0"/>
              <w:autoSpaceDE/>
              <w:autoSpaceDN/>
              <w:bidi w:val="0"/>
              <w:spacing w:before="0" w:beforeLines="0" w:beforeAutospacing="0" w:after="0" w:afterLines="0" w:afterAutospacing="0" w:line="240" w:lineRule="auto"/>
              <w:ind w:left="0" w:right="0"/>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N</w:t>
            </w:r>
            <w:r>
              <w:rPr>
                <w:rFonts w:hint="eastAsia" w:hAnsi="宋体" w:eastAsia="宋体" w:cs="宋体"/>
                <w:color w:val="auto"/>
                <w:sz w:val="22"/>
                <w:szCs w:val="22"/>
                <w:highlight w:val="none"/>
                <w:lang w:eastAsia="zh-CN"/>
              </w:rPr>
              <w:t>=</w:t>
            </w:r>
            <w:r>
              <w:rPr>
                <w:rFonts w:hint="eastAsia" w:hAnsi="宋体" w:eastAsia="宋体" w:cs="宋体"/>
                <w:color w:val="auto"/>
                <w:sz w:val="22"/>
                <w:szCs w:val="22"/>
                <w:highlight w:val="none"/>
                <w:lang w:val="en-US" w:eastAsia="zh-CN"/>
              </w:rPr>
              <w:t>4</w:t>
            </w:r>
            <w:r>
              <w:rPr>
                <w:rFonts w:hint="eastAsia" w:ascii="宋体" w:hAnsi="宋体" w:eastAsia="宋体" w:cs="宋体"/>
                <w:color w:val="auto"/>
                <w:sz w:val="22"/>
                <w:szCs w:val="22"/>
                <w:highlight w:val="none"/>
              </w:rPr>
              <w:t>0</w:t>
            </w:r>
            <w:r>
              <w:rPr>
                <w:rFonts w:hint="eastAsia" w:hAnsi="宋体" w:eastAsia="宋体" w:cs="宋体"/>
                <w:color w:val="auto"/>
                <w:sz w:val="22"/>
                <w:szCs w:val="22"/>
                <w:highlight w:val="none"/>
                <w:lang w:eastAsia="zh-CN"/>
              </w:rPr>
              <w:t>-(</w:t>
            </w:r>
            <w:r>
              <w:rPr>
                <w:rFonts w:hint="eastAsia" w:ascii="宋体" w:hAnsi="宋体" w:eastAsia="宋体" w:cs="宋体"/>
                <w:color w:val="auto"/>
                <w:sz w:val="22"/>
                <w:szCs w:val="22"/>
                <w:highlight w:val="none"/>
              </w:rPr>
              <w:t>|Di</w:t>
            </w:r>
            <w:r>
              <w:rPr>
                <w:rFonts w:hint="eastAsia" w:hAnsi="宋体" w:eastAsia="宋体" w:cs="宋体"/>
                <w:color w:val="auto"/>
                <w:sz w:val="22"/>
                <w:szCs w:val="22"/>
                <w:highlight w:val="none"/>
                <w:lang w:eastAsia="zh-CN"/>
              </w:rPr>
              <w:t>-</w:t>
            </w:r>
            <w:r>
              <w:rPr>
                <w:rFonts w:hint="eastAsia" w:ascii="宋体" w:hAnsi="宋体" w:eastAsia="宋体" w:cs="宋体"/>
                <w:color w:val="auto"/>
                <w:sz w:val="22"/>
                <w:szCs w:val="22"/>
                <w:highlight w:val="none"/>
              </w:rPr>
              <w:t>D|÷D</w:t>
            </w:r>
            <w:r>
              <w:rPr>
                <w:rFonts w:hint="eastAsia" w:hAnsi="宋体" w:eastAsia="宋体" w:cs="宋体"/>
                <w:color w:val="auto"/>
                <w:sz w:val="22"/>
                <w:szCs w:val="22"/>
                <w:highlight w:val="none"/>
                <w:lang w:eastAsia="zh-CN"/>
              </w:rPr>
              <w:t>)</w:t>
            </w:r>
            <w:r>
              <w:rPr>
                <w:rFonts w:hint="eastAsia" w:ascii="宋体" w:hAnsi="宋体" w:eastAsia="宋体" w:cs="宋体"/>
                <w:color w:val="auto"/>
                <w:sz w:val="22"/>
                <w:szCs w:val="22"/>
                <w:highlight w:val="none"/>
              </w:rPr>
              <w:t>×100×E</w:t>
            </w:r>
          </w:p>
          <w:p w14:paraId="678DB598">
            <w:pPr>
              <w:pStyle w:val="7"/>
              <w:keepNext w:val="0"/>
              <w:keepLines w:val="0"/>
              <w:pageBreakBefore w:val="0"/>
              <w:numPr>
                <w:ilvl w:val="0"/>
                <w:numId w:val="0"/>
              </w:numPr>
              <w:suppressLineNumbers w:val="0"/>
              <w:kinsoku/>
              <w:overflowPunct/>
              <w:topLinePunct w:val="0"/>
              <w:autoSpaceDE/>
              <w:autoSpaceDN/>
              <w:bidi w:val="0"/>
              <w:spacing w:before="0" w:beforeLines="0" w:beforeAutospacing="0" w:after="0" w:afterLines="0" w:afterAutospacing="0" w:line="240" w:lineRule="auto"/>
              <w:ind w:left="0" w:leftChars="0" w:right="0" w:rightChars="0" w:firstLine="0" w:firstLineChars="0"/>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式中：D为评标基准价；Di为某投标人的投标总价；E为扣分因子，当Di＞D时，E＝1；当Di＜D时，E＝0.5。</w:t>
            </w:r>
          </w:p>
        </w:tc>
      </w:tr>
      <w:tr w14:paraId="6C23B5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8" w:hRule="atLeast"/>
          <w:jc w:val="center"/>
        </w:trPr>
        <w:tc>
          <w:tcPr>
            <w:tcW w:w="1023" w:type="dxa"/>
            <w:vMerge w:val="continue"/>
            <w:tcBorders>
              <w:top w:val="single" w:color="auto" w:sz="4" w:space="0"/>
              <w:left w:val="single" w:color="auto" w:sz="4" w:space="0"/>
              <w:bottom w:val="single" w:color="auto" w:sz="4" w:space="0"/>
              <w:right w:val="single" w:color="auto" w:sz="4" w:space="0"/>
              <w:tl2br w:val="nil"/>
              <w:tr2bl w:val="nil"/>
            </w:tcBorders>
            <w:vAlign w:val="top"/>
          </w:tcPr>
          <w:p w14:paraId="0BFE502F">
            <w:pPr>
              <w:keepNext w:val="0"/>
              <w:keepLines w:val="0"/>
              <w:pageBreakBefore w:val="0"/>
              <w:widowControl/>
              <w:suppressLineNumbers w:val="0"/>
              <w:kinsoku/>
              <w:overflowPunct/>
              <w:topLinePunct w:val="0"/>
              <w:autoSpaceDE/>
              <w:autoSpaceDN/>
              <w:bidi w:val="0"/>
              <w:spacing w:before="0" w:beforeLines="0" w:beforeAutospacing="0" w:after="0" w:afterLines="0" w:afterAutospacing="0" w:line="240" w:lineRule="auto"/>
              <w:ind w:left="0" w:right="0"/>
              <w:jc w:val="left"/>
              <w:rPr>
                <w:rFonts w:hint="eastAsia" w:ascii="宋体" w:hAnsi="宋体" w:eastAsia="宋体" w:cs="宋体"/>
                <w:color w:val="auto"/>
                <w:kern w:val="0"/>
                <w:sz w:val="22"/>
                <w:szCs w:val="22"/>
                <w:highlight w:val="none"/>
              </w:rPr>
            </w:pPr>
          </w:p>
        </w:tc>
        <w:tc>
          <w:tcPr>
            <w:tcW w:w="1945" w:type="dxa"/>
            <w:gridSpan w:val="2"/>
            <w:tcBorders>
              <w:top w:val="single" w:color="auto" w:sz="4" w:space="0"/>
              <w:left w:val="single" w:color="auto" w:sz="4" w:space="0"/>
              <w:bottom w:val="single" w:color="auto" w:sz="4" w:space="0"/>
              <w:right w:val="single" w:color="auto" w:sz="4" w:space="0"/>
              <w:tl2br w:val="nil"/>
              <w:tr2bl w:val="nil"/>
            </w:tcBorders>
            <w:vAlign w:val="center"/>
          </w:tcPr>
          <w:p w14:paraId="25B37937">
            <w:pPr>
              <w:keepNext/>
              <w:keepLines w:val="0"/>
              <w:pageBreakBefore w:val="0"/>
              <w:widowControl/>
              <w:suppressLineNumbers w:val="0"/>
              <w:kinsoku/>
              <w:overflowPunct/>
              <w:topLinePunct w:val="0"/>
              <w:autoSpaceDE/>
              <w:autoSpaceDN/>
              <w:bidi w:val="0"/>
              <w:snapToGrid w:val="0"/>
              <w:spacing w:before="0" w:beforeLines="0" w:beforeAutospacing="0" w:after="0" w:afterLines="0" w:afterAutospacing="0" w:line="240" w:lineRule="auto"/>
              <w:ind w:left="0" w:right="0"/>
              <w:jc w:val="center"/>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合计</w:t>
            </w:r>
          </w:p>
        </w:tc>
        <w:tc>
          <w:tcPr>
            <w:tcW w:w="7440" w:type="dxa"/>
            <w:gridSpan w:val="2"/>
            <w:tcBorders>
              <w:top w:val="single" w:color="auto" w:sz="4" w:space="0"/>
              <w:left w:val="single" w:color="auto" w:sz="4" w:space="0"/>
              <w:bottom w:val="single" w:color="auto" w:sz="4" w:space="0"/>
              <w:right w:val="single" w:color="auto" w:sz="4" w:space="0"/>
              <w:tl2br w:val="nil"/>
              <w:tr2bl w:val="nil"/>
            </w:tcBorders>
            <w:vAlign w:val="center"/>
          </w:tcPr>
          <w:p w14:paraId="6246075C">
            <w:pPr>
              <w:pStyle w:val="7"/>
              <w:keepNext w:val="0"/>
              <w:keepLines w:val="0"/>
              <w:pageBreakBefore w:val="0"/>
              <w:numPr>
                <w:ilvl w:val="0"/>
                <w:numId w:val="0"/>
              </w:numPr>
              <w:suppressLineNumbers w:val="0"/>
              <w:kinsoku/>
              <w:overflowPunct/>
              <w:topLinePunct w:val="0"/>
              <w:autoSpaceDE/>
              <w:autoSpaceDN/>
              <w:bidi w:val="0"/>
              <w:spacing w:before="0" w:beforeLines="0" w:beforeAutospacing="0" w:after="0" w:afterLines="0" w:afterAutospacing="0" w:line="240" w:lineRule="auto"/>
              <w:ind w:left="0" w:right="0"/>
              <w:rPr>
                <w:rFonts w:hint="eastAsia" w:ascii="宋体" w:hAnsi="宋体" w:eastAsia="宋体" w:cs="宋体"/>
                <w:b/>
                <w:color w:val="auto"/>
                <w:sz w:val="22"/>
                <w:szCs w:val="22"/>
                <w:highlight w:val="none"/>
              </w:rPr>
            </w:pPr>
            <w:r>
              <w:rPr>
                <w:rFonts w:hint="eastAsia" w:ascii="宋体" w:hAnsi="宋体" w:eastAsia="宋体" w:cs="宋体"/>
                <w:color w:val="auto"/>
                <w:sz w:val="22"/>
                <w:szCs w:val="22"/>
                <w:highlight w:val="none"/>
              </w:rPr>
              <w:t>综合得分=商务部分得分+</w:t>
            </w:r>
            <w:r>
              <w:rPr>
                <w:rFonts w:hint="eastAsia" w:ascii="宋体" w:hAnsi="宋体" w:cs="宋体"/>
                <w:color w:val="auto"/>
                <w:sz w:val="22"/>
                <w:szCs w:val="22"/>
                <w:highlight w:val="none"/>
                <w:lang w:eastAsia="zh-CN"/>
              </w:rPr>
              <w:t>技术部分得分</w:t>
            </w:r>
            <w:r>
              <w:rPr>
                <w:rFonts w:hint="eastAsia" w:ascii="宋体" w:hAnsi="宋体" w:cs="宋体"/>
                <w:color w:val="auto"/>
                <w:sz w:val="22"/>
                <w:szCs w:val="22"/>
                <w:highlight w:val="none"/>
                <w:lang w:val="en-US" w:eastAsia="zh-CN"/>
              </w:rPr>
              <w:t>+</w:t>
            </w:r>
            <w:r>
              <w:rPr>
                <w:rFonts w:hint="eastAsia" w:ascii="宋体" w:hAnsi="宋体" w:eastAsia="宋体" w:cs="宋体"/>
                <w:color w:val="auto"/>
                <w:sz w:val="22"/>
                <w:szCs w:val="22"/>
                <w:highlight w:val="none"/>
              </w:rPr>
              <w:t>经济部分得分</w:t>
            </w:r>
          </w:p>
        </w:tc>
      </w:tr>
    </w:tbl>
    <w:p w14:paraId="486983CC">
      <w:pPr>
        <w:rPr>
          <w:rFonts w:hint="eastAsia" w:ascii="宋体" w:hAnsi="宋体" w:eastAsia="宋体" w:cs="宋体"/>
          <w:bCs/>
          <w:color w:val="auto"/>
          <w:spacing w:val="10"/>
          <w:kern w:val="0"/>
          <w:sz w:val="24"/>
          <w:szCs w:val="24"/>
          <w:highlight w:val="none"/>
        </w:rPr>
      </w:pPr>
      <w:r>
        <w:rPr>
          <w:rFonts w:hint="eastAsia" w:ascii="宋体" w:hAnsi="宋体" w:eastAsia="宋体" w:cs="宋体"/>
          <w:bCs/>
          <w:color w:val="auto"/>
          <w:spacing w:val="10"/>
          <w:kern w:val="0"/>
          <w:sz w:val="24"/>
          <w:szCs w:val="24"/>
          <w:highlight w:val="none"/>
        </w:rPr>
        <w:br w:type="page"/>
      </w:r>
    </w:p>
    <w:p w14:paraId="49EA1D7D">
      <w:pPr>
        <w:pageBreakBefore w:val="0"/>
        <w:kinsoku/>
        <w:wordWrap w:val="0"/>
        <w:overflowPunct/>
        <w:topLinePunct w:val="0"/>
        <w:autoSpaceDE/>
        <w:autoSpaceDN/>
        <w:bidi w:val="0"/>
        <w:adjustRightInd w:val="0"/>
        <w:snapToGrid w:val="0"/>
        <w:spacing w:line="440" w:lineRule="exact"/>
        <w:ind w:firstLine="520" w:firstLineChars="200"/>
        <w:textAlignment w:val="auto"/>
        <w:rPr>
          <w:rFonts w:hint="eastAsia" w:ascii="宋体" w:hAnsi="宋体" w:eastAsia="宋体" w:cs="宋体"/>
          <w:snapToGrid w:val="0"/>
          <w:color w:val="auto"/>
          <w:kern w:val="0"/>
          <w:sz w:val="24"/>
          <w:szCs w:val="24"/>
          <w:highlight w:val="none"/>
        </w:rPr>
      </w:pPr>
      <w:r>
        <w:rPr>
          <w:rFonts w:hint="eastAsia" w:ascii="宋体" w:hAnsi="宋体" w:eastAsia="宋体" w:cs="宋体"/>
          <w:bCs/>
          <w:color w:val="auto"/>
          <w:spacing w:val="10"/>
          <w:kern w:val="0"/>
          <w:sz w:val="24"/>
          <w:szCs w:val="24"/>
          <w:highlight w:val="none"/>
        </w:rPr>
        <w:t>14.3.2</w:t>
      </w:r>
      <w:r>
        <w:rPr>
          <w:rFonts w:hint="eastAsia" w:ascii="宋体" w:hAnsi="宋体" w:eastAsia="宋体" w:cs="宋体"/>
          <w:snapToGrid w:val="0"/>
          <w:color w:val="auto"/>
          <w:kern w:val="0"/>
          <w:sz w:val="24"/>
          <w:szCs w:val="24"/>
          <w:highlight w:val="none"/>
        </w:rPr>
        <w:t>否决投标说明</w:t>
      </w:r>
    </w:p>
    <w:p w14:paraId="6A81F84D">
      <w:pPr>
        <w:pageBreakBefore w:val="0"/>
        <w:kinsoku/>
        <w:wordWrap w:val="0"/>
        <w:overflowPunct/>
        <w:topLinePunct w:val="0"/>
        <w:autoSpaceDE/>
        <w:autoSpaceDN/>
        <w:bidi w:val="0"/>
        <w:adjustRightInd w:val="0"/>
        <w:snapToGrid w:val="0"/>
        <w:spacing w:line="440" w:lineRule="exact"/>
        <w:ind w:firstLine="480" w:firstLineChars="200"/>
        <w:textAlignment w:val="auto"/>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详细评审阶段否决投标的全部条件，在本章第四节“否决投标条件”第4条中集中列示。投标人有其中所列任何一种情形的，由评标委员会否决其投标。评标委员会经评审，认为所有投标都不符合招标文件要求的，可否决所有投标，项目的所有投标被否决的，招标人应依法重新组织招标。</w:t>
      </w:r>
    </w:p>
    <w:p w14:paraId="2DC0904C">
      <w:pPr>
        <w:pStyle w:val="37"/>
        <w:pageBreakBefore w:val="0"/>
        <w:kinsoku/>
        <w:overflowPunct/>
        <w:topLinePunct w:val="0"/>
        <w:bidi w:val="0"/>
        <w:spacing w:line="440" w:lineRule="exact"/>
        <w:ind w:firstLine="482" w:firstLineChars="200"/>
        <w:textAlignment w:val="auto"/>
        <w:rPr>
          <w:rFonts w:hint="eastAsia" w:ascii="宋体" w:hAnsi="宋体" w:eastAsia="宋体" w:cs="宋体"/>
          <w:b/>
          <w:color w:val="auto"/>
          <w:sz w:val="24"/>
          <w:szCs w:val="24"/>
          <w:highlight w:val="none"/>
        </w:rPr>
      </w:pPr>
      <w:r>
        <w:rPr>
          <w:rFonts w:hint="eastAsia" w:ascii="宋体" w:hAnsi="宋体" w:eastAsia="宋体" w:cs="宋体"/>
          <w:b/>
          <w:bCs/>
          <w:snapToGrid w:val="0"/>
          <w:color w:val="auto"/>
          <w:kern w:val="0"/>
          <w:sz w:val="24"/>
          <w:szCs w:val="24"/>
          <w:highlight w:val="none"/>
        </w:rPr>
        <w:t>注：投标人在详细评审阶段根据评分方法提供的佐证材料，其合法性、有效性和准确性不符合要求的，有关量化因素（或评分因素）的折算、调整（或评分）按相应量化标准（或评分标准）处理，但不否决投标。</w:t>
      </w:r>
    </w:p>
    <w:p w14:paraId="0F9FFD4B">
      <w:pPr>
        <w:rPr>
          <w:rFonts w:hint="eastAsia"/>
          <w:color w:val="auto"/>
          <w:highlight w:val="none"/>
          <w:lang w:val="en-US" w:eastAsia="zh-CN"/>
        </w:rPr>
      </w:pPr>
      <w:bookmarkStart w:id="259" w:name="_Toc2769"/>
      <w:bookmarkStart w:id="260" w:name="_Toc18711"/>
      <w:bookmarkStart w:id="261" w:name="_Toc7762"/>
      <w:bookmarkStart w:id="262" w:name="_Toc19232"/>
      <w:bookmarkStart w:id="263" w:name="_Toc13897"/>
      <w:bookmarkStart w:id="264" w:name="_Toc23543"/>
      <w:bookmarkStart w:id="265" w:name="_Toc10900"/>
      <w:bookmarkStart w:id="266" w:name="_Toc16698"/>
      <w:bookmarkStart w:id="267" w:name="_Toc18607"/>
      <w:bookmarkStart w:id="268" w:name="_Toc6253"/>
    </w:p>
    <w:p w14:paraId="5E3AD2DB">
      <w:pPr>
        <w:pStyle w:val="39"/>
        <w:keepNext/>
        <w:keepLines/>
        <w:pageBreakBefore w:val="0"/>
        <w:kinsoku/>
        <w:overflowPunct/>
        <w:topLinePunct w:val="0"/>
        <w:bidi w:val="0"/>
        <w:spacing w:line="440" w:lineRule="exact"/>
        <w:ind w:firstLine="480"/>
        <w:jc w:val="both"/>
        <w:textAlignment w:val="auto"/>
        <w:rPr>
          <w:rFonts w:hint="eastAsia" w:ascii="宋体" w:hAnsi="宋体" w:eastAsia="宋体" w:cs="宋体"/>
          <w:b/>
          <w:bCs/>
          <w:color w:val="auto"/>
          <w:spacing w:val="-11"/>
          <w:sz w:val="24"/>
          <w:szCs w:val="24"/>
          <w:highlight w:val="none"/>
        </w:rPr>
      </w:pPr>
      <w:bookmarkStart w:id="269" w:name="_Toc32736"/>
      <w:r>
        <w:rPr>
          <w:rFonts w:hint="eastAsia" w:hAnsi="宋体" w:cs="宋体"/>
          <w:b/>
          <w:color w:val="auto"/>
          <w:kern w:val="2"/>
          <w:sz w:val="24"/>
          <w:szCs w:val="24"/>
          <w:highlight w:val="none"/>
          <w:lang w:val="en-US" w:eastAsia="zh-CN"/>
        </w:rPr>
        <w:t>15.</w:t>
      </w:r>
      <w:bookmarkEnd w:id="259"/>
      <w:bookmarkEnd w:id="260"/>
      <w:bookmarkEnd w:id="261"/>
      <w:bookmarkEnd w:id="262"/>
      <w:bookmarkEnd w:id="263"/>
      <w:r>
        <w:rPr>
          <w:rFonts w:hint="eastAsia" w:ascii="宋体" w:hAnsi="宋体" w:eastAsia="宋体" w:cs="宋体"/>
          <w:b/>
          <w:color w:val="auto"/>
          <w:kern w:val="2"/>
          <w:sz w:val="24"/>
          <w:szCs w:val="24"/>
          <w:highlight w:val="none"/>
          <w:lang w:eastAsia="zh-CN"/>
        </w:rPr>
        <w:t>评标结果公示</w:t>
      </w:r>
      <w:bookmarkEnd w:id="264"/>
      <w:bookmarkEnd w:id="265"/>
      <w:bookmarkEnd w:id="266"/>
      <w:bookmarkEnd w:id="269"/>
    </w:p>
    <w:p w14:paraId="748F23E9">
      <w:pPr>
        <w:keepNext w:val="0"/>
        <w:keepLines w:val="0"/>
        <w:pageBreakBefore w:val="0"/>
        <w:widowControl w:val="0"/>
        <w:kinsoku/>
        <w:wordWrap w:val="0"/>
        <w:overflowPunct/>
        <w:topLinePunct/>
        <w:autoSpaceDE/>
        <w:autoSpaceDN/>
        <w:bidi w:val="0"/>
        <w:adjustRightInd/>
        <w:snapToGrid/>
        <w:spacing w:line="440" w:lineRule="exact"/>
        <w:ind w:firstLine="482" w:firstLineChars="200"/>
        <w:textAlignment w:val="auto"/>
        <w:rPr>
          <w:rFonts w:hint="eastAsia" w:ascii="宋体" w:hAnsi="宋体" w:eastAsia="宋体" w:cs="宋体"/>
          <w:snapToGrid w:val="0"/>
          <w:color w:val="auto"/>
          <w:kern w:val="0"/>
          <w:sz w:val="24"/>
          <w:szCs w:val="24"/>
          <w:highlight w:val="none"/>
        </w:rPr>
      </w:pPr>
      <w:r>
        <w:rPr>
          <w:rFonts w:hint="eastAsia" w:hAnsi="宋体" w:eastAsia="宋体" w:cs="宋体"/>
          <w:b/>
          <w:bCs/>
          <w:snapToGrid w:val="0"/>
          <w:color w:val="auto"/>
          <w:kern w:val="0"/>
          <w:sz w:val="24"/>
          <w:szCs w:val="24"/>
          <w:highlight w:val="none"/>
          <w:lang w:val="en-US" w:eastAsia="zh-CN"/>
        </w:rPr>
        <w:t>15</w:t>
      </w:r>
      <w:r>
        <w:rPr>
          <w:rFonts w:hint="eastAsia" w:ascii="宋体" w:hAnsi="宋体" w:eastAsia="宋体" w:cs="宋体"/>
          <w:b/>
          <w:bCs/>
          <w:snapToGrid w:val="0"/>
          <w:color w:val="auto"/>
          <w:kern w:val="0"/>
          <w:sz w:val="24"/>
          <w:szCs w:val="24"/>
          <w:highlight w:val="none"/>
        </w:rPr>
        <w:t>.1</w:t>
      </w:r>
      <w:r>
        <w:rPr>
          <w:rFonts w:hint="eastAsia" w:ascii="宋体" w:hAnsi="宋体" w:eastAsia="宋体" w:cs="宋体"/>
          <w:snapToGrid w:val="0"/>
          <w:color w:val="auto"/>
          <w:kern w:val="0"/>
          <w:sz w:val="24"/>
          <w:szCs w:val="24"/>
          <w:highlight w:val="none"/>
        </w:rPr>
        <w:t xml:space="preserve"> 评标委员会按照</w:t>
      </w:r>
      <w:r>
        <w:rPr>
          <w:rFonts w:hint="eastAsia" w:ascii="宋体" w:hAnsi="宋体" w:eastAsia="宋体" w:cs="宋体"/>
          <w:snapToGrid w:val="0"/>
          <w:color w:val="auto"/>
          <w:kern w:val="0"/>
          <w:sz w:val="24"/>
          <w:szCs w:val="24"/>
          <w:highlight w:val="none"/>
          <w:lang w:eastAsia="zh-CN"/>
        </w:rPr>
        <w:t>投标人</w:t>
      </w:r>
      <w:r>
        <w:rPr>
          <w:rFonts w:hint="eastAsia" w:ascii="宋体" w:hAnsi="宋体" w:eastAsia="宋体" w:cs="宋体"/>
          <w:snapToGrid w:val="0"/>
          <w:color w:val="auto"/>
          <w:kern w:val="0"/>
          <w:sz w:val="24"/>
          <w:szCs w:val="24"/>
          <w:highlight w:val="none"/>
        </w:rPr>
        <w:t>评审综合总得分</w:t>
      </w:r>
      <w:r>
        <w:rPr>
          <w:rFonts w:hint="eastAsia" w:ascii="宋体" w:hAnsi="宋体" w:eastAsia="宋体" w:cs="宋体"/>
          <w:snapToGrid w:val="0"/>
          <w:color w:val="auto"/>
          <w:kern w:val="0"/>
          <w:sz w:val="24"/>
          <w:szCs w:val="24"/>
          <w:highlight w:val="none"/>
          <w:lang w:eastAsia="zh-CN"/>
        </w:rPr>
        <w:t>由</w:t>
      </w:r>
      <w:r>
        <w:rPr>
          <w:rFonts w:hint="eastAsia" w:ascii="宋体" w:hAnsi="宋体" w:eastAsia="宋体" w:cs="宋体"/>
          <w:snapToGrid w:val="0"/>
          <w:color w:val="auto"/>
          <w:kern w:val="0"/>
          <w:sz w:val="24"/>
          <w:szCs w:val="24"/>
          <w:highlight w:val="none"/>
        </w:rPr>
        <w:t>高</w:t>
      </w:r>
      <w:r>
        <w:rPr>
          <w:rFonts w:hint="eastAsia" w:ascii="宋体" w:hAnsi="宋体" w:eastAsia="宋体" w:cs="宋体"/>
          <w:snapToGrid w:val="0"/>
          <w:color w:val="auto"/>
          <w:kern w:val="0"/>
          <w:sz w:val="24"/>
          <w:szCs w:val="24"/>
          <w:highlight w:val="none"/>
          <w:lang w:eastAsia="zh-CN"/>
        </w:rPr>
        <w:t>到</w:t>
      </w:r>
      <w:r>
        <w:rPr>
          <w:rFonts w:hint="eastAsia" w:ascii="宋体" w:hAnsi="宋体" w:eastAsia="宋体" w:cs="宋体"/>
          <w:snapToGrid w:val="0"/>
          <w:color w:val="auto"/>
          <w:kern w:val="0"/>
          <w:sz w:val="24"/>
          <w:szCs w:val="24"/>
          <w:highlight w:val="none"/>
        </w:rPr>
        <w:t>低的</w:t>
      </w:r>
      <w:r>
        <w:rPr>
          <w:rFonts w:hint="eastAsia" w:ascii="宋体" w:hAnsi="宋体" w:eastAsia="宋体" w:cs="宋体"/>
          <w:snapToGrid w:val="0"/>
          <w:color w:val="auto"/>
          <w:kern w:val="0"/>
          <w:sz w:val="24"/>
          <w:szCs w:val="24"/>
          <w:highlight w:val="none"/>
          <w:lang w:eastAsia="zh-CN"/>
        </w:rPr>
        <w:t>原则</w:t>
      </w:r>
      <w:r>
        <w:rPr>
          <w:rFonts w:hint="eastAsia" w:hAnsi="宋体" w:eastAsia="宋体" w:cs="宋体"/>
          <w:snapToGrid w:val="0"/>
          <w:color w:val="auto"/>
          <w:kern w:val="0"/>
          <w:sz w:val="24"/>
          <w:szCs w:val="24"/>
          <w:highlight w:val="none"/>
          <w:lang w:eastAsia="zh-CN"/>
        </w:rPr>
        <w:t>，</w:t>
      </w:r>
      <w:r>
        <w:rPr>
          <w:rFonts w:hint="eastAsia" w:ascii="宋体" w:hAnsi="宋体" w:eastAsia="宋体" w:cs="宋体"/>
          <w:snapToGrid w:val="0"/>
          <w:color w:val="auto"/>
          <w:kern w:val="0"/>
          <w:sz w:val="24"/>
          <w:szCs w:val="24"/>
          <w:highlight w:val="none"/>
        </w:rPr>
        <w:t>向招标人推荐</w:t>
      </w:r>
      <w:r>
        <w:rPr>
          <w:rFonts w:hint="eastAsia" w:ascii="宋体" w:hAnsi="宋体" w:eastAsia="宋体" w:cs="宋体"/>
          <w:snapToGrid w:val="0"/>
          <w:color w:val="auto"/>
          <w:kern w:val="0"/>
          <w:sz w:val="24"/>
          <w:szCs w:val="24"/>
          <w:highlight w:val="none"/>
          <w:lang w:val="en-US" w:eastAsia="zh-CN"/>
        </w:rPr>
        <w:t>已明确的</w:t>
      </w:r>
      <w:r>
        <w:rPr>
          <w:rFonts w:hint="eastAsia" w:ascii="宋体" w:hAnsi="宋体" w:eastAsia="宋体" w:cs="宋体"/>
          <w:snapToGrid w:val="0"/>
          <w:color w:val="auto"/>
          <w:kern w:val="0"/>
          <w:sz w:val="24"/>
          <w:szCs w:val="24"/>
          <w:highlight w:val="none"/>
        </w:rPr>
        <w:t>定标候选人</w:t>
      </w:r>
      <w:r>
        <w:rPr>
          <w:rFonts w:hint="eastAsia" w:ascii="宋体" w:hAnsi="宋体" w:eastAsia="宋体" w:cs="宋体"/>
          <w:snapToGrid w:val="0"/>
          <w:color w:val="auto"/>
          <w:kern w:val="0"/>
          <w:sz w:val="24"/>
          <w:szCs w:val="24"/>
          <w:highlight w:val="none"/>
          <w:lang w:eastAsia="zh-CN"/>
        </w:rPr>
        <w:t>数量</w:t>
      </w:r>
      <w:r>
        <w:rPr>
          <w:rFonts w:hint="eastAsia" w:ascii="宋体" w:hAnsi="宋体" w:eastAsia="宋体" w:cs="宋体"/>
          <w:snapToGrid w:val="0"/>
          <w:color w:val="auto"/>
          <w:kern w:val="0"/>
          <w:sz w:val="24"/>
          <w:szCs w:val="24"/>
          <w:highlight w:val="none"/>
        </w:rPr>
        <w:t>（不</w:t>
      </w:r>
      <w:r>
        <w:rPr>
          <w:rFonts w:hint="eastAsia" w:ascii="宋体" w:hAnsi="宋体" w:eastAsia="宋体" w:cs="宋体"/>
          <w:snapToGrid w:val="0"/>
          <w:color w:val="auto"/>
          <w:kern w:val="0"/>
          <w:sz w:val="24"/>
          <w:szCs w:val="24"/>
          <w:highlight w:val="none"/>
          <w:lang w:val="en-US" w:eastAsia="zh-CN"/>
        </w:rPr>
        <w:t>标明</w:t>
      </w:r>
      <w:r>
        <w:rPr>
          <w:rFonts w:hint="eastAsia" w:ascii="宋体" w:hAnsi="宋体" w:eastAsia="宋体" w:cs="宋体"/>
          <w:snapToGrid w:val="0"/>
          <w:color w:val="auto"/>
          <w:kern w:val="0"/>
          <w:sz w:val="24"/>
          <w:szCs w:val="24"/>
          <w:highlight w:val="none"/>
        </w:rPr>
        <w:t>排序）</w:t>
      </w:r>
      <w:r>
        <w:rPr>
          <w:rFonts w:hint="eastAsia" w:ascii="宋体" w:hAnsi="宋体" w:eastAsia="宋体" w:cs="宋体"/>
          <w:snapToGrid w:val="0"/>
          <w:color w:val="auto"/>
          <w:kern w:val="0"/>
          <w:sz w:val="24"/>
          <w:szCs w:val="24"/>
          <w:highlight w:val="none"/>
          <w:lang w:eastAsia="zh-CN"/>
        </w:rPr>
        <w:t>。</w:t>
      </w:r>
      <w:r>
        <w:rPr>
          <w:rFonts w:hint="eastAsia" w:ascii="宋体" w:hAnsi="宋体" w:eastAsia="宋体" w:cs="宋体"/>
          <w:snapToGrid w:val="0"/>
          <w:color w:val="auto"/>
          <w:kern w:val="0"/>
          <w:sz w:val="24"/>
          <w:szCs w:val="24"/>
          <w:highlight w:val="none"/>
          <w:lang w:val="en-US" w:eastAsia="zh-CN"/>
        </w:rPr>
        <w:t>评标委员会推荐定标候选人后，</w:t>
      </w:r>
      <w:r>
        <w:rPr>
          <w:rFonts w:hint="eastAsia" w:ascii="宋体" w:hAnsi="宋体" w:eastAsia="宋体" w:cs="宋体"/>
          <w:snapToGrid w:val="0"/>
          <w:color w:val="auto"/>
          <w:kern w:val="0"/>
          <w:sz w:val="24"/>
          <w:szCs w:val="24"/>
          <w:highlight w:val="none"/>
        </w:rPr>
        <w:t>招标人应</w:t>
      </w:r>
      <w:r>
        <w:rPr>
          <w:rFonts w:hint="eastAsia" w:ascii="宋体" w:hAnsi="宋体" w:eastAsia="宋体" w:cs="宋体"/>
          <w:snapToGrid w:val="0"/>
          <w:color w:val="auto"/>
          <w:kern w:val="0"/>
          <w:sz w:val="24"/>
          <w:szCs w:val="24"/>
          <w:highlight w:val="none"/>
          <w:lang w:eastAsia="zh-CN"/>
        </w:rPr>
        <w:t>于评标会结束后</w:t>
      </w:r>
      <w:r>
        <w:rPr>
          <w:rFonts w:hint="eastAsia" w:ascii="宋体" w:hAnsi="宋体" w:eastAsia="宋体" w:cs="宋体"/>
          <w:snapToGrid w:val="0"/>
          <w:color w:val="auto"/>
          <w:kern w:val="0"/>
          <w:sz w:val="24"/>
          <w:szCs w:val="24"/>
          <w:highlight w:val="none"/>
          <w:lang w:val="en-US" w:eastAsia="zh-CN"/>
        </w:rPr>
        <w:t>3日内将</w:t>
      </w:r>
      <w:r>
        <w:rPr>
          <w:rFonts w:hint="eastAsia" w:ascii="宋体" w:hAnsi="宋体" w:eastAsia="宋体" w:cs="宋体"/>
          <w:snapToGrid w:val="0"/>
          <w:color w:val="auto"/>
          <w:kern w:val="0"/>
          <w:sz w:val="24"/>
          <w:szCs w:val="24"/>
          <w:highlight w:val="none"/>
          <w:lang w:eastAsia="zh-CN"/>
        </w:rPr>
        <w:t>定</w:t>
      </w:r>
      <w:r>
        <w:rPr>
          <w:rFonts w:hint="eastAsia" w:ascii="宋体" w:hAnsi="宋体" w:eastAsia="宋体" w:cs="宋体"/>
          <w:snapToGrid w:val="0"/>
          <w:color w:val="auto"/>
          <w:kern w:val="0"/>
          <w:sz w:val="24"/>
          <w:szCs w:val="24"/>
          <w:highlight w:val="none"/>
        </w:rPr>
        <w:t>标候选</w:t>
      </w:r>
      <w:r>
        <w:rPr>
          <w:rFonts w:hint="eastAsia" w:ascii="宋体" w:hAnsi="宋体" w:eastAsia="宋体" w:cs="宋体"/>
          <w:snapToGrid w:val="0"/>
          <w:color w:val="auto"/>
          <w:kern w:val="0"/>
          <w:sz w:val="24"/>
          <w:szCs w:val="24"/>
          <w:highlight w:val="none"/>
          <w:lang w:eastAsia="zh-CN"/>
        </w:rPr>
        <w:t>人和评标情况</w:t>
      </w:r>
      <w:r>
        <w:rPr>
          <w:rFonts w:hint="eastAsia" w:ascii="宋体" w:hAnsi="宋体" w:eastAsia="宋体" w:cs="宋体"/>
          <w:snapToGrid w:val="0"/>
          <w:color w:val="auto"/>
          <w:kern w:val="0"/>
          <w:sz w:val="24"/>
          <w:szCs w:val="24"/>
          <w:highlight w:val="none"/>
          <w:lang w:val="en-US" w:eastAsia="zh-CN"/>
        </w:rPr>
        <w:t>在广东省招标投标监管网和</w:t>
      </w:r>
      <w:r>
        <w:rPr>
          <w:rFonts w:hint="eastAsia" w:ascii="宋体" w:hAnsi="宋体" w:eastAsia="宋体" w:cs="宋体"/>
          <w:snapToGrid w:val="0"/>
          <w:color w:val="auto"/>
          <w:kern w:val="0"/>
          <w:sz w:val="24"/>
          <w:szCs w:val="24"/>
          <w:highlight w:val="none"/>
        </w:rPr>
        <w:t>韶关市公共资源交易中心</w:t>
      </w:r>
      <w:r>
        <w:rPr>
          <w:rFonts w:hint="eastAsia" w:ascii="宋体" w:hAnsi="宋体" w:eastAsia="宋体" w:cs="宋体"/>
          <w:snapToGrid w:val="0"/>
          <w:color w:val="auto"/>
          <w:kern w:val="0"/>
          <w:sz w:val="24"/>
          <w:szCs w:val="24"/>
          <w:highlight w:val="none"/>
          <w:lang w:eastAsia="zh-CN"/>
        </w:rPr>
        <w:t>建设工程交易系统</w:t>
      </w:r>
      <w:r>
        <w:rPr>
          <w:rFonts w:hint="eastAsia" w:ascii="宋体" w:hAnsi="宋体" w:eastAsia="宋体" w:cs="宋体"/>
          <w:snapToGrid w:val="0"/>
          <w:color w:val="auto"/>
          <w:kern w:val="0"/>
          <w:sz w:val="24"/>
          <w:szCs w:val="24"/>
          <w:highlight w:val="none"/>
          <w:lang w:val="en-US" w:eastAsia="zh-CN"/>
        </w:rPr>
        <w:t>上</w:t>
      </w:r>
      <w:r>
        <w:rPr>
          <w:rFonts w:hint="eastAsia" w:ascii="宋体" w:hAnsi="宋体" w:eastAsia="宋体" w:cs="宋体"/>
          <w:snapToGrid w:val="0"/>
          <w:color w:val="auto"/>
          <w:kern w:val="0"/>
          <w:sz w:val="24"/>
          <w:szCs w:val="24"/>
          <w:highlight w:val="none"/>
        </w:rPr>
        <w:t>公示</w:t>
      </w:r>
      <w:r>
        <w:rPr>
          <w:rFonts w:hint="eastAsia" w:ascii="宋体" w:hAnsi="宋体" w:eastAsia="宋体" w:cs="宋体"/>
          <w:snapToGrid w:val="0"/>
          <w:color w:val="auto"/>
          <w:kern w:val="0"/>
          <w:sz w:val="24"/>
          <w:szCs w:val="24"/>
          <w:highlight w:val="none"/>
          <w:lang w:eastAsia="zh-CN"/>
        </w:rPr>
        <w:t>，</w:t>
      </w:r>
      <w:r>
        <w:rPr>
          <w:rFonts w:hint="eastAsia" w:ascii="宋体" w:hAnsi="宋体" w:eastAsia="宋体" w:cs="宋体"/>
          <w:snapToGrid w:val="0"/>
          <w:color w:val="auto"/>
          <w:kern w:val="0"/>
          <w:sz w:val="24"/>
          <w:szCs w:val="24"/>
          <w:highlight w:val="none"/>
          <w:lang w:val="en-US" w:eastAsia="zh-CN"/>
        </w:rPr>
        <w:t>公示时间不少于3日。</w:t>
      </w:r>
      <w:r>
        <w:rPr>
          <w:rFonts w:hint="eastAsia" w:ascii="宋体" w:hAnsi="宋体" w:eastAsia="宋体" w:cs="宋体"/>
          <w:snapToGrid w:val="0"/>
          <w:color w:val="auto"/>
          <w:kern w:val="0"/>
          <w:sz w:val="24"/>
          <w:szCs w:val="24"/>
          <w:highlight w:val="none"/>
          <w:lang w:eastAsia="zh-CN"/>
        </w:rPr>
        <w:t>公示主要内容包括：（</w:t>
      </w:r>
      <w:r>
        <w:rPr>
          <w:rFonts w:hint="eastAsia" w:ascii="宋体" w:hAnsi="宋体" w:eastAsia="宋体" w:cs="宋体"/>
          <w:snapToGrid w:val="0"/>
          <w:color w:val="auto"/>
          <w:kern w:val="0"/>
          <w:sz w:val="24"/>
          <w:szCs w:val="24"/>
          <w:highlight w:val="none"/>
          <w:lang w:val="en-US" w:eastAsia="zh-CN"/>
        </w:rPr>
        <w:t>1）定标候选人名称、投标报价、业绩奖项、质量、工期、拟派驻招标项目管理机构人员信息等；（2）定标候选人按照招标文件要求承诺的项目负责人姓名及相关证书名称和编号；（3）响应招标文件要求的资格能力条件；（4）提出异议的渠道和方式；（5）评标专家代码（评标专家姓名可用代码进行标示，如专家一、专家二等）及其对应的具体评标意见（含对否决投标人相关意见等）以及评标报告；（6）投标文件；（7）招标文件确认公示的其他内容。</w:t>
      </w:r>
    </w:p>
    <w:p w14:paraId="42EB3AE2">
      <w:pPr>
        <w:keepNext w:val="0"/>
        <w:keepLines w:val="0"/>
        <w:pageBreakBefore w:val="0"/>
        <w:widowControl w:val="0"/>
        <w:kinsoku/>
        <w:wordWrap w:val="0"/>
        <w:overflowPunct/>
        <w:topLinePunct/>
        <w:autoSpaceDE/>
        <w:autoSpaceDN/>
        <w:bidi w:val="0"/>
        <w:adjustRightInd/>
        <w:snapToGrid/>
        <w:spacing w:line="440" w:lineRule="exact"/>
        <w:ind w:firstLine="474" w:firstLineChars="200"/>
        <w:textAlignment w:val="auto"/>
        <w:rPr>
          <w:rFonts w:hint="eastAsia" w:ascii="宋体" w:hAnsi="宋体" w:eastAsia="宋体" w:cs="宋体"/>
          <w:snapToGrid w:val="0"/>
          <w:color w:val="auto"/>
          <w:kern w:val="0"/>
          <w:sz w:val="24"/>
          <w:szCs w:val="24"/>
          <w:highlight w:val="none"/>
          <w:lang w:val="en-US" w:eastAsia="zh-CN" w:bidi="ar-SA"/>
        </w:rPr>
      </w:pPr>
      <w:r>
        <w:rPr>
          <w:rFonts w:hint="eastAsia" w:hAnsi="宋体" w:eastAsia="宋体" w:cs="宋体"/>
          <w:b/>
          <w:bCs/>
          <w:color w:val="auto"/>
          <w:spacing w:val="-2"/>
          <w:sz w:val="24"/>
          <w:szCs w:val="24"/>
          <w:highlight w:val="none"/>
          <w:lang w:val="en-US" w:eastAsia="zh-CN"/>
        </w:rPr>
        <w:t>15</w:t>
      </w:r>
      <w:r>
        <w:rPr>
          <w:rFonts w:hint="eastAsia" w:ascii="宋体" w:hAnsi="宋体" w:eastAsia="宋体" w:cs="宋体"/>
          <w:b/>
          <w:bCs/>
          <w:color w:val="auto"/>
          <w:spacing w:val="-2"/>
          <w:sz w:val="24"/>
          <w:szCs w:val="24"/>
          <w:highlight w:val="none"/>
        </w:rPr>
        <w:t xml:space="preserve">.2 </w:t>
      </w:r>
      <w:r>
        <w:rPr>
          <w:rFonts w:hint="eastAsia" w:ascii="宋体" w:hAnsi="宋体" w:eastAsia="宋体" w:cs="宋体"/>
          <w:color w:val="auto"/>
          <w:spacing w:val="-5"/>
          <w:sz w:val="24"/>
          <w:szCs w:val="24"/>
          <w:highlight w:val="none"/>
        </w:rPr>
        <w:t>投标人对评标结果、</w:t>
      </w:r>
      <w:r>
        <w:rPr>
          <w:rFonts w:hint="eastAsia" w:ascii="宋体" w:hAnsi="宋体" w:eastAsia="宋体" w:cs="宋体"/>
          <w:color w:val="auto"/>
          <w:spacing w:val="-5"/>
          <w:sz w:val="24"/>
          <w:szCs w:val="24"/>
          <w:highlight w:val="none"/>
          <w:lang w:eastAsia="zh-CN"/>
        </w:rPr>
        <w:t>定标</w:t>
      </w:r>
      <w:r>
        <w:rPr>
          <w:rFonts w:hint="eastAsia" w:ascii="宋体" w:hAnsi="宋体" w:eastAsia="宋体" w:cs="宋体"/>
          <w:color w:val="auto"/>
          <w:spacing w:val="-5"/>
          <w:sz w:val="24"/>
          <w:szCs w:val="24"/>
          <w:highlight w:val="none"/>
        </w:rPr>
        <w:t>候选人投标文件、评标过程有异议的，必须在以上内容公示期间向招标人提出书面异议，否则招标人不予受理。经招标人书面答复，异议人仍不满意的，可在法律规定的时限内向行政监督部门提出书面投诉。异议（投诉）提出、处理的具体办法和要求，按照《韶关市工程建设项目招标投标活动异议和投诉处理办法》（韶法审〔2020〕19号）执行。如通过交易服务平台提出异议，投标人必须上传提交异议书扫描件（作为附件），异议书格式内容按照《韶关市工程建设项目招标投标活动异议和投诉处理办法》（韶法审〔2020〕19号）执行，否则招标人不予受理。投标人提出异议后，必须及时通知招标人查收，否则，由此造成的超出法律规定时限的后果，由投标人自行承担。招标人受理异议后，投标人须及时向招标人提交书面异议。项目如收到异议、投诉等情形，可以根据需要从交易中心处调取纸质档案</w:t>
      </w:r>
      <w:r>
        <w:rPr>
          <w:rFonts w:hint="eastAsia" w:ascii="宋体" w:hAnsi="宋体" w:eastAsia="宋体" w:cs="宋体"/>
          <w:snapToGrid w:val="0"/>
          <w:color w:val="auto"/>
          <w:kern w:val="0"/>
          <w:sz w:val="24"/>
          <w:szCs w:val="24"/>
          <w:highlight w:val="none"/>
          <w:lang w:val="en-US" w:eastAsia="zh-CN" w:bidi="ar-SA"/>
        </w:rPr>
        <w:t>。</w:t>
      </w:r>
      <w:bookmarkEnd w:id="267"/>
      <w:bookmarkEnd w:id="268"/>
    </w:p>
    <w:p w14:paraId="1AD8495D">
      <w:pPr>
        <w:rPr>
          <w:rFonts w:asciiTheme="minorEastAsia" w:hAnsiTheme="minorEastAsia" w:eastAsiaTheme="minorEastAsia" w:cstheme="minorEastAsia"/>
          <w:b/>
          <w:bCs/>
          <w:snapToGrid w:val="0"/>
          <w:color w:val="auto"/>
          <w:kern w:val="0"/>
          <w:sz w:val="28"/>
          <w:szCs w:val="28"/>
          <w:highlight w:val="none"/>
        </w:rPr>
      </w:pPr>
      <w:bookmarkStart w:id="270" w:name="_Hlt69669771"/>
      <w:bookmarkEnd w:id="270"/>
      <w:bookmarkStart w:id="271" w:name="_Hlt112206772"/>
      <w:bookmarkEnd w:id="271"/>
      <w:bookmarkStart w:id="272" w:name="_Toc16649"/>
      <w:bookmarkStart w:id="273" w:name="_Toc13416"/>
      <w:bookmarkStart w:id="274" w:name="_Toc16203"/>
      <w:bookmarkStart w:id="275" w:name="_Toc16300"/>
      <w:bookmarkStart w:id="276" w:name="_Toc24184"/>
      <w:bookmarkStart w:id="277" w:name="_Toc11519"/>
      <w:bookmarkStart w:id="278" w:name="_Toc9083"/>
      <w:bookmarkStart w:id="279" w:name="_Toc21045"/>
      <w:bookmarkStart w:id="280" w:name="_Hlt69698713"/>
      <w:bookmarkStart w:id="281" w:name="_Hlt69698765"/>
      <w:r>
        <w:rPr>
          <w:rFonts w:asciiTheme="minorEastAsia" w:hAnsiTheme="minorEastAsia" w:eastAsiaTheme="minorEastAsia" w:cstheme="minorEastAsia"/>
          <w:b/>
          <w:bCs/>
          <w:snapToGrid w:val="0"/>
          <w:color w:val="auto"/>
          <w:kern w:val="0"/>
          <w:sz w:val="28"/>
          <w:szCs w:val="28"/>
          <w:highlight w:val="none"/>
        </w:rPr>
        <w:br w:type="page"/>
      </w:r>
    </w:p>
    <w:p w14:paraId="5B388CE2">
      <w:pPr>
        <w:wordWrap w:val="0"/>
        <w:adjustRightInd w:val="0"/>
        <w:snapToGrid w:val="0"/>
        <w:spacing w:line="440" w:lineRule="exact"/>
        <w:jc w:val="center"/>
        <w:outlineLvl w:val="1"/>
        <w:rPr>
          <w:rFonts w:hint="default" w:asciiTheme="minorEastAsia" w:hAnsiTheme="minorEastAsia" w:eastAsiaTheme="minorEastAsia" w:cstheme="minorEastAsia"/>
          <w:snapToGrid w:val="0"/>
          <w:color w:val="auto"/>
          <w:kern w:val="0"/>
          <w:sz w:val="28"/>
          <w:szCs w:val="28"/>
          <w:highlight w:val="none"/>
        </w:rPr>
      </w:pPr>
      <w:r>
        <w:rPr>
          <w:rFonts w:asciiTheme="minorEastAsia" w:hAnsiTheme="minorEastAsia" w:eastAsiaTheme="minorEastAsia" w:cstheme="minorEastAsia"/>
          <w:b/>
          <w:bCs/>
          <w:snapToGrid w:val="0"/>
          <w:color w:val="auto"/>
          <w:kern w:val="0"/>
          <w:sz w:val="28"/>
          <w:szCs w:val="28"/>
          <w:highlight w:val="none"/>
        </w:rPr>
        <w:t>第四节 否决投标条件</w:t>
      </w:r>
    </w:p>
    <w:p w14:paraId="62C981C2">
      <w:pPr>
        <w:keepNext w:val="0"/>
        <w:keepLines w:val="0"/>
        <w:pageBreakBefore w:val="0"/>
        <w:widowControl w:val="0"/>
        <w:kinsoku/>
        <w:wordWrap w:val="0"/>
        <w:overflowPunct/>
        <w:topLinePunct w:val="0"/>
        <w:autoSpaceDE/>
        <w:autoSpaceDN/>
        <w:bidi w:val="0"/>
        <w:adjustRightInd w:val="0"/>
        <w:snapToGrid w:val="0"/>
        <w:spacing w:line="440" w:lineRule="exact"/>
        <w:textAlignment w:val="auto"/>
        <w:rPr>
          <w:rFonts w:hint="eastAsia" w:ascii="宋体" w:hAnsi="宋体" w:eastAsia="宋体" w:cs="宋体"/>
          <w:snapToGrid w:val="0"/>
          <w:color w:val="auto"/>
          <w:kern w:val="0"/>
          <w:sz w:val="24"/>
          <w:szCs w:val="24"/>
          <w:highlight w:val="none"/>
        </w:rPr>
      </w:pPr>
      <w:r>
        <w:rPr>
          <w:rFonts w:asciiTheme="minorEastAsia" w:hAnsiTheme="minorEastAsia" w:eastAsiaTheme="minorEastAsia" w:cstheme="minorEastAsia"/>
          <w:snapToGrid w:val="0"/>
          <w:color w:val="auto"/>
          <w:kern w:val="0"/>
          <w:highlight w:val="none"/>
        </w:rPr>
        <w:t>　　</w:t>
      </w:r>
      <w:r>
        <w:rPr>
          <w:rFonts w:hint="eastAsia" w:ascii="宋体" w:hAnsi="宋体" w:eastAsia="宋体" w:cs="宋体"/>
          <w:snapToGrid w:val="0"/>
          <w:color w:val="auto"/>
          <w:kern w:val="0"/>
          <w:sz w:val="24"/>
          <w:szCs w:val="24"/>
          <w:highlight w:val="none"/>
        </w:rPr>
        <w:t>本节所集中列示的否决投标条件，是本章第三节“投标人须知正文”的组成部分，是对本章第三节所规定的否决投标条件的总结和补充。投标人未有列入本节情形的，评标时一律不得否决其投标。本节所称“规定”均指招标文件的规定。</w:t>
      </w:r>
    </w:p>
    <w:p w14:paraId="35F9A3AF">
      <w:pPr>
        <w:keepNext w:val="0"/>
        <w:keepLines w:val="0"/>
        <w:pageBreakBefore w:val="0"/>
        <w:widowControl w:val="0"/>
        <w:kinsoku/>
        <w:wordWrap w:val="0"/>
        <w:overflowPunct/>
        <w:topLinePunct w:val="0"/>
        <w:autoSpaceDE/>
        <w:autoSpaceDN/>
        <w:bidi w:val="0"/>
        <w:adjustRightInd w:val="0"/>
        <w:snapToGrid w:val="0"/>
        <w:spacing w:line="440" w:lineRule="exact"/>
        <w:textAlignment w:val="auto"/>
        <w:outlineLvl w:val="1"/>
        <w:rPr>
          <w:rFonts w:hint="eastAsia" w:ascii="宋体" w:hAnsi="宋体" w:eastAsia="宋体" w:cs="宋体"/>
          <w:b/>
          <w:bCs/>
          <w:snapToGrid w:val="0"/>
          <w:color w:val="auto"/>
          <w:kern w:val="0"/>
          <w:sz w:val="24"/>
          <w:szCs w:val="24"/>
          <w:highlight w:val="none"/>
        </w:rPr>
      </w:pPr>
      <w:bookmarkStart w:id="282" w:name="_Toc25868"/>
      <w:r>
        <w:rPr>
          <w:rFonts w:hint="eastAsia" w:hAnsi="宋体" w:eastAsia="宋体" w:cs="宋体"/>
          <w:b/>
          <w:bCs/>
          <w:snapToGrid w:val="0"/>
          <w:color w:val="auto"/>
          <w:kern w:val="0"/>
          <w:sz w:val="24"/>
          <w:szCs w:val="24"/>
          <w:highlight w:val="none"/>
          <w:lang w:eastAsia="zh-CN"/>
        </w:rPr>
        <w:t>1.</w:t>
      </w:r>
      <w:r>
        <w:rPr>
          <w:rFonts w:hint="eastAsia" w:ascii="宋体" w:hAnsi="宋体" w:eastAsia="宋体" w:cs="宋体"/>
          <w:b/>
          <w:bCs/>
          <w:snapToGrid w:val="0"/>
          <w:color w:val="auto"/>
          <w:kern w:val="0"/>
          <w:sz w:val="24"/>
          <w:szCs w:val="24"/>
          <w:highlight w:val="none"/>
        </w:rPr>
        <w:t>资格评审环节</w:t>
      </w:r>
      <w:bookmarkEnd w:id="282"/>
    </w:p>
    <w:p w14:paraId="3C254013">
      <w:pPr>
        <w:keepNext w:val="0"/>
        <w:keepLines w:val="0"/>
        <w:pageBreakBefore w:val="0"/>
        <w:widowControl w:val="0"/>
        <w:kinsoku/>
        <w:wordWrap w:val="0"/>
        <w:overflowPunct/>
        <w:topLinePunct w:val="0"/>
        <w:autoSpaceDE/>
        <w:autoSpaceDN/>
        <w:bidi w:val="0"/>
        <w:adjustRightInd w:val="0"/>
        <w:snapToGrid w:val="0"/>
        <w:spacing w:line="440" w:lineRule="exact"/>
        <w:textAlignment w:val="auto"/>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投标人有下列情形之一的，评标委员会应否决其投标。被否决的投标人，不进入形式评审环节。</w:t>
      </w:r>
    </w:p>
    <w:p w14:paraId="0E63311C">
      <w:pPr>
        <w:keepNext w:val="0"/>
        <w:keepLines w:val="0"/>
        <w:pageBreakBefore w:val="0"/>
        <w:widowControl w:val="0"/>
        <w:kinsoku/>
        <w:wordWrap w:val="0"/>
        <w:overflowPunct/>
        <w:topLinePunct w:val="0"/>
        <w:autoSpaceDE/>
        <w:autoSpaceDN/>
        <w:bidi w:val="0"/>
        <w:adjustRightInd w:val="0"/>
        <w:snapToGrid w:val="0"/>
        <w:spacing w:line="440" w:lineRule="exact"/>
        <w:textAlignment w:val="auto"/>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（1）有本章第三节第4.4条“禁止投标条款”规定的任何一种情形；</w:t>
      </w:r>
    </w:p>
    <w:p w14:paraId="41147CC4">
      <w:pPr>
        <w:keepNext w:val="0"/>
        <w:keepLines w:val="0"/>
        <w:pageBreakBefore w:val="0"/>
        <w:widowControl w:val="0"/>
        <w:kinsoku/>
        <w:wordWrap w:val="0"/>
        <w:overflowPunct/>
        <w:topLinePunct w:val="0"/>
        <w:autoSpaceDE/>
        <w:autoSpaceDN/>
        <w:bidi w:val="0"/>
        <w:adjustRightInd w:val="0"/>
        <w:snapToGrid w:val="0"/>
        <w:spacing w:line="440" w:lineRule="exact"/>
        <w:textAlignment w:val="auto"/>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（2）投标人资质不符合规定的；</w:t>
      </w:r>
    </w:p>
    <w:p w14:paraId="126D452F">
      <w:pPr>
        <w:keepNext w:val="0"/>
        <w:keepLines w:val="0"/>
        <w:pageBreakBefore w:val="0"/>
        <w:widowControl w:val="0"/>
        <w:kinsoku/>
        <w:wordWrap w:val="0"/>
        <w:overflowPunct/>
        <w:topLinePunct w:val="0"/>
        <w:autoSpaceDE/>
        <w:autoSpaceDN/>
        <w:bidi w:val="0"/>
        <w:adjustRightInd w:val="0"/>
        <w:snapToGrid w:val="0"/>
        <w:spacing w:line="440" w:lineRule="exact"/>
        <w:textAlignment w:val="auto"/>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（3）投标人名称与营业执照、资质证书、安全生产许可证上的企业名称相互不一致的；其资质证书、安全生产许可证</w:t>
      </w:r>
      <w:r>
        <w:rPr>
          <w:rFonts w:hint="eastAsia" w:ascii="宋体" w:hAnsi="宋体" w:eastAsia="宋体" w:cs="宋体"/>
          <w:snapToGrid w:val="0"/>
          <w:color w:val="auto"/>
          <w:kern w:val="0"/>
          <w:sz w:val="24"/>
          <w:szCs w:val="24"/>
          <w:highlight w:val="none"/>
          <w:lang w:eastAsia="zh-CN"/>
        </w:rPr>
        <w:t>（</w:t>
      </w:r>
      <w:r>
        <w:rPr>
          <w:rFonts w:hint="eastAsia" w:ascii="宋体" w:hAnsi="宋体" w:eastAsia="宋体" w:cs="宋体"/>
          <w:snapToGrid w:val="0"/>
          <w:color w:val="auto"/>
          <w:kern w:val="0"/>
          <w:sz w:val="24"/>
          <w:szCs w:val="24"/>
          <w:highlight w:val="none"/>
          <w:lang w:val="en-US" w:eastAsia="zh-CN"/>
        </w:rPr>
        <w:t>安全生产许可证只需施工单位提供</w:t>
      </w:r>
      <w:r>
        <w:rPr>
          <w:rFonts w:hint="eastAsia" w:ascii="宋体" w:hAnsi="宋体" w:eastAsia="宋体" w:cs="宋体"/>
          <w:snapToGrid w:val="0"/>
          <w:color w:val="auto"/>
          <w:kern w:val="0"/>
          <w:sz w:val="24"/>
          <w:szCs w:val="24"/>
          <w:highlight w:val="none"/>
          <w:lang w:eastAsia="zh-CN"/>
        </w:rPr>
        <w:t>）</w:t>
      </w:r>
      <w:r>
        <w:rPr>
          <w:rFonts w:hint="eastAsia" w:ascii="宋体" w:hAnsi="宋体" w:eastAsia="宋体" w:cs="宋体"/>
          <w:snapToGrid w:val="0"/>
          <w:color w:val="auto"/>
          <w:kern w:val="0"/>
          <w:sz w:val="24"/>
          <w:szCs w:val="24"/>
          <w:highlight w:val="none"/>
        </w:rPr>
        <w:t>不是由住房城乡建设主管部门颁发的；营业执照、资质证书、安全生产许可证被吊销、暂扣或不在有效期内的；</w:t>
      </w:r>
    </w:p>
    <w:p w14:paraId="3DC4C50E">
      <w:pPr>
        <w:keepNext w:val="0"/>
        <w:keepLines w:val="0"/>
        <w:pageBreakBefore w:val="0"/>
        <w:widowControl w:val="0"/>
        <w:kinsoku/>
        <w:wordWrap w:val="0"/>
        <w:overflowPunct/>
        <w:topLinePunct w:val="0"/>
        <w:autoSpaceDE/>
        <w:autoSpaceDN/>
        <w:bidi w:val="0"/>
        <w:adjustRightInd w:val="0"/>
        <w:snapToGrid w:val="0"/>
        <w:spacing w:line="440" w:lineRule="exact"/>
        <w:ind w:firstLine="723" w:firstLineChars="300"/>
        <w:textAlignment w:val="auto"/>
        <w:rPr>
          <w:rFonts w:hint="eastAsia" w:ascii="宋体" w:hAnsi="宋体" w:eastAsia="宋体" w:cs="宋体"/>
          <w:b/>
          <w:bCs/>
          <w:snapToGrid w:val="0"/>
          <w:color w:val="auto"/>
          <w:kern w:val="0"/>
          <w:sz w:val="24"/>
          <w:szCs w:val="24"/>
          <w:highlight w:val="none"/>
        </w:rPr>
      </w:pPr>
      <w:r>
        <w:rPr>
          <w:rFonts w:hint="eastAsia" w:ascii="宋体" w:hAnsi="宋体" w:eastAsia="宋体" w:cs="宋体"/>
          <w:b/>
          <w:bCs/>
          <w:snapToGrid w:val="0"/>
          <w:color w:val="auto"/>
          <w:kern w:val="0"/>
          <w:sz w:val="24"/>
          <w:szCs w:val="24"/>
          <w:highlight w:val="none"/>
        </w:rPr>
        <w:t>注：投标人已经工商变更，但其企业资质证书、安全生产许可证的企业名称未完成变更的，不得否决其投标；投标人营业执照、资质证书、安全生产许可证之间登记的信息不一致，应当允许投标人澄清，不得直接否决其投标。</w:t>
      </w:r>
    </w:p>
    <w:p w14:paraId="007321B5">
      <w:pPr>
        <w:keepNext w:val="0"/>
        <w:keepLines w:val="0"/>
        <w:pageBreakBefore w:val="0"/>
        <w:widowControl w:val="0"/>
        <w:kinsoku/>
        <w:wordWrap w:val="0"/>
        <w:overflowPunct/>
        <w:topLinePunct w:val="0"/>
        <w:autoSpaceDE/>
        <w:autoSpaceDN/>
        <w:bidi w:val="0"/>
        <w:adjustRightInd w:val="0"/>
        <w:snapToGrid w:val="0"/>
        <w:spacing w:line="440" w:lineRule="exact"/>
        <w:ind w:firstLine="482" w:firstLineChars="200"/>
        <w:textAlignment w:val="auto"/>
        <w:rPr>
          <w:rFonts w:hint="eastAsia" w:ascii="宋体" w:hAnsi="宋体" w:eastAsia="宋体" w:cs="宋体"/>
          <w:snapToGrid w:val="0"/>
          <w:color w:val="auto"/>
          <w:kern w:val="0"/>
          <w:sz w:val="24"/>
          <w:szCs w:val="24"/>
          <w:highlight w:val="none"/>
        </w:rPr>
      </w:pPr>
      <w:r>
        <w:rPr>
          <w:rFonts w:hint="eastAsia" w:ascii="宋体" w:hAnsi="宋体" w:eastAsia="宋体" w:cs="宋体"/>
          <w:b/>
          <w:bCs/>
          <w:snapToGrid w:val="0"/>
          <w:color w:val="auto"/>
          <w:kern w:val="0"/>
          <w:sz w:val="24"/>
          <w:szCs w:val="24"/>
          <w:highlight w:val="none"/>
        </w:rPr>
        <w:t>根据有关文件精神，投标人的企业相关证书到期的，均按该证书的发证机构相关行政主管部门最新文件执行（如自动顺延或推迟办理延期业务的通知等）投标人须提供相关证明材料附在该证书后面，证明在开标日继续有效的。</w:t>
      </w:r>
    </w:p>
    <w:p w14:paraId="7D1410EE">
      <w:pPr>
        <w:keepNext w:val="0"/>
        <w:keepLines w:val="0"/>
        <w:pageBreakBefore w:val="0"/>
        <w:widowControl w:val="0"/>
        <w:kinsoku/>
        <w:wordWrap w:val="0"/>
        <w:overflowPunct/>
        <w:topLinePunct w:val="0"/>
        <w:autoSpaceDE/>
        <w:autoSpaceDN/>
        <w:bidi w:val="0"/>
        <w:adjustRightInd w:val="0"/>
        <w:snapToGrid w:val="0"/>
        <w:spacing w:line="440" w:lineRule="exact"/>
        <w:textAlignment w:val="auto"/>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 xml:space="preserve">    （4）拟派项目经理、项目技术负责人、专职安全员、设计负责人的条件不符合规定的；拟派专职安全员数量不符合规定的；</w:t>
      </w:r>
    </w:p>
    <w:p w14:paraId="2CBBBF2C">
      <w:pPr>
        <w:keepNext w:val="0"/>
        <w:keepLines w:val="0"/>
        <w:pageBreakBefore w:val="0"/>
        <w:widowControl w:val="0"/>
        <w:kinsoku/>
        <w:wordWrap w:val="0"/>
        <w:overflowPunct/>
        <w:topLinePunct w:val="0"/>
        <w:autoSpaceDE/>
        <w:autoSpaceDN/>
        <w:bidi w:val="0"/>
        <w:adjustRightInd w:val="0"/>
        <w:snapToGrid w:val="0"/>
        <w:spacing w:line="440" w:lineRule="exact"/>
        <w:ind w:firstLine="480" w:firstLineChars="200"/>
        <w:textAlignment w:val="auto"/>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5）《项目经理简历表》中拟派项目经理与《开标一览表》不一致的；建造师的注册证书不是住建部门颁发的；建造师的注册单位与投标人不一致的；项目管理班子组成人员的各类证书、证件、证明不在有效期内的（建造师注册证书不在使用有效期内的）；擅自修改、遗漏《项目经理任职声明》实质性内容的；</w:t>
      </w:r>
    </w:p>
    <w:p w14:paraId="5C74D97B">
      <w:pPr>
        <w:keepNext w:val="0"/>
        <w:keepLines w:val="0"/>
        <w:pageBreakBefore w:val="0"/>
        <w:widowControl w:val="0"/>
        <w:kinsoku/>
        <w:wordWrap w:val="0"/>
        <w:overflowPunct/>
        <w:topLinePunct w:val="0"/>
        <w:autoSpaceDE/>
        <w:autoSpaceDN/>
        <w:bidi w:val="0"/>
        <w:adjustRightInd w:val="0"/>
        <w:snapToGrid w:val="0"/>
        <w:spacing w:line="440" w:lineRule="exact"/>
        <w:ind w:firstLine="723" w:firstLineChars="300"/>
        <w:textAlignment w:val="auto"/>
        <w:rPr>
          <w:rFonts w:hint="eastAsia" w:ascii="宋体" w:hAnsi="宋体" w:eastAsia="宋体" w:cs="宋体"/>
          <w:b/>
          <w:bCs/>
          <w:snapToGrid w:val="0"/>
          <w:color w:val="auto"/>
          <w:kern w:val="0"/>
          <w:sz w:val="24"/>
          <w:szCs w:val="24"/>
          <w:highlight w:val="none"/>
          <w:lang w:val="en-US" w:eastAsia="zh-CN"/>
        </w:rPr>
      </w:pPr>
      <w:r>
        <w:rPr>
          <w:rFonts w:hint="eastAsia" w:ascii="宋体" w:hAnsi="宋体" w:eastAsia="宋体" w:cs="宋体"/>
          <w:b/>
          <w:bCs/>
          <w:snapToGrid w:val="0"/>
          <w:color w:val="auto"/>
          <w:kern w:val="0"/>
          <w:sz w:val="24"/>
          <w:szCs w:val="24"/>
          <w:highlight w:val="none"/>
          <w:lang w:val="en-US" w:eastAsia="zh-CN"/>
        </w:rPr>
        <w:t>温馨提示：建造师打印电子证书后，应在个人签名处手写本人签名，未手写签名或与签名图像笔迹不一致的，该电子证书无效。</w:t>
      </w:r>
    </w:p>
    <w:p w14:paraId="7C424E2C">
      <w:pPr>
        <w:keepNext w:val="0"/>
        <w:keepLines w:val="0"/>
        <w:pageBreakBefore w:val="0"/>
        <w:widowControl w:val="0"/>
        <w:kinsoku/>
        <w:wordWrap w:val="0"/>
        <w:overflowPunct/>
        <w:topLinePunct w:val="0"/>
        <w:autoSpaceDE/>
        <w:autoSpaceDN/>
        <w:bidi w:val="0"/>
        <w:adjustRightInd w:val="0"/>
        <w:snapToGrid w:val="0"/>
        <w:spacing w:line="440" w:lineRule="exact"/>
        <w:ind w:firstLine="723" w:firstLineChars="300"/>
        <w:textAlignment w:val="auto"/>
        <w:rPr>
          <w:rFonts w:hint="eastAsia" w:ascii="宋体" w:hAnsi="宋体" w:eastAsia="宋体" w:cs="宋体"/>
          <w:b/>
          <w:bCs/>
          <w:snapToGrid w:val="0"/>
          <w:color w:val="auto"/>
          <w:kern w:val="0"/>
          <w:sz w:val="24"/>
          <w:szCs w:val="24"/>
          <w:highlight w:val="none"/>
        </w:rPr>
      </w:pPr>
      <w:r>
        <w:rPr>
          <w:rFonts w:hint="eastAsia" w:ascii="宋体" w:hAnsi="宋体" w:eastAsia="宋体" w:cs="宋体"/>
          <w:b/>
          <w:bCs/>
          <w:snapToGrid w:val="0"/>
          <w:color w:val="auto"/>
          <w:kern w:val="0"/>
          <w:sz w:val="24"/>
          <w:szCs w:val="24"/>
          <w:highlight w:val="none"/>
        </w:rPr>
        <w:t>注：投标人已经工商变更，但其员工执业资格注册证书的注册单位名称未完成变更的，不得否决其投标。鉴于目前继续教育开展的实际情况，建筑和市政工程施工现场专业人员（例如：施工员、质量员、材料员、资料员）的岗位证书或培训证书不审查其证书的有效期。</w:t>
      </w:r>
    </w:p>
    <w:p w14:paraId="6D7DDE93">
      <w:pPr>
        <w:keepNext w:val="0"/>
        <w:keepLines w:val="0"/>
        <w:pageBreakBefore w:val="0"/>
        <w:widowControl w:val="0"/>
        <w:kinsoku/>
        <w:wordWrap w:val="0"/>
        <w:overflowPunct/>
        <w:topLinePunct w:val="0"/>
        <w:autoSpaceDE/>
        <w:autoSpaceDN/>
        <w:bidi w:val="0"/>
        <w:adjustRightInd w:val="0"/>
        <w:snapToGrid w:val="0"/>
        <w:spacing w:line="440" w:lineRule="exact"/>
        <w:ind w:firstLine="480" w:firstLineChars="200"/>
        <w:textAlignment w:val="auto"/>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（6）联合体投标，未提交《联合体协议书》的；擅自修改、遗漏《联合体协议书》实质性内容的；联合体成员的数量、资质不符合规定的；联合体成员同时以自己名义单独投标或者参加其他联合体投标的；</w:t>
      </w:r>
    </w:p>
    <w:p w14:paraId="6DBEA6FC">
      <w:pPr>
        <w:keepNext w:val="0"/>
        <w:keepLines w:val="0"/>
        <w:pageBreakBefore w:val="0"/>
        <w:widowControl w:val="0"/>
        <w:kinsoku/>
        <w:wordWrap w:val="0"/>
        <w:overflowPunct/>
        <w:topLinePunct w:val="0"/>
        <w:autoSpaceDE/>
        <w:autoSpaceDN/>
        <w:bidi w:val="0"/>
        <w:adjustRightInd w:val="0"/>
        <w:snapToGrid w:val="0"/>
        <w:spacing w:line="440" w:lineRule="exact"/>
        <w:ind w:firstLine="480" w:firstLineChars="200"/>
        <w:textAlignment w:val="auto"/>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（7）投标人为外省建筑企业，但未提供“进粤企业和人员诚信信息登记平台”企业和拟派人员信息情况打印页或网页截图的。</w:t>
      </w:r>
    </w:p>
    <w:p w14:paraId="7F3E835A">
      <w:pPr>
        <w:keepNext w:val="0"/>
        <w:keepLines w:val="0"/>
        <w:pageBreakBefore w:val="0"/>
        <w:widowControl w:val="0"/>
        <w:kinsoku/>
        <w:wordWrap w:val="0"/>
        <w:overflowPunct/>
        <w:topLinePunct w:val="0"/>
        <w:autoSpaceDE/>
        <w:autoSpaceDN/>
        <w:bidi w:val="0"/>
        <w:adjustRightInd w:val="0"/>
        <w:snapToGrid w:val="0"/>
        <w:spacing w:line="440" w:lineRule="exact"/>
        <w:textAlignment w:val="auto"/>
        <w:outlineLvl w:val="1"/>
        <w:rPr>
          <w:rFonts w:hint="eastAsia" w:ascii="宋体" w:hAnsi="宋体" w:eastAsia="宋体" w:cs="宋体"/>
          <w:b/>
          <w:bCs/>
          <w:snapToGrid w:val="0"/>
          <w:color w:val="auto"/>
          <w:kern w:val="0"/>
          <w:sz w:val="24"/>
          <w:szCs w:val="24"/>
          <w:highlight w:val="none"/>
        </w:rPr>
      </w:pPr>
      <w:bookmarkStart w:id="283" w:name="_Toc16862"/>
      <w:r>
        <w:rPr>
          <w:rFonts w:hint="eastAsia" w:hAnsi="宋体" w:eastAsia="宋体" w:cs="宋体"/>
          <w:b/>
          <w:bCs/>
          <w:snapToGrid w:val="0"/>
          <w:color w:val="auto"/>
          <w:kern w:val="0"/>
          <w:sz w:val="24"/>
          <w:szCs w:val="24"/>
          <w:highlight w:val="none"/>
          <w:lang w:eastAsia="zh-CN"/>
        </w:rPr>
        <w:t>2.</w:t>
      </w:r>
      <w:r>
        <w:rPr>
          <w:rFonts w:hint="eastAsia" w:ascii="宋体" w:hAnsi="宋体" w:eastAsia="宋体" w:cs="宋体"/>
          <w:b/>
          <w:bCs/>
          <w:snapToGrid w:val="0"/>
          <w:color w:val="auto"/>
          <w:kern w:val="0"/>
          <w:sz w:val="24"/>
          <w:szCs w:val="24"/>
          <w:highlight w:val="none"/>
        </w:rPr>
        <w:t>形式评审环节</w:t>
      </w:r>
      <w:bookmarkEnd w:id="283"/>
    </w:p>
    <w:p w14:paraId="7087FC09">
      <w:pPr>
        <w:keepNext w:val="0"/>
        <w:keepLines w:val="0"/>
        <w:pageBreakBefore w:val="0"/>
        <w:widowControl w:val="0"/>
        <w:kinsoku/>
        <w:wordWrap w:val="0"/>
        <w:overflowPunct/>
        <w:topLinePunct w:val="0"/>
        <w:autoSpaceDE/>
        <w:autoSpaceDN/>
        <w:bidi w:val="0"/>
        <w:adjustRightInd w:val="0"/>
        <w:snapToGrid w:val="0"/>
        <w:spacing w:line="440" w:lineRule="exact"/>
        <w:ind w:firstLine="480" w:firstLineChars="200"/>
        <w:textAlignment w:val="auto"/>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投标人有下列情形之一的，评标委员会应否决其投标。被否决的投标人，不进入响应性评审环节。</w:t>
      </w:r>
    </w:p>
    <w:p w14:paraId="184E4182">
      <w:pPr>
        <w:keepNext w:val="0"/>
        <w:keepLines w:val="0"/>
        <w:pageBreakBefore w:val="0"/>
        <w:widowControl w:val="0"/>
        <w:kinsoku/>
        <w:wordWrap w:val="0"/>
        <w:overflowPunct/>
        <w:topLinePunct w:val="0"/>
        <w:autoSpaceDE/>
        <w:autoSpaceDN/>
        <w:bidi w:val="0"/>
        <w:adjustRightInd w:val="0"/>
        <w:snapToGrid w:val="0"/>
        <w:spacing w:line="440" w:lineRule="exact"/>
        <w:ind w:firstLine="480" w:firstLineChars="200"/>
        <w:textAlignment w:val="auto"/>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（8）本章第三节第</w:t>
      </w:r>
      <w:r>
        <w:rPr>
          <w:rFonts w:hint="eastAsia" w:ascii="宋体" w:hAnsi="宋体" w:eastAsia="宋体" w:cs="宋体"/>
          <w:bCs/>
          <w:color w:val="auto"/>
          <w:sz w:val="24"/>
          <w:szCs w:val="24"/>
          <w:highlight w:val="none"/>
        </w:rPr>
        <w:t>11.2.2</w:t>
      </w:r>
      <w:r>
        <w:rPr>
          <w:rFonts w:hint="eastAsia" w:hAnsi="宋体" w:cs="宋体"/>
          <w:bCs/>
          <w:color w:val="auto"/>
          <w:sz w:val="24"/>
          <w:szCs w:val="24"/>
          <w:highlight w:val="none"/>
          <w:lang w:eastAsia="zh-CN"/>
        </w:rPr>
        <w:t>、</w:t>
      </w:r>
      <w:r>
        <w:rPr>
          <w:rFonts w:hint="eastAsia" w:hAnsi="宋体" w:cs="宋体"/>
          <w:bCs/>
          <w:color w:val="auto"/>
          <w:sz w:val="24"/>
          <w:szCs w:val="24"/>
          <w:highlight w:val="none"/>
          <w:lang w:val="en-US" w:eastAsia="zh-CN"/>
        </w:rPr>
        <w:t>11.3.3、11.4.2</w:t>
      </w:r>
      <w:r>
        <w:rPr>
          <w:rFonts w:hint="eastAsia" w:ascii="宋体" w:hAnsi="宋体" w:eastAsia="宋体" w:cs="宋体"/>
          <w:snapToGrid w:val="0"/>
          <w:color w:val="auto"/>
          <w:kern w:val="0"/>
          <w:sz w:val="24"/>
          <w:szCs w:val="24"/>
          <w:highlight w:val="none"/>
        </w:rPr>
        <w:t>目中规定的“所有投标人均应提供”的组成内容（包括该组成内容的所附资料）中，任何一项有缺漏的；</w:t>
      </w:r>
    </w:p>
    <w:p w14:paraId="79C8C386">
      <w:pPr>
        <w:keepNext w:val="0"/>
        <w:keepLines w:val="0"/>
        <w:pageBreakBefore w:val="0"/>
        <w:widowControl w:val="0"/>
        <w:kinsoku/>
        <w:wordWrap w:val="0"/>
        <w:overflowPunct/>
        <w:topLinePunct w:val="0"/>
        <w:autoSpaceDE/>
        <w:autoSpaceDN/>
        <w:bidi w:val="0"/>
        <w:adjustRightInd w:val="0"/>
        <w:snapToGrid w:val="0"/>
        <w:spacing w:line="440" w:lineRule="exact"/>
        <w:ind w:firstLine="480" w:firstLineChars="200"/>
        <w:textAlignment w:val="auto"/>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（9）关键字迹模糊、无法辨认，且该种过错将导致评标委员会无法判断投标文件是否响应招标文件实质性要求的；出现手工涂改、行间插字或删除，但未加盖单</w:t>
      </w:r>
      <w:r>
        <w:rPr>
          <w:rFonts w:hint="eastAsia" w:hAnsi="宋体" w:eastAsia="宋体" w:cs="宋体"/>
          <w:snapToGrid w:val="0"/>
          <w:color w:val="auto"/>
          <w:kern w:val="0"/>
          <w:sz w:val="24"/>
          <w:szCs w:val="24"/>
          <w:highlight w:val="none"/>
          <w:lang w:eastAsia="zh-CN"/>
        </w:rPr>
        <w:t>位公</w:t>
      </w:r>
      <w:r>
        <w:rPr>
          <w:rFonts w:hint="eastAsia" w:ascii="宋体" w:hAnsi="宋体" w:eastAsia="宋体" w:cs="宋体"/>
          <w:snapToGrid w:val="0"/>
          <w:color w:val="auto"/>
          <w:kern w:val="0"/>
          <w:sz w:val="24"/>
          <w:szCs w:val="24"/>
          <w:highlight w:val="none"/>
        </w:rPr>
        <w:t>章或由投标人的法定代表人或其委托代理人签字确认的；</w:t>
      </w:r>
    </w:p>
    <w:p w14:paraId="68DBAB9D">
      <w:pPr>
        <w:keepNext w:val="0"/>
        <w:keepLines w:val="0"/>
        <w:pageBreakBefore w:val="0"/>
        <w:widowControl w:val="0"/>
        <w:kinsoku/>
        <w:wordWrap w:val="0"/>
        <w:overflowPunct/>
        <w:topLinePunct w:val="0"/>
        <w:autoSpaceDE/>
        <w:autoSpaceDN/>
        <w:bidi w:val="0"/>
        <w:adjustRightInd w:val="0"/>
        <w:snapToGrid w:val="0"/>
        <w:spacing w:line="440" w:lineRule="exact"/>
        <w:ind w:firstLine="480" w:firstLineChars="200"/>
        <w:textAlignment w:val="auto"/>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（10）投标文件未按规定签字、盖章的；</w:t>
      </w:r>
    </w:p>
    <w:p w14:paraId="7E7E681C">
      <w:pPr>
        <w:keepNext w:val="0"/>
        <w:keepLines w:val="0"/>
        <w:pageBreakBefore w:val="0"/>
        <w:widowControl w:val="0"/>
        <w:kinsoku/>
        <w:wordWrap w:val="0"/>
        <w:overflowPunct/>
        <w:topLinePunct w:val="0"/>
        <w:autoSpaceDE/>
        <w:autoSpaceDN/>
        <w:bidi w:val="0"/>
        <w:adjustRightInd w:val="0"/>
        <w:snapToGrid w:val="0"/>
        <w:spacing w:line="440" w:lineRule="exact"/>
        <w:textAlignment w:val="auto"/>
        <w:outlineLvl w:val="1"/>
        <w:rPr>
          <w:rFonts w:hint="eastAsia" w:ascii="宋体" w:hAnsi="宋体" w:eastAsia="宋体" w:cs="宋体"/>
          <w:b/>
          <w:bCs/>
          <w:snapToGrid w:val="0"/>
          <w:color w:val="auto"/>
          <w:kern w:val="0"/>
          <w:sz w:val="24"/>
          <w:szCs w:val="24"/>
          <w:highlight w:val="none"/>
        </w:rPr>
      </w:pPr>
      <w:bookmarkStart w:id="284" w:name="_Toc11607"/>
      <w:r>
        <w:rPr>
          <w:rFonts w:hint="eastAsia" w:hAnsi="宋体" w:eastAsia="宋体" w:cs="宋体"/>
          <w:b/>
          <w:bCs/>
          <w:snapToGrid w:val="0"/>
          <w:color w:val="auto"/>
          <w:kern w:val="0"/>
          <w:sz w:val="24"/>
          <w:szCs w:val="24"/>
          <w:highlight w:val="none"/>
          <w:lang w:eastAsia="zh-CN"/>
        </w:rPr>
        <w:t>3.</w:t>
      </w:r>
      <w:r>
        <w:rPr>
          <w:rFonts w:hint="eastAsia" w:ascii="宋体" w:hAnsi="宋体" w:eastAsia="宋体" w:cs="宋体"/>
          <w:b/>
          <w:bCs/>
          <w:snapToGrid w:val="0"/>
          <w:color w:val="auto"/>
          <w:kern w:val="0"/>
          <w:sz w:val="24"/>
          <w:szCs w:val="24"/>
          <w:highlight w:val="none"/>
        </w:rPr>
        <w:t>响应性评审环节</w:t>
      </w:r>
      <w:bookmarkEnd w:id="284"/>
    </w:p>
    <w:p w14:paraId="5BD60166">
      <w:pPr>
        <w:keepNext w:val="0"/>
        <w:keepLines w:val="0"/>
        <w:pageBreakBefore w:val="0"/>
        <w:widowControl w:val="0"/>
        <w:kinsoku/>
        <w:wordWrap w:val="0"/>
        <w:overflowPunct/>
        <w:topLinePunct w:val="0"/>
        <w:autoSpaceDE/>
        <w:autoSpaceDN/>
        <w:bidi w:val="0"/>
        <w:adjustRightInd w:val="0"/>
        <w:snapToGrid w:val="0"/>
        <w:spacing w:line="440" w:lineRule="exact"/>
        <w:ind w:firstLine="480" w:firstLineChars="200"/>
        <w:textAlignment w:val="auto"/>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投标人有下列情形之一的，评标委员会应否决其投标。被否决的投标人，不进入详细评审阶段。</w:t>
      </w:r>
    </w:p>
    <w:p w14:paraId="5DE1D1EB">
      <w:pPr>
        <w:keepNext w:val="0"/>
        <w:keepLines w:val="0"/>
        <w:pageBreakBefore w:val="0"/>
        <w:widowControl w:val="0"/>
        <w:kinsoku/>
        <w:wordWrap w:val="0"/>
        <w:overflowPunct/>
        <w:topLinePunct w:val="0"/>
        <w:autoSpaceDE/>
        <w:autoSpaceDN/>
        <w:bidi w:val="0"/>
        <w:adjustRightInd w:val="0"/>
        <w:snapToGrid w:val="0"/>
        <w:spacing w:line="440" w:lineRule="exact"/>
        <w:ind w:firstLine="480" w:firstLineChars="200"/>
        <w:textAlignment w:val="auto"/>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（11）承诺的投标有效期短于规定的；工期超出规定的；擅自修改、遗漏《投标函》《各项承诺一览表》实质性内容的；</w:t>
      </w:r>
    </w:p>
    <w:p w14:paraId="569333B1">
      <w:pPr>
        <w:keepNext w:val="0"/>
        <w:keepLines w:val="0"/>
        <w:pageBreakBefore w:val="0"/>
        <w:widowControl w:val="0"/>
        <w:kinsoku/>
        <w:wordWrap w:val="0"/>
        <w:overflowPunct/>
        <w:topLinePunct w:val="0"/>
        <w:autoSpaceDE/>
        <w:autoSpaceDN/>
        <w:bidi w:val="0"/>
        <w:adjustRightInd w:val="0"/>
        <w:snapToGrid w:val="0"/>
        <w:spacing w:line="440" w:lineRule="exact"/>
        <w:ind w:firstLine="480" w:firstLineChars="200"/>
        <w:textAlignment w:val="auto"/>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12）两个或两个以上投标总价的（同一个投标总价大、小写不一致的除外）；投标总价超出出现最高投标限价的；投标总价下浮率超过15%，又未提供相应书面说明和佐证材料或提供的书面说明和佐证材料不能令人信服，被评标委员会认定以低于成本报价竞标的；</w:t>
      </w:r>
    </w:p>
    <w:p w14:paraId="0277C39C">
      <w:pPr>
        <w:keepNext w:val="0"/>
        <w:keepLines w:val="0"/>
        <w:pageBreakBefore w:val="0"/>
        <w:widowControl w:val="0"/>
        <w:kinsoku/>
        <w:wordWrap w:val="0"/>
        <w:overflowPunct/>
        <w:topLinePunct w:val="0"/>
        <w:autoSpaceDE/>
        <w:autoSpaceDN/>
        <w:bidi w:val="0"/>
        <w:adjustRightInd w:val="0"/>
        <w:snapToGrid w:val="0"/>
        <w:spacing w:line="440" w:lineRule="exact"/>
        <w:textAlignment w:val="auto"/>
        <w:outlineLvl w:val="1"/>
        <w:rPr>
          <w:rFonts w:hint="eastAsia" w:ascii="宋体" w:hAnsi="宋体" w:eastAsia="宋体" w:cs="宋体"/>
          <w:b/>
          <w:bCs/>
          <w:snapToGrid w:val="0"/>
          <w:color w:val="auto"/>
          <w:kern w:val="0"/>
          <w:sz w:val="24"/>
          <w:szCs w:val="24"/>
          <w:highlight w:val="none"/>
        </w:rPr>
      </w:pPr>
      <w:bookmarkStart w:id="285" w:name="_Toc29578"/>
      <w:r>
        <w:rPr>
          <w:rFonts w:hint="eastAsia" w:hAnsi="宋体" w:eastAsia="宋体" w:cs="宋体"/>
          <w:b/>
          <w:bCs/>
          <w:snapToGrid w:val="0"/>
          <w:color w:val="auto"/>
          <w:kern w:val="0"/>
          <w:sz w:val="24"/>
          <w:szCs w:val="24"/>
          <w:highlight w:val="none"/>
          <w:lang w:eastAsia="zh-CN"/>
        </w:rPr>
        <w:t>4.</w:t>
      </w:r>
      <w:r>
        <w:rPr>
          <w:rFonts w:hint="eastAsia" w:ascii="宋体" w:hAnsi="宋体" w:eastAsia="宋体" w:cs="宋体"/>
          <w:b/>
          <w:bCs/>
          <w:snapToGrid w:val="0"/>
          <w:color w:val="auto"/>
          <w:kern w:val="0"/>
          <w:sz w:val="24"/>
          <w:szCs w:val="24"/>
          <w:highlight w:val="none"/>
        </w:rPr>
        <w:t>其他</w:t>
      </w:r>
      <w:bookmarkEnd w:id="285"/>
    </w:p>
    <w:p w14:paraId="7CA68F4E">
      <w:pPr>
        <w:keepNext w:val="0"/>
        <w:keepLines w:val="0"/>
        <w:pageBreakBefore w:val="0"/>
        <w:widowControl w:val="0"/>
        <w:kinsoku/>
        <w:wordWrap w:val="0"/>
        <w:overflowPunct/>
        <w:topLinePunct w:val="0"/>
        <w:autoSpaceDE/>
        <w:autoSpaceDN/>
        <w:bidi w:val="0"/>
        <w:adjustRightInd w:val="0"/>
        <w:snapToGrid w:val="0"/>
        <w:spacing w:line="440" w:lineRule="exact"/>
        <w:ind w:firstLine="480" w:firstLineChars="200"/>
        <w:textAlignment w:val="auto"/>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在任何评标环节（或阶段），投标人有下列情形之一的，评标委员会应否决其投标。被否决的投标人，不进入下一环节（或阶段）。</w:t>
      </w:r>
    </w:p>
    <w:p w14:paraId="7A5EFD7B">
      <w:pPr>
        <w:keepNext w:val="0"/>
        <w:keepLines w:val="0"/>
        <w:pageBreakBefore w:val="0"/>
        <w:widowControl w:val="0"/>
        <w:kinsoku/>
        <w:wordWrap w:val="0"/>
        <w:overflowPunct/>
        <w:topLinePunct w:val="0"/>
        <w:autoSpaceDE/>
        <w:autoSpaceDN/>
        <w:bidi w:val="0"/>
        <w:adjustRightInd w:val="0"/>
        <w:snapToGrid w:val="0"/>
        <w:spacing w:line="440" w:lineRule="exact"/>
        <w:ind w:firstLine="480" w:firstLineChars="200"/>
        <w:textAlignment w:val="auto"/>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（14）不按评标委员会要求澄清、说明或补正的；</w:t>
      </w:r>
    </w:p>
    <w:p w14:paraId="33612C99">
      <w:pPr>
        <w:keepNext w:val="0"/>
        <w:keepLines w:val="0"/>
        <w:pageBreakBefore w:val="0"/>
        <w:widowControl w:val="0"/>
        <w:kinsoku/>
        <w:wordWrap w:val="0"/>
        <w:overflowPunct/>
        <w:topLinePunct w:val="0"/>
        <w:autoSpaceDE/>
        <w:autoSpaceDN/>
        <w:bidi w:val="0"/>
        <w:adjustRightInd w:val="0"/>
        <w:snapToGrid w:val="0"/>
        <w:spacing w:line="440" w:lineRule="exact"/>
        <w:ind w:firstLine="480" w:firstLineChars="200"/>
        <w:textAlignment w:val="auto"/>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（15）有下列情形之一，被评标委员会认定属于串通投标的：</w:t>
      </w:r>
    </w:p>
    <w:p w14:paraId="387EB46F">
      <w:pPr>
        <w:keepNext w:val="0"/>
        <w:keepLines w:val="0"/>
        <w:pageBreakBefore w:val="0"/>
        <w:widowControl w:val="0"/>
        <w:kinsoku/>
        <w:wordWrap w:val="0"/>
        <w:overflowPunct/>
        <w:topLinePunct w:val="0"/>
        <w:autoSpaceDE/>
        <w:autoSpaceDN/>
        <w:bidi w:val="0"/>
        <w:adjustRightInd w:val="0"/>
        <w:snapToGrid w:val="0"/>
        <w:spacing w:line="440" w:lineRule="exact"/>
        <w:ind w:firstLine="480" w:firstLineChars="200"/>
        <w:textAlignment w:val="auto"/>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 xml:space="preserve"> ①不同投标人的投标文件两处以上（含两处）错、漏一致；</w:t>
      </w:r>
    </w:p>
    <w:p w14:paraId="4B49B88D">
      <w:pPr>
        <w:keepNext w:val="0"/>
        <w:keepLines w:val="0"/>
        <w:pageBreakBefore w:val="0"/>
        <w:widowControl w:val="0"/>
        <w:kinsoku/>
        <w:wordWrap w:val="0"/>
        <w:overflowPunct/>
        <w:topLinePunct w:val="0"/>
        <w:autoSpaceDE/>
        <w:autoSpaceDN/>
        <w:bidi w:val="0"/>
        <w:adjustRightInd w:val="0"/>
        <w:snapToGrid w:val="0"/>
        <w:spacing w:line="440" w:lineRule="exact"/>
        <w:ind w:firstLine="480" w:firstLineChars="200"/>
        <w:textAlignment w:val="auto"/>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 xml:space="preserve"> ②不同投标人的投标总价相近且各分项报价、综合单价分析表内容混乱不能相互对应、乱调乱压或乱抬的，而在询标时没有合理的解释或者不能提供计算依据和报价依据</w:t>
      </w:r>
    </w:p>
    <w:p w14:paraId="2EBE84AD">
      <w:pPr>
        <w:keepNext w:val="0"/>
        <w:keepLines w:val="0"/>
        <w:pageBreakBefore w:val="0"/>
        <w:widowControl w:val="0"/>
        <w:kinsoku/>
        <w:wordWrap w:val="0"/>
        <w:overflowPunct/>
        <w:topLinePunct w:val="0"/>
        <w:autoSpaceDE/>
        <w:autoSpaceDN/>
        <w:bidi w:val="0"/>
        <w:adjustRightInd w:val="0"/>
        <w:snapToGrid w:val="0"/>
        <w:spacing w:line="440" w:lineRule="exact"/>
        <w:ind w:firstLine="480" w:firstLineChars="200"/>
        <w:textAlignment w:val="auto"/>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③不同投标人的投标各项报价存在异常一致或者呈规律性变化；</w:t>
      </w:r>
    </w:p>
    <w:p w14:paraId="7FF76A21">
      <w:pPr>
        <w:keepNext w:val="0"/>
        <w:keepLines w:val="0"/>
        <w:pageBreakBefore w:val="0"/>
        <w:widowControl w:val="0"/>
        <w:kinsoku/>
        <w:wordWrap w:val="0"/>
        <w:overflowPunct/>
        <w:topLinePunct w:val="0"/>
        <w:autoSpaceDE/>
        <w:autoSpaceDN/>
        <w:bidi w:val="0"/>
        <w:adjustRightInd w:val="0"/>
        <w:snapToGrid w:val="0"/>
        <w:spacing w:line="440" w:lineRule="exact"/>
        <w:ind w:firstLine="480" w:firstLineChars="200"/>
        <w:textAlignment w:val="auto"/>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④不同投标人的投标文件由同一单位或者同一个人编制</w:t>
      </w:r>
      <w:r>
        <w:rPr>
          <w:rStyle w:val="53"/>
          <w:rFonts w:hint="eastAsia" w:ascii="宋体" w:hAnsi="宋体" w:eastAsia="宋体" w:cs="宋体"/>
          <w:color w:val="auto"/>
          <w:kern w:val="0"/>
          <w:sz w:val="24"/>
          <w:szCs w:val="24"/>
          <w:highlight w:val="none"/>
          <w:lang w:val="en-US" w:eastAsia="zh-CN"/>
        </w:rPr>
        <w:t>或不同投标人通过同一IP地址上传投标文件的</w:t>
      </w:r>
      <w:r>
        <w:rPr>
          <w:rFonts w:hint="eastAsia" w:ascii="宋体" w:hAnsi="宋体" w:eastAsia="宋体" w:cs="宋体"/>
          <w:snapToGrid w:val="0"/>
          <w:color w:val="auto"/>
          <w:kern w:val="0"/>
          <w:sz w:val="24"/>
          <w:szCs w:val="24"/>
          <w:highlight w:val="none"/>
        </w:rPr>
        <w:t>；</w:t>
      </w:r>
    </w:p>
    <w:p w14:paraId="2F5A08F3">
      <w:pPr>
        <w:keepNext w:val="0"/>
        <w:keepLines w:val="0"/>
        <w:pageBreakBefore w:val="0"/>
        <w:widowControl w:val="0"/>
        <w:kinsoku/>
        <w:wordWrap w:val="0"/>
        <w:overflowPunct/>
        <w:topLinePunct w:val="0"/>
        <w:autoSpaceDE/>
        <w:autoSpaceDN/>
        <w:bidi w:val="0"/>
        <w:adjustRightInd w:val="0"/>
        <w:snapToGrid w:val="0"/>
        <w:spacing w:line="440" w:lineRule="exact"/>
        <w:ind w:firstLine="480" w:firstLineChars="200"/>
        <w:textAlignment w:val="auto"/>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⑤不同投标人的投标文件中投标资料（包括电子资料）相互混装或项目班子成员出现同一人；</w:t>
      </w:r>
    </w:p>
    <w:p w14:paraId="666ED94B">
      <w:pPr>
        <w:keepNext w:val="0"/>
        <w:keepLines w:val="0"/>
        <w:pageBreakBefore w:val="0"/>
        <w:widowControl w:val="0"/>
        <w:kinsoku/>
        <w:wordWrap w:val="0"/>
        <w:overflowPunct/>
        <w:topLinePunct w:val="0"/>
        <w:autoSpaceDE/>
        <w:autoSpaceDN/>
        <w:bidi w:val="0"/>
        <w:adjustRightInd w:val="0"/>
        <w:snapToGrid w:val="0"/>
        <w:spacing w:line="440" w:lineRule="exact"/>
        <w:ind w:firstLine="480" w:firstLineChars="200"/>
        <w:textAlignment w:val="auto"/>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⑥不同投标人的投标文件由同一电脑编制或同一台附属设备打印，或投标报价用同一个预算编制软件密码锁制作或出自同一电子文档；</w:t>
      </w:r>
    </w:p>
    <w:p w14:paraId="6E614958">
      <w:pPr>
        <w:keepNext w:val="0"/>
        <w:keepLines w:val="0"/>
        <w:pageBreakBefore w:val="0"/>
        <w:widowControl w:val="0"/>
        <w:kinsoku/>
        <w:wordWrap w:val="0"/>
        <w:overflowPunct/>
        <w:topLinePunct w:val="0"/>
        <w:autoSpaceDE/>
        <w:autoSpaceDN/>
        <w:bidi w:val="0"/>
        <w:adjustRightInd w:val="0"/>
        <w:snapToGrid w:val="0"/>
        <w:spacing w:line="440" w:lineRule="exact"/>
        <w:ind w:firstLine="480" w:firstLineChars="200"/>
        <w:textAlignment w:val="auto"/>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⑦不同投标人的投标保证由同一企业或同一账户资金缴纳；</w:t>
      </w:r>
    </w:p>
    <w:p w14:paraId="3513B8F8">
      <w:pPr>
        <w:keepNext w:val="0"/>
        <w:keepLines w:val="0"/>
        <w:pageBreakBefore w:val="0"/>
        <w:widowControl w:val="0"/>
        <w:kinsoku/>
        <w:wordWrap w:val="0"/>
        <w:overflowPunct/>
        <w:topLinePunct w:val="0"/>
        <w:autoSpaceDE/>
        <w:autoSpaceDN/>
        <w:bidi w:val="0"/>
        <w:adjustRightInd w:val="0"/>
        <w:snapToGrid w:val="0"/>
        <w:spacing w:line="440" w:lineRule="exact"/>
        <w:ind w:firstLine="480" w:firstLineChars="200"/>
        <w:textAlignment w:val="auto"/>
        <w:rPr>
          <w:rFonts w:hint="eastAsia" w:ascii="宋体" w:hAnsi="宋体" w:eastAsia="宋体" w:cs="宋体"/>
          <w:snapToGrid w:val="0"/>
          <w:color w:val="auto"/>
          <w:kern w:val="0"/>
          <w:sz w:val="24"/>
          <w:szCs w:val="24"/>
          <w:highlight w:val="none"/>
          <w:lang w:eastAsia="zh-CN"/>
        </w:rPr>
      </w:pPr>
      <w:r>
        <w:rPr>
          <w:rFonts w:hint="eastAsia" w:ascii="宋体" w:hAnsi="宋体" w:eastAsia="宋体" w:cs="宋体"/>
          <w:snapToGrid w:val="0"/>
          <w:color w:val="auto"/>
          <w:kern w:val="0"/>
          <w:sz w:val="24"/>
          <w:szCs w:val="24"/>
          <w:highlight w:val="none"/>
        </w:rPr>
        <w:t>⑧不同投标人委托同一个人或注册在同一家企业的注册人员或同一家企业为其投标提供投标咨询、商务报价、技术咨询（招标工程本身要求采用专有技术的除外）等服务。</w:t>
      </w:r>
      <w:r>
        <w:rPr>
          <w:rFonts w:hint="eastAsia" w:hAnsi="宋体" w:eastAsia="宋体" w:cs="宋体"/>
          <w:snapToGrid w:val="0"/>
          <w:color w:val="auto"/>
          <w:kern w:val="0"/>
          <w:sz w:val="24"/>
          <w:szCs w:val="24"/>
          <w:highlight w:val="none"/>
          <w:lang w:val="en-US" w:eastAsia="zh-CN"/>
        </w:rPr>
        <w:t xml:space="preserve">    </w:t>
      </w:r>
      <w:r>
        <w:rPr>
          <w:rFonts w:hint="eastAsia" w:ascii="宋体" w:hAnsi="宋体" w:eastAsia="宋体" w:cs="宋体"/>
          <w:color w:val="auto"/>
          <w:spacing w:val="-2"/>
          <w:sz w:val="24"/>
          <w:szCs w:val="24"/>
          <w:highlight w:val="none"/>
        </w:rPr>
        <w:t>⑨监督部门于韶关市公共交易一体化平台发现系统提示风险预警，如提示投标单位上传投标文件使用的电脑IP地址一致等</w:t>
      </w:r>
      <w:r>
        <w:rPr>
          <w:rFonts w:hint="eastAsia" w:hAnsi="宋体" w:eastAsia="宋体" w:cs="宋体"/>
          <w:color w:val="auto"/>
          <w:spacing w:val="-2"/>
          <w:sz w:val="24"/>
          <w:szCs w:val="24"/>
          <w:highlight w:val="none"/>
          <w:lang w:eastAsia="zh-CN"/>
        </w:rPr>
        <w:t>。</w:t>
      </w:r>
    </w:p>
    <w:p w14:paraId="36FEB59D">
      <w:pPr>
        <w:keepNext w:val="0"/>
        <w:keepLines w:val="0"/>
        <w:pageBreakBefore w:val="0"/>
        <w:widowControl w:val="0"/>
        <w:kinsoku/>
        <w:wordWrap w:val="0"/>
        <w:overflowPunct/>
        <w:topLinePunct w:val="0"/>
        <w:autoSpaceDE/>
        <w:autoSpaceDN/>
        <w:bidi w:val="0"/>
        <w:adjustRightInd w:val="0"/>
        <w:snapToGrid w:val="0"/>
        <w:spacing w:line="460" w:lineRule="exact"/>
        <w:ind w:firstLine="480" w:firstLineChars="200"/>
        <w:textAlignment w:val="auto"/>
        <w:rPr>
          <w:rFonts w:hint="eastAsia" w:ascii="宋体" w:hAnsi="宋体" w:eastAsia="宋体" w:cs="宋体"/>
          <w:snapToGrid w:val="0"/>
          <w:color w:val="auto"/>
          <w:kern w:val="0"/>
          <w:sz w:val="24"/>
          <w:szCs w:val="24"/>
          <w:highlight w:val="none"/>
        </w:rPr>
      </w:pPr>
    </w:p>
    <w:p w14:paraId="652677CB">
      <w:pPr>
        <w:keepNext w:val="0"/>
        <w:keepLines w:val="0"/>
        <w:pageBreakBefore w:val="0"/>
        <w:widowControl w:val="0"/>
        <w:kinsoku/>
        <w:wordWrap w:val="0"/>
        <w:overflowPunct/>
        <w:topLinePunct w:val="0"/>
        <w:autoSpaceDE/>
        <w:autoSpaceDN/>
        <w:bidi w:val="0"/>
        <w:snapToGrid w:val="0"/>
        <w:spacing w:beforeAutospacing="0" w:afterAutospacing="0" w:line="460" w:lineRule="exact"/>
        <w:ind w:firstLine="0"/>
        <w:textAlignment w:val="auto"/>
        <w:rPr>
          <w:rFonts w:hint="eastAsia" w:ascii="宋体" w:hAnsi="宋体" w:eastAsia="宋体" w:cs="宋体"/>
          <w:color w:val="auto"/>
          <w:kern w:val="0"/>
          <w:sz w:val="24"/>
          <w:szCs w:val="24"/>
          <w:highlight w:val="none"/>
        </w:rPr>
        <w:sectPr>
          <w:footerReference r:id="rId5" w:type="default"/>
          <w:endnotePr>
            <w:numFmt w:val="decimal"/>
          </w:endnotePr>
          <w:pgSz w:w="11905" w:h="16838"/>
          <w:pgMar w:top="1134" w:right="1134" w:bottom="1134" w:left="1417" w:header="850" w:footer="0" w:gutter="0"/>
          <w:pgBorders>
            <w:top w:val="none" w:sz="0" w:space="0"/>
            <w:left w:val="none" w:sz="0" w:space="0"/>
            <w:bottom w:val="none" w:sz="0" w:space="0"/>
            <w:right w:val="none" w:sz="0" w:space="0"/>
          </w:pgBorders>
          <w:pgNumType w:fmt="decimal" w:start="1"/>
          <w:cols w:space="0" w:num="1"/>
          <w:rtlGutter w:val="0"/>
          <w:docGrid w:linePitch="327" w:charSpace="0"/>
        </w:sectPr>
      </w:pPr>
    </w:p>
    <w:p w14:paraId="0FFA5425">
      <w:pPr>
        <w:wordWrap w:val="0"/>
        <w:adjustRightInd w:val="0"/>
        <w:snapToGrid w:val="0"/>
        <w:spacing w:line="440" w:lineRule="exact"/>
        <w:jc w:val="center"/>
        <w:outlineLvl w:val="1"/>
        <w:rPr>
          <w:rFonts w:hint="eastAsia" w:asciiTheme="minorEastAsia" w:hAnsiTheme="minorEastAsia" w:eastAsiaTheme="minorEastAsia" w:cstheme="minorEastAsia"/>
          <w:b/>
          <w:bCs/>
          <w:snapToGrid w:val="0"/>
          <w:color w:val="auto"/>
          <w:kern w:val="0"/>
          <w:sz w:val="28"/>
          <w:szCs w:val="28"/>
          <w:highlight w:val="none"/>
          <w:lang w:val="en-US"/>
        </w:rPr>
      </w:pPr>
      <w:bookmarkStart w:id="286" w:name="_Toc9056"/>
      <w:bookmarkStart w:id="287" w:name="_Toc22323"/>
      <w:bookmarkStart w:id="288" w:name="_Toc17522"/>
      <w:r>
        <w:rPr>
          <w:rFonts w:hint="eastAsia" w:asciiTheme="minorEastAsia" w:hAnsiTheme="minorEastAsia" w:eastAsiaTheme="minorEastAsia" w:cstheme="minorEastAsia"/>
          <w:b/>
          <w:bCs/>
          <w:snapToGrid w:val="0"/>
          <w:color w:val="auto"/>
          <w:kern w:val="0"/>
          <w:sz w:val="28"/>
          <w:szCs w:val="28"/>
          <w:highlight w:val="none"/>
        </w:rPr>
        <w:t>第</w:t>
      </w:r>
      <w:r>
        <w:rPr>
          <w:rFonts w:hint="eastAsia" w:asciiTheme="minorEastAsia" w:hAnsiTheme="minorEastAsia" w:eastAsiaTheme="minorEastAsia" w:cstheme="minorEastAsia"/>
          <w:b/>
          <w:bCs/>
          <w:snapToGrid w:val="0"/>
          <w:color w:val="auto"/>
          <w:kern w:val="0"/>
          <w:sz w:val="28"/>
          <w:szCs w:val="28"/>
          <w:highlight w:val="none"/>
          <w:lang w:val="en-US" w:eastAsia="zh-CN"/>
        </w:rPr>
        <w:t>五</w:t>
      </w:r>
      <w:r>
        <w:rPr>
          <w:rFonts w:hint="eastAsia" w:asciiTheme="minorEastAsia" w:hAnsiTheme="minorEastAsia" w:eastAsiaTheme="minorEastAsia" w:cstheme="minorEastAsia"/>
          <w:b/>
          <w:bCs/>
          <w:snapToGrid w:val="0"/>
          <w:color w:val="auto"/>
          <w:kern w:val="0"/>
          <w:sz w:val="28"/>
          <w:szCs w:val="28"/>
          <w:highlight w:val="none"/>
        </w:rPr>
        <w:t>节 定标</w:t>
      </w:r>
      <w:r>
        <w:rPr>
          <w:rFonts w:hint="eastAsia" w:asciiTheme="minorEastAsia" w:hAnsiTheme="minorEastAsia" w:eastAsiaTheme="minorEastAsia" w:cstheme="minorEastAsia"/>
          <w:b/>
          <w:bCs/>
          <w:snapToGrid w:val="0"/>
          <w:color w:val="auto"/>
          <w:kern w:val="0"/>
          <w:sz w:val="28"/>
          <w:szCs w:val="28"/>
          <w:highlight w:val="none"/>
          <w:lang w:eastAsia="zh-CN"/>
        </w:rPr>
        <w:t>规定</w:t>
      </w:r>
      <w:r>
        <w:rPr>
          <w:rFonts w:hint="eastAsia" w:asciiTheme="minorEastAsia" w:hAnsiTheme="minorEastAsia" w:eastAsiaTheme="minorEastAsia" w:cstheme="minorEastAsia"/>
          <w:b/>
          <w:bCs/>
          <w:snapToGrid w:val="0"/>
          <w:color w:val="auto"/>
          <w:kern w:val="0"/>
          <w:sz w:val="28"/>
          <w:szCs w:val="28"/>
          <w:highlight w:val="none"/>
          <w:lang w:val="en-US" w:eastAsia="zh-CN"/>
        </w:rPr>
        <w:t>及定标办法（本项目采用票决数量法定标）</w:t>
      </w:r>
      <w:bookmarkEnd w:id="286"/>
      <w:bookmarkEnd w:id="287"/>
      <w:bookmarkEnd w:id="288"/>
    </w:p>
    <w:p w14:paraId="79F44ACC">
      <w:pPr>
        <w:keepNext w:val="0"/>
        <w:keepLines w:val="0"/>
        <w:pageBreakBefore w:val="0"/>
        <w:kinsoku/>
        <w:overflowPunct/>
        <w:topLinePunct w:val="0"/>
        <w:autoSpaceDE/>
        <w:autoSpaceDN/>
        <w:bidi w:val="0"/>
        <w:spacing w:line="460" w:lineRule="exact"/>
        <w:ind w:firstLine="422" w:firstLineChars="200"/>
        <w:textAlignment w:val="auto"/>
        <w:rPr>
          <w:rStyle w:val="53"/>
          <w:rFonts w:hint="eastAsia" w:ascii="宋体" w:hAnsi="宋体" w:eastAsia="宋体" w:cs="宋体"/>
          <w:b/>
          <w:bCs/>
          <w:color w:val="auto"/>
          <w:kern w:val="0"/>
          <w:sz w:val="21"/>
          <w:szCs w:val="21"/>
          <w:highlight w:val="none"/>
          <w:lang w:val="en-US" w:eastAsia="zh-CN"/>
        </w:rPr>
      </w:pPr>
    </w:p>
    <w:p w14:paraId="3D1F3A7F">
      <w:pPr>
        <w:keepNext w:val="0"/>
        <w:keepLines w:val="0"/>
        <w:pageBreakBefore w:val="0"/>
        <w:kinsoku/>
        <w:wordWrap w:val="0"/>
        <w:overflowPunct/>
        <w:topLinePunct/>
        <w:bidi w:val="0"/>
        <w:spacing w:line="360" w:lineRule="auto"/>
        <w:ind w:firstLine="482" w:firstLineChars="200"/>
        <w:rPr>
          <w:rStyle w:val="53"/>
          <w:rFonts w:hint="eastAsia" w:ascii="宋体" w:hAnsi="宋体" w:eastAsia="宋体" w:cs="宋体"/>
          <w:b/>
          <w:bCs/>
          <w:color w:val="auto"/>
          <w:kern w:val="0"/>
          <w:sz w:val="24"/>
          <w:szCs w:val="24"/>
          <w:highlight w:val="none"/>
        </w:rPr>
      </w:pPr>
      <w:r>
        <w:rPr>
          <w:rStyle w:val="53"/>
          <w:rFonts w:hint="eastAsia" w:ascii="宋体" w:hAnsi="宋体" w:eastAsia="宋体" w:cs="宋体"/>
          <w:b/>
          <w:bCs/>
          <w:color w:val="auto"/>
          <w:kern w:val="0"/>
          <w:sz w:val="24"/>
          <w:szCs w:val="24"/>
          <w:highlight w:val="none"/>
          <w:lang w:val="en-US" w:eastAsia="zh-CN"/>
        </w:rPr>
        <w:t>1.</w:t>
      </w:r>
      <w:r>
        <w:rPr>
          <w:rStyle w:val="53"/>
          <w:rFonts w:hint="eastAsia" w:ascii="宋体" w:hAnsi="宋体" w:eastAsia="宋体" w:cs="宋体"/>
          <w:b/>
          <w:bCs/>
          <w:color w:val="auto"/>
          <w:kern w:val="0"/>
          <w:sz w:val="24"/>
          <w:szCs w:val="24"/>
          <w:highlight w:val="none"/>
          <w:lang w:eastAsia="zh-CN"/>
        </w:rPr>
        <w:t>确定</w:t>
      </w:r>
      <w:r>
        <w:rPr>
          <w:rStyle w:val="53"/>
          <w:rFonts w:hint="eastAsia" w:ascii="宋体" w:hAnsi="宋体" w:eastAsia="宋体" w:cs="宋体"/>
          <w:b/>
          <w:bCs/>
          <w:color w:val="auto"/>
          <w:kern w:val="0"/>
          <w:sz w:val="24"/>
          <w:szCs w:val="24"/>
          <w:highlight w:val="none"/>
        </w:rPr>
        <w:t>定标时间</w:t>
      </w:r>
    </w:p>
    <w:p w14:paraId="532FDCE2">
      <w:pPr>
        <w:keepNext w:val="0"/>
        <w:keepLines w:val="0"/>
        <w:pageBreakBefore w:val="0"/>
        <w:kinsoku/>
        <w:wordWrap w:val="0"/>
        <w:overflowPunct/>
        <w:topLinePunct/>
        <w:bidi w:val="0"/>
        <w:spacing w:line="360" w:lineRule="auto"/>
        <w:ind w:firstLine="480" w:firstLineChars="200"/>
        <w:rPr>
          <w:rStyle w:val="53"/>
          <w:rFonts w:hint="eastAsia" w:ascii="宋体" w:hAnsi="宋体" w:eastAsia="宋体" w:cs="宋体"/>
          <w:color w:val="auto"/>
          <w:kern w:val="0"/>
          <w:sz w:val="24"/>
          <w:szCs w:val="24"/>
          <w:highlight w:val="none"/>
        </w:rPr>
      </w:pPr>
      <w:r>
        <w:rPr>
          <w:rStyle w:val="53"/>
          <w:rFonts w:hint="eastAsia" w:ascii="宋体" w:hAnsi="宋体" w:eastAsia="宋体" w:cs="宋体"/>
          <w:color w:val="auto"/>
          <w:kern w:val="0"/>
          <w:sz w:val="24"/>
          <w:szCs w:val="24"/>
          <w:highlight w:val="none"/>
        </w:rPr>
        <w:t>招标人应自定标候选人公示期满后5个工作日内进入公共资源交易平台（与评标阶段公共资源交易平台相同）进行定标，定标委员会根据定标方案确定1名中标人或排名第1名至第3名的中标候选人，并向招标人提交书面定标报告，定标委员会全体成员在报告上签字确认。招标监督小组全员同时参加定标会议，全程监督，并在定标报告上的招标监督小组处签字。项目业主单位应对定标过程进行记录，形成定标会议记录，存档备查。定标会议全过程录音录像。招标人需要延期定标的，应通过公共资源交易平台公布延期原因和定标时间。</w:t>
      </w:r>
    </w:p>
    <w:p w14:paraId="3D92834B">
      <w:pPr>
        <w:keepNext w:val="0"/>
        <w:keepLines w:val="0"/>
        <w:pageBreakBefore w:val="0"/>
        <w:kinsoku/>
        <w:wordWrap w:val="0"/>
        <w:overflowPunct/>
        <w:topLinePunct/>
        <w:bidi w:val="0"/>
        <w:spacing w:line="360" w:lineRule="auto"/>
        <w:ind w:firstLine="482" w:firstLineChars="200"/>
        <w:rPr>
          <w:rStyle w:val="53"/>
          <w:rFonts w:hint="eastAsia" w:ascii="宋体" w:hAnsi="宋体" w:eastAsia="宋体" w:cs="宋体"/>
          <w:b/>
          <w:bCs/>
          <w:color w:val="auto"/>
          <w:kern w:val="0"/>
          <w:sz w:val="24"/>
          <w:szCs w:val="24"/>
          <w:highlight w:val="none"/>
          <w:lang w:eastAsia="zh-CN"/>
        </w:rPr>
      </w:pPr>
      <w:r>
        <w:rPr>
          <w:rStyle w:val="53"/>
          <w:rFonts w:hint="eastAsia" w:ascii="宋体" w:hAnsi="宋体" w:eastAsia="宋体" w:cs="宋体"/>
          <w:b/>
          <w:bCs/>
          <w:color w:val="auto"/>
          <w:kern w:val="0"/>
          <w:sz w:val="24"/>
          <w:szCs w:val="24"/>
          <w:highlight w:val="none"/>
          <w:lang w:val="en-US" w:eastAsia="zh-CN"/>
        </w:rPr>
        <w:t>2</w:t>
      </w:r>
      <w:r>
        <w:rPr>
          <w:rStyle w:val="53"/>
          <w:rFonts w:hint="eastAsia" w:ascii="宋体" w:hAnsi="宋体" w:eastAsia="宋体" w:cs="宋体"/>
          <w:b/>
          <w:bCs/>
          <w:color w:val="auto"/>
          <w:kern w:val="0"/>
          <w:sz w:val="24"/>
          <w:szCs w:val="24"/>
          <w:highlight w:val="none"/>
        </w:rPr>
        <w:t>.</w:t>
      </w:r>
      <w:r>
        <w:rPr>
          <w:rStyle w:val="53"/>
          <w:rFonts w:hint="eastAsia" w:ascii="宋体" w:hAnsi="宋体" w:eastAsia="宋体" w:cs="宋体"/>
          <w:b/>
          <w:bCs/>
          <w:color w:val="auto"/>
          <w:kern w:val="0"/>
          <w:sz w:val="24"/>
          <w:szCs w:val="24"/>
          <w:highlight w:val="none"/>
          <w:lang w:eastAsia="zh-CN"/>
        </w:rPr>
        <w:t>定标委员会</w:t>
      </w:r>
    </w:p>
    <w:p w14:paraId="5C0358E0">
      <w:pPr>
        <w:keepNext w:val="0"/>
        <w:keepLines w:val="0"/>
        <w:pageBreakBefore w:val="0"/>
        <w:kinsoku/>
        <w:wordWrap w:val="0"/>
        <w:overflowPunct/>
        <w:topLinePunct/>
        <w:bidi w:val="0"/>
        <w:spacing w:line="360" w:lineRule="auto"/>
        <w:ind w:firstLine="480" w:firstLineChars="200"/>
        <w:rPr>
          <w:rStyle w:val="53"/>
          <w:rFonts w:hint="eastAsia" w:ascii="宋体" w:hAnsi="宋体" w:eastAsia="宋体" w:cs="宋体"/>
          <w:color w:val="auto"/>
          <w:kern w:val="0"/>
          <w:sz w:val="24"/>
          <w:szCs w:val="24"/>
          <w:highlight w:val="none"/>
          <w:lang w:val="en-US" w:eastAsia="zh-CN"/>
        </w:rPr>
      </w:pPr>
      <w:r>
        <w:rPr>
          <w:rStyle w:val="53"/>
          <w:rFonts w:hint="eastAsia" w:ascii="宋体" w:hAnsi="宋体" w:eastAsia="宋体" w:cs="宋体"/>
          <w:color w:val="auto"/>
          <w:kern w:val="0"/>
          <w:sz w:val="24"/>
          <w:szCs w:val="24"/>
          <w:highlight w:val="none"/>
          <w:lang w:val="en-US" w:eastAsia="zh-CN"/>
        </w:rPr>
        <w:t>2.1项目定标委员会成员数量为7人以上单数，定标委员会的组成方式、组长和成员由项目业主单位按相关规定自行确定。招标项目对技术、商务等有特别要求的可从广东省综合评标评审专家库（韶关区域）抽取专家</w:t>
      </w:r>
      <w:r>
        <w:rPr>
          <w:rStyle w:val="53"/>
          <w:rFonts w:hint="eastAsia" w:hAnsi="宋体" w:eastAsia="宋体" w:cs="宋体"/>
          <w:color w:val="auto"/>
          <w:kern w:val="0"/>
          <w:sz w:val="24"/>
          <w:szCs w:val="24"/>
          <w:highlight w:val="none"/>
          <w:lang w:val="en-US" w:eastAsia="zh-CN"/>
        </w:rPr>
        <w:t>（</w:t>
      </w:r>
      <w:r>
        <w:rPr>
          <w:rStyle w:val="53"/>
          <w:rFonts w:hint="eastAsia" w:ascii="宋体" w:hAnsi="宋体" w:eastAsia="宋体" w:cs="宋体"/>
          <w:color w:val="auto"/>
          <w:kern w:val="0"/>
          <w:sz w:val="24"/>
          <w:szCs w:val="24"/>
          <w:highlight w:val="none"/>
          <w:lang w:val="en-US" w:eastAsia="zh-CN"/>
        </w:rPr>
        <w:t>外部人员）补足，成员数量为7人及以上单数，成员数量应在招标文件中明确。专家人数原则上不超过2人。定标委员会成员数量在本投标人须知前附表中约定。</w:t>
      </w:r>
    </w:p>
    <w:p w14:paraId="34E43695">
      <w:pPr>
        <w:keepNext w:val="0"/>
        <w:keepLines w:val="0"/>
        <w:pageBreakBefore w:val="0"/>
        <w:kinsoku/>
        <w:wordWrap w:val="0"/>
        <w:overflowPunct/>
        <w:topLinePunct/>
        <w:bidi w:val="0"/>
        <w:spacing w:line="360" w:lineRule="auto"/>
        <w:ind w:firstLine="480" w:firstLineChars="200"/>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2.2定标委员会应当根据招标文件规定的定标方法和细则，对定标候选人进行系统地评审和比较。招标文件中没有规定的定标方法和细则不得作为定标的依据。定标委员会成员应依照招标文件规定的定标方法和细则，独立完成对定标候选人的评审，并对定标结果签字确认。定标委员会应依照招标文件规定的定标方法和细则，对各定标委员会成员的定标结果进行汇总。</w:t>
      </w:r>
    </w:p>
    <w:p w14:paraId="00FA1452">
      <w:pPr>
        <w:keepNext w:val="0"/>
        <w:keepLines w:val="0"/>
        <w:pageBreakBefore w:val="0"/>
        <w:kinsoku/>
        <w:wordWrap w:val="0"/>
        <w:overflowPunct/>
        <w:topLinePunct/>
        <w:bidi w:val="0"/>
        <w:spacing w:line="360" w:lineRule="auto"/>
        <w:ind w:firstLine="480" w:firstLineChars="200"/>
        <w:rPr>
          <w:rFonts w:hint="eastAsia" w:ascii="宋体" w:hAnsi="宋体" w:eastAsia="宋体" w:cs="宋体"/>
          <w:color w:val="auto"/>
          <w:sz w:val="24"/>
          <w:szCs w:val="24"/>
          <w:highlight w:val="none"/>
          <w:lang w:val="en-US" w:eastAsia="zh-CN"/>
        </w:rPr>
      </w:pPr>
      <w:r>
        <w:rPr>
          <w:rStyle w:val="53"/>
          <w:rFonts w:hint="eastAsia" w:ascii="宋体" w:hAnsi="宋体" w:eastAsia="宋体" w:cs="宋体"/>
          <w:color w:val="auto"/>
          <w:kern w:val="0"/>
          <w:sz w:val="24"/>
          <w:szCs w:val="24"/>
          <w:highlight w:val="none"/>
          <w:lang w:val="en-US" w:eastAsia="zh-CN"/>
        </w:rPr>
        <w:t>2</w:t>
      </w:r>
      <w:r>
        <w:rPr>
          <w:rStyle w:val="53"/>
          <w:rFonts w:hint="eastAsia" w:ascii="宋体" w:hAnsi="宋体" w:eastAsia="宋体" w:cs="宋体"/>
          <w:color w:val="auto"/>
          <w:kern w:val="0"/>
          <w:sz w:val="24"/>
          <w:szCs w:val="24"/>
          <w:highlight w:val="none"/>
        </w:rPr>
        <w:t>.</w:t>
      </w:r>
      <w:r>
        <w:rPr>
          <w:rStyle w:val="53"/>
          <w:rFonts w:hint="eastAsia" w:ascii="宋体" w:hAnsi="宋体" w:eastAsia="宋体" w:cs="宋体"/>
          <w:color w:val="auto"/>
          <w:kern w:val="0"/>
          <w:sz w:val="24"/>
          <w:szCs w:val="24"/>
          <w:highlight w:val="none"/>
          <w:lang w:val="en-US" w:eastAsia="zh-CN"/>
        </w:rPr>
        <w:t>3定标委员会成员应客观、公正履职，在未公示中标结果前，对定标过程和结果严格保密，对所提出的定标意见承担个人责任。定标委员会成员与定标候选人有利害关系的，应回避。定标委员会成员不得征询招标人确定中标人意向；不得私下与任何定标候选人或者其他利害关系人接触。</w:t>
      </w:r>
    </w:p>
    <w:p w14:paraId="205589CD">
      <w:pPr>
        <w:keepNext w:val="0"/>
        <w:keepLines w:val="0"/>
        <w:pageBreakBefore w:val="0"/>
        <w:kinsoku/>
        <w:wordWrap w:val="0"/>
        <w:overflowPunct/>
        <w:topLinePunct/>
        <w:bidi w:val="0"/>
        <w:spacing w:line="360" w:lineRule="auto"/>
        <w:ind w:firstLine="482" w:firstLineChars="200"/>
        <w:rPr>
          <w:rStyle w:val="53"/>
          <w:rFonts w:hint="eastAsia" w:ascii="宋体" w:hAnsi="宋体" w:eastAsia="宋体" w:cs="宋体"/>
          <w:b/>
          <w:bCs/>
          <w:color w:val="auto"/>
          <w:kern w:val="0"/>
          <w:sz w:val="24"/>
          <w:szCs w:val="24"/>
          <w:highlight w:val="none"/>
          <w:lang w:val="en-US" w:eastAsia="zh-CN"/>
        </w:rPr>
      </w:pPr>
      <w:r>
        <w:rPr>
          <w:rStyle w:val="53"/>
          <w:rFonts w:hint="eastAsia" w:ascii="宋体" w:hAnsi="宋体" w:eastAsia="宋体" w:cs="宋体"/>
          <w:b/>
          <w:bCs/>
          <w:color w:val="auto"/>
          <w:kern w:val="0"/>
          <w:sz w:val="24"/>
          <w:szCs w:val="24"/>
          <w:highlight w:val="none"/>
          <w:lang w:val="en-US" w:eastAsia="zh-CN"/>
        </w:rPr>
        <w:t>3</w:t>
      </w:r>
      <w:r>
        <w:rPr>
          <w:rStyle w:val="53"/>
          <w:rFonts w:hint="eastAsia" w:ascii="宋体" w:hAnsi="宋体" w:eastAsia="宋体" w:cs="宋体"/>
          <w:b/>
          <w:bCs/>
          <w:color w:val="auto"/>
          <w:kern w:val="0"/>
          <w:sz w:val="24"/>
          <w:szCs w:val="24"/>
          <w:highlight w:val="none"/>
        </w:rPr>
        <w:t>.</w:t>
      </w:r>
      <w:r>
        <w:rPr>
          <w:rStyle w:val="53"/>
          <w:rFonts w:hint="eastAsia" w:ascii="宋体" w:hAnsi="宋体" w:eastAsia="宋体" w:cs="宋体"/>
          <w:b/>
          <w:bCs/>
          <w:color w:val="auto"/>
          <w:kern w:val="0"/>
          <w:sz w:val="24"/>
          <w:szCs w:val="24"/>
          <w:highlight w:val="none"/>
          <w:lang w:val="en-US" w:eastAsia="zh-CN"/>
        </w:rPr>
        <w:t>组建招标监督小组</w:t>
      </w:r>
    </w:p>
    <w:p w14:paraId="324D8CF6">
      <w:pPr>
        <w:keepNext w:val="0"/>
        <w:keepLines w:val="0"/>
        <w:pageBreakBefore w:val="0"/>
        <w:kinsoku/>
        <w:wordWrap w:val="0"/>
        <w:overflowPunct/>
        <w:topLinePunct/>
        <w:bidi w:val="0"/>
        <w:spacing w:line="360" w:lineRule="auto"/>
        <w:ind w:firstLine="480" w:firstLineChars="200"/>
        <w:rPr>
          <w:rStyle w:val="53"/>
          <w:rFonts w:hint="eastAsia" w:ascii="宋体" w:hAnsi="宋体" w:eastAsia="宋体" w:cs="宋体"/>
          <w:color w:val="auto"/>
          <w:kern w:val="0"/>
          <w:sz w:val="24"/>
          <w:szCs w:val="24"/>
          <w:highlight w:val="none"/>
          <w:lang w:val="en-US" w:eastAsia="zh-CN"/>
        </w:rPr>
      </w:pPr>
      <w:r>
        <w:rPr>
          <w:rStyle w:val="53"/>
          <w:rFonts w:hint="eastAsia" w:ascii="宋体" w:hAnsi="宋体" w:eastAsia="宋体" w:cs="宋体"/>
          <w:color w:val="auto"/>
          <w:kern w:val="0"/>
          <w:sz w:val="24"/>
          <w:szCs w:val="24"/>
          <w:highlight w:val="none"/>
          <w:lang w:val="en-US" w:eastAsia="zh-CN"/>
        </w:rPr>
        <w:t>项目业主应组建招标监督小组，对招标投标活动全过程进行监督，及时指出、制止违反程序及纪律的行为，但不得就评标、定标涉及的实质内容发表意见或者参与定标委员会的讨论。相关人员存在违反程序及纪律的行为被指出后仍拒绝纠正的、发现招标投标活动存在其他违反相关规定行为的，招标监督小组应如实记录并及时报告</w:t>
      </w:r>
      <w:r>
        <w:rPr>
          <w:rStyle w:val="53"/>
          <w:rFonts w:hint="eastAsia" w:hAnsi="宋体" w:eastAsia="宋体" w:cs="宋体"/>
          <w:color w:val="auto"/>
          <w:kern w:val="0"/>
          <w:sz w:val="24"/>
          <w:szCs w:val="24"/>
          <w:highlight w:val="none"/>
          <w:lang w:val="en-US" w:eastAsia="zh-CN"/>
        </w:rPr>
        <w:t>招标</w:t>
      </w:r>
      <w:r>
        <w:rPr>
          <w:rStyle w:val="53"/>
          <w:rFonts w:hint="eastAsia" w:ascii="宋体" w:hAnsi="宋体" w:eastAsia="宋体" w:cs="宋体"/>
          <w:color w:val="auto"/>
          <w:kern w:val="0"/>
          <w:sz w:val="24"/>
          <w:szCs w:val="24"/>
          <w:highlight w:val="none"/>
          <w:lang w:val="en-US" w:eastAsia="zh-CN"/>
        </w:rPr>
        <w:t>单位主要负责人、行政监督部门。项目招标监督小组原则上由不少于 3 人组成。</w:t>
      </w:r>
    </w:p>
    <w:p w14:paraId="04B8010E">
      <w:pPr>
        <w:keepNext w:val="0"/>
        <w:keepLines w:val="0"/>
        <w:pageBreakBefore w:val="0"/>
        <w:kinsoku/>
        <w:wordWrap w:val="0"/>
        <w:overflowPunct/>
        <w:topLinePunct/>
        <w:bidi w:val="0"/>
        <w:spacing w:line="360" w:lineRule="auto"/>
        <w:ind w:firstLine="482" w:firstLineChars="200"/>
        <w:jc w:val="left"/>
        <w:rPr>
          <w:rStyle w:val="53"/>
          <w:rFonts w:hint="eastAsia" w:ascii="宋体" w:hAnsi="宋体" w:eastAsia="宋体" w:cs="宋体"/>
          <w:b/>
          <w:bCs/>
          <w:color w:val="auto"/>
          <w:kern w:val="0"/>
          <w:sz w:val="24"/>
          <w:szCs w:val="24"/>
          <w:highlight w:val="none"/>
          <w:lang w:eastAsia="zh-CN"/>
        </w:rPr>
      </w:pPr>
      <w:r>
        <w:rPr>
          <w:rStyle w:val="53"/>
          <w:rFonts w:hint="eastAsia" w:ascii="宋体" w:hAnsi="宋体" w:eastAsia="宋体" w:cs="宋体"/>
          <w:b/>
          <w:bCs/>
          <w:color w:val="auto"/>
          <w:kern w:val="0"/>
          <w:sz w:val="24"/>
          <w:szCs w:val="24"/>
          <w:highlight w:val="none"/>
          <w:lang w:val="en-US" w:eastAsia="zh-CN"/>
        </w:rPr>
        <w:t>4</w:t>
      </w:r>
      <w:r>
        <w:rPr>
          <w:rStyle w:val="53"/>
          <w:rFonts w:hint="eastAsia" w:ascii="宋体" w:hAnsi="宋体" w:eastAsia="宋体" w:cs="宋体"/>
          <w:b/>
          <w:bCs/>
          <w:color w:val="auto"/>
          <w:kern w:val="0"/>
          <w:sz w:val="24"/>
          <w:szCs w:val="24"/>
          <w:highlight w:val="none"/>
        </w:rPr>
        <w:t>.</w:t>
      </w:r>
      <w:r>
        <w:rPr>
          <w:rStyle w:val="53"/>
          <w:rFonts w:hint="eastAsia" w:ascii="宋体" w:hAnsi="宋体" w:eastAsia="宋体" w:cs="宋体"/>
          <w:b/>
          <w:bCs/>
          <w:color w:val="auto"/>
          <w:kern w:val="0"/>
          <w:sz w:val="24"/>
          <w:szCs w:val="24"/>
          <w:highlight w:val="none"/>
          <w:lang w:eastAsia="zh-CN"/>
        </w:rPr>
        <w:t>定标办法</w:t>
      </w:r>
    </w:p>
    <w:p w14:paraId="5D806320">
      <w:pPr>
        <w:keepNext w:val="0"/>
        <w:keepLines w:val="0"/>
        <w:pageBreakBefore w:val="0"/>
        <w:kinsoku/>
        <w:wordWrap w:val="0"/>
        <w:overflowPunct/>
        <w:topLinePunct/>
        <w:bidi w:val="0"/>
        <w:spacing w:line="360" w:lineRule="auto"/>
        <w:ind w:firstLine="240" w:firstLineChars="100"/>
        <w:rPr>
          <w:rStyle w:val="53"/>
          <w:rFonts w:hint="eastAsia" w:ascii="宋体" w:hAnsi="宋体" w:eastAsia="宋体" w:cs="宋体"/>
          <w:color w:val="auto"/>
          <w:kern w:val="0"/>
          <w:sz w:val="24"/>
          <w:szCs w:val="24"/>
          <w:highlight w:val="none"/>
          <w:lang w:val="en-US" w:eastAsia="zh-CN"/>
        </w:rPr>
      </w:pPr>
      <w:r>
        <w:rPr>
          <w:rStyle w:val="53"/>
          <w:rFonts w:hint="eastAsia" w:ascii="宋体" w:hAnsi="宋体" w:eastAsia="宋体" w:cs="宋体"/>
          <w:color w:val="auto"/>
          <w:kern w:val="0"/>
          <w:sz w:val="24"/>
          <w:szCs w:val="24"/>
          <w:highlight w:val="none"/>
          <w:lang w:val="en-US" w:eastAsia="zh-CN"/>
        </w:rPr>
        <w:t>定标办法由招标人按本投标人须知前附表的规定确定（只能选定其中一种定标办法）。</w:t>
      </w:r>
    </w:p>
    <w:p w14:paraId="153FA300">
      <w:pPr>
        <w:keepNext w:val="0"/>
        <w:keepLines w:val="0"/>
        <w:pageBreakBefore w:val="0"/>
        <w:kinsoku/>
        <w:wordWrap w:val="0"/>
        <w:overflowPunct/>
        <w:topLinePunct/>
        <w:bidi w:val="0"/>
        <w:spacing w:line="360" w:lineRule="auto"/>
        <w:ind w:firstLine="482" w:firstLineChars="200"/>
        <w:rPr>
          <w:rFonts w:hint="eastAsia" w:ascii="宋体" w:hAnsi="宋体" w:eastAsia="宋体" w:cs="宋体"/>
          <w:color w:val="auto"/>
          <w:sz w:val="24"/>
          <w:szCs w:val="24"/>
          <w:highlight w:val="none"/>
        </w:rPr>
      </w:pPr>
      <w:bookmarkStart w:id="289" w:name="OLE_LINK3"/>
      <w:r>
        <w:rPr>
          <w:rFonts w:hint="eastAsia" w:ascii="宋体" w:hAnsi="宋体" w:eastAsia="宋体" w:cs="宋体"/>
          <w:b/>
          <w:bCs/>
          <w:color w:val="auto"/>
          <w:sz w:val="24"/>
          <w:szCs w:val="24"/>
          <w:highlight w:val="none"/>
          <w:lang w:val="en-US" w:eastAsia="zh-CN"/>
        </w:rPr>
        <w:t>本项目</w:t>
      </w:r>
      <w:bookmarkEnd w:id="289"/>
      <w:r>
        <w:rPr>
          <w:rFonts w:hint="eastAsia" w:ascii="宋体" w:hAnsi="宋体" w:eastAsia="宋体" w:cs="宋体"/>
          <w:b/>
          <w:bCs/>
          <w:color w:val="auto"/>
          <w:sz w:val="24"/>
          <w:szCs w:val="24"/>
          <w:highlight w:val="none"/>
          <w:lang w:val="en-US" w:eastAsia="zh-CN"/>
        </w:rPr>
        <w:t>采用票决数量法定标。</w:t>
      </w:r>
    </w:p>
    <w:p w14:paraId="4E7BCDDD">
      <w:pPr>
        <w:keepNext w:val="0"/>
        <w:keepLines w:val="0"/>
        <w:pageBreakBefore w:val="0"/>
        <w:kinsoku/>
        <w:wordWrap w:val="0"/>
        <w:overflowPunct/>
        <w:topLinePunct/>
        <w:bidi w:val="0"/>
        <w:spacing w:line="360" w:lineRule="auto"/>
        <w:ind w:firstLine="482" w:firstLineChars="200"/>
        <w:rPr>
          <w:rStyle w:val="53"/>
          <w:rFonts w:hint="eastAsia" w:ascii="宋体" w:hAnsi="宋体" w:eastAsia="宋体" w:cs="宋体"/>
          <w:b/>
          <w:bCs/>
          <w:color w:val="auto"/>
          <w:kern w:val="0"/>
          <w:sz w:val="24"/>
          <w:szCs w:val="24"/>
          <w:highlight w:val="none"/>
          <w:lang w:val="en-US" w:eastAsia="zh-CN"/>
        </w:rPr>
      </w:pPr>
      <w:r>
        <w:rPr>
          <w:rStyle w:val="53"/>
          <w:rFonts w:hint="eastAsia" w:ascii="宋体" w:hAnsi="宋体" w:eastAsia="宋体" w:cs="宋体"/>
          <w:b/>
          <w:bCs/>
          <w:color w:val="auto"/>
          <w:kern w:val="0"/>
          <w:sz w:val="24"/>
          <w:szCs w:val="24"/>
          <w:highlight w:val="none"/>
          <w:lang w:val="en-US" w:eastAsia="zh-CN"/>
        </w:rPr>
        <w:t>5.定标细则</w:t>
      </w:r>
    </w:p>
    <w:p w14:paraId="16DA7E8C">
      <w:pPr>
        <w:keepNext w:val="0"/>
        <w:keepLines w:val="0"/>
        <w:pageBreakBefore w:val="0"/>
        <w:widowControl w:val="0"/>
        <w:kinsoku/>
        <w:wordWrap w:val="0"/>
        <w:overflowPunct/>
        <w:topLinePunct/>
        <w:autoSpaceDE/>
        <w:autoSpaceDN/>
        <w:bidi w:val="0"/>
        <w:adjustRightInd/>
        <w:snapToGrid/>
        <w:spacing w:line="360" w:lineRule="auto"/>
        <w:ind w:left="0" w:leftChars="0" w:right="0" w:rightChars="0" w:firstLine="482" w:firstLineChars="200"/>
        <w:jc w:val="both"/>
        <w:textAlignment w:val="auto"/>
        <w:outlineLvl w:val="9"/>
        <w:rPr>
          <w:rFonts w:hint="eastAsia" w:ascii="宋体" w:hAnsi="宋体" w:eastAsia="宋体" w:cs="宋体"/>
          <w:b/>
          <w:bCs/>
          <w:color w:val="auto"/>
          <w:spacing w:val="0"/>
          <w:position w:val="0"/>
          <w:sz w:val="24"/>
          <w:szCs w:val="24"/>
          <w:highlight w:val="none"/>
          <w:u w:val="none" w:color="auto"/>
          <w:lang w:eastAsia="zh-CN"/>
        </w:rPr>
      </w:pPr>
      <w:r>
        <w:rPr>
          <w:rFonts w:hint="eastAsia" w:ascii="宋体" w:hAnsi="宋体" w:eastAsia="宋体" w:cs="宋体"/>
          <w:b/>
          <w:bCs/>
          <w:color w:val="auto"/>
          <w:spacing w:val="0"/>
          <w:position w:val="0"/>
          <w:sz w:val="24"/>
          <w:szCs w:val="24"/>
          <w:highlight w:val="none"/>
          <w:u w:val="none" w:color="auto"/>
          <w:lang w:val="en-US" w:eastAsia="zh-CN"/>
        </w:rPr>
        <w:t>5.1票决数量法程序</w:t>
      </w:r>
    </w:p>
    <w:p w14:paraId="567A22C0">
      <w:pPr>
        <w:keepNext w:val="0"/>
        <w:keepLines w:val="0"/>
        <w:pageBreakBefore w:val="0"/>
        <w:widowControl w:val="0"/>
        <w:kinsoku/>
        <w:wordWrap w:val="0"/>
        <w:overflowPunct/>
        <w:topLinePunct/>
        <w:autoSpaceDE/>
        <w:autoSpaceDN/>
        <w:bidi w:val="0"/>
        <w:adjustRightInd/>
        <w:snapToGrid/>
        <w:spacing w:line="360" w:lineRule="auto"/>
        <w:ind w:left="0" w:leftChars="0" w:right="0" w:rightChars="0" w:firstLine="480" w:firstLineChars="200"/>
        <w:jc w:val="both"/>
        <w:textAlignment w:val="auto"/>
        <w:outlineLvl w:val="9"/>
        <w:rPr>
          <w:rFonts w:hint="eastAsia" w:ascii="宋体" w:hAnsi="宋体" w:eastAsia="宋体" w:cs="宋体"/>
          <w:b w:val="0"/>
          <w:bCs w:val="0"/>
          <w:color w:val="auto"/>
          <w:spacing w:val="0"/>
          <w:position w:val="0"/>
          <w:sz w:val="24"/>
          <w:szCs w:val="24"/>
          <w:highlight w:val="none"/>
          <w:u w:val="none" w:color="auto"/>
          <w:lang w:val="en-US" w:eastAsia="zh-CN"/>
        </w:rPr>
      </w:pPr>
      <w:r>
        <w:rPr>
          <w:rFonts w:hint="eastAsia" w:ascii="宋体" w:hAnsi="宋体" w:eastAsia="宋体" w:cs="宋体"/>
          <w:b w:val="0"/>
          <w:i w:val="0"/>
          <w:snapToGrid/>
          <w:color w:val="auto"/>
          <w:sz w:val="24"/>
          <w:szCs w:val="24"/>
          <w:highlight w:val="none"/>
          <w:u w:val="none"/>
          <w:shd w:val="clear" w:color="auto" w:fill="FFFFFF"/>
          <w:lang w:eastAsia="zh-CN"/>
        </w:rPr>
        <w:t>定标委员会根据定标因素对定标候选人进行评审比较后，每名定标委员会成员</w:t>
      </w:r>
      <w:r>
        <w:rPr>
          <w:rFonts w:hint="eastAsia" w:ascii="宋体" w:hAnsi="宋体" w:eastAsia="宋体" w:cs="宋体"/>
          <w:color w:val="auto"/>
          <w:sz w:val="24"/>
          <w:szCs w:val="24"/>
          <w:highlight w:val="none"/>
          <w:u w:val="none"/>
          <w:lang w:val="en-US" w:eastAsia="zh-CN"/>
        </w:rPr>
        <w:t>有且仅有投出1票的权利，1票只能投1名定标候选人，</w:t>
      </w:r>
      <w:r>
        <w:rPr>
          <w:rFonts w:hint="eastAsia" w:ascii="宋体" w:hAnsi="宋体" w:eastAsia="宋体" w:cs="宋体"/>
          <w:b w:val="0"/>
          <w:i w:val="0"/>
          <w:snapToGrid/>
          <w:color w:val="auto"/>
          <w:sz w:val="24"/>
          <w:szCs w:val="24"/>
          <w:highlight w:val="none"/>
          <w:u w:val="none"/>
          <w:shd w:val="clear" w:color="auto" w:fill="FFFFFF"/>
          <w:lang w:eastAsia="zh-CN"/>
        </w:rPr>
        <w:t>进行票决排名确定排序的中标候选人。即各定标委员会成员对定标候选人进行投票，按得票高低推荐排序的前三名中标候选人。</w:t>
      </w:r>
      <w:r>
        <w:rPr>
          <w:rFonts w:hint="eastAsia" w:ascii="宋体" w:hAnsi="宋体" w:eastAsia="宋体" w:cs="宋体"/>
          <w:color w:val="auto"/>
          <w:sz w:val="24"/>
          <w:szCs w:val="24"/>
          <w:highlight w:val="none"/>
          <w:u w:val="none"/>
          <w:lang w:val="en-US" w:eastAsia="zh-CN"/>
        </w:rPr>
        <w:t>若第一轮投票中前三名中标候选人有</w:t>
      </w:r>
      <w:r>
        <w:rPr>
          <w:rFonts w:hint="eastAsia" w:ascii="宋体" w:hAnsi="宋体" w:eastAsia="宋体" w:cs="宋体"/>
          <w:color w:val="auto"/>
          <w:sz w:val="24"/>
          <w:szCs w:val="24"/>
          <w:highlight w:val="none"/>
          <w:u w:val="none"/>
          <w:shd w:val="clear" w:color="auto" w:fill="FFFFFF"/>
          <w:lang w:val="en-US" w:eastAsia="zh-CN"/>
        </w:rPr>
        <w:t>得票相同且影响中标候选人排序确定的，由定标委员会对总票数相同的单位进行再次票决确定排序</w:t>
      </w:r>
      <w:r>
        <w:rPr>
          <w:rFonts w:hint="eastAsia" w:hAnsi="宋体" w:eastAsia="宋体" w:cs="宋体"/>
          <w:color w:val="auto"/>
          <w:sz w:val="24"/>
          <w:szCs w:val="24"/>
          <w:highlight w:val="none"/>
          <w:u w:val="none"/>
          <w:shd w:val="clear" w:color="auto" w:fill="FFFFFF"/>
          <w:lang w:val="en-US" w:eastAsia="zh-CN"/>
        </w:rPr>
        <w:t>，</w:t>
      </w:r>
      <w:r>
        <w:rPr>
          <w:rFonts w:hint="eastAsia" w:ascii="宋体" w:hAnsi="宋体" w:eastAsia="宋体" w:cs="宋体"/>
          <w:color w:val="auto"/>
          <w:sz w:val="24"/>
          <w:szCs w:val="24"/>
          <w:highlight w:val="none"/>
          <w:u w:val="none"/>
          <w:lang w:val="en-US" w:eastAsia="zh-CN"/>
        </w:rPr>
        <w:t>直至决出排序的前三名中标候选人。若定标候选人中没有符合评审要求的三名中标候选人，则宣告本次招标失败。</w:t>
      </w:r>
      <w:r>
        <w:rPr>
          <w:rFonts w:hint="eastAsia" w:ascii="宋体" w:hAnsi="宋体" w:eastAsia="宋体" w:cs="宋体"/>
          <w:b w:val="0"/>
          <w:i w:val="0"/>
          <w:snapToGrid/>
          <w:color w:val="auto"/>
          <w:sz w:val="24"/>
          <w:szCs w:val="24"/>
          <w:highlight w:val="none"/>
          <w:u w:val="none"/>
          <w:shd w:val="clear" w:color="auto" w:fill="FFFFFF"/>
          <w:lang w:eastAsia="zh-CN"/>
        </w:rPr>
        <w:t>票决采用记名方式并注明投票理由。</w:t>
      </w:r>
    </w:p>
    <w:p w14:paraId="670D0213">
      <w:pPr>
        <w:keepNext w:val="0"/>
        <w:keepLines w:val="0"/>
        <w:pageBreakBefore w:val="0"/>
        <w:widowControl w:val="0"/>
        <w:kinsoku/>
        <w:wordWrap w:val="0"/>
        <w:overflowPunct/>
        <w:topLinePunct/>
        <w:autoSpaceDE/>
        <w:autoSpaceDN/>
        <w:bidi w:val="0"/>
        <w:adjustRightInd/>
        <w:snapToGrid/>
        <w:spacing w:line="360" w:lineRule="auto"/>
        <w:ind w:left="0" w:leftChars="0" w:right="0" w:rightChars="0" w:firstLine="482" w:firstLineChars="200"/>
        <w:jc w:val="both"/>
        <w:textAlignment w:val="auto"/>
        <w:outlineLvl w:val="9"/>
        <w:rPr>
          <w:rFonts w:hint="eastAsia" w:ascii="宋体" w:hAnsi="宋体" w:eastAsia="宋体" w:cs="宋体"/>
          <w:b/>
          <w:bCs/>
          <w:color w:val="auto"/>
          <w:sz w:val="24"/>
          <w:szCs w:val="24"/>
          <w:highlight w:val="none"/>
          <w:u w:val="none"/>
          <w:shd w:val="clear" w:color="auto" w:fill="FFFFFF"/>
        </w:rPr>
      </w:pPr>
      <w:r>
        <w:rPr>
          <w:rFonts w:hint="eastAsia" w:ascii="宋体" w:hAnsi="宋体" w:eastAsia="宋体" w:cs="宋体"/>
          <w:b/>
          <w:bCs/>
          <w:color w:val="auto"/>
          <w:spacing w:val="0"/>
          <w:position w:val="0"/>
          <w:sz w:val="24"/>
          <w:szCs w:val="24"/>
          <w:highlight w:val="none"/>
          <w:u w:val="none" w:color="auto"/>
          <w:lang w:val="en-US" w:eastAsia="zh-CN"/>
        </w:rPr>
        <w:t>5.1.1.</w:t>
      </w:r>
      <w:r>
        <w:rPr>
          <w:rFonts w:hint="eastAsia" w:ascii="宋体" w:hAnsi="宋体" w:eastAsia="宋体" w:cs="宋体"/>
          <w:b/>
          <w:bCs/>
          <w:color w:val="auto"/>
          <w:sz w:val="24"/>
          <w:szCs w:val="24"/>
          <w:highlight w:val="none"/>
          <w:u w:val="none"/>
          <w:shd w:val="clear" w:color="auto" w:fill="FFFFFF"/>
        </w:rPr>
        <w:t>项目情况介绍</w:t>
      </w:r>
    </w:p>
    <w:p w14:paraId="5B19ADB1">
      <w:pPr>
        <w:keepNext w:val="0"/>
        <w:keepLines w:val="0"/>
        <w:pageBreakBefore w:val="0"/>
        <w:widowControl w:val="0"/>
        <w:kinsoku/>
        <w:wordWrap w:val="0"/>
        <w:overflowPunct/>
        <w:topLinePunct/>
        <w:autoSpaceDE/>
        <w:autoSpaceDN/>
        <w:bidi w:val="0"/>
        <w:adjustRightInd/>
        <w:snapToGrid/>
        <w:spacing w:line="360" w:lineRule="auto"/>
        <w:ind w:left="0" w:leftChars="0" w:right="0" w:rightChars="0" w:firstLine="480" w:firstLineChars="200"/>
        <w:jc w:val="both"/>
        <w:textAlignment w:val="auto"/>
        <w:outlineLvl w:val="9"/>
        <w:rPr>
          <w:rFonts w:hint="eastAsia" w:ascii="宋体" w:hAnsi="宋体" w:eastAsia="宋体" w:cs="宋体"/>
          <w:b w:val="0"/>
          <w:bCs w:val="0"/>
          <w:color w:val="auto"/>
          <w:spacing w:val="0"/>
          <w:position w:val="0"/>
          <w:sz w:val="24"/>
          <w:szCs w:val="24"/>
          <w:highlight w:val="none"/>
          <w:u w:val="none" w:color="auto"/>
          <w:lang w:eastAsia="zh-CN"/>
        </w:rPr>
      </w:pPr>
      <w:r>
        <w:rPr>
          <w:rFonts w:hint="eastAsia" w:ascii="宋体" w:hAnsi="宋体" w:eastAsia="宋体" w:cs="宋体"/>
          <w:b w:val="0"/>
          <w:bCs w:val="0"/>
          <w:color w:val="auto"/>
          <w:spacing w:val="0"/>
          <w:position w:val="0"/>
          <w:sz w:val="24"/>
          <w:szCs w:val="24"/>
          <w:highlight w:val="none"/>
          <w:u w:val="none" w:color="auto"/>
          <w:lang w:eastAsia="zh-CN"/>
        </w:rPr>
        <w:t>招标人代表介绍项目的概况及招标要求，以及定标方法与定标工作规则，不得发表具有倾向性的言论。</w:t>
      </w:r>
    </w:p>
    <w:p w14:paraId="0F4DEFFE">
      <w:pPr>
        <w:keepNext w:val="0"/>
        <w:keepLines w:val="0"/>
        <w:pageBreakBefore w:val="0"/>
        <w:widowControl w:val="0"/>
        <w:kinsoku/>
        <w:wordWrap w:val="0"/>
        <w:overflowPunct/>
        <w:topLinePunct/>
        <w:autoSpaceDE/>
        <w:autoSpaceDN/>
        <w:bidi w:val="0"/>
        <w:adjustRightInd/>
        <w:snapToGrid/>
        <w:spacing w:line="360" w:lineRule="auto"/>
        <w:ind w:left="0" w:leftChars="0" w:right="0" w:rightChars="0" w:firstLine="482" w:firstLineChars="200"/>
        <w:jc w:val="both"/>
        <w:textAlignment w:val="auto"/>
        <w:outlineLvl w:val="9"/>
        <w:rPr>
          <w:rFonts w:hint="eastAsia" w:ascii="宋体" w:hAnsi="宋体" w:eastAsia="宋体" w:cs="宋体"/>
          <w:b/>
          <w:bCs/>
          <w:color w:val="auto"/>
          <w:spacing w:val="0"/>
          <w:position w:val="0"/>
          <w:sz w:val="24"/>
          <w:szCs w:val="24"/>
          <w:highlight w:val="none"/>
          <w:u w:val="none" w:color="auto"/>
          <w:lang w:val="en-US" w:eastAsia="zh-CN"/>
        </w:rPr>
      </w:pPr>
      <w:r>
        <w:rPr>
          <w:rFonts w:hint="eastAsia" w:ascii="宋体" w:hAnsi="宋体" w:eastAsia="宋体" w:cs="宋体"/>
          <w:b/>
          <w:bCs/>
          <w:color w:val="auto"/>
          <w:spacing w:val="0"/>
          <w:position w:val="0"/>
          <w:sz w:val="24"/>
          <w:szCs w:val="24"/>
          <w:highlight w:val="none"/>
          <w:u w:val="none" w:color="auto"/>
          <w:lang w:val="en-US" w:eastAsia="zh-CN"/>
        </w:rPr>
        <w:t>5.1.2.</w:t>
      </w:r>
      <w:r>
        <w:rPr>
          <w:rFonts w:hint="eastAsia" w:ascii="宋体" w:hAnsi="宋体" w:eastAsia="宋体" w:cs="宋体"/>
          <w:b/>
          <w:bCs/>
          <w:color w:val="auto"/>
          <w:sz w:val="24"/>
          <w:szCs w:val="24"/>
          <w:highlight w:val="none"/>
          <w:u w:val="none"/>
          <w:shd w:val="clear" w:color="auto" w:fill="FFFFFF"/>
        </w:rPr>
        <w:t>审阅定标资料</w:t>
      </w:r>
    </w:p>
    <w:p w14:paraId="134A0D6C">
      <w:pPr>
        <w:keepNext w:val="0"/>
        <w:keepLines w:val="0"/>
        <w:pageBreakBefore w:val="0"/>
        <w:widowControl w:val="0"/>
        <w:kinsoku/>
        <w:wordWrap w:val="0"/>
        <w:overflowPunct/>
        <w:topLinePunct/>
        <w:autoSpaceDE/>
        <w:autoSpaceDN/>
        <w:bidi w:val="0"/>
        <w:adjustRightInd/>
        <w:snapToGrid/>
        <w:spacing w:line="360" w:lineRule="auto"/>
        <w:ind w:left="0" w:leftChars="0" w:right="0" w:rightChars="0" w:firstLine="480" w:firstLineChars="200"/>
        <w:jc w:val="both"/>
        <w:textAlignment w:val="auto"/>
        <w:outlineLvl w:val="9"/>
        <w:rPr>
          <w:rFonts w:hint="eastAsia" w:ascii="宋体" w:hAnsi="宋体" w:eastAsia="宋体" w:cs="宋体"/>
          <w:b w:val="0"/>
          <w:bCs w:val="0"/>
          <w:color w:val="auto"/>
          <w:spacing w:val="0"/>
          <w:position w:val="0"/>
          <w:sz w:val="24"/>
          <w:szCs w:val="24"/>
          <w:highlight w:val="none"/>
          <w:u w:val="none" w:color="auto"/>
          <w:lang w:eastAsia="zh-CN"/>
        </w:rPr>
      </w:pPr>
      <w:r>
        <w:rPr>
          <w:rFonts w:hint="eastAsia" w:ascii="宋体" w:hAnsi="宋体" w:eastAsia="宋体" w:cs="宋体"/>
          <w:b w:val="0"/>
          <w:bCs w:val="0"/>
          <w:color w:val="auto"/>
          <w:spacing w:val="0"/>
          <w:position w:val="0"/>
          <w:sz w:val="24"/>
          <w:szCs w:val="24"/>
          <w:highlight w:val="none"/>
          <w:u w:val="none" w:color="auto"/>
          <w:lang w:eastAsia="zh-CN"/>
        </w:rPr>
        <w:t>定标委员会成员对各定标候选人的投标文件进行审阅，审阅内容主要是定标工作规则所规定的定标因素，</w:t>
      </w:r>
      <w:r>
        <w:rPr>
          <w:rFonts w:hint="eastAsia" w:ascii="宋体" w:hAnsi="宋体" w:eastAsia="宋体" w:cs="宋体"/>
          <w:b w:val="0"/>
          <w:bCs w:val="0"/>
          <w:color w:val="auto"/>
          <w:spacing w:val="0"/>
          <w:position w:val="0"/>
          <w:sz w:val="24"/>
          <w:szCs w:val="24"/>
          <w:highlight w:val="none"/>
          <w:u w:val="none" w:color="auto"/>
          <w:lang w:val="en-US" w:eastAsia="zh-CN"/>
        </w:rPr>
        <w:t>聚焦于项目需求与候选人能力的匹配度</w:t>
      </w:r>
      <w:r>
        <w:rPr>
          <w:rFonts w:hint="eastAsia" w:ascii="宋体" w:hAnsi="宋体" w:eastAsia="宋体" w:cs="宋体"/>
          <w:color w:val="auto"/>
          <w:sz w:val="24"/>
          <w:szCs w:val="24"/>
          <w:highlight w:val="none"/>
          <w:u w:val="none"/>
          <w:shd w:val="clear" w:color="auto" w:fill="FFFFFF"/>
          <w:lang w:eastAsia="zh-CN"/>
        </w:rPr>
        <w:t>。</w:t>
      </w:r>
    </w:p>
    <w:p w14:paraId="1EC6E177">
      <w:pPr>
        <w:pStyle w:val="20"/>
        <w:keepNext w:val="0"/>
        <w:keepLines w:val="0"/>
        <w:pageBreakBefore w:val="0"/>
        <w:numPr>
          <w:ilvl w:val="0"/>
          <w:numId w:val="0"/>
        </w:numPr>
        <w:shd w:val="clear" w:color="auto" w:fill="FFFFFF"/>
        <w:kinsoku/>
        <w:wordWrap w:val="0"/>
        <w:overflowPunct/>
        <w:topLinePunct/>
        <w:autoSpaceDE/>
        <w:autoSpaceDN/>
        <w:bidi w:val="0"/>
        <w:adjustRightInd/>
        <w:snapToGrid/>
        <w:spacing w:before="0" w:beforeLines="0" w:beforeAutospacing="0" w:after="0" w:afterLines="0" w:afterAutospacing="0" w:line="360" w:lineRule="auto"/>
        <w:ind w:firstLine="482" w:firstLineChars="200"/>
        <w:jc w:val="both"/>
        <w:textAlignment w:val="auto"/>
        <w:outlineLvl w:val="9"/>
        <w:rPr>
          <w:rFonts w:hint="eastAsia" w:ascii="宋体" w:hAnsi="宋体" w:eastAsia="宋体" w:cs="宋体"/>
          <w:b/>
          <w:bCs/>
          <w:color w:val="auto"/>
          <w:sz w:val="24"/>
          <w:szCs w:val="24"/>
          <w:highlight w:val="none"/>
          <w:u w:val="none"/>
          <w:shd w:val="clear" w:color="auto" w:fill="FFFFFF"/>
        </w:rPr>
      </w:pPr>
      <w:r>
        <w:rPr>
          <w:rFonts w:hint="eastAsia" w:ascii="宋体" w:hAnsi="宋体" w:eastAsia="宋体" w:cs="宋体"/>
          <w:b/>
          <w:bCs/>
          <w:color w:val="auto"/>
          <w:spacing w:val="0"/>
          <w:position w:val="0"/>
          <w:sz w:val="24"/>
          <w:szCs w:val="24"/>
          <w:highlight w:val="none"/>
          <w:u w:val="none" w:color="auto"/>
          <w:lang w:val="en-US" w:eastAsia="zh-CN"/>
        </w:rPr>
        <w:t>5.1.3.</w:t>
      </w:r>
      <w:r>
        <w:rPr>
          <w:rFonts w:hint="eastAsia" w:ascii="宋体" w:hAnsi="宋体" w:eastAsia="宋体" w:cs="宋体"/>
          <w:b/>
          <w:bCs/>
          <w:color w:val="auto"/>
          <w:sz w:val="24"/>
          <w:szCs w:val="24"/>
          <w:highlight w:val="none"/>
          <w:u w:val="none"/>
          <w:shd w:val="clear" w:color="auto" w:fill="FFFFFF"/>
        </w:rPr>
        <w:t>疑问澄清</w:t>
      </w:r>
    </w:p>
    <w:p w14:paraId="1DE2F15A">
      <w:pPr>
        <w:keepNext w:val="0"/>
        <w:keepLines w:val="0"/>
        <w:pageBreakBefore w:val="0"/>
        <w:widowControl w:val="0"/>
        <w:kinsoku/>
        <w:wordWrap w:val="0"/>
        <w:overflowPunct/>
        <w:topLinePunct/>
        <w:autoSpaceDE/>
        <w:autoSpaceDN/>
        <w:bidi w:val="0"/>
        <w:adjustRightInd/>
        <w:snapToGrid/>
        <w:spacing w:line="360" w:lineRule="auto"/>
        <w:ind w:left="0" w:leftChars="0" w:right="0" w:rightChars="0" w:firstLine="480" w:firstLineChars="200"/>
        <w:jc w:val="both"/>
        <w:textAlignment w:val="auto"/>
        <w:outlineLvl w:val="9"/>
        <w:rPr>
          <w:rFonts w:hint="eastAsia" w:ascii="宋体" w:hAnsi="宋体" w:eastAsia="宋体" w:cs="宋体"/>
          <w:b w:val="0"/>
          <w:bCs w:val="0"/>
          <w:color w:val="auto"/>
          <w:spacing w:val="0"/>
          <w:position w:val="0"/>
          <w:sz w:val="24"/>
          <w:szCs w:val="24"/>
          <w:highlight w:val="none"/>
          <w:u w:val="none" w:color="auto"/>
          <w:lang w:val="en-US" w:eastAsia="zh-CN"/>
        </w:rPr>
      </w:pPr>
      <w:r>
        <w:rPr>
          <w:rFonts w:hint="eastAsia" w:ascii="宋体" w:hAnsi="宋体" w:eastAsia="宋体" w:cs="宋体"/>
          <w:color w:val="auto"/>
          <w:sz w:val="24"/>
          <w:szCs w:val="24"/>
          <w:highlight w:val="none"/>
          <w:u w:val="none"/>
          <w:shd w:val="clear" w:color="auto" w:fill="FFFFFF"/>
        </w:rPr>
        <w:t>讨论过程中，若成员对投标文件内容或项目细节存在疑问，可向招标人代表提出。招标人应现场作出答复，答复内容不得改变招标文件和投标文件的实质性内容，不得明示或暗示中标人。问答过程需形成书面记录，并由提问人与答复人签字确认。</w:t>
      </w:r>
    </w:p>
    <w:p w14:paraId="539D2789">
      <w:pPr>
        <w:keepNext w:val="0"/>
        <w:keepLines w:val="0"/>
        <w:pageBreakBefore w:val="0"/>
        <w:widowControl w:val="0"/>
        <w:kinsoku/>
        <w:wordWrap w:val="0"/>
        <w:overflowPunct/>
        <w:topLinePunct/>
        <w:autoSpaceDE/>
        <w:autoSpaceDN/>
        <w:bidi w:val="0"/>
        <w:adjustRightInd/>
        <w:snapToGrid/>
        <w:spacing w:line="360" w:lineRule="auto"/>
        <w:ind w:left="0" w:leftChars="0" w:right="0" w:rightChars="0" w:firstLine="482" w:firstLineChars="200"/>
        <w:jc w:val="both"/>
        <w:textAlignment w:val="auto"/>
        <w:outlineLvl w:val="9"/>
        <w:rPr>
          <w:rFonts w:hint="eastAsia" w:ascii="宋体" w:hAnsi="宋体" w:eastAsia="宋体" w:cs="宋体"/>
          <w:b/>
          <w:bCs/>
          <w:color w:val="auto"/>
          <w:kern w:val="0"/>
          <w:sz w:val="24"/>
          <w:szCs w:val="24"/>
          <w:highlight w:val="none"/>
          <w:u w:val="none"/>
          <w:shd w:val="clear" w:color="auto" w:fill="FFFFFF"/>
          <w:lang w:val="en-US" w:eastAsia="zh-CN" w:bidi="ar-SA"/>
        </w:rPr>
      </w:pPr>
      <w:r>
        <w:rPr>
          <w:rFonts w:hint="eastAsia" w:ascii="宋体" w:hAnsi="宋体" w:eastAsia="宋体" w:cs="宋体"/>
          <w:b/>
          <w:bCs/>
          <w:color w:val="auto"/>
          <w:kern w:val="0"/>
          <w:sz w:val="24"/>
          <w:szCs w:val="24"/>
          <w:highlight w:val="none"/>
          <w:u w:val="none"/>
          <w:shd w:val="clear" w:color="auto" w:fill="FFFFFF"/>
          <w:lang w:val="en-US" w:eastAsia="zh-CN" w:bidi="ar-SA"/>
        </w:rPr>
        <w:t>5.1.4.投票，收票，点票和汇总</w:t>
      </w:r>
    </w:p>
    <w:p w14:paraId="51483ED3">
      <w:pPr>
        <w:keepNext w:val="0"/>
        <w:keepLines w:val="0"/>
        <w:pageBreakBefore w:val="0"/>
        <w:widowControl w:val="0"/>
        <w:kinsoku/>
        <w:wordWrap w:val="0"/>
        <w:overflowPunct/>
        <w:topLinePunct/>
        <w:autoSpaceDE/>
        <w:autoSpaceDN/>
        <w:bidi w:val="0"/>
        <w:adjustRightInd/>
        <w:snapToGrid/>
        <w:spacing w:line="360" w:lineRule="auto"/>
        <w:ind w:left="0" w:leftChars="0" w:right="0" w:rightChars="0" w:firstLine="480" w:firstLineChars="200"/>
        <w:jc w:val="both"/>
        <w:textAlignment w:val="auto"/>
        <w:outlineLvl w:val="9"/>
        <w:rPr>
          <w:rFonts w:hint="eastAsia" w:ascii="宋体" w:hAnsi="宋体" w:eastAsia="宋体" w:cs="宋体"/>
          <w:b w:val="0"/>
          <w:bCs w:val="0"/>
          <w:color w:val="auto"/>
          <w:spacing w:val="0"/>
          <w:position w:val="0"/>
          <w:sz w:val="24"/>
          <w:szCs w:val="24"/>
          <w:highlight w:val="none"/>
          <w:u w:val="none" w:color="auto"/>
          <w:lang w:val="en-US" w:eastAsia="zh-CN"/>
        </w:rPr>
      </w:pPr>
      <w:r>
        <w:rPr>
          <w:rFonts w:hint="eastAsia" w:ascii="宋体" w:hAnsi="宋体" w:eastAsia="宋体" w:cs="宋体"/>
          <w:b w:val="0"/>
          <w:bCs w:val="0"/>
          <w:color w:val="auto"/>
          <w:spacing w:val="0"/>
          <w:position w:val="0"/>
          <w:sz w:val="24"/>
          <w:szCs w:val="24"/>
          <w:highlight w:val="none"/>
          <w:u w:val="none" w:color="auto"/>
          <w:lang w:eastAsia="zh-CN"/>
        </w:rPr>
        <w:t>定标委员会成员按照票决定标法程序，根据公平、公正、择优原则，独立完成票决后，统一由定标工作人员收集、清点，并对票数进行汇总排名。得票相同且影响中标候选人排序确定的，可由定标委员会对总票数相同的单位进行再次票决确定排序。</w:t>
      </w:r>
    </w:p>
    <w:p w14:paraId="0C09E5C8">
      <w:pPr>
        <w:keepNext w:val="0"/>
        <w:keepLines w:val="0"/>
        <w:pageBreakBefore w:val="0"/>
        <w:widowControl w:val="0"/>
        <w:kinsoku/>
        <w:wordWrap w:val="0"/>
        <w:overflowPunct/>
        <w:topLinePunct/>
        <w:autoSpaceDE/>
        <w:autoSpaceDN/>
        <w:bidi w:val="0"/>
        <w:adjustRightInd/>
        <w:snapToGrid/>
        <w:spacing w:line="360" w:lineRule="auto"/>
        <w:ind w:left="0" w:leftChars="0" w:right="0" w:rightChars="0" w:firstLine="482" w:firstLineChars="200"/>
        <w:jc w:val="both"/>
        <w:textAlignment w:val="auto"/>
        <w:outlineLvl w:val="9"/>
        <w:rPr>
          <w:rFonts w:hint="eastAsia" w:ascii="宋体" w:hAnsi="宋体" w:eastAsia="宋体" w:cs="宋体"/>
          <w:b w:val="0"/>
          <w:bCs/>
          <w:color w:val="auto"/>
          <w:sz w:val="24"/>
          <w:szCs w:val="24"/>
          <w:highlight w:val="none"/>
          <w:lang w:eastAsia="zh-CN"/>
        </w:rPr>
      </w:pPr>
      <w:r>
        <w:rPr>
          <w:rFonts w:hint="eastAsia" w:ascii="宋体" w:hAnsi="宋体" w:eastAsia="宋体" w:cs="宋体"/>
          <w:b/>
          <w:bCs/>
          <w:color w:val="auto"/>
          <w:kern w:val="0"/>
          <w:sz w:val="24"/>
          <w:szCs w:val="24"/>
          <w:highlight w:val="none"/>
          <w:u w:val="none"/>
          <w:shd w:val="clear" w:color="auto" w:fill="FFFFFF"/>
          <w:lang w:val="en-US" w:eastAsia="zh-CN" w:bidi="ar-SA"/>
        </w:rPr>
        <w:t>5.1.5.公布结果和出具定标报告</w:t>
      </w:r>
    </w:p>
    <w:p w14:paraId="000F0BF3">
      <w:pPr>
        <w:keepNext w:val="0"/>
        <w:keepLines w:val="0"/>
        <w:pageBreakBefore w:val="0"/>
        <w:widowControl w:val="0"/>
        <w:kinsoku/>
        <w:wordWrap w:val="0"/>
        <w:overflowPunct/>
        <w:topLinePunct/>
        <w:autoSpaceDE/>
        <w:autoSpaceDN/>
        <w:bidi w:val="0"/>
        <w:adjustRightInd/>
        <w:snapToGrid/>
        <w:spacing w:line="360" w:lineRule="auto"/>
        <w:ind w:left="0" w:leftChars="0" w:right="0" w:rightChars="0" w:firstLine="480" w:firstLineChars="200"/>
        <w:jc w:val="both"/>
        <w:textAlignment w:val="auto"/>
        <w:outlineLvl w:val="9"/>
        <w:rPr>
          <w:rFonts w:hint="eastAsia" w:ascii="宋体" w:hAnsi="宋体" w:eastAsia="宋体" w:cs="宋体"/>
          <w:b w:val="0"/>
          <w:bCs w:val="0"/>
          <w:color w:val="auto"/>
          <w:spacing w:val="0"/>
          <w:position w:val="0"/>
          <w:sz w:val="24"/>
          <w:szCs w:val="24"/>
          <w:highlight w:val="none"/>
          <w:u w:val="none" w:color="auto"/>
          <w:lang w:val="en-US" w:eastAsia="zh-CN"/>
        </w:rPr>
      </w:pPr>
      <w:r>
        <w:rPr>
          <w:rFonts w:hint="eastAsia" w:ascii="宋体" w:hAnsi="宋体" w:eastAsia="宋体" w:cs="宋体"/>
          <w:b w:val="0"/>
          <w:bCs/>
          <w:color w:val="auto"/>
          <w:sz w:val="24"/>
          <w:szCs w:val="24"/>
          <w:highlight w:val="none"/>
          <w:lang w:eastAsia="zh-CN"/>
        </w:rPr>
        <w:t>点票工作完成后，定标委员会组长汇总定标结果，编制定标报告，确定中标候选人，全体成员签名。</w:t>
      </w:r>
    </w:p>
    <w:p w14:paraId="57453F55">
      <w:pPr>
        <w:pStyle w:val="20"/>
        <w:keepNext w:val="0"/>
        <w:keepLines w:val="0"/>
        <w:pageBreakBefore w:val="0"/>
        <w:numPr>
          <w:ilvl w:val="0"/>
          <w:numId w:val="0"/>
        </w:numPr>
        <w:shd w:val="clear" w:color="auto" w:fill="FFFFFF"/>
        <w:kinsoku/>
        <w:wordWrap w:val="0"/>
        <w:overflowPunct/>
        <w:topLinePunct/>
        <w:autoSpaceDE/>
        <w:autoSpaceDN/>
        <w:bidi w:val="0"/>
        <w:adjustRightInd/>
        <w:snapToGrid/>
        <w:spacing w:before="0" w:beforeLines="0" w:beforeAutospacing="0" w:after="0" w:afterLines="0" w:afterAutospacing="0" w:line="360" w:lineRule="auto"/>
        <w:ind w:leftChars="200"/>
        <w:jc w:val="both"/>
        <w:textAlignment w:val="auto"/>
        <w:outlineLvl w:val="9"/>
        <w:rPr>
          <w:rFonts w:hint="eastAsia" w:ascii="宋体" w:hAnsi="宋体" w:eastAsia="宋体" w:cs="宋体"/>
          <w:b/>
          <w:bCs/>
          <w:color w:val="auto"/>
          <w:sz w:val="24"/>
          <w:szCs w:val="24"/>
          <w:highlight w:val="none"/>
          <w:u w:val="none"/>
          <w:shd w:val="clear" w:color="auto" w:fill="FFFFFF"/>
        </w:rPr>
      </w:pPr>
      <w:r>
        <w:rPr>
          <w:rFonts w:hint="eastAsia" w:ascii="宋体" w:hAnsi="宋体" w:eastAsia="宋体" w:cs="宋体"/>
          <w:b/>
          <w:bCs/>
          <w:color w:val="auto"/>
          <w:spacing w:val="0"/>
          <w:position w:val="0"/>
          <w:sz w:val="24"/>
          <w:szCs w:val="24"/>
          <w:highlight w:val="none"/>
          <w:u w:val="none" w:color="auto"/>
          <w:lang w:val="en-US" w:eastAsia="zh-CN"/>
        </w:rPr>
        <w:t>5.1.6.</w:t>
      </w:r>
      <w:r>
        <w:rPr>
          <w:rFonts w:hint="eastAsia" w:ascii="宋体" w:hAnsi="宋体" w:eastAsia="宋体" w:cs="宋体"/>
          <w:b/>
          <w:bCs/>
          <w:color w:val="auto"/>
          <w:sz w:val="24"/>
          <w:szCs w:val="24"/>
          <w:highlight w:val="none"/>
          <w:u w:val="none"/>
          <w:shd w:val="clear" w:color="auto" w:fill="FFFFFF"/>
        </w:rPr>
        <w:t>全程监督</w:t>
      </w:r>
    </w:p>
    <w:p w14:paraId="0A1FED31">
      <w:pPr>
        <w:keepNext w:val="0"/>
        <w:keepLines w:val="0"/>
        <w:pageBreakBefore w:val="0"/>
        <w:widowControl w:val="0"/>
        <w:kinsoku/>
        <w:wordWrap/>
        <w:overflowPunct/>
        <w:topLinePunct w:val="0"/>
        <w:autoSpaceDE/>
        <w:autoSpaceDN/>
        <w:bidi w:val="0"/>
        <w:adjustRightInd/>
        <w:snapToGrid/>
        <w:spacing w:line="460" w:lineRule="exact"/>
        <w:ind w:left="0" w:leftChars="0" w:right="0" w:rightChars="0" w:firstLine="480" w:firstLineChars="200"/>
        <w:jc w:val="both"/>
        <w:textAlignment w:val="auto"/>
        <w:outlineLvl w:val="9"/>
        <w:rPr>
          <w:rFonts w:hint="eastAsia" w:ascii="宋体" w:hAnsi="宋体" w:eastAsia="宋体" w:cs="宋体"/>
          <w:b w:val="0"/>
          <w:bCs/>
          <w:color w:val="auto"/>
          <w:sz w:val="24"/>
          <w:szCs w:val="24"/>
          <w:highlight w:val="none"/>
          <w:lang w:eastAsia="zh-CN"/>
        </w:rPr>
      </w:pPr>
      <w:r>
        <w:rPr>
          <w:rFonts w:hint="eastAsia" w:ascii="宋体" w:hAnsi="宋体" w:eastAsia="宋体" w:cs="宋体"/>
          <w:b w:val="0"/>
          <w:bCs/>
          <w:color w:val="auto"/>
          <w:sz w:val="24"/>
          <w:szCs w:val="24"/>
          <w:highlight w:val="none"/>
          <w:lang w:eastAsia="zh-CN"/>
        </w:rPr>
        <w:t>招标监督小组对集体议定的全过程进行监督，确保程序合规、讨论充分、记录完整，结论形成过程公正、透明。</w:t>
      </w:r>
    </w:p>
    <w:p w14:paraId="7777A1DD">
      <w:pPr>
        <w:keepNext w:val="0"/>
        <w:keepLines w:val="0"/>
        <w:pageBreakBefore w:val="0"/>
        <w:widowControl w:val="0"/>
        <w:kinsoku/>
        <w:wordWrap/>
        <w:overflowPunct/>
        <w:topLinePunct w:val="0"/>
        <w:autoSpaceDE/>
        <w:autoSpaceDN/>
        <w:bidi w:val="0"/>
        <w:adjustRightInd/>
        <w:snapToGrid/>
        <w:spacing w:line="440" w:lineRule="exact"/>
        <w:ind w:left="0" w:leftChars="0" w:right="0" w:rightChars="0" w:firstLine="482" w:firstLineChars="200"/>
        <w:jc w:val="both"/>
        <w:textAlignment w:val="auto"/>
        <w:outlineLvl w:val="9"/>
        <w:rPr>
          <w:rFonts w:hint="eastAsia" w:ascii="宋体" w:hAnsi="宋体" w:eastAsia="宋体" w:cs="宋体"/>
          <w:b/>
          <w:bCs/>
          <w:color w:val="auto"/>
          <w:spacing w:val="0"/>
          <w:position w:val="0"/>
          <w:sz w:val="24"/>
          <w:szCs w:val="24"/>
          <w:highlight w:val="none"/>
          <w:u w:val="none" w:color="auto"/>
          <w:lang w:val="en-US" w:eastAsia="zh-CN"/>
        </w:rPr>
      </w:pPr>
      <w:r>
        <w:rPr>
          <w:rFonts w:hint="eastAsia" w:hAnsi="宋体" w:eastAsia="宋体" w:cs="宋体"/>
          <w:b/>
          <w:bCs/>
          <w:color w:val="auto"/>
          <w:spacing w:val="0"/>
          <w:position w:val="0"/>
          <w:sz w:val="24"/>
          <w:szCs w:val="24"/>
          <w:highlight w:val="none"/>
          <w:u w:val="none" w:color="auto"/>
          <w:lang w:val="en-US" w:eastAsia="zh-CN"/>
        </w:rPr>
        <w:t>2</w:t>
      </w:r>
      <w:r>
        <w:rPr>
          <w:rFonts w:hint="eastAsia" w:ascii="宋体" w:hAnsi="宋体" w:eastAsia="宋体" w:cs="宋体"/>
          <w:b/>
          <w:bCs/>
          <w:color w:val="auto"/>
          <w:spacing w:val="0"/>
          <w:position w:val="0"/>
          <w:sz w:val="24"/>
          <w:szCs w:val="24"/>
          <w:highlight w:val="none"/>
          <w:u w:val="none" w:color="auto"/>
          <w:lang w:val="en-US" w:eastAsia="zh-CN"/>
        </w:rPr>
        <w:t>.2定标因素</w:t>
      </w:r>
    </w:p>
    <w:p w14:paraId="2BB3BF15">
      <w:pPr>
        <w:keepNext w:val="0"/>
        <w:keepLines w:val="0"/>
        <w:pageBreakBefore w:val="0"/>
        <w:widowControl w:val="0"/>
        <w:kinsoku/>
        <w:wordWrap/>
        <w:overflowPunct/>
        <w:topLinePunct w:val="0"/>
        <w:autoSpaceDE/>
        <w:autoSpaceDN/>
        <w:bidi w:val="0"/>
        <w:adjustRightInd/>
        <w:snapToGrid/>
        <w:spacing w:line="440" w:lineRule="exact"/>
        <w:ind w:left="0" w:leftChars="0" w:right="0" w:rightChars="0" w:firstLine="480" w:firstLineChars="200"/>
        <w:jc w:val="both"/>
        <w:textAlignment w:val="auto"/>
        <w:outlineLvl w:val="9"/>
        <w:rPr>
          <w:rFonts w:hint="eastAsia" w:ascii="宋体" w:hAnsi="宋体" w:eastAsia="宋体" w:cs="宋体"/>
          <w:b w:val="0"/>
          <w:bCs w:val="0"/>
          <w:i/>
          <w:iCs/>
          <w:color w:val="auto"/>
          <w:spacing w:val="0"/>
          <w:position w:val="0"/>
          <w:sz w:val="24"/>
          <w:szCs w:val="24"/>
          <w:highlight w:val="none"/>
          <w:u w:val="none" w:color="auto"/>
          <w:lang w:val="en-US" w:eastAsia="zh-CN"/>
        </w:rPr>
      </w:pPr>
      <w:r>
        <w:rPr>
          <w:rFonts w:hint="eastAsia" w:ascii="宋体" w:hAnsi="宋体" w:eastAsia="宋体" w:cs="宋体"/>
          <w:b w:val="0"/>
          <w:bCs w:val="0"/>
          <w:color w:val="auto"/>
          <w:spacing w:val="0"/>
          <w:position w:val="0"/>
          <w:sz w:val="24"/>
          <w:szCs w:val="24"/>
          <w:highlight w:val="none"/>
          <w:u w:val="none" w:color="auto"/>
          <w:lang w:val="en-US" w:eastAsia="zh-CN"/>
        </w:rPr>
        <w:t>在同等条件下，择优的定标因素和相对标准有以下几个方面：</w:t>
      </w:r>
    </w:p>
    <w:p w14:paraId="5F4FB7FC">
      <w:pPr>
        <w:keepNext w:val="0"/>
        <w:keepLines w:val="0"/>
        <w:pageBreakBefore w:val="0"/>
        <w:widowControl w:val="0"/>
        <w:kinsoku/>
        <w:wordWrap/>
        <w:overflowPunct/>
        <w:topLinePunct w:val="0"/>
        <w:autoSpaceDE/>
        <w:autoSpaceDN/>
        <w:bidi w:val="0"/>
        <w:adjustRightInd/>
        <w:snapToGrid/>
        <w:spacing w:line="440" w:lineRule="exact"/>
        <w:ind w:left="0" w:leftChars="0" w:right="0" w:rightChars="0" w:firstLine="482" w:firstLineChars="200"/>
        <w:jc w:val="both"/>
        <w:textAlignment w:val="auto"/>
        <w:outlineLvl w:val="9"/>
        <w:rPr>
          <w:rFonts w:hint="eastAsia" w:ascii="宋体" w:hAnsi="宋体" w:eastAsia="宋体" w:cs="宋体"/>
          <w:b/>
          <w:bCs/>
          <w:color w:val="auto"/>
          <w:kern w:val="0"/>
          <w:sz w:val="24"/>
          <w:szCs w:val="24"/>
          <w:highlight w:val="none"/>
          <w:u w:val="none"/>
          <w:shd w:val="clear" w:color="auto" w:fill="FFFFFF"/>
        </w:rPr>
      </w:pPr>
      <w:r>
        <w:rPr>
          <w:rFonts w:hint="eastAsia" w:hAnsi="宋体" w:eastAsia="宋体" w:cs="宋体"/>
          <w:b/>
          <w:bCs/>
          <w:color w:val="auto"/>
          <w:kern w:val="0"/>
          <w:sz w:val="24"/>
          <w:szCs w:val="24"/>
          <w:highlight w:val="none"/>
          <w:u w:val="none"/>
          <w:shd w:val="clear" w:color="auto" w:fill="FFFFFF"/>
          <w:lang w:eastAsia="zh-CN"/>
        </w:rPr>
        <w:t>（1）</w:t>
      </w:r>
      <w:r>
        <w:rPr>
          <w:rFonts w:hint="eastAsia" w:ascii="宋体" w:hAnsi="宋体" w:eastAsia="宋体" w:cs="宋体"/>
          <w:b/>
          <w:bCs/>
          <w:color w:val="auto"/>
          <w:kern w:val="0"/>
          <w:sz w:val="24"/>
          <w:szCs w:val="24"/>
          <w:highlight w:val="none"/>
          <w:u w:val="none"/>
          <w:shd w:val="clear" w:color="auto" w:fill="FFFFFF"/>
        </w:rPr>
        <w:t>拟派团队管理能力与水平</w:t>
      </w:r>
      <w:r>
        <w:rPr>
          <w:rFonts w:hint="eastAsia" w:hAnsi="宋体" w:eastAsia="宋体" w:cs="宋体"/>
          <w:b/>
          <w:bCs/>
          <w:color w:val="auto"/>
          <w:kern w:val="0"/>
          <w:sz w:val="24"/>
          <w:szCs w:val="24"/>
          <w:highlight w:val="none"/>
          <w:u w:val="none"/>
          <w:shd w:val="clear" w:color="auto" w:fill="FFFFFF"/>
          <w:lang w:eastAsia="zh-CN"/>
        </w:rPr>
        <w:t>（</w:t>
      </w:r>
      <w:r>
        <w:rPr>
          <w:rFonts w:hint="eastAsia" w:ascii="宋体" w:hAnsi="宋体" w:eastAsia="宋体" w:cs="宋体"/>
          <w:b/>
          <w:bCs/>
          <w:color w:val="auto"/>
          <w:kern w:val="0"/>
          <w:sz w:val="24"/>
          <w:szCs w:val="24"/>
          <w:highlight w:val="none"/>
          <w:u w:val="none"/>
          <w:shd w:val="clear" w:color="auto" w:fill="FFFFFF"/>
        </w:rPr>
        <w:t>履约能力</w:t>
      </w:r>
      <w:r>
        <w:rPr>
          <w:rFonts w:hint="eastAsia" w:hAnsi="宋体" w:eastAsia="宋体" w:cs="宋体"/>
          <w:b/>
          <w:bCs/>
          <w:color w:val="auto"/>
          <w:kern w:val="0"/>
          <w:sz w:val="24"/>
          <w:szCs w:val="24"/>
          <w:highlight w:val="none"/>
          <w:u w:val="none"/>
          <w:shd w:val="clear" w:color="auto" w:fill="FFFFFF"/>
          <w:lang w:eastAsia="zh-CN"/>
        </w:rPr>
        <w:t>）</w:t>
      </w:r>
    </w:p>
    <w:p w14:paraId="33DA61F5">
      <w:pPr>
        <w:keepNext w:val="0"/>
        <w:keepLines w:val="0"/>
        <w:pageBreakBefore w:val="0"/>
        <w:widowControl w:val="0"/>
        <w:kinsoku/>
        <w:wordWrap/>
        <w:overflowPunct/>
        <w:topLinePunct w:val="0"/>
        <w:autoSpaceDE/>
        <w:autoSpaceDN/>
        <w:bidi w:val="0"/>
        <w:adjustRightInd/>
        <w:snapToGrid/>
        <w:spacing w:line="440" w:lineRule="exact"/>
        <w:ind w:left="0" w:leftChars="0" w:right="0" w:rightChars="0" w:firstLine="480" w:firstLineChars="200"/>
        <w:jc w:val="both"/>
        <w:textAlignment w:val="auto"/>
        <w:outlineLvl w:val="9"/>
        <w:rPr>
          <w:rFonts w:hint="eastAsia" w:ascii="宋体" w:hAnsi="宋体" w:eastAsia="宋体" w:cs="宋体"/>
          <w:b w:val="0"/>
          <w:bCs w:val="0"/>
          <w:color w:val="auto"/>
          <w:kern w:val="0"/>
          <w:sz w:val="24"/>
          <w:szCs w:val="24"/>
          <w:highlight w:val="none"/>
          <w:u w:val="none"/>
          <w:shd w:val="clear" w:color="auto" w:fill="FFFFFF"/>
        </w:rPr>
      </w:pPr>
      <w:r>
        <w:rPr>
          <w:rFonts w:hint="eastAsia" w:ascii="宋体" w:hAnsi="宋体" w:eastAsia="宋体" w:cs="宋体"/>
          <w:b w:val="0"/>
          <w:bCs w:val="0"/>
          <w:color w:val="auto"/>
          <w:kern w:val="0"/>
          <w:sz w:val="24"/>
          <w:szCs w:val="24"/>
          <w:highlight w:val="none"/>
          <w:u w:val="none"/>
          <w:shd w:val="clear" w:color="auto" w:fill="FFFFFF"/>
        </w:rPr>
        <w:t>相对标准</w:t>
      </w:r>
      <w:r>
        <w:rPr>
          <w:rFonts w:hint="eastAsia" w:hAnsi="宋体" w:eastAsia="宋体" w:cs="宋体"/>
          <w:b w:val="0"/>
          <w:bCs w:val="0"/>
          <w:color w:val="auto"/>
          <w:kern w:val="0"/>
          <w:sz w:val="24"/>
          <w:szCs w:val="24"/>
          <w:highlight w:val="none"/>
          <w:u w:val="none"/>
          <w:shd w:val="clear" w:color="auto" w:fill="FFFFFF"/>
          <w:lang w:eastAsia="zh-CN"/>
        </w:rPr>
        <w:t>：</w:t>
      </w:r>
      <w:r>
        <w:rPr>
          <w:rFonts w:hint="eastAsia" w:ascii="宋体" w:hAnsi="宋体" w:eastAsia="宋体" w:cs="宋体"/>
          <w:b w:val="0"/>
          <w:bCs w:val="0"/>
          <w:color w:val="auto"/>
          <w:kern w:val="0"/>
          <w:sz w:val="24"/>
          <w:szCs w:val="24"/>
          <w:highlight w:val="none"/>
          <w:u w:val="none"/>
          <w:shd w:val="clear" w:color="auto" w:fill="FFFFFF"/>
        </w:rPr>
        <w:t>拟派团队管理能力与水平</w:t>
      </w:r>
      <w:r>
        <w:rPr>
          <w:rFonts w:hint="eastAsia" w:hAnsi="宋体" w:eastAsia="宋体" w:cs="宋体"/>
          <w:b w:val="0"/>
          <w:bCs w:val="0"/>
          <w:color w:val="auto"/>
          <w:kern w:val="0"/>
          <w:sz w:val="24"/>
          <w:szCs w:val="24"/>
          <w:highlight w:val="none"/>
          <w:u w:val="none"/>
          <w:shd w:val="clear" w:color="auto" w:fill="FFFFFF"/>
          <w:lang w:eastAsia="zh-CN"/>
        </w:rPr>
        <w:t>（</w:t>
      </w:r>
      <w:r>
        <w:rPr>
          <w:rFonts w:hint="eastAsia" w:ascii="宋体" w:hAnsi="宋体" w:eastAsia="宋体" w:cs="宋体"/>
          <w:b w:val="0"/>
          <w:bCs w:val="0"/>
          <w:color w:val="auto"/>
          <w:kern w:val="0"/>
          <w:sz w:val="24"/>
          <w:szCs w:val="24"/>
          <w:highlight w:val="none"/>
          <w:u w:val="none"/>
          <w:shd w:val="clear" w:color="auto" w:fill="FFFFFF"/>
        </w:rPr>
        <w:t>履约能力</w:t>
      </w:r>
      <w:r>
        <w:rPr>
          <w:rFonts w:hint="eastAsia" w:hAnsi="宋体" w:eastAsia="宋体" w:cs="宋体"/>
          <w:b w:val="0"/>
          <w:bCs w:val="0"/>
          <w:color w:val="auto"/>
          <w:kern w:val="0"/>
          <w:sz w:val="24"/>
          <w:szCs w:val="24"/>
          <w:highlight w:val="none"/>
          <w:u w:val="none"/>
          <w:shd w:val="clear" w:color="auto" w:fill="FFFFFF"/>
          <w:lang w:eastAsia="zh-CN"/>
        </w:rPr>
        <w:t>）</w:t>
      </w:r>
      <w:r>
        <w:rPr>
          <w:rFonts w:hint="eastAsia" w:ascii="宋体" w:hAnsi="宋体" w:eastAsia="宋体" w:cs="宋体"/>
          <w:b w:val="0"/>
          <w:bCs w:val="0"/>
          <w:color w:val="auto"/>
          <w:kern w:val="0"/>
          <w:sz w:val="24"/>
          <w:szCs w:val="24"/>
          <w:highlight w:val="none"/>
          <w:u w:val="none"/>
          <w:shd w:val="clear" w:color="auto" w:fill="FFFFFF"/>
        </w:rPr>
        <w:t>强的定标候选人优于拟派团队管理</w:t>
      </w:r>
    </w:p>
    <w:p w14:paraId="3FC22B5B">
      <w:pPr>
        <w:keepNext w:val="0"/>
        <w:keepLines w:val="0"/>
        <w:pageBreakBefore w:val="0"/>
        <w:widowControl w:val="0"/>
        <w:kinsoku/>
        <w:wordWrap/>
        <w:overflowPunct/>
        <w:topLinePunct w:val="0"/>
        <w:autoSpaceDE/>
        <w:autoSpaceDN/>
        <w:bidi w:val="0"/>
        <w:adjustRightInd/>
        <w:snapToGrid/>
        <w:spacing w:line="440" w:lineRule="exact"/>
        <w:ind w:left="0" w:leftChars="0" w:right="0" w:rightChars="0" w:firstLine="480" w:firstLineChars="200"/>
        <w:jc w:val="both"/>
        <w:textAlignment w:val="auto"/>
        <w:outlineLvl w:val="9"/>
        <w:rPr>
          <w:rFonts w:hint="eastAsia" w:ascii="宋体" w:hAnsi="宋体" w:eastAsia="宋体" w:cs="宋体"/>
          <w:b w:val="0"/>
          <w:bCs w:val="0"/>
          <w:color w:val="auto"/>
          <w:kern w:val="0"/>
          <w:sz w:val="24"/>
          <w:szCs w:val="24"/>
          <w:highlight w:val="none"/>
          <w:u w:val="none"/>
          <w:shd w:val="clear" w:color="auto" w:fill="FFFFFF"/>
        </w:rPr>
      </w:pPr>
      <w:r>
        <w:rPr>
          <w:rFonts w:hint="eastAsia" w:ascii="宋体" w:hAnsi="宋体" w:eastAsia="宋体" w:cs="宋体"/>
          <w:b w:val="0"/>
          <w:bCs w:val="0"/>
          <w:color w:val="auto"/>
          <w:kern w:val="0"/>
          <w:sz w:val="24"/>
          <w:szCs w:val="24"/>
          <w:highlight w:val="none"/>
          <w:u w:val="none"/>
          <w:shd w:val="clear" w:color="auto" w:fill="FFFFFF"/>
        </w:rPr>
        <w:t>能力与水平</w:t>
      </w:r>
      <w:r>
        <w:rPr>
          <w:rFonts w:hint="eastAsia" w:hAnsi="宋体" w:eastAsia="宋体" w:cs="宋体"/>
          <w:b w:val="0"/>
          <w:bCs w:val="0"/>
          <w:color w:val="auto"/>
          <w:kern w:val="0"/>
          <w:sz w:val="24"/>
          <w:szCs w:val="24"/>
          <w:highlight w:val="none"/>
          <w:u w:val="none"/>
          <w:shd w:val="clear" w:color="auto" w:fill="FFFFFF"/>
          <w:lang w:eastAsia="zh-CN"/>
        </w:rPr>
        <w:t>（</w:t>
      </w:r>
      <w:r>
        <w:rPr>
          <w:rFonts w:hint="eastAsia" w:ascii="宋体" w:hAnsi="宋体" w:eastAsia="宋体" w:cs="宋体"/>
          <w:b w:val="0"/>
          <w:bCs w:val="0"/>
          <w:color w:val="auto"/>
          <w:kern w:val="0"/>
          <w:sz w:val="24"/>
          <w:szCs w:val="24"/>
          <w:highlight w:val="none"/>
          <w:u w:val="none"/>
          <w:shd w:val="clear" w:color="auto" w:fill="FFFFFF"/>
        </w:rPr>
        <w:t>履约能力</w:t>
      </w:r>
      <w:r>
        <w:rPr>
          <w:rFonts w:hint="eastAsia" w:hAnsi="宋体" w:eastAsia="宋体" w:cs="宋体"/>
          <w:b w:val="0"/>
          <w:bCs w:val="0"/>
          <w:color w:val="auto"/>
          <w:kern w:val="0"/>
          <w:sz w:val="24"/>
          <w:szCs w:val="24"/>
          <w:highlight w:val="none"/>
          <w:u w:val="none"/>
          <w:shd w:val="clear" w:color="auto" w:fill="FFFFFF"/>
          <w:lang w:eastAsia="zh-CN"/>
        </w:rPr>
        <w:t>）</w:t>
      </w:r>
      <w:r>
        <w:rPr>
          <w:rFonts w:hint="eastAsia" w:ascii="宋体" w:hAnsi="宋体" w:eastAsia="宋体" w:cs="宋体"/>
          <w:b w:val="0"/>
          <w:bCs w:val="0"/>
          <w:color w:val="auto"/>
          <w:kern w:val="0"/>
          <w:sz w:val="24"/>
          <w:szCs w:val="24"/>
          <w:highlight w:val="none"/>
          <w:u w:val="none"/>
          <w:shd w:val="clear" w:color="auto" w:fill="FFFFFF"/>
        </w:rPr>
        <w:t>一般的定标候选人。</w:t>
      </w:r>
    </w:p>
    <w:p w14:paraId="7490AE7A">
      <w:pPr>
        <w:keepNext w:val="0"/>
        <w:keepLines w:val="0"/>
        <w:pageBreakBefore w:val="0"/>
        <w:widowControl w:val="0"/>
        <w:kinsoku/>
        <w:wordWrap/>
        <w:overflowPunct/>
        <w:topLinePunct w:val="0"/>
        <w:autoSpaceDE/>
        <w:autoSpaceDN/>
        <w:bidi w:val="0"/>
        <w:adjustRightInd/>
        <w:snapToGrid/>
        <w:spacing w:line="440" w:lineRule="exact"/>
        <w:ind w:left="0" w:leftChars="0" w:right="0" w:rightChars="0" w:firstLine="482" w:firstLineChars="200"/>
        <w:jc w:val="both"/>
        <w:textAlignment w:val="auto"/>
        <w:outlineLvl w:val="9"/>
        <w:rPr>
          <w:rFonts w:hint="eastAsia" w:ascii="宋体" w:hAnsi="宋体" w:eastAsia="宋体" w:cs="宋体"/>
          <w:b/>
          <w:bCs/>
          <w:color w:val="auto"/>
          <w:kern w:val="0"/>
          <w:sz w:val="24"/>
          <w:szCs w:val="24"/>
          <w:highlight w:val="none"/>
          <w:u w:val="none"/>
          <w:shd w:val="clear" w:color="auto" w:fill="FFFFFF"/>
        </w:rPr>
      </w:pPr>
      <w:r>
        <w:rPr>
          <w:rFonts w:hint="eastAsia" w:ascii="宋体" w:hAnsi="宋体" w:eastAsia="宋体" w:cs="宋体"/>
          <w:b/>
          <w:bCs/>
          <w:color w:val="auto"/>
          <w:kern w:val="0"/>
          <w:sz w:val="24"/>
          <w:szCs w:val="24"/>
          <w:highlight w:val="none"/>
          <w:u w:val="none"/>
          <w:shd w:val="clear" w:color="auto" w:fill="FFFFFF"/>
          <w:lang w:eastAsia="zh-CN"/>
        </w:rPr>
        <w:t>（</w:t>
      </w:r>
      <w:r>
        <w:rPr>
          <w:rFonts w:hint="eastAsia" w:ascii="宋体" w:hAnsi="宋体" w:eastAsia="宋体" w:cs="宋体"/>
          <w:b/>
          <w:bCs/>
          <w:color w:val="auto"/>
          <w:kern w:val="0"/>
          <w:sz w:val="24"/>
          <w:szCs w:val="24"/>
          <w:highlight w:val="none"/>
          <w:u w:val="none"/>
          <w:shd w:val="clear" w:color="auto" w:fill="FFFFFF"/>
          <w:lang w:val="en-US" w:eastAsia="zh-CN"/>
        </w:rPr>
        <w:t>2）</w:t>
      </w:r>
      <w:r>
        <w:rPr>
          <w:rFonts w:hint="eastAsia" w:ascii="宋体" w:hAnsi="宋体" w:eastAsia="宋体" w:cs="宋体"/>
          <w:b/>
          <w:bCs/>
          <w:color w:val="auto"/>
          <w:kern w:val="0"/>
          <w:sz w:val="24"/>
          <w:szCs w:val="24"/>
          <w:highlight w:val="none"/>
          <w:u w:val="none"/>
          <w:shd w:val="clear" w:color="auto" w:fill="FFFFFF"/>
        </w:rPr>
        <w:t>企业信誉</w:t>
      </w:r>
    </w:p>
    <w:p w14:paraId="53A4E7AE">
      <w:pPr>
        <w:keepNext w:val="0"/>
        <w:keepLines w:val="0"/>
        <w:pageBreakBefore w:val="0"/>
        <w:widowControl w:val="0"/>
        <w:kinsoku/>
        <w:overflowPunct/>
        <w:topLinePunct w:val="0"/>
        <w:autoSpaceDE/>
        <w:autoSpaceDN/>
        <w:bidi w:val="0"/>
        <w:spacing w:line="440" w:lineRule="exact"/>
        <w:ind w:firstLine="480" w:firstLineChars="200"/>
        <w:textAlignment w:val="auto"/>
        <w:outlineLvl w:val="9"/>
        <w:rPr>
          <w:rFonts w:hint="eastAsia" w:ascii="宋体" w:hAnsi="宋体" w:eastAsia="宋体" w:cs="宋体"/>
          <w:color w:val="auto"/>
          <w:sz w:val="24"/>
          <w:szCs w:val="24"/>
          <w:highlight w:val="none"/>
        </w:rPr>
      </w:pPr>
      <w:r>
        <w:rPr>
          <w:rFonts w:hint="eastAsia" w:ascii="宋体" w:hAnsi="宋体" w:eastAsia="宋体" w:cs="宋体"/>
          <w:b w:val="0"/>
          <w:bCs w:val="0"/>
          <w:color w:val="auto"/>
          <w:kern w:val="0"/>
          <w:sz w:val="24"/>
          <w:szCs w:val="24"/>
          <w:highlight w:val="none"/>
          <w:u w:val="none"/>
          <w:shd w:val="clear" w:color="auto" w:fill="FFFFFF"/>
        </w:rPr>
        <w:t>相对标准</w:t>
      </w:r>
      <w:r>
        <w:rPr>
          <w:rFonts w:hint="eastAsia" w:hAnsi="宋体" w:eastAsia="宋体" w:cs="宋体"/>
          <w:b w:val="0"/>
          <w:bCs w:val="0"/>
          <w:color w:val="auto"/>
          <w:kern w:val="0"/>
          <w:sz w:val="24"/>
          <w:szCs w:val="24"/>
          <w:highlight w:val="none"/>
          <w:u w:val="none"/>
          <w:shd w:val="clear" w:color="auto" w:fill="FFFFFF"/>
          <w:lang w:eastAsia="zh-CN"/>
        </w:rPr>
        <w:t>：</w:t>
      </w:r>
      <w:r>
        <w:rPr>
          <w:rFonts w:hint="eastAsia" w:ascii="宋体" w:hAnsi="宋体" w:eastAsia="宋体" w:cs="宋体"/>
          <w:b w:val="0"/>
          <w:bCs w:val="0"/>
          <w:color w:val="auto"/>
          <w:kern w:val="0"/>
          <w:sz w:val="24"/>
          <w:szCs w:val="24"/>
          <w:highlight w:val="none"/>
          <w:u w:val="none"/>
          <w:shd w:val="clear" w:color="auto" w:fill="FFFFFF"/>
        </w:rPr>
        <w:t>企业信誉评价好的定标候选人优于企业信誉评价一般的定标候选人。</w:t>
      </w:r>
    </w:p>
    <w:p w14:paraId="54E649ED">
      <w:pPr>
        <w:keepNext w:val="0"/>
        <w:keepLines w:val="0"/>
        <w:pageBreakBefore w:val="0"/>
        <w:widowControl w:val="0"/>
        <w:numPr>
          <w:ilvl w:val="0"/>
          <w:numId w:val="0"/>
        </w:numPr>
        <w:kinsoku/>
        <w:wordWrap/>
        <w:overflowPunct/>
        <w:topLinePunct w:val="0"/>
        <w:autoSpaceDE/>
        <w:autoSpaceDN/>
        <w:bidi w:val="0"/>
        <w:adjustRightInd/>
        <w:snapToGrid/>
        <w:spacing w:line="440" w:lineRule="exact"/>
        <w:ind w:leftChars="200" w:right="0" w:rightChars="0"/>
        <w:jc w:val="both"/>
        <w:textAlignment w:val="auto"/>
        <w:outlineLvl w:val="9"/>
        <w:rPr>
          <w:rFonts w:hint="eastAsia"/>
          <w:color w:val="auto"/>
          <w:highlight w:val="none"/>
        </w:rPr>
      </w:pPr>
      <w:r>
        <w:rPr>
          <w:rFonts w:hint="eastAsia" w:hAnsi="宋体" w:eastAsia="宋体" w:cs="宋体"/>
          <w:b/>
          <w:bCs/>
          <w:color w:val="auto"/>
          <w:kern w:val="0"/>
          <w:sz w:val="24"/>
          <w:szCs w:val="24"/>
          <w:highlight w:val="none"/>
          <w:u w:val="none"/>
          <w:shd w:val="clear" w:color="auto" w:fill="FFFFFF"/>
          <w:lang w:eastAsia="zh-CN"/>
        </w:rPr>
        <w:t>（</w:t>
      </w:r>
      <w:r>
        <w:rPr>
          <w:rFonts w:hint="eastAsia" w:hAnsi="宋体" w:eastAsia="宋体" w:cs="宋体"/>
          <w:b/>
          <w:bCs/>
          <w:color w:val="auto"/>
          <w:kern w:val="0"/>
          <w:sz w:val="24"/>
          <w:szCs w:val="24"/>
          <w:highlight w:val="none"/>
          <w:u w:val="none"/>
          <w:shd w:val="clear" w:color="auto" w:fill="FFFFFF"/>
          <w:lang w:val="en-US" w:eastAsia="zh-CN"/>
        </w:rPr>
        <w:t>3</w:t>
      </w:r>
      <w:r>
        <w:rPr>
          <w:rFonts w:hint="eastAsia" w:hAnsi="宋体" w:eastAsia="宋体" w:cs="宋体"/>
          <w:b/>
          <w:bCs/>
          <w:color w:val="auto"/>
          <w:kern w:val="0"/>
          <w:sz w:val="24"/>
          <w:szCs w:val="24"/>
          <w:highlight w:val="none"/>
          <w:u w:val="none"/>
          <w:shd w:val="clear" w:color="auto" w:fill="FFFFFF"/>
          <w:lang w:eastAsia="zh-CN"/>
        </w:rPr>
        <w:t>）</w:t>
      </w:r>
      <w:r>
        <w:rPr>
          <w:rFonts w:hint="eastAsia" w:ascii="宋体" w:hAnsi="宋体" w:eastAsia="宋体" w:cs="宋体"/>
          <w:b/>
          <w:bCs/>
          <w:color w:val="auto"/>
          <w:kern w:val="0"/>
          <w:sz w:val="24"/>
          <w:szCs w:val="24"/>
          <w:highlight w:val="none"/>
          <w:u w:val="none"/>
          <w:shd w:val="clear" w:color="auto" w:fill="FFFFFF"/>
        </w:rPr>
        <w:t>企业实力</w:t>
      </w:r>
    </w:p>
    <w:p w14:paraId="507C7978">
      <w:pPr>
        <w:keepNext w:val="0"/>
        <w:keepLines w:val="0"/>
        <w:pageBreakBefore w:val="0"/>
        <w:widowControl w:val="0"/>
        <w:kinsoku/>
        <w:wordWrap/>
        <w:overflowPunct/>
        <w:topLinePunct w:val="0"/>
        <w:autoSpaceDE/>
        <w:autoSpaceDN/>
        <w:bidi w:val="0"/>
        <w:adjustRightInd/>
        <w:snapToGrid/>
        <w:spacing w:line="440" w:lineRule="exact"/>
        <w:ind w:left="0" w:leftChars="0" w:right="0" w:rightChars="0" w:firstLine="480" w:firstLineChars="200"/>
        <w:jc w:val="both"/>
        <w:textAlignment w:val="auto"/>
        <w:outlineLvl w:val="9"/>
        <w:rPr>
          <w:rFonts w:hint="eastAsia" w:ascii="宋体" w:hAnsi="宋体" w:eastAsia="宋体" w:cs="宋体"/>
          <w:b w:val="0"/>
          <w:bCs w:val="0"/>
          <w:color w:val="auto"/>
          <w:kern w:val="0"/>
          <w:sz w:val="24"/>
          <w:szCs w:val="24"/>
          <w:highlight w:val="none"/>
          <w:u w:val="none"/>
          <w:shd w:val="clear" w:color="auto" w:fill="FFFFFF"/>
        </w:rPr>
      </w:pPr>
      <w:r>
        <w:rPr>
          <w:rFonts w:hint="eastAsia" w:ascii="宋体" w:hAnsi="宋体" w:eastAsia="宋体" w:cs="宋体"/>
          <w:b w:val="0"/>
          <w:bCs w:val="0"/>
          <w:color w:val="auto"/>
          <w:kern w:val="0"/>
          <w:sz w:val="24"/>
          <w:szCs w:val="24"/>
          <w:highlight w:val="none"/>
          <w:u w:val="none"/>
          <w:shd w:val="clear" w:color="auto" w:fill="FFFFFF"/>
        </w:rPr>
        <w:t>相对标准：企业实力好的定标候选人优于企业实力一般的定标候选人。以企业资质等级、承接过类似业绩、财务状况等情况综合比较。</w:t>
      </w:r>
    </w:p>
    <w:p w14:paraId="6FD11034">
      <w:pPr>
        <w:keepNext w:val="0"/>
        <w:keepLines w:val="0"/>
        <w:pageBreakBefore w:val="0"/>
        <w:widowControl w:val="0"/>
        <w:kinsoku/>
        <w:wordWrap/>
        <w:overflowPunct/>
        <w:topLinePunct w:val="0"/>
        <w:autoSpaceDE/>
        <w:autoSpaceDN/>
        <w:bidi w:val="0"/>
        <w:adjustRightInd/>
        <w:snapToGrid/>
        <w:spacing w:line="440" w:lineRule="exact"/>
        <w:ind w:left="0" w:leftChars="0" w:right="0" w:rightChars="0" w:firstLine="480" w:firstLineChars="200"/>
        <w:jc w:val="both"/>
        <w:textAlignment w:val="auto"/>
        <w:outlineLvl w:val="9"/>
        <w:rPr>
          <w:rFonts w:hint="eastAsia" w:ascii="宋体" w:hAnsi="宋体" w:eastAsia="宋体" w:cs="宋体"/>
          <w:b w:val="0"/>
          <w:bCs w:val="0"/>
          <w:color w:val="auto"/>
          <w:kern w:val="0"/>
          <w:sz w:val="24"/>
          <w:szCs w:val="24"/>
          <w:highlight w:val="none"/>
          <w:u w:val="none"/>
          <w:shd w:val="clear" w:color="auto" w:fill="FFFFFF"/>
        </w:rPr>
      </w:pPr>
      <w:r>
        <w:rPr>
          <w:rFonts w:hint="eastAsia" w:ascii="宋体" w:hAnsi="宋体" w:eastAsia="宋体" w:cs="宋体"/>
          <w:b w:val="0"/>
          <w:bCs w:val="0"/>
          <w:color w:val="auto"/>
          <w:kern w:val="0"/>
          <w:sz w:val="24"/>
          <w:szCs w:val="24"/>
          <w:highlight w:val="none"/>
          <w:u w:val="none"/>
          <w:shd w:val="clear" w:color="auto" w:fill="FFFFFF"/>
        </w:rPr>
        <w:t>目实际需求、合理可行性强的定标候选人优于响应能力一般的定标候选人。</w:t>
      </w:r>
    </w:p>
    <w:p w14:paraId="344F6F8D">
      <w:pPr>
        <w:keepNext w:val="0"/>
        <w:keepLines w:val="0"/>
        <w:pageBreakBefore w:val="0"/>
        <w:widowControl w:val="0"/>
        <w:kinsoku/>
        <w:wordWrap/>
        <w:overflowPunct/>
        <w:topLinePunct w:val="0"/>
        <w:autoSpaceDE/>
        <w:autoSpaceDN/>
        <w:bidi w:val="0"/>
        <w:adjustRightInd/>
        <w:snapToGrid/>
        <w:spacing w:line="440" w:lineRule="exact"/>
        <w:ind w:left="0" w:leftChars="0" w:right="0" w:rightChars="0" w:firstLine="482" w:firstLineChars="200"/>
        <w:jc w:val="both"/>
        <w:textAlignment w:val="auto"/>
        <w:outlineLvl w:val="9"/>
        <w:rPr>
          <w:rFonts w:hint="eastAsia" w:ascii="宋体" w:hAnsi="宋体" w:eastAsia="宋体" w:cs="宋体"/>
          <w:b/>
          <w:bCs/>
          <w:color w:val="auto"/>
          <w:kern w:val="0"/>
          <w:sz w:val="24"/>
          <w:szCs w:val="24"/>
          <w:highlight w:val="none"/>
          <w:u w:val="none"/>
          <w:shd w:val="clear" w:color="auto" w:fill="FFFFFF"/>
        </w:rPr>
      </w:pPr>
      <w:r>
        <w:rPr>
          <w:rFonts w:hint="eastAsia" w:hAnsi="宋体" w:eastAsia="宋体" w:cs="宋体"/>
          <w:b/>
          <w:bCs/>
          <w:color w:val="auto"/>
          <w:kern w:val="0"/>
          <w:sz w:val="24"/>
          <w:szCs w:val="24"/>
          <w:highlight w:val="none"/>
          <w:u w:val="none"/>
          <w:shd w:val="clear" w:color="auto" w:fill="FFFFFF"/>
          <w:lang w:eastAsia="zh-CN"/>
        </w:rPr>
        <w:t>（4）</w:t>
      </w:r>
      <w:r>
        <w:rPr>
          <w:rFonts w:hint="eastAsia" w:ascii="宋体" w:hAnsi="宋体" w:eastAsia="宋体" w:cs="宋体"/>
          <w:b/>
          <w:bCs/>
          <w:color w:val="auto"/>
          <w:kern w:val="0"/>
          <w:sz w:val="24"/>
          <w:szCs w:val="24"/>
          <w:highlight w:val="none"/>
          <w:u w:val="none"/>
          <w:shd w:val="clear" w:color="auto" w:fill="FFFFFF"/>
        </w:rPr>
        <w:t>评标报告</w:t>
      </w:r>
    </w:p>
    <w:p w14:paraId="6538B7DE">
      <w:pPr>
        <w:keepNext w:val="0"/>
        <w:keepLines w:val="0"/>
        <w:pageBreakBefore w:val="0"/>
        <w:widowControl w:val="0"/>
        <w:kinsoku/>
        <w:wordWrap/>
        <w:overflowPunct/>
        <w:topLinePunct w:val="0"/>
        <w:autoSpaceDE/>
        <w:autoSpaceDN/>
        <w:bidi w:val="0"/>
        <w:adjustRightInd/>
        <w:snapToGrid/>
        <w:spacing w:line="440" w:lineRule="exact"/>
        <w:ind w:left="0" w:leftChars="0" w:right="0" w:rightChars="0" w:firstLine="480" w:firstLineChars="200"/>
        <w:jc w:val="both"/>
        <w:textAlignment w:val="auto"/>
        <w:outlineLvl w:val="9"/>
        <w:rPr>
          <w:rFonts w:hint="eastAsia" w:ascii="宋体" w:hAnsi="宋体" w:eastAsia="宋体" w:cs="宋体"/>
          <w:b w:val="0"/>
          <w:bCs w:val="0"/>
          <w:color w:val="auto"/>
          <w:kern w:val="0"/>
          <w:sz w:val="24"/>
          <w:szCs w:val="24"/>
          <w:highlight w:val="none"/>
          <w:u w:val="none"/>
          <w:shd w:val="clear" w:color="auto" w:fill="FFFFFF"/>
        </w:rPr>
      </w:pPr>
      <w:r>
        <w:rPr>
          <w:rFonts w:hint="eastAsia" w:ascii="宋体" w:hAnsi="宋体" w:eastAsia="宋体" w:cs="宋体"/>
          <w:b w:val="0"/>
          <w:bCs w:val="0"/>
          <w:color w:val="auto"/>
          <w:kern w:val="0"/>
          <w:sz w:val="24"/>
          <w:szCs w:val="24"/>
          <w:highlight w:val="none"/>
          <w:u w:val="none"/>
          <w:shd w:val="clear" w:color="auto" w:fill="FFFFFF"/>
        </w:rPr>
        <w:t>相对标准</w:t>
      </w:r>
      <w:r>
        <w:rPr>
          <w:rFonts w:hint="eastAsia" w:hAnsi="宋体" w:eastAsia="宋体" w:cs="宋体"/>
          <w:b w:val="0"/>
          <w:bCs w:val="0"/>
          <w:color w:val="auto"/>
          <w:kern w:val="0"/>
          <w:sz w:val="24"/>
          <w:szCs w:val="24"/>
          <w:highlight w:val="none"/>
          <w:u w:val="none"/>
          <w:shd w:val="clear" w:color="auto" w:fill="FFFFFF"/>
          <w:lang w:eastAsia="zh-CN"/>
        </w:rPr>
        <w:t>：</w:t>
      </w:r>
      <w:r>
        <w:rPr>
          <w:rFonts w:hint="eastAsia" w:ascii="宋体" w:hAnsi="宋体" w:eastAsia="宋体" w:cs="宋体"/>
          <w:b w:val="0"/>
          <w:bCs w:val="0"/>
          <w:color w:val="auto"/>
          <w:kern w:val="0"/>
          <w:sz w:val="24"/>
          <w:szCs w:val="24"/>
          <w:highlight w:val="none"/>
          <w:u w:val="none"/>
          <w:shd w:val="clear" w:color="auto" w:fill="FFFFFF"/>
        </w:rPr>
        <w:t>评标委员会评审意见为具有优势风险低的定标候选人优于评标委员会评审意见为没有优势风险高的定标候选人</w:t>
      </w:r>
      <w:r>
        <w:rPr>
          <w:rFonts w:hint="eastAsia" w:hAnsi="宋体" w:eastAsia="宋体" w:cs="宋体"/>
          <w:b w:val="0"/>
          <w:bCs w:val="0"/>
          <w:color w:val="auto"/>
          <w:kern w:val="0"/>
          <w:sz w:val="24"/>
          <w:szCs w:val="24"/>
          <w:highlight w:val="none"/>
          <w:u w:val="none"/>
          <w:shd w:val="clear" w:color="auto" w:fill="FFFFFF"/>
          <w:lang w:eastAsia="zh-CN"/>
        </w:rPr>
        <w:t>（</w:t>
      </w:r>
      <w:r>
        <w:rPr>
          <w:rFonts w:hint="eastAsia" w:ascii="宋体" w:hAnsi="宋体" w:eastAsia="宋体" w:cs="宋体"/>
          <w:b w:val="0"/>
          <w:bCs w:val="0"/>
          <w:color w:val="auto"/>
          <w:kern w:val="0"/>
          <w:sz w:val="24"/>
          <w:szCs w:val="24"/>
          <w:highlight w:val="none"/>
          <w:u w:val="none"/>
          <w:shd w:val="clear" w:color="auto" w:fill="FFFFFF"/>
        </w:rPr>
        <w:t>综合考虑评标委员会的评审意见，对各定标候选人的优势、风险等评审情况进行评审比较</w:t>
      </w:r>
      <w:r>
        <w:rPr>
          <w:rFonts w:hint="eastAsia" w:hAnsi="宋体" w:eastAsia="宋体" w:cs="宋体"/>
          <w:b w:val="0"/>
          <w:bCs w:val="0"/>
          <w:color w:val="auto"/>
          <w:kern w:val="0"/>
          <w:sz w:val="24"/>
          <w:szCs w:val="24"/>
          <w:highlight w:val="none"/>
          <w:u w:val="none"/>
          <w:shd w:val="clear" w:color="auto" w:fill="FFFFFF"/>
          <w:lang w:eastAsia="zh-CN"/>
        </w:rPr>
        <w:t>）</w:t>
      </w:r>
      <w:r>
        <w:rPr>
          <w:rFonts w:hint="eastAsia" w:ascii="宋体" w:hAnsi="宋体" w:eastAsia="宋体" w:cs="宋体"/>
          <w:b w:val="0"/>
          <w:bCs w:val="0"/>
          <w:color w:val="auto"/>
          <w:kern w:val="0"/>
          <w:sz w:val="24"/>
          <w:szCs w:val="24"/>
          <w:highlight w:val="none"/>
          <w:u w:val="none"/>
          <w:shd w:val="clear" w:color="auto" w:fill="FFFFFF"/>
        </w:rPr>
        <w:t>。</w:t>
      </w:r>
    </w:p>
    <w:p w14:paraId="1FE68EB0">
      <w:pPr>
        <w:keepNext w:val="0"/>
        <w:keepLines w:val="0"/>
        <w:pageBreakBefore w:val="0"/>
        <w:widowControl w:val="0"/>
        <w:kinsoku/>
        <w:wordWrap/>
        <w:overflowPunct/>
        <w:topLinePunct w:val="0"/>
        <w:autoSpaceDE/>
        <w:autoSpaceDN/>
        <w:bidi w:val="0"/>
        <w:adjustRightInd/>
        <w:snapToGrid/>
        <w:spacing w:line="440" w:lineRule="exact"/>
        <w:ind w:left="0" w:leftChars="0" w:right="0" w:rightChars="0" w:firstLine="482" w:firstLineChars="200"/>
        <w:jc w:val="both"/>
        <w:textAlignment w:val="auto"/>
        <w:outlineLvl w:val="9"/>
        <w:rPr>
          <w:rFonts w:hint="eastAsia" w:ascii="宋体" w:hAnsi="宋体" w:eastAsia="宋体" w:cs="宋体"/>
          <w:b/>
          <w:bCs/>
          <w:color w:val="auto"/>
          <w:kern w:val="0"/>
          <w:sz w:val="24"/>
          <w:szCs w:val="24"/>
          <w:highlight w:val="none"/>
          <w:u w:val="none"/>
          <w:shd w:val="clear" w:color="auto" w:fill="FFFFFF"/>
        </w:rPr>
      </w:pPr>
      <w:r>
        <w:rPr>
          <w:rFonts w:hint="eastAsia" w:hAnsi="宋体" w:eastAsia="宋体" w:cs="宋体"/>
          <w:b/>
          <w:bCs/>
          <w:color w:val="auto"/>
          <w:kern w:val="0"/>
          <w:sz w:val="24"/>
          <w:szCs w:val="24"/>
          <w:highlight w:val="none"/>
          <w:u w:val="none"/>
          <w:shd w:val="clear" w:color="auto" w:fill="FFFFFF"/>
          <w:lang w:eastAsia="zh-CN"/>
        </w:rPr>
        <w:t>（5）</w:t>
      </w:r>
      <w:r>
        <w:rPr>
          <w:rFonts w:hint="eastAsia" w:ascii="宋体" w:hAnsi="宋体" w:eastAsia="宋体" w:cs="宋体"/>
          <w:b/>
          <w:bCs/>
          <w:color w:val="auto"/>
          <w:kern w:val="0"/>
          <w:sz w:val="24"/>
          <w:szCs w:val="24"/>
          <w:highlight w:val="none"/>
          <w:u w:val="none"/>
          <w:shd w:val="clear" w:color="auto" w:fill="FFFFFF"/>
        </w:rPr>
        <w:t>农民工工资保障情况</w:t>
      </w:r>
    </w:p>
    <w:p w14:paraId="0701DFC1">
      <w:pPr>
        <w:keepNext w:val="0"/>
        <w:keepLines w:val="0"/>
        <w:pageBreakBefore w:val="0"/>
        <w:widowControl w:val="0"/>
        <w:kinsoku/>
        <w:wordWrap/>
        <w:overflowPunct/>
        <w:topLinePunct w:val="0"/>
        <w:autoSpaceDE/>
        <w:autoSpaceDN/>
        <w:bidi w:val="0"/>
        <w:adjustRightInd/>
        <w:snapToGrid/>
        <w:spacing w:line="440" w:lineRule="exact"/>
        <w:ind w:left="0" w:leftChars="0" w:right="0" w:rightChars="0" w:firstLine="480" w:firstLineChars="200"/>
        <w:jc w:val="both"/>
        <w:textAlignment w:val="auto"/>
        <w:outlineLvl w:val="9"/>
        <w:rPr>
          <w:rFonts w:hint="eastAsia" w:ascii="宋体" w:hAnsi="宋体" w:eastAsia="宋体" w:cs="宋体"/>
          <w:b w:val="0"/>
          <w:bCs w:val="0"/>
          <w:color w:val="auto"/>
          <w:kern w:val="0"/>
          <w:sz w:val="24"/>
          <w:szCs w:val="24"/>
          <w:highlight w:val="none"/>
          <w:u w:val="none"/>
          <w:shd w:val="clear" w:color="auto" w:fill="FFFFFF"/>
          <w:lang w:val="en-US" w:eastAsia="zh-CN" w:bidi="ar-SA"/>
        </w:rPr>
      </w:pPr>
      <w:r>
        <w:rPr>
          <w:rFonts w:hint="eastAsia" w:ascii="宋体" w:hAnsi="宋体" w:eastAsia="宋体" w:cs="宋体"/>
          <w:b w:val="0"/>
          <w:bCs w:val="0"/>
          <w:color w:val="auto"/>
          <w:kern w:val="0"/>
          <w:sz w:val="24"/>
          <w:szCs w:val="24"/>
          <w:highlight w:val="none"/>
          <w:u w:val="none"/>
          <w:shd w:val="clear" w:color="auto" w:fill="FFFFFF"/>
        </w:rPr>
        <w:t>相对标准</w:t>
      </w:r>
      <w:r>
        <w:rPr>
          <w:rFonts w:hint="eastAsia" w:hAnsi="宋体" w:eastAsia="宋体" w:cs="宋体"/>
          <w:b w:val="0"/>
          <w:bCs w:val="0"/>
          <w:color w:val="auto"/>
          <w:kern w:val="0"/>
          <w:sz w:val="24"/>
          <w:szCs w:val="24"/>
          <w:highlight w:val="none"/>
          <w:u w:val="none"/>
          <w:shd w:val="clear" w:color="auto" w:fill="FFFFFF"/>
          <w:lang w:eastAsia="zh-CN"/>
        </w:rPr>
        <w:t>：</w:t>
      </w:r>
      <w:r>
        <w:rPr>
          <w:rFonts w:hint="eastAsia" w:ascii="宋体" w:hAnsi="宋体" w:eastAsia="宋体" w:cs="宋体"/>
          <w:b w:val="0"/>
          <w:bCs w:val="0"/>
          <w:color w:val="auto"/>
          <w:kern w:val="0"/>
          <w:sz w:val="24"/>
          <w:szCs w:val="24"/>
          <w:highlight w:val="none"/>
          <w:u w:val="none"/>
          <w:shd w:val="clear" w:color="auto" w:fill="FFFFFF"/>
        </w:rPr>
        <w:t>农民工工资保障情况好的定标候选人优于农民工工资保障情况差的定标候选人</w:t>
      </w:r>
      <w:r>
        <w:rPr>
          <w:rFonts w:hint="eastAsia" w:hAnsi="宋体" w:eastAsia="宋体" w:cs="宋体"/>
          <w:b w:val="0"/>
          <w:bCs w:val="0"/>
          <w:color w:val="auto"/>
          <w:kern w:val="0"/>
          <w:sz w:val="24"/>
          <w:szCs w:val="24"/>
          <w:highlight w:val="none"/>
          <w:u w:val="none"/>
          <w:shd w:val="clear" w:color="auto" w:fill="FFFFFF"/>
          <w:lang w:eastAsia="zh-CN"/>
        </w:rPr>
        <w:t>（</w:t>
      </w:r>
      <w:r>
        <w:rPr>
          <w:rFonts w:hint="eastAsia" w:ascii="宋体" w:hAnsi="宋体" w:eastAsia="宋体" w:cs="宋体"/>
          <w:b w:val="0"/>
          <w:bCs w:val="0"/>
          <w:color w:val="auto"/>
          <w:kern w:val="0"/>
          <w:sz w:val="24"/>
          <w:szCs w:val="24"/>
          <w:highlight w:val="none"/>
          <w:u w:val="none"/>
          <w:shd w:val="clear" w:color="auto" w:fill="FFFFFF"/>
        </w:rPr>
        <w:t>结合定标候选人提交的证明材料和招标人查询的材料进行评审</w:t>
      </w:r>
      <w:r>
        <w:rPr>
          <w:rFonts w:hint="eastAsia" w:hAnsi="宋体" w:eastAsia="宋体" w:cs="宋体"/>
          <w:b w:val="0"/>
          <w:bCs w:val="0"/>
          <w:color w:val="auto"/>
          <w:kern w:val="0"/>
          <w:sz w:val="24"/>
          <w:szCs w:val="24"/>
          <w:highlight w:val="none"/>
          <w:u w:val="none"/>
          <w:shd w:val="clear" w:color="auto" w:fill="FFFFFF"/>
          <w:lang w:eastAsia="zh-CN"/>
        </w:rPr>
        <w:t>）</w:t>
      </w:r>
      <w:r>
        <w:rPr>
          <w:rFonts w:hint="eastAsia" w:ascii="宋体" w:hAnsi="宋体" w:eastAsia="宋体" w:cs="宋体"/>
          <w:b w:val="0"/>
          <w:bCs w:val="0"/>
          <w:color w:val="auto"/>
          <w:kern w:val="0"/>
          <w:sz w:val="24"/>
          <w:szCs w:val="24"/>
          <w:highlight w:val="none"/>
          <w:u w:val="none"/>
          <w:shd w:val="clear" w:color="auto" w:fill="FFFFFF"/>
        </w:rPr>
        <w:t>。</w:t>
      </w:r>
    </w:p>
    <w:p w14:paraId="4BDB41EB">
      <w:pPr>
        <w:keepNext w:val="0"/>
        <w:keepLines w:val="0"/>
        <w:pageBreakBefore w:val="0"/>
        <w:widowControl w:val="0"/>
        <w:kinsoku/>
        <w:wordWrap/>
        <w:overflowPunct/>
        <w:topLinePunct w:val="0"/>
        <w:autoSpaceDE/>
        <w:autoSpaceDN/>
        <w:bidi w:val="0"/>
        <w:adjustRightInd/>
        <w:snapToGrid/>
        <w:spacing w:line="440" w:lineRule="exact"/>
        <w:ind w:left="0" w:leftChars="0" w:right="0" w:rightChars="0" w:firstLine="482" w:firstLineChars="200"/>
        <w:jc w:val="both"/>
        <w:textAlignment w:val="auto"/>
        <w:outlineLvl w:val="9"/>
        <w:rPr>
          <w:rFonts w:hint="eastAsia" w:ascii="宋体" w:hAnsi="宋体" w:eastAsia="宋体" w:cs="宋体"/>
          <w:b/>
          <w:bCs/>
          <w:color w:val="auto"/>
          <w:kern w:val="0"/>
          <w:sz w:val="24"/>
          <w:szCs w:val="24"/>
          <w:highlight w:val="none"/>
          <w:u w:val="none"/>
          <w:shd w:val="clear" w:color="auto" w:fill="FFFFFF"/>
          <w:lang w:val="en-US" w:eastAsia="zh-CN" w:bidi="ar-SA"/>
        </w:rPr>
      </w:pPr>
      <w:r>
        <w:rPr>
          <w:rFonts w:hint="eastAsia" w:hAnsi="宋体" w:eastAsia="宋体" w:cs="宋体"/>
          <w:b/>
          <w:bCs/>
          <w:color w:val="auto"/>
          <w:kern w:val="0"/>
          <w:sz w:val="24"/>
          <w:szCs w:val="24"/>
          <w:highlight w:val="none"/>
          <w:u w:val="none"/>
          <w:shd w:val="clear" w:color="auto" w:fill="FFFFFF"/>
          <w:lang w:val="en-US" w:eastAsia="zh-CN" w:bidi="ar-SA"/>
        </w:rPr>
        <w:t>4.</w:t>
      </w:r>
      <w:r>
        <w:rPr>
          <w:rFonts w:hint="eastAsia" w:ascii="宋体" w:hAnsi="宋体" w:eastAsia="宋体" w:cs="宋体"/>
          <w:b/>
          <w:bCs/>
          <w:color w:val="auto"/>
          <w:kern w:val="0"/>
          <w:sz w:val="24"/>
          <w:szCs w:val="24"/>
          <w:highlight w:val="none"/>
          <w:u w:val="none"/>
          <w:shd w:val="clear" w:color="auto" w:fill="FFFFFF"/>
          <w:lang w:val="en-US" w:eastAsia="zh-CN" w:bidi="ar-SA"/>
        </w:rPr>
        <w:t>定标结果公示</w:t>
      </w:r>
    </w:p>
    <w:p w14:paraId="3E18EFFF">
      <w:pPr>
        <w:keepNext w:val="0"/>
        <w:keepLines w:val="0"/>
        <w:pageBreakBefore w:val="0"/>
        <w:widowControl w:val="0"/>
        <w:kinsoku/>
        <w:wordWrap/>
        <w:overflowPunct/>
        <w:topLinePunct w:val="0"/>
        <w:autoSpaceDE/>
        <w:autoSpaceDN/>
        <w:bidi w:val="0"/>
        <w:adjustRightInd/>
        <w:snapToGrid/>
        <w:spacing w:line="440" w:lineRule="exact"/>
        <w:ind w:left="0" w:leftChars="0" w:right="0" w:rightChars="0" w:firstLine="480" w:firstLineChars="200"/>
        <w:jc w:val="both"/>
        <w:textAlignment w:val="auto"/>
        <w:outlineLvl w:val="9"/>
        <w:rPr>
          <w:rStyle w:val="53"/>
          <w:rFonts w:hint="eastAsia" w:ascii="宋体" w:hAnsi="宋体" w:eastAsia="宋体" w:cs="宋体"/>
          <w:color w:val="auto"/>
          <w:kern w:val="0"/>
          <w:sz w:val="24"/>
          <w:szCs w:val="24"/>
          <w:highlight w:val="none"/>
          <w:lang w:val="en-US" w:eastAsia="zh-CN"/>
        </w:rPr>
      </w:pPr>
      <w:r>
        <w:rPr>
          <w:rFonts w:hint="eastAsia" w:ascii="宋体" w:hAnsi="宋体" w:eastAsia="宋体" w:cs="宋体"/>
          <w:b w:val="0"/>
          <w:bCs w:val="0"/>
          <w:color w:val="auto"/>
          <w:kern w:val="0"/>
          <w:sz w:val="24"/>
          <w:szCs w:val="24"/>
          <w:highlight w:val="none"/>
          <w:u w:val="none"/>
          <w:shd w:val="clear" w:color="auto" w:fill="FFFFFF"/>
          <w:lang w:val="en-US" w:eastAsia="zh-CN" w:bidi="ar-SA"/>
        </w:rPr>
        <w:t>定标委员会完成定标</w:t>
      </w:r>
      <w:r>
        <w:rPr>
          <w:rStyle w:val="53"/>
          <w:rFonts w:hint="eastAsia" w:ascii="宋体" w:hAnsi="宋体" w:eastAsia="宋体" w:cs="宋体"/>
          <w:b w:val="0"/>
          <w:bCs w:val="0"/>
          <w:color w:val="auto"/>
          <w:kern w:val="0"/>
          <w:sz w:val="24"/>
          <w:szCs w:val="24"/>
          <w:highlight w:val="none"/>
          <w:lang w:val="en-US" w:eastAsia="zh-CN"/>
        </w:rPr>
        <w:t>后</w:t>
      </w:r>
      <w:r>
        <w:rPr>
          <w:rStyle w:val="53"/>
          <w:rFonts w:hint="eastAsia" w:ascii="宋体" w:hAnsi="宋体" w:eastAsia="宋体" w:cs="宋体"/>
          <w:color w:val="auto"/>
          <w:kern w:val="0"/>
          <w:sz w:val="24"/>
          <w:szCs w:val="24"/>
          <w:highlight w:val="none"/>
          <w:lang w:val="en-US" w:eastAsia="zh-CN"/>
        </w:rPr>
        <w:t>，招标人应</w:t>
      </w:r>
      <w:r>
        <w:rPr>
          <w:rStyle w:val="53"/>
          <w:rFonts w:hint="eastAsia" w:hAnsi="宋体" w:eastAsia="宋体" w:cs="宋体"/>
          <w:color w:val="auto"/>
          <w:kern w:val="0"/>
          <w:sz w:val="24"/>
          <w:szCs w:val="24"/>
          <w:highlight w:val="none"/>
          <w:lang w:val="en-US" w:eastAsia="zh-CN"/>
        </w:rPr>
        <w:t>当自收到定标报告之日起</w:t>
      </w:r>
      <w:r>
        <w:rPr>
          <w:rStyle w:val="53"/>
          <w:rFonts w:hint="eastAsia" w:ascii="宋体" w:hAnsi="宋体" w:eastAsia="宋体" w:cs="宋体"/>
          <w:color w:val="auto"/>
          <w:kern w:val="0"/>
          <w:sz w:val="24"/>
          <w:szCs w:val="24"/>
          <w:highlight w:val="none"/>
          <w:lang w:val="en-US" w:eastAsia="zh-CN"/>
        </w:rPr>
        <w:t>3日内</w:t>
      </w:r>
      <w:r>
        <w:rPr>
          <w:rStyle w:val="53"/>
          <w:rFonts w:hint="eastAsia" w:hAnsi="宋体" w:eastAsia="宋体" w:cs="宋体"/>
          <w:color w:val="auto"/>
          <w:kern w:val="0"/>
          <w:sz w:val="24"/>
          <w:szCs w:val="24"/>
          <w:highlight w:val="none"/>
          <w:lang w:val="en-US" w:eastAsia="zh-CN"/>
        </w:rPr>
        <w:t>，</w:t>
      </w:r>
      <w:r>
        <w:rPr>
          <w:rStyle w:val="53"/>
          <w:rFonts w:hint="eastAsia" w:ascii="宋体" w:hAnsi="宋体" w:eastAsia="宋体" w:cs="宋体"/>
          <w:color w:val="auto"/>
          <w:kern w:val="0"/>
          <w:sz w:val="24"/>
          <w:szCs w:val="24"/>
          <w:highlight w:val="none"/>
          <w:lang w:val="en-US" w:eastAsia="zh-CN"/>
        </w:rPr>
        <w:t>将中标候选人和定标情况在广东省招标投标监管网和韶关市公共资源交易中心工程交易系统上公示，公示</w:t>
      </w:r>
      <w:r>
        <w:rPr>
          <w:rStyle w:val="53"/>
          <w:rFonts w:hint="eastAsia" w:hAnsi="宋体" w:eastAsia="宋体" w:cs="宋体"/>
          <w:color w:val="auto"/>
          <w:kern w:val="0"/>
          <w:sz w:val="24"/>
          <w:szCs w:val="24"/>
          <w:highlight w:val="none"/>
          <w:lang w:val="en-US" w:eastAsia="zh-CN"/>
        </w:rPr>
        <w:t>期</w:t>
      </w:r>
      <w:r>
        <w:rPr>
          <w:rStyle w:val="53"/>
          <w:rFonts w:hint="eastAsia" w:ascii="宋体" w:hAnsi="宋体" w:eastAsia="宋体" w:cs="宋体"/>
          <w:color w:val="auto"/>
          <w:kern w:val="0"/>
          <w:sz w:val="24"/>
          <w:szCs w:val="24"/>
          <w:highlight w:val="none"/>
          <w:lang w:val="en-US" w:eastAsia="zh-CN"/>
        </w:rPr>
        <w:t>不少于3日。公示主要内容包括：定标报告（定标成员信息除外）、中标</w:t>
      </w:r>
      <w:r>
        <w:rPr>
          <w:rStyle w:val="53"/>
          <w:rFonts w:hint="eastAsia" w:hAnsi="宋体" w:eastAsia="宋体" w:cs="宋体"/>
          <w:color w:val="auto"/>
          <w:kern w:val="0"/>
          <w:sz w:val="24"/>
          <w:szCs w:val="24"/>
          <w:highlight w:val="none"/>
          <w:lang w:val="en-US" w:eastAsia="zh-CN"/>
        </w:rPr>
        <w:t>候选人</w:t>
      </w:r>
      <w:r>
        <w:rPr>
          <w:rStyle w:val="53"/>
          <w:rFonts w:hint="eastAsia" w:ascii="宋体" w:hAnsi="宋体" w:eastAsia="宋体" w:cs="宋体"/>
          <w:color w:val="auto"/>
          <w:kern w:val="0"/>
          <w:sz w:val="24"/>
          <w:szCs w:val="24"/>
          <w:highlight w:val="none"/>
          <w:lang w:val="en-US" w:eastAsia="zh-CN"/>
        </w:rPr>
        <w:t>、中标价和拟投入本项目的项目负责人、技术负责人及各专业负责人（如有）等内容。</w:t>
      </w:r>
    </w:p>
    <w:p w14:paraId="0253BF89">
      <w:pPr>
        <w:keepNext w:val="0"/>
        <w:keepLines w:val="0"/>
        <w:pageBreakBefore w:val="0"/>
        <w:widowControl w:val="0"/>
        <w:kinsoku/>
        <w:wordWrap/>
        <w:overflowPunct/>
        <w:topLinePunct w:val="0"/>
        <w:autoSpaceDE/>
        <w:autoSpaceDN/>
        <w:bidi w:val="0"/>
        <w:adjustRightInd/>
        <w:snapToGrid/>
        <w:spacing w:line="460" w:lineRule="exact"/>
        <w:ind w:left="0" w:leftChars="0" w:right="0" w:rightChars="0" w:firstLine="420" w:firstLineChars="200"/>
        <w:jc w:val="both"/>
        <w:textAlignment w:val="auto"/>
        <w:outlineLvl w:val="9"/>
        <w:rPr>
          <w:rStyle w:val="53"/>
          <w:rFonts w:hint="eastAsia" w:ascii="宋体" w:hAnsi="宋体" w:eastAsia="宋体" w:cs="宋体"/>
          <w:color w:val="auto"/>
          <w:kern w:val="0"/>
          <w:sz w:val="21"/>
          <w:szCs w:val="21"/>
          <w:highlight w:val="none"/>
          <w:lang w:val="en-US" w:eastAsia="zh-CN"/>
        </w:rPr>
      </w:pPr>
    </w:p>
    <w:p w14:paraId="6B0F01E3">
      <w:pPr>
        <w:keepNext w:val="0"/>
        <w:keepLines w:val="0"/>
        <w:pageBreakBefore w:val="0"/>
        <w:widowControl w:val="0"/>
        <w:kinsoku/>
        <w:wordWrap/>
        <w:overflowPunct/>
        <w:topLinePunct w:val="0"/>
        <w:autoSpaceDE/>
        <w:autoSpaceDN/>
        <w:bidi w:val="0"/>
        <w:adjustRightInd/>
        <w:snapToGrid/>
        <w:spacing w:line="460" w:lineRule="exact"/>
        <w:ind w:left="0" w:leftChars="0" w:right="0" w:rightChars="0" w:firstLine="420" w:firstLineChars="200"/>
        <w:jc w:val="both"/>
        <w:textAlignment w:val="auto"/>
        <w:outlineLvl w:val="9"/>
        <w:rPr>
          <w:rStyle w:val="53"/>
          <w:rFonts w:hint="eastAsia" w:ascii="宋体" w:hAnsi="宋体" w:eastAsia="宋体" w:cs="宋体"/>
          <w:color w:val="auto"/>
          <w:kern w:val="0"/>
          <w:sz w:val="21"/>
          <w:szCs w:val="21"/>
          <w:highlight w:val="none"/>
          <w:lang w:val="en-US" w:eastAsia="zh-CN"/>
        </w:rPr>
      </w:pPr>
    </w:p>
    <w:p w14:paraId="01CB7E29">
      <w:pPr>
        <w:rPr>
          <w:rFonts w:hint="eastAsia"/>
          <w:color w:val="auto"/>
          <w:highlight w:val="none"/>
          <w:lang w:val="en-US" w:eastAsia="zh-CN"/>
        </w:rPr>
      </w:pPr>
    </w:p>
    <w:p w14:paraId="2D552E0B">
      <w:pPr>
        <w:rPr>
          <w:rFonts w:hint="eastAsia"/>
          <w:color w:val="auto"/>
          <w:highlight w:val="none"/>
          <w:lang w:val="en-US" w:eastAsia="zh-CN"/>
        </w:rPr>
      </w:pPr>
    </w:p>
    <w:p w14:paraId="0BA91D28">
      <w:pPr>
        <w:rPr>
          <w:rFonts w:hint="eastAsia"/>
          <w:color w:val="auto"/>
          <w:highlight w:val="none"/>
          <w:lang w:val="en-US" w:eastAsia="zh-CN"/>
        </w:rPr>
      </w:pPr>
    </w:p>
    <w:p w14:paraId="2A9EAEF6">
      <w:pPr>
        <w:rPr>
          <w:rFonts w:hint="eastAsia"/>
          <w:color w:val="auto"/>
          <w:highlight w:val="none"/>
          <w:lang w:val="en-US" w:eastAsia="zh-CN"/>
        </w:rPr>
      </w:pPr>
    </w:p>
    <w:p w14:paraId="36301480">
      <w:pPr>
        <w:rPr>
          <w:rFonts w:hint="eastAsia"/>
          <w:color w:val="auto"/>
          <w:highlight w:val="none"/>
          <w:lang w:val="en-US" w:eastAsia="zh-CN"/>
        </w:rPr>
      </w:pPr>
    </w:p>
    <w:p w14:paraId="12151A33">
      <w:pPr>
        <w:pStyle w:val="32"/>
        <w:rPr>
          <w:rFonts w:hint="eastAsia"/>
          <w:color w:val="auto"/>
          <w:highlight w:val="none"/>
          <w:lang w:val="en-US" w:eastAsia="zh-CN"/>
        </w:rPr>
      </w:pPr>
    </w:p>
    <w:p w14:paraId="190E646F">
      <w:pPr>
        <w:rPr>
          <w:rFonts w:hint="eastAsia"/>
          <w:color w:val="auto"/>
          <w:highlight w:val="none"/>
          <w:lang w:val="en-US" w:eastAsia="zh-CN"/>
        </w:rPr>
      </w:pPr>
    </w:p>
    <w:p w14:paraId="35DC3A35">
      <w:pPr>
        <w:rPr>
          <w:rFonts w:hint="eastAsia" w:asciiTheme="minorEastAsia" w:hAnsiTheme="minorEastAsia" w:eastAsiaTheme="minorEastAsia" w:cstheme="minorEastAsia"/>
          <w:b/>
          <w:bCs/>
          <w:snapToGrid w:val="0"/>
          <w:color w:val="auto"/>
          <w:kern w:val="0"/>
          <w:sz w:val="28"/>
          <w:szCs w:val="28"/>
          <w:highlight w:val="none"/>
        </w:rPr>
      </w:pPr>
      <w:bookmarkStart w:id="290" w:name="_Toc7606"/>
      <w:bookmarkStart w:id="291" w:name="_Toc226"/>
      <w:bookmarkStart w:id="292" w:name="_Toc21815"/>
      <w:r>
        <w:rPr>
          <w:rFonts w:hint="eastAsia" w:asciiTheme="minorEastAsia" w:hAnsiTheme="minorEastAsia" w:eastAsiaTheme="minorEastAsia" w:cstheme="minorEastAsia"/>
          <w:b/>
          <w:bCs/>
          <w:snapToGrid w:val="0"/>
          <w:color w:val="auto"/>
          <w:kern w:val="0"/>
          <w:sz w:val="28"/>
          <w:szCs w:val="28"/>
          <w:highlight w:val="none"/>
        </w:rPr>
        <w:br w:type="page"/>
      </w:r>
    </w:p>
    <w:p w14:paraId="2826E2C4">
      <w:pPr>
        <w:wordWrap w:val="0"/>
        <w:adjustRightInd w:val="0"/>
        <w:snapToGrid w:val="0"/>
        <w:spacing w:line="440" w:lineRule="exact"/>
        <w:jc w:val="center"/>
        <w:outlineLvl w:val="1"/>
        <w:rPr>
          <w:rFonts w:hint="eastAsia" w:asciiTheme="minorEastAsia" w:hAnsiTheme="minorEastAsia" w:eastAsiaTheme="minorEastAsia" w:cstheme="minorEastAsia"/>
          <w:b/>
          <w:bCs/>
          <w:snapToGrid w:val="0"/>
          <w:color w:val="auto"/>
          <w:kern w:val="0"/>
          <w:sz w:val="28"/>
          <w:szCs w:val="28"/>
          <w:highlight w:val="none"/>
          <w:lang w:val="en-US" w:eastAsia="zh-CN"/>
        </w:rPr>
      </w:pPr>
      <w:r>
        <w:rPr>
          <w:rFonts w:hint="eastAsia" w:asciiTheme="minorEastAsia" w:hAnsiTheme="minorEastAsia" w:eastAsiaTheme="minorEastAsia" w:cstheme="minorEastAsia"/>
          <w:b/>
          <w:bCs/>
          <w:snapToGrid w:val="0"/>
          <w:color w:val="auto"/>
          <w:kern w:val="0"/>
          <w:sz w:val="28"/>
          <w:szCs w:val="28"/>
          <w:highlight w:val="none"/>
        </w:rPr>
        <w:t>第</w:t>
      </w:r>
      <w:r>
        <w:rPr>
          <w:rFonts w:hint="eastAsia" w:asciiTheme="minorEastAsia" w:hAnsiTheme="minorEastAsia" w:eastAsiaTheme="minorEastAsia" w:cstheme="minorEastAsia"/>
          <w:b/>
          <w:bCs/>
          <w:snapToGrid w:val="0"/>
          <w:color w:val="auto"/>
          <w:kern w:val="0"/>
          <w:sz w:val="28"/>
          <w:szCs w:val="28"/>
          <w:highlight w:val="none"/>
          <w:lang w:val="en-US" w:eastAsia="zh-CN"/>
        </w:rPr>
        <w:t>六</w:t>
      </w:r>
      <w:r>
        <w:rPr>
          <w:rFonts w:hint="eastAsia" w:asciiTheme="minorEastAsia" w:hAnsiTheme="minorEastAsia" w:eastAsiaTheme="minorEastAsia" w:cstheme="minorEastAsia"/>
          <w:b/>
          <w:bCs/>
          <w:snapToGrid w:val="0"/>
          <w:color w:val="auto"/>
          <w:kern w:val="0"/>
          <w:sz w:val="28"/>
          <w:szCs w:val="28"/>
          <w:highlight w:val="none"/>
        </w:rPr>
        <w:t>节 中标确认</w:t>
      </w:r>
      <w:bookmarkEnd w:id="290"/>
      <w:bookmarkEnd w:id="291"/>
      <w:bookmarkEnd w:id="292"/>
    </w:p>
    <w:p w14:paraId="247ADC16">
      <w:pPr>
        <w:keepNext w:val="0"/>
        <w:keepLines w:val="0"/>
        <w:pageBreakBefore w:val="0"/>
        <w:widowControl w:val="0"/>
        <w:kinsoku/>
        <w:wordWrap/>
        <w:overflowPunct/>
        <w:topLinePunct w:val="0"/>
        <w:autoSpaceDE/>
        <w:autoSpaceDN/>
        <w:bidi w:val="0"/>
        <w:adjustRightInd/>
        <w:snapToGrid/>
        <w:spacing w:line="440" w:lineRule="exact"/>
        <w:ind w:left="0" w:leftChars="0" w:right="0" w:rightChars="0" w:firstLine="482" w:firstLineChars="200"/>
        <w:jc w:val="both"/>
        <w:textAlignment w:val="auto"/>
        <w:outlineLvl w:val="9"/>
        <w:rPr>
          <w:rFonts w:hint="eastAsia" w:ascii="宋体" w:hAnsi="宋体" w:eastAsia="宋体" w:cs="宋体"/>
          <w:b/>
          <w:bCs/>
          <w:color w:val="auto"/>
          <w:kern w:val="0"/>
          <w:sz w:val="24"/>
          <w:szCs w:val="24"/>
          <w:highlight w:val="none"/>
          <w:u w:val="none"/>
          <w:shd w:val="clear" w:color="auto" w:fill="FFFFFF"/>
          <w:lang w:val="en-US" w:eastAsia="zh-CN" w:bidi="ar-SA"/>
        </w:rPr>
      </w:pPr>
      <w:r>
        <w:rPr>
          <w:rFonts w:hint="eastAsia" w:ascii="宋体" w:hAnsi="宋体" w:eastAsia="宋体" w:cs="宋体"/>
          <w:b/>
          <w:bCs/>
          <w:color w:val="auto"/>
          <w:kern w:val="0"/>
          <w:sz w:val="24"/>
          <w:szCs w:val="24"/>
          <w:highlight w:val="none"/>
          <w:u w:val="none"/>
          <w:shd w:val="clear" w:color="auto" w:fill="FFFFFF"/>
          <w:lang w:val="en-US" w:eastAsia="zh-CN" w:bidi="ar-SA"/>
        </w:rPr>
        <w:t>1.中标人确定</w:t>
      </w:r>
    </w:p>
    <w:p w14:paraId="6CC6BD35">
      <w:pPr>
        <w:keepNext w:val="0"/>
        <w:keepLines w:val="0"/>
        <w:pageBreakBefore w:val="0"/>
        <w:widowControl w:val="0"/>
        <w:kinsoku/>
        <w:wordWrap/>
        <w:overflowPunct/>
        <w:topLinePunct w:val="0"/>
        <w:autoSpaceDE/>
        <w:autoSpaceDN/>
        <w:bidi w:val="0"/>
        <w:adjustRightInd/>
        <w:snapToGrid/>
        <w:spacing w:line="440" w:lineRule="exact"/>
        <w:ind w:left="0" w:leftChars="0" w:right="0" w:rightChars="0" w:firstLine="480" w:firstLineChars="200"/>
        <w:jc w:val="both"/>
        <w:textAlignment w:val="auto"/>
        <w:outlineLvl w:val="9"/>
        <w:rPr>
          <w:rFonts w:hint="eastAsia" w:ascii="宋体" w:hAnsi="宋体" w:eastAsia="宋体" w:cs="宋体"/>
          <w:b w:val="0"/>
          <w:bCs w:val="0"/>
          <w:color w:val="auto"/>
          <w:kern w:val="0"/>
          <w:sz w:val="24"/>
          <w:szCs w:val="24"/>
          <w:highlight w:val="none"/>
          <w:u w:val="none"/>
          <w:shd w:val="clear" w:color="auto" w:fill="FFFFFF"/>
          <w:lang w:val="en-US" w:eastAsia="zh-CN" w:bidi="ar-SA"/>
        </w:rPr>
      </w:pPr>
      <w:r>
        <w:rPr>
          <w:rFonts w:hint="eastAsia" w:ascii="宋体" w:hAnsi="宋体" w:eastAsia="宋体" w:cs="宋体"/>
          <w:b w:val="0"/>
          <w:bCs w:val="0"/>
          <w:color w:val="auto"/>
          <w:kern w:val="0"/>
          <w:sz w:val="24"/>
          <w:szCs w:val="24"/>
          <w:highlight w:val="none"/>
          <w:u w:val="none"/>
          <w:shd w:val="clear" w:color="auto" w:fill="FFFFFF"/>
          <w:lang w:val="en-US" w:eastAsia="zh-CN" w:bidi="ar-SA"/>
        </w:rPr>
        <w:t xml:space="preserve">1.1 </w:t>
      </w:r>
      <w:r>
        <w:rPr>
          <w:rFonts w:hint="default" w:ascii="宋体" w:hAnsi="宋体" w:eastAsia="宋体" w:cs="宋体"/>
          <w:b w:val="0"/>
          <w:bCs w:val="0"/>
          <w:color w:val="auto"/>
          <w:kern w:val="0"/>
          <w:sz w:val="24"/>
          <w:szCs w:val="24"/>
          <w:highlight w:val="none"/>
          <w:u w:val="none"/>
          <w:shd w:val="clear" w:color="auto" w:fill="FFFFFF"/>
          <w:lang w:val="en-US" w:eastAsia="zh-CN" w:bidi="ar-SA"/>
        </w:rPr>
        <w:t>中</w:t>
      </w:r>
      <w:r>
        <w:rPr>
          <w:rFonts w:hint="eastAsia" w:ascii="宋体" w:hAnsi="宋体" w:eastAsia="宋体" w:cs="宋体"/>
          <w:b w:val="0"/>
          <w:bCs w:val="0"/>
          <w:color w:val="auto"/>
          <w:kern w:val="0"/>
          <w:sz w:val="24"/>
          <w:szCs w:val="24"/>
          <w:highlight w:val="none"/>
          <w:u w:val="none"/>
          <w:shd w:val="clear" w:color="auto" w:fill="FFFFFF"/>
          <w:lang w:val="en-US" w:eastAsia="zh-CN" w:bidi="ar-SA"/>
        </w:rPr>
        <w:t>标</w:t>
      </w:r>
      <w:r>
        <w:rPr>
          <w:rFonts w:hint="eastAsia" w:hAnsi="宋体" w:eastAsia="宋体" w:cs="宋体"/>
          <w:b w:val="0"/>
          <w:bCs w:val="0"/>
          <w:color w:val="auto"/>
          <w:kern w:val="0"/>
          <w:sz w:val="24"/>
          <w:szCs w:val="24"/>
          <w:highlight w:val="none"/>
          <w:u w:val="none"/>
          <w:shd w:val="clear" w:color="auto" w:fill="FFFFFF"/>
          <w:lang w:val="en-US" w:eastAsia="zh-CN" w:bidi="ar-SA"/>
        </w:rPr>
        <w:t>候选人</w:t>
      </w:r>
      <w:r>
        <w:rPr>
          <w:rFonts w:hint="eastAsia" w:ascii="宋体" w:hAnsi="宋体" w:eastAsia="宋体" w:cs="宋体"/>
          <w:b w:val="0"/>
          <w:bCs w:val="0"/>
          <w:color w:val="auto"/>
          <w:kern w:val="0"/>
          <w:sz w:val="24"/>
          <w:szCs w:val="24"/>
          <w:highlight w:val="none"/>
          <w:u w:val="none"/>
          <w:shd w:val="clear" w:color="auto" w:fill="FFFFFF"/>
          <w:lang w:val="en-US" w:eastAsia="zh-CN" w:bidi="ar-SA"/>
        </w:rPr>
        <w:t>公示期满</w:t>
      </w:r>
      <w:r>
        <w:rPr>
          <w:rFonts w:hint="eastAsia" w:hAnsi="宋体" w:eastAsia="宋体" w:cs="宋体"/>
          <w:b w:val="0"/>
          <w:bCs w:val="0"/>
          <w:color w:val="auto"/>
          <w:kern w:val="0"/>
          <w:sz w:val="24"/>
          <w:szCs w:val="24"/>
          <w:highlight w:val="none"/>
          <w:u w:val="none"/>
          <w:shd w:val="clear" w:color="auto" w:fill="FFFFFF"/>
          <w:lang w:val="en-US" w:eastAsia="zh-CN" w:bidi="ar-SA"/>
        </w:rPr>
        <w:t>且</w:t>
      </w:r>
      <w:r>
        <w:rPr>
          <w:rFonts w:hint="eastAsia" w:ascii="宋体" w:hAnsi="宋体" w:eastAsia="宋体" w:cs="宋体"/>
          <w:b w:val="0"/>
          <w:bCs w:val="0"/>
          <w:color w:val="auto"/>
          <w:kern w:val="0"/>
          <w:sz w:val="24"/>
          <w:szCs w:val="24"/>
          <w:highlight w:val="none"/>
          <w:u w:val="none"/>
          <w:shd w:val="clear" w:color="auto" w:fill="FFFFFF"/>
          <w:lang w:val="en-US" w:eastAsia="zh-CN" w:bidi="ar-SA"/>
        </w:rPr>
        <w:t>无异议的，招标人确认排名第一的中标候选人为中标人</w:t>
      </w:r>
      <w:r>
        <w:rPr>
          <w:rFonts w:hint="eastAsia" w:hAnsi="宋体" w:eastAsia="宋体" w:cs="宋体"/>
          <w:b w:val="0"/>
          <w:bCs w:val="0"/>
          <w:color w:val="auto"/>
          <w:kern w:val="0"/>
          <w:sz w:val="24"/>
          <w:szCs w:val="24"/>
          <w:highlight w:val="none"/>
          <w:u w:val="none"/>
          <w:shd w:val="clear" w:color="auto" w:fill="FFFFFF"/>
          <w:lang w:val="en-US" w:eastAsia="zh-CN" w:bidi="ar-SA"/>
        </w:rPr>
        <w:t>并在招标公告发布媒介上发布中标结果公示</w:t>
      </w:r>
      <w:r>
        <w:rPr>
          <w:rFonts w:hint="eastAsia" w:ascii="宋体" w:hAnsi="宋体" w:eastAsia="宋体" w:cs="宋体"/>
          <w:b w:val="0"/>
          <w:bCs w:val="0"/>
          <w:color w:val="auto"/>
          <w:kern w:val="0"/>
          <w:sz w:val="24"/>
          <w:szCs w:val="24"/>
          <w:highlight w:val="none"/>
          <w:u w:val="none"/>
          <w:shd w:val="clear" w:color="auto" w:fill="FFFFFF"/>
          <w:lang w:val="en-US" w:eastAsia="zh-CN" w:bidi="ar-SA"/>
        </w:rPr>
        <w:t>。</w:t>
      </w:r>
    </w:p>
    <w:p w14:paraId="7A3ECB41">
      <w:pPr>
        <w:keepNext w:val="0"/>
        <w:keepLines w:val="0"/>
        <w:pageBreakBefore w:val="0"/>
        <w:widowControl w:val="0"/>
        <w:kinsoku/>
        <w:wordWrap/>
        <w:overflowPunct/>
        <w:topLinePunct w:val="0"/>
        <w:autoSpaceDE/>
        <w:autoSpaceDN/>
        <w:bidi w:val="0"/>
        <w:adjustRightInd/>
        <w:snapToGrid/>
        <w:spacing w:line="440" w:lineRule="exact"/>
        <w:ind w:left="0" w:leftChars="0" w:right="0" w:rightChars="0" w:firstLine="480" w:firstLineChars="200"/>
        <w:jc w:val="both"/>
        <w:textAlignment w:val="auto"/>
        <w:outlineLvl w:val="9"/>
        <w:rPr>
          <w:rFonts w:hint="eastAsia" w:ascii="宋体" w:hAnsi="宋体" w:eastAsia="宋体" w:cs="宋体"/>
          <w:b w:val="0"/>
          <w:bCs w:val="0"/>
          <w:color w:val="auto"/>
          <w:kern w:val="0"/>
          <w:sz w:val="24"/>
          <w:szCs w:val="24"/>
          <w:highlight w:val="none"/>
          <w:u w:val="none"/>
          <w:shd w:val="clear" w:color="auto" w:fill="FFFFFF"/>
          <w:lang w:val="en-US" w:eastAsia="zh-CN" w:bidi="ar-SA"/>
        </w:rPr>
      </w:pPr>
      <w:r>
        <w:rPr>
          <w:rFonts w:hint="eastAsia" w:ascii="宋体" w:hAnsi="宋体" w:eastAsia="宋体" w:cs="宋体"/>
          <w:b w:val="0"/>
          <w:bCs w:val="0"/>
          <w:color w:val="auto"/>
          <w:kern w:val="0"/>
          <w:sz w:val="24"/>
          <w:szCs w:val="24"/>
          <w:highlight w:val="none"/>
          <w:u w:val="none"/>
          <w:shd w:val="clear" w:color="auto" w:fill="FFFFFF"/>
          <w:lang w:val="en-US" w:eastAsia="zh-CN" w:bidi="ar-SA"/>
        </w:rPr>
        <w:t>1.2 中标人确定后，招标人应当于7日内在线完成加盖招标人单位电子签章的中标通知书并发放到中标人及各相关单位。招标人最迟应当在投标有效期届满30日前发出中标通知书，否则，应当按照本投标人须知投标有效期的规定延长投标有效期。</w:t>
      </w:r>
      <w:r>
        <w:rPr>
          <w:rFonts w:hint="eastAsia" w:ascii="宋体" w:hAnsi="宋体" w:eastAsia="宋体" w:cs="宋体"/>
          <w:snapToGrid w:val="0"/>
          <w:color w:val="auto"/>
          <w:kern w:val="0"/>
          <w:sz w:val="24"/>
          <w:szCs w:val="24"/>
          <w:highlight w:val="none"/>
        </w:rPr>
        <w:t>在中标通知书发出后5个工作日内，韶关市公共资源交易中心将投标保证金（或银行保函）退还给中标候选人以外的投标人。</w:t>
      </w:r>
    </w:p>
    <w:p w14:paraId="3409820B">
      <w:pPr>
        <w:keepNext w:val="0"/>
        <w:keepLines w:val="0"/>
        <w:pageBreakBefore w:val="0"/>
        <w:widowControl w:val="0"/>
        <w:kinsoku/>
        <w:wordWrap/>
        <w:overflowPunct/>
        <w:topLinePunct w:val="0"/>
        <w:autoSpaceDE/>
        <w:autoSpaceDN/>
        <w:bidi w:val="0"/>
        <w:adjustRightInd/>
        <w:snapToGrid/>
        <w:spacing w:line="440" w:lineRule="exact"/>
        <w:ind w:left="0" w:leftChars="0" w:right="0" w:rightChars="0" w:firstLine="480" w:firstLineChars="200"/>
        <w:jc w:val="both"/>
        <w:textAlignment w:val="auto"/>
        <w:outlineLvl w:val="9"/>
        <w:rPr>
          <w:rFonts w:hint="eastAsia" w:ascii="宋体" w:hAnsi="宋体" w:eastAsia="宋体" w:cs="宋体"/>
          <w:b w:val="0"/>
          <w:bCs w:val="0"/>
          <w:color w:val="auto"/>
          <w:kern w:val="0"/>
          <w:sz w:val="24"/>
          <w:szCs w:val="24"/>
          <w:highlight w:val="none"/>
          <w:u w:val="none"/>
          <w:shd w:val="clear" w:color="auto" w:fill="FFFFFF"/>
          <w:lang w:val="en-US" w:eastAsia="zh-CN" w:bidi="ar-SA"/>
        </w:rPr>
      </w:pPr>
      <w:r>
        <w:rPr>
          <w:rFonts w:hint="eastAsia" w:ascii="宋体" w:hAnsi="宋体" w:eastAsia="宋体" w:cs="宋体"/>
          <w:b w:val="0"/>
          <w:bCs w:val="0"/>
          <w:color w:val="auto"/>
          <w:kern w:val="0"/>
          <w:sz w:val="24"/>
          <w:szCs w:val="24"/>
          <w:highlight w:val="none"/>
          <w:u w:val="none"/>
          <w:shd w:val="clear" w:color="auto" w:fill="FFFFFF"/>
          <w:lang w:val="en-US" w:eastAsia="zh-CN" w:bidi="ar-SA"/>
        </w:rPr>
        <w:t>1.3 招标人应当自中标通知书发出之日起15日内，通过广东省招标投标监管网和公共资源交易平台发布中标结果公示。 招标人应当自确定中标人之日起15日内，在线向有关招标管理部门提交招标投标情况的书面报告。</w:t>
      </w:r>
    </w:p>
    <w:p w14:paraId="56E70A1F">
      <w:pPr>
        <w:keepNext w:val="0"/>
        <w:keepLines w:val="0"/>
        <w:pageBreakBefore w:val="0"/>
        <w:widowControl w:val="0"/>
        <w:shd w:val="clear" w:color="auto" w:fill="auto"/>
        <w:kinsoku/>
        <w:wordWrap/>
        <w:overflowPunct/>
        <w:topLinePunct w:val="0"/>
        <w:autoSpaceDE/>
        <w:autoSpaceDN/>
        <w:bidi w:val="0"/>
        <w:adjustRightInd/>
        <w:snapToGrid/>
        <w:spacing w:line="440" w:lineRule="exact"/>
        <w:ind w:left="0" w:leftChars="0" w:right="0" w:rightChars="0" w:firstLine="482" w:firstLineChars="200"/>
        <w:jc w:val="both"/>
        <w:textAlignment w:val="auto"/>
        <w:outlineLvl w:val="9"/>
        <w:rPr>
          <w:rFonts w:hint="eastAsia" w:ascii="宋体" w:hAnsi="宋体" w:eastAsia="宋体" w:cs="宋体"/>
          <w:b/>
          <w:color w:val="auto"/>
          <w:sz w:val="24"/>
          <w:szCs w:val="24"/>
          <w:highlight w:val="none"/>
        </w:rPr>
      </w:pPr>
      <w:r>
        <w:rPr>
          <w:rFonts w:hint="eastAsia" w:ascii="宋体" w:hAnsi="宋体" w:eastAsia="宋体" w:cs="宋体"/>
          <w:b/>
          <w:bCs/>
          <w:color w:val="auto"/>
          <w:sz w:val="24"/>
          <w:szCs w:val="24"/>
          <w:highlight w:val="none"/>
          <w:lang w:val="en-US" w:eastAsia="zh-CN"/>
        </w:rPr>
        <w:t>2</w:t>
      </w:r>
      <w:r>
        <w:rPr>
          <w:rFonts w:hint="eastAsia" w:ascii="宋体" w:hAnsi="宋体" w:eastAsia="宋体" w:cs="宋体"/>
          <w:b/>
          <w:bCs/>
          <w:color w:val="auto"/>
          <w:sz w:val="24"/>
          <w:szCs w:val="24"/>
          <w:highlight w:val="none"/>
        </w:rPr>
        <w:t>.</w:t>
      </w:r>
      <w:r>
        <w:rPr>
          <w:rFonts w:hint="eastAsia" w:ascii="宋体" w:hAnsi="宋体" w:eastAsia="宋体" w:cs="宋体"/>
          <w:b/>
          <w:bCs/>
          <w:color w:val="auto"/>
          <w:sz w:val="24"/>
          <w:szCs w:val="24"/>
          <w:highlight w:val="none"/>
          <w:lang w:eastAsia="zh-CN"/>
        </w:rPr>
        <w:t>异议和投诉</w:t>
      </w:r>
    </w:p>
    <w:p w14:paraId="54317F0C">
      <w:pPr>
        <w:keepNext w:val="0"/>
        <w:keepLines w:val="0"/>
        <w:pageBreakBefore w:val="0"/>
        <w:widowControl w:val="0"/>
        <w:kinsoku/>
        <w:wordWrap/>
        <w:overflowPunct/>
        <w:topLinePunct w:val="0"/>
        <w:autoSpaceDE/>
        <w:autoSpaceDN/>
        <w:bidi w:val="0"/>
        <w:adjustRightInd/>
        <w:snapToGrid/>
        <w:spacing w:line="440" w:lineRule="exact"/>
        <w:ind w:left="0" w:leftChars="0" w:right="0" w:rightChars="0" w:firstLine="480" w:firstLineChars="200"/>
        <w:jc w:val="both"/>
        <w:textAlignment w:val="auto"/>
        <w:outlineLvl w:val="9"/>
        <w:rPr>
          <w:rFonts w:hint="eastAsia" w:ascii="宋体" w:hAnsi="宋体" w:eastAsia="宋体" w:cs="宋体"/>
          <w:b w:val="0"/>
          <w:bCs w:val="0"/>
          <w:color w:val="auto"/>
          <w:kern w:val="0"/>
          <w:sz w:val="24"/>
          <w:szCs w:val="24"/>
          <w:highlight w:val="none"/>
          <w:u w:val="none"/>
          <w:shd w:val="clear" w:color="auto" w:fill="FFFFFF"/>
          <w:lang w:val="en-US" w:eastAsia="zh-CN" w:bidi="ar-SA"/>
        </w:rPr>
      </w:pPr>
      <w:r>
        <w:rPr>
          <w:rFonts w:hint="eastAsia" w:ascii="宋体" w:hAnsi="宋体" w:eastAsia="宋体" w:cs="宋体"/>
          <w:b w:val="0"/>
          <w:bCs w:val="0"/>
          <w:color w:val="auto"/>
          <w:kern w:val="0"/>
          <w:sz w:val="24"/>
          <w:szCs w:val="24"/>
          <w:highlight w:val="none"/>
          <w:u w:val="none"/>
          <w:shd w:val="clear" w:color="auto" w:fill="FFFFFF"/>
          <w:lang w:val="en-US" w:eastAsia="zh-CN" w:bidi="ar-SA"/>
        </w:rPr>
        <w:t>2.1 投标人或者其他利害关系人对招标项目的评标和</w:t>
      </w:r>
      <w:r>
        <w:rPr>
          <w:rFonts w:hint="default" w:ascii="宋体" w:hAnsi="宋体" w:eastAsia="宋体" w:cs="宋体"/>
          <w:b w:val="0"/>
          <w:bCs w:val="0"/>
          <w:color w:val="auto"/>
          <w:kern w:val="0"/>
          <w:sz w:val="24"/>
          <w:szCs w:val="24"/>
          <w:highlight w:val="none"/>
          <w:u w:val="none"/>
          <w:shd w:val="clear" w:color="auto" w:fill="FFFFFF"/>
          <w:lang w:val="en-US" w:eastAsia="zh-CN" w:bidi="ar-SA"/>
        </w:rPr>
        <w:t>中</w:t>
      </w:r>
      <w:r>
        <w:rPr>
          <w:rFonts w:hint="eastAsia" w:ascii="宋体" w:hAnsi="宋体" w:eastAsia="宋体" w:cs="宋体"/>
          <w:b w:val="0"/>
          <w:bCs w:val="0"/>
          <w:color w:val="auto"/>
          <w:kern w:val="0"/>
          <w:sz w:val="24"/>
          <w:szCs w:val="24"/>
          <w:highlight w:val="none"/>
          <w:u w:val="none"/>
          <w:shd w:val="clear" w:color="auto" w:fill="FFFFFF"/>
          <w:lang w:val="en-US" w:eastAsia="zh-CN" w:bidi="ar-SA"/>
        </w:rPr>
        <w:t>标结果有异议的，应当在定标候选人和</w:t>
      </w:r>
      <w:r>
        <w:rPr>
          <w:rFonts w:hint="default" w:ascii="宋体" w:hAnsi="宋体" w:eastAsia="宋体" w:cs="宋体"/>
          <w:b w:val="0"/>
          <w:bCs w:val="0"/>
          <w:color w:val="auto"/>
          <w:kern w:val="0"/>
          <w:sz w:val="24"/>
          <w:szCs w:val="24"/>
          <w:highlight w:val="none"/>
          <w:u w:val="none"/>
          <w:shd w:val="clear" w:color="auto" w:fill="FFFFFF"/>
          <w:lang w:val="en-US" w:eastAsia="zh-CN" w:bidi="ar-SA"/>
        </w:rPr>
        <w:t>中</w:t>
      </w:r>
      <w:r>
        <w:rPr>
          <w:rFonts w:hint="eastAsia" w:ascii="宋体" w:hAnsi="宋体" w:eastAsia="宋体" w:cs="宋体"/>
          <w:b w:val="0"/>
          <w:bCs w:val="0"/>
          <w:color w:val="auto"/>
          <w:kern w:val="0"/>
          <w:sz w:val="24"/>
          <w:szCs w:val="24"/>
          <w:highlight w:val="none"/>
          <w:u w:val="none"/>
          <w:shd w:val="clear" w:color="auto" w:fill="FFFFFF"/>
          <w:lang w:val="en-US" w:eastAsia="zh-CN" w:bidi="ar-SA"/>
        </w:rPr>
        <w:t>标候选人公示期间按规定线上向招标人提出，逾期提出的不予受理。招标人自收到异议之日起3日内作出答复；作出答复前，应当暂停招标投标活动。经招标人书面答复，异议人仍不满意的，可在法律规定的时限内向行政监督部门提出书面投诉。异议（投诉）提出、处理的具体办法和要求，按照《韶关市工程建设项目招标投标活动异议和投诉处理办法》（韶发改〔2021〕44号）执行。</w:t>
      </w:r>
    </w:p>
    <w:p w14:paraId="2FEDBDCE">
      <w:pPr>
        <w:keepNext w:val="0"/>
        <w:keepLines w:val="0"/>
        <w:pageBreakBefore w:val="0"/>
        <w:widowControl w:val="0"/>
        <w:kinsoku/>
        <w:wordWrap/>
        <w:overflowPunct/>
        <w:topLinePunct w:val="0"/>
        <w:autoSpaceDE/>
        <w:autoSpaceDN/>
        <w:bidi w:val="0"/>
        <w:adjustRightInd/>
        <w:snapToGrid/>
        <w:spacing w:line="440" w:lineRule="exact"/>
        <w:ind w:left="0" w:leftChars="0" w:right="0" w:rightChars="0" w:firstLine="480" w:firstLineChars="200"/>
        <w:jc w:val="both"/>
        <w:textAlignment w:val="auto"/>
        <w:outlineLvl w:val="9"/>
        <w:rPr>
          <w:rFonts w:hint="eastAsia" w:ascii="宋体" w:hAnsi="宋体" w:eastAsia="宋体" w:cs="宋体"/>
          <w:b w:val="0"/>
          <w:bCs w:val="0"/>
          <w:color w:val="auto"/>
          <w:kern w:val="0"/>
          <w:sz w:val="24"/>
          <w:szCs w:val="24"/>
          <w:highlight w:val="none"/>
          <w:u w:val="none"/>
          <w:shd w:val="clear" w:color="auto" w:fill="FFFFFF"/>
          <w:lang w:val="en-US" w:eastAsia="zh-CN" w:bidi="ar-SA"/>
        </w:rPr>
      </w:pPr>
      <w:r>
        <w:rPr>
          <w:rFonts w:hint="eastAsia" w:ascii="宋体" w:hAnsi="宋体" w:eastAsia="宋体" w:cs="宋体"/>
          <w:b w:val="0"/>
          <w:bCs w:val="0"/>
          <w:color w:val="auto"/>
          <w:kern w:val="0"/>
          <w:sz w:val="24"/>
          <w:szCs w:val="24"/>
          <w:highlight w:val="none"/>
          <w:u w:val="none"/>
          <w:shd w:val="clear" w:color="auto" w:fill="FFFFFF"/>
          <w:lang w:val="en-US" w:eastAsia="zh-CN" w:bidi="ar-SA"/>
        </w:rPr>
        <w:t>2.2在定标候选人和中标候选人公示期间有关评标结果的异议成立的，招标人原则上应当组织原评标委员会和原定标委员会对有关的问题予以纠正，问题纠正后再公示定标候选人和中标候选人。</w:t>
      </w:r>
    </w:p>
    <w:p w14:paraId="2EC529D0">
      <w:pPr>
        <w:keepNext w:val="0"/>
        <w:keepLines w:val="0"/>
        <w:pageBreakBefore w:val="0"/>
        <w:widowControl w:val="0"/>
        <w:kinsoku/>
        <w:wordWrap/>
        <w:overflowPunct/>
        <w:topLinePunct w:val="0"/>
        <w:autoSpaceDE/>
        <w:autoSpaceDN/>
        <w:bidi w:val="0"/>
        <w:adjustRightInd/>
        <w:snapToGrid/>
        <w:spacing w:line="440" w:lineRule="exact"/>
        <w:ind w:left="0" w:leftChars="0" w:right="0" w:rightChars="0" w:firstLine="480" w:firstLineChars="200"/>
        <w:jc w:val="both"/>
        <w:textAlignment w:val="auto"/>
        <w:outlineLvl w:val="9"/>
        <w:rPr>
          <w:rFonts w:hint="eastAsia" w:ascii="宋体" w:hAnsi="宋体" w:eastAsia="宋体" w:cs="宋体"/>
          <w:b w:val="0"/>
          <w:bCs w:val="0"/>
          <w:color w:val="auto"/>
          <w:kern w:val="0"/>
          <w:sz w:val="24"/>
          <w:szCs w:val="24"/>
          <w:highlight w:val="none"/>
          <w:u w:val="none"/>
          <w:shd w:val="clear" w:color="auto" w:fill="FFFFFF"/>
          <w:lang w:val="en-US" w:eastAsia="zh-CN" w:bidi="ar-SA"/>
        </w:rPr>
      </w:pPr>
      <w:r>
        <w:rPr>
          <w:rFonts w:hint="eastAsia" w:ascii="宋体" w:hAnsi="宋体" w:eastAsia="宋体" w:cs="宋体"/>
          <w:b w:val="0"/>
          <w:bCs w:val="0"/>
          <w:color w:val="auto"/>
          <w:kern w:val="0"/>
          <w:sz w:val="24"/>
          <w:szCs w:val="24"/>
          <w:highlight w:val="none"/>
          <w:u w:val="none"/>
          <w:shd w:val="clear" w:color="auto" w:fill="FFFFFF"/>
          <w:lang w:val="en-US" w:eastAsia="zh-CN" w:bidi="ar-SA"/>
        </w:rPr>
        <w:t>2.3投标人或其他利害关系人认为招标投标活动不符合法律、行政法规规定的，可以自知道或者应当知道之日起10日内按规定线上向有关招标管理部门投诉。投诉应当有明确的请求和必要的证明材料。招标管理部门应当自收到投诉之日起30个工作日内作出书面处理决定。</w:t>
      </w:r>
    </w:p>
    <w:p w14:paraId="262F8EDD">
      <w:pPr>
        <w:pStyle w:val="20"/>
        <w:keepNext w:val="0"/>
        <w:keepLines w:val="0"/>
        <w:pageBreakBefore w:val="0"/>
        <w:widowControl w:val="0"/>
        <w:shd w:val="clear" w:color="auto" w:fill="auto"/>
        <w:kinsoku/>
        <w:wordWrap/>
        <w:overflowPunct/>
        <w:topLinePunct w:val="0"/>
        <w:autoSpaceDE/>
        <w:autoSpaceDN/>
        <w:bidi w:val="0"/>
        <w:adjustRightInd/>
        <w:snapToGrid/>
        <w:spacing w:before="0" w:beforeLines="0" w:after="0" w:afterLines="0" w:line="440" w:lineRule="exact"/>
        <w:ind w:left="0" w:leftChars="0" w:firstLine="482" w:firstLineChars="200"/>
        <w:jc w:val="both"/>
        <w:textAlignment w:val="auto"/>
        <w:outlineLvl w:val="9"/>
        <w:rPr>
          <w:rFonts w:hint="eastAsia" w:ascii="宋体" w:hAnsi="宋体" w:eastAsia="宋体" w:cs="宋体"/>
          <w:b/>
          <w:bCs/>
          <w:i/>
          <w:color w:val="auto"/>
          <w:sz w:val="24"/>
          <w:szCs w:val="24"/>
          <w:highlight w:val="none"/>
        </w:rPr>
      </w:pPr>
      <w:bookmarkStart w:id="293" w:name="_Toc236550039"/>
      <w:r>
        <w:rPr>
          <w:rStyle w:val="27"/>
          <w:rFonts w:hint="eastAsia" w:eastAsia="宋体" w:cs="宋体"/>
          <w:b/>
          <w:bCs/>
          <w:i w:val="0"/>
          <w:color w:val="auto"/>
          <w:sz w:val="24"/>
          <w:szCs w:val="24"/>
          <w:highlight w:val="none"/>
          <w:lang w:val="en-US" w:eastAsia="zh-CN"/>
        </w:rPr>
        <w:t>3.</w:t>
      </w:r>
      <w:r>
        <w:rPr>
          <w:rStyle w:val="27"/>
          <w:rFonts w:hint="eastAsia" w:ascii="宋体" w:hAnsi="宋体" w:eastAsia="宋体" w:cs="宋体"/>
          <w:b/>
          <w:bCs/>
          <w:i w:val="0"/>
          <w:color w:val="auto"/>
          <w:sz w:val="24"/>
          <w:szCs w:val="24"/>
          <w:highlight w:val="none"/>
        </w:rPr>
        <w:t>废除授标</w:t>
      </w:r>
      <w:bookmarkEnd w:id="293"/>
      <w:r>
        <w:rPr>
          <w:rStyle w:val="27"/>
          <w:rFonts w:hint="eastAsia" w:ascii="宋体" w:hAnsi="宋体" w:eastAsia="宋体" w:cs="宋体"/>
          <w:b/>
          <w:bCs/>
          <w:i w:val="0"/>
          <w:color w:val="auto"/>
          <w:sz w:val="24"/>
          <w:szCs w:val="24"/>
          <w:highlight w:val="none"/>
        </w:rPr>
        <w:t>及授标</w:t>
      </w:r>
    </w:p>
    <w:p w14:paraId="28ECEBBE">
      <w:pPr>
        <w:keepNext w:val="0"/>
        <w:keepLines w:val="0"/>
        <w:pageBreakBefore w:val="0"/>
        <w:widowControl w:val="0"/>
        <w:kinsoku/>
        <w:wordWrap/>
        <w:overflowPunct/>
        <w:topLinePunct w:val="0"/>
        <w:autoSpaceDE/>
        <w:autoSpaceDN/>
        <w:bidi w:val="0"/>
        <w:adjustRightInd/>
        <w:snapToGrid/>
        <w:spacing w:line="440" w:lineRule="exact"/>
        <w:ind w:left="0" w:leftChars="0" w:right="0" w:rightChars="0" w:firstLine="480" w:firstLineChars="200"/>
        <w:jc w:val="both"/>
        <w:textAlignment w:val="auto"/>
        <w:outlineLvl w:val="9"/>
        <w:rPr>
          <w:rFonts w:hint="eastAsia" w:ascii="宋体" w:hAnsi="宋体" w:eastAsia="宋体" w:cs="宋体"/>
          <w:b w:val="0"/>
          <w:bCs w:val="0"/>
          <w:color w:val="auto"/>
          <w:kern w:val="0"/>
          <w:sz w:val="24"/>
          <w:szCs w:val="24"/>
          <w:highlight w:val="none"/>
          <w:u w:val="none"/>
          <w:shd w:val="clear" w:color="auto" w:fill="FFFFFF"/>
          <w:lang w:val="en-US" w:eastAsia="zh-CN" w:bidi="ar-SA"/>
        </w:rPr>
      </w:pPr>
      <w:r>
        <w:rPr>
          <w:rFonts w:hint="eastAsia" w:ascii="宋体" w:hAnsi="宋体" w:eastAsia="宋体" w:cs="宋体"/>
          <w:b w:val="0"/>
          <w:bCs w:val="0"/>
          <w:color w:val="auto"/>
          <w:kern w:val="0"/>
          <w:sz w:val="24"/>
          <w:szCs w:val="24"/>
          <w:highlight w:val="none"/>
          <w:u w:val="none"/>
          <w:shd w:val="clear" w:color="auto" w:fill="FFFFFF"/>
          <w:lang w:val="en-US" w:eastAsia="zh-CN" w:bidi="ar-SA"/>
        </w:rPr>
        <w:t>3.1评定标完成后，中标候选人有下列情形之一的，招标人应按规定取消中标候选人资格或废除授标：</w:t>
      </w:r>
    </w:p>
    <w:p w14:paraId="7E960BB8">
      <w:pPr>
        <w:keepNext w:val="0"/>
        <w:keepLines w:val="0"/>
        <w:pageBreakBefore w:val="0"/>
        <w:widowControl w:val="0"/>
        <w:kinsoku/>
        <w:wordWrap/>
        <w:overflowPunct/>
        <w:topLinePunct w:val="0"/>
        <w:autoSpaceDE/>
        <w:autoSpaceDN/>
        <w:bidi w:val="0"/>
        <w:adjustRightInd/>
        <w:snapToGrid/>
        <w:spacing w:line="440" w:lineRule="exact"/>
        <w:ind w:left="0" w:leftChars="0" w:right="0" w:rightChars="0" w:firstLine="480" w:firstLineChars="200"/>
        <w:jc w:val="both"/>
        <w:textAlignment w:val="auto"/>
        <w:outlineLvl w:val="9"/>
        <w:rPr>
          <w:rFonts w:hint="eastAsia" w:ascii="宋体" w:hAnsi="宋体" w:eastAsia="宋体" w:cs="宋体"/>
          <w:b w:val="0"/>
          <w:bCs w:val="0"/>
          <w:color w:val="auto"/>
          <w:kern w:val="0"/>
          <w:sz w:val="24"/>
          <w:szCs w:val="24"/>
          <w:highlight w:val="none"/>
          <w:u w:val="none"/>
          <w:shd w:val="clear" w:color="auto" w:fill="FFFFFF"/>
          <w:lang w:val="en-US" w:eastAsia="zh-CN" w:bidi="ar-SA"/>
        </w:rPr>
      </w:pPr>
      <w:r>
        <w:rPr>
          <w:rFonts w:hint="eastAsia" w:ascii="宋体" w:hAnsi="宋体" w:eastAsia="宋体" w:cs="宋体"/>
          <w:b w:val="0"/>
          <w:bCs w:val="0"/>
          <w:color w:val="auto"/>
          <w:kern w:val="0"/>
          <w:sz w:val="24"/>
          <w:szCs w:val="24"/>
          <w:highlight w:val="none"/>
          <w:u w:val="none"/>
          <w:shd w:val="clear" w:color="auto" w:fill="FFFFFF"/>
          <w:lang w:val="en-US" w:eastAsia="zh-CN" w:bidi="ar-SA"/>
        </w:rPr>
        <w:t>（1）以他人名义投标或者以其他方式弄虚作假骗取中标的；</w:t>
      </w:r>
    </w:p>
    <w:p w14:paraId="20F8C8E1">
      <w:pPr>
        <w:keepNext w:val="0"/>
        <w:keepLines w:val="0"/>
        <w:pageBreakBefore w:val="0"/>
        <w:widowControl w:val="0"/>
        <w:kinsoku/>
        <w:wordWrap/>
        <w:overflowPunct/>
        <w:topLinePunct w:val="0"/>
        <w:autoSpaceDE/>
        <w:autoSpaceDN/>
        <w:bidi w:val="0"/>
        <w:adjustRightInd/>
        <w:snapToGrid/>
        <w:spacing w:line="440" w:lineRule="exact"/>
        <w:ind w:left="0" w:leftChars="0" w:right="0" w:rightChars="0" w:firstLine="480" w:firstLineChars="200"/>
        <w:jc w:val="both"/>
        <w:textAlignment w:val="auto"/>
        <w:outlineLvl w:val="9"/>
        <w:rPr>
          <w:rFonts w:hint="eastAsia" w:ascii="宋体" w:hAnsi="宋体" w:eastAsia="宋体" w:cs="宋体"/>
          <w:b w:val="0"/>
          <w:bCs w:val="0"/>
          <w:color w:val="auto"/>
          <w:kern w:val="0"/>
          <w:sz w:val="24"/>
          <w:szCs w:val="24"/>
          <w:highlight w:val="none"/>
          <w:u w:val="none"/>
          <w:shd w:val="clear" w:color="auto" w:fill="FFFFFF"/>
          <w:lang w:val="en-US" w:eastAsia="zh-CN" w:bidi="ar-SA"/>
        </w:rPr>
      </w:pPr>
      <w:r>
        <w:rPr>
          <w:rFonts w:hint="eastAsia" w:ascii="宋体" w:hAnsi="宋体" w:eastAsia="宋体" w:cs="宋体"/>
          <w:b w:val="0"/>
          <w:bCs w:val="0"/>
          <w:color w:val="auto"/>
          <w:kern w:val="0"/>
          <w:sz w:val="24"/>
          <w:szCs w:val="24"/>
          <w:highlight w:val="none"/>
          <w:u w:val="none"/>
          <w:shd w:val="clear" w:color="auto" w:fill="FFFFFF"/>
          <w:lang w:val="en-US" w:eastAsia="zh-CN" w:bidi="ar-SA"/>
        </w:rPr>
        <w:t>（2）与其他投标人串通投标或以行贿的手段谋取中标的；</w:t>
      </w:r>
    </w:p>
    <w:p w14:paraId="33E7A5B8">
      <w:pPr>
        <w:keepNext w:val="0"/>
        <w:keepLines w:val="0"/>
        <w:pageBreakBefore w:val="0"/>
        <w:widowControl w:val="0"/>
        <w:kinsoku/>
        <w:wordWrap/>
        <w:overflowPunct/>
        <w:topLinePunct w:val="0"/>
        <w:autoSpaceDE/>
        <w:autoSpaceDN/>
        <w:bidi w:val="0"/>
        <w:adjustRightInd/>
        <w:snapToGrid/>
        <w:spacing w:line="440" w:lineRule="exact"/>
        <w:ind w:left="0" w:leftChars="0" w:right="0" w:rightChars="0" w:firstLine="480" w:firstLineChars="200"/>
        <w:jc w:val="both"/>
        <w:textAlignment w:val="auto"/>
        <w:outlineLvl w:val="9"/>
        <w:rPr>
          <w:rFonts w:hint="eastAsia" w:ascii="宋体" w:hAnsi="宋体" w:eastAsia="宋体" w:cs="宋体"/>
          <w:b w:val="0"/>
          <w:bCs w:val="0"/>
          <w:color w:val="auto"/>
          <w:kern w:val="0"/>
          <w:sz w:val="24"/>
          <w:szCs w:val="24"/>
          <w:highlight w:val="none"/>
          <w:u w:val="none"/>
          <w:shd w:val="clear" w:color="auto" w:fill="FFFFFF"/>
          <w:lang w:val="en-US" w:eastAsia="zh-CN" w:bidi="ar-SA"/>
        </w:rPr>
      </w:pPr>
      <w:r>
        <w:rPr>
          <w:rFonts w:hint="eastAsia" w:ascii="宋体" w:hAnsi="宋体" w:eastAsia="宋体" w:cs="宋体"/>
          <w:b w:val="0"/>
          <w:bCs w:val="0"/>
          <w:color w:val="auto"/>
          <w:kern w:val="0"/>
          <w:sz w:val="24"/>
          <w:szCs w:val="24"/>
          <w:highlight w:val="none"/>
          <w:u w:val="none"/>
          <w:shd w:val="clear" w:color="auto" w:fill="FFFFFF"/>
          <w:lang w:val="en-US" w:eastAsia="zh-CN" w:bidi="ar-SA"/>
        </w:rPr>
        <w:t>（3）不是从本投标企业基本账户提交投标担保或以虚假方式提交投标保证金保函（保单）的；</w:t>
      </w:r>
    </w:p>
    <w:p w14:paraId="5D731CD9">
      <w:pPr>
        <w:keepNext w:val="0"/>
        <w:keepLines w:val="0"/>
        <w:pageBreakBefore w:val="0"/>
        <w:widowControl w:val="0"/>
        <w:kinsoku/>
        <w:wordWrap/>
        <w:overflowPunct/>
        <w:topLinePunct w:val="0"/>
        <w:autoSpaceDE/>
        <w:autoSpaceDN/>
        <w:bidi w:val="0"/>
        <w:adjustRightInd/>
        <w:snapToGrid/>
        <w:spacing w:line="440" w:lineRule="exact"/>
        <w:ind w:left="0" w:leftChars="0" w:right="0" w:rightChars="0" w:firstLine="480" w:firstLineChars="200"/>
        <w:jc w:val="both"/>
        <w:textAlignment w:val="auto"/>
        <w:outlineLvl w:val="9"/>
        <w:rPr>
          <w:rFonts w:hint="eastAsia" w:ascii="宋体" w:hAnsi="宋体" w:eastAsia="宋体" w:cs="宋体"/>
          <w:b w:val="0"/>
          <w:bCs w:val="0"/>
          <w:color w:val="auto"/>
          <w:kern w:val="0"/>
          <w:sz w:val="24"/>
          <w:szCs w:val="24"/>
          <w:highlight w:val="none"/>
          <w:u w:val="none"/>
          <w:shd w:val="clear" w:color="auto" w:fill="FFFFFF"/>
          <w:lang w:val="en-US" w:eastAsia="zh-CN" w:bidi="ar-SA"/>
        </w:rPr>
      </w:pPr>
      <w:r>
        <w:rPr>
          <w:rFonts w:hint="eastAsia" w:ascii="宋体" w:hAnsi="宋体" w:eastAsia="宋体" w:cs="宋体"/>
          <w:b w:val="0"/>
          <w:bCs w:val="0"/>
          <w:color w:val="auto"/>
          <w:kern w:val="0"/>
          <w:sz w:val="24"/>
          <w:szCs w:val="24"/>
          <w:highlight w:val="none"/>
          <w:u w:val="none"/>
          <w:shd w:val="clear" w:color="auto" w:fill="FFFFFF"/>
          <w:lang w:val="en-US" w:eastAsia="zh-CN" w:bidi="ar-SA"/>
        </w:rPr>
        <w:t>（4）中标人于投标有效期终止之前撤回投标文件，或者排名第一的中标候选人放弃中标资格的；</w:t>
      </w:r>
    </w:p>
    <w:p w14:paraId="14F9E13B">
      <w:pPr>
        <w:keepNext w:val="0"/>
        <w:keepLines w:val="0"/>
        <w:pageBreakBefore w:val="0"/>
        <w:widowControl w:val="0"/>
        <w:kinsoku/>
        <w:wordWrap/>
        <w:overflowPunct/>
        <w:topLinePunct w:val="0"/>
        <w:autoSpaceDE/>
        <w:autoSpaceDN/>
        <w:bidi w:val="0"/>
        <w:adjustRightInd/>
        <w:snapToGrid/>
        <w:spacing w:line="440" w:lineRule="exact"/>
        <w:ind w:left="0" w:leftChars="0" w:right="0" w:rightChars="0" w:firstLine="480" w:firstLineChars="200"/>
        <w:jc w:val="both"/>
        <w:textAlignment w:val="auto"/>
        <w:outlineLvl w:val="9"/>
        <w:rPr>
          <w:rFonts w:hint="eastAsia" w:ascii="宋体" w:hAnsi="宋体" w:eastAsia="宋体" w:cs="宋体"/>
          <w:b w:val="0"/>
          <w:bCs w:val="0"/>
          <w:color w:val="auto"/>
          <w:kern w:val="0"/>
          <w:sz w:val="24"/>
          <w:szCs w:val="24"/>
          <w:highlight w:val="none"/>
          <w:u w:val="none"/>
          <w:shd w:val="clear" w:color="auto" w:fill="FFFFFF"/>
          <w:lang w:val="en-US" w:eastAsia="zh-CN" w:bidi="ar-SA"/>
        </w:rPr>
      </w:pPr>
      <w:r>
        <w:rPr>
          <w:rFonts w:hint="eastAsia" w:ascii="宋体" w:hAnsi="宋体" w:eastAsia="宋体" w:cs="宋体"/>
          <w:b w:val="0"/>
          <w:bCs w:val="0"/>
          <w:color w:val="auto"/>
          <w:kern w:val="0"/>
          <w:sz w:val="24"/>
          <w:szCs w:val="24"/>
          <w:highlight w:val="none"/>
          <w:u w:val="none"/>
          <w:shd w:val="clear" w:color="auto" w:fill="FFFFFF"/>
          <w:lang w:val="en-US" w:eastAsia="zh-CN" w:bidi="ar-SA"/>
        </w:rPr>
        <w:t>（5）因中标人过错而未能按照规定与招标人签订工程总承包合同或中标人因不可抗力提出不能履行合同的；</w:t>
      </w:r>
    </w:p>
    <w:p w14:paraId="6C07216B">
      <w:pPr>
        <w:keepNext w:val="0"/>
        <w:keepLines w:val="0"/>
        <w:pageBreakBefore w:val="0"/>
        <w:widowControl w:val="0"/>
        <w:kinsoku/>
        <w:wordWrap/>
        <w:overflowPunct/>
        <w:topLinePunct w:val="0"/>
        <w:autoSpaceDE/>
        <w:autoSpaceDN/>
        <w:bidi w:val="0"/>
        <w:adjustRightInd/>
        <w:snapToGrid/>
        <w:spacing w:line="440" w:lineRule="exact"/>
        <w:ind w:left="0" w:leftChars="0" w:right="0" w:rightChars="0" w:firstLine="480" w:firstLineChars="200"/>
        <w:jc w:val="both"/>
        <w:textAlignment w:val="auto"/>
        <w:outlineLvl w:val="9"/>
        <w:rPr>
          <w:rFonts w:hint="eastAsia" w:ascii="宋体" w:hAnsi="宋体" w:eastAsia="宋体" w:cs="宋体"/>
          <w:b w:val="0"/>
          <w:bCs w:val="0"/>
          <w:color w:val="auto"/>
          <w:kern w:val="0"/>
          <w:sz w:val="24"/>
          <w:szCs w:val="24"/>
          <w:highlight w:val="none"/>
          <w:u w:val="none"/>
          <w:shd w:val="clear" w:color="auto" w:fill="FFFFFF"/>
          <w:lang w:val="en-US" w:eastAsia="zh-CN" w:bidi="ar-SA"/>
        </w:rPr>
      </w:pPr>
      <w:r>
        <w:rPr>
          <w:rFonts w:hint="eastAsia" w:ascii="宋体" w:hAnsi="宋体" w:eastAsia="宋体" w:cs="宋体"/>
          <w:b w:val="0"/>
          <w:bCs w:val="0"/>
          <w:color w:val="auto"/>
          <w:kern w:val="0"/>
          <w:sz w:val="24"/>
          <w:szCs w:val="24"/>
          <w:highlight w:val="none"/>
          <w:u w:val="none"/>
          <w:shd w:val="clear" w:color="auto" w:fill="FFFFFF"/>
          <w:lang w:val="en-US" w:eastAsia="zh-CN" w:bidi="ar-SA"/>
        </w:rPr>
        <w:t>（6）因中标人过错而未能按照招标文件要求向招标人提交履约担保的；</w:t>
      </w:r>
    </w:p>
    <w:p w14:paraId="62D3C179">
      <w:pPr>
        <w:keepNext w:val="0"/>
        <w:keepLines w:val="0"/>
        <w:pageBreakBefore w:val="0"/>
        <w:widowControl w:val="0"/>
        <w:kinsoku/>
        <w:wordWrap/>
        <w:overflowPunct/>
        <w:topLinePunct w:val="0"/>
        <w:autoSpaceDE/>
        <w:autoSpaceDN/>
        <w:bidi w:val="0"/>
        <w:adjustRightInd/>
        <w:snapToGrid/>
        <w:spacing w:line="440" w:lineRule="exact"/>
        <w:ind w:left="0" w:leftChars="0" w:right="0" w:rightChars="0" w:firstLine="480" w:firstLineChars="200"/>
        <w:jc w:val="both"/>
        <w:textAlignment w:val="auto"/>
        <w:outlineLvl w:val="9"/>
        <w:rPr>
          <w:rFonts w:hint="eastAsia" w:ascii="宋体" w:hAnsi="宋体" w:eastAsia="宋体" w:cs="宋体"/>
          <w:b w:val="0"/>
          <w:bCs w:val="0"/>
          <w:color w:val="auto"/>
          <w:kern w:val="0"/>
          <w:sz w:val="24"/>
          <w:szCs w:val="24"/>
          <w:highlight w:val="none"/>
          <w:u w:val="none"/>
          <w:shd w:val="clear" w:color="auto" w:fill="FFFFFF"/>
          <w:lang w:val="en-US" w:eastAsia="zh-CN" w:bidi="ar-SA"/>
        </w:rPr>
      </w:pPr>
      <w:r>
        <w:rPr>
          <w:rFonts w:hint="eastAsia" w:ascii="宋体" w:hAnsi="宋体" w:eastAsia="宋体" w:cs="宋体"/>
          <w:b w:val="0"/>
          <w:bCs w:val="0"/>
          <w:color w:val="auto"/>
          <w:kern w:val="0"/>
          <w:sz w:val="24"/>
          <w:szCs w:val="24"/>
          <w:highlight w:val="none"/>
          <w:u w:val="none"/>
          <w:shd w:val="clear" w:color="auto" w:fill="FFFFFF"/>
          <w:lang w:val="en-US" w:eastAsia="zh-CN" w:bidi="ar-SA"/>
        </w:rPr>
        <w:t>（7）中标单位拟派的项目负责人从投标截止时间起在其他建设工程担任项目负责人；</w:t>
      </w:r>
    </w:p>
    <w:p w14:paraId="1635A43D">
      <w:pPr>
        <w:keepNext w:val="0"/>
        <w:keepLines w:val="0"/>
        <w:pageBreakBefore w:val="0"/>
        <w:widowControl w:val="0"/>
        <w:kinsoku/>
        <w:wordWrap/>
        <w:overflowPunct/>
        <w:topLinePunct w:val="0"/>
        <w:autoSpaceDE/>
        <w:autoSpaceDN/>
        <w:bidi w:val="0"/>
        <w:adjustRightInd/>
        <w:snapToGrid/>
        <w:spacing w:line="440" w:lineRule="exact"/>
        <w:ind w:left="0" w:leftChars="0" w:right="0" w:rightChars="0" w:firstLine="480" w:firstLineChars="200"/>
        <w:jc w:val="both"/>
        <w:textAlignment w:val="auto"/>
        <w:outlineLvl w:val="9"/>
        <w:rPr>
          <w:rFonts w:hint="eastAsia" w:ascii="宋体" w:hAnsi="宋体" w:eastAsia="宋体" w:cs="宋体"/>
          <w:b w:val="0"/>
          <w:bCs w:val="0"/>
          <w:color w:val="auto"/>
          <w:kern w:val="0"/>
          <w:sz w:val="24"/>
          <w:szCs w:val="24"/>
          <w:highlight w:val="none"/>
          <w:u w:val="none"/>
          <w:shd w:val="clear" w:color="auto" w:fill="FFFFFF"/>
          <w:lang w:val="en-US" w:eastAsia="zh-CN" w:bidi="ar-SA"/>
        </w:rPr>
      </w:pPr>
      <w:r>
        <w:rPr>
          <w:rFonts w:hint="eastAsia" w:ascii="宋体" w:hAnsi="宋体" w:eastAsia="宋体" w:cs="宋体"/>
          <w:b w:val="0"/>
          <w:bCs w:val="0"/>
          <w:color w:val="auto"/>
          <w:kern w:val="0"/>
          <w:sz w:val="24"/>
          <w:szCs w:val="24"/>
          <w:highlight w:val="none"/>
          <w:u w:val="none"/>
          <w:shd w:val="clear" w:color="auto" w:fill="FFFFFF"/>
          <w:lang w:val="en-US" w:eastAsia="zh-CN" w:bidi="ar-SA"/>
        </w:rPr>
        <w:t>（8）中标人被有关部门查实存在影响中标结果的违法行为，不符合中标条件的；</w:t>
      </w:r>
    </w:p>
    <w:p w14:paraId="72C52F77">
      <w:pPr>
        <w:keepNext w:val="0"/>
        <w:keepLines w:val="0"/>
        <w:pageBreakBefore w:val="0"/>
        <w:widowControl w:val="0"/>
        <w:kinsoku/>
        <w:wordWrap/>
        <w:overflowPunct/>
        <w:topLinePunct w:val="0"/>
        <w:autoSpaceDE/>
        <w:autoSpaceDN/>
        <w:bidi w:val="0"/>
        <w:adjustRightInd/>
        <w:snapToGrid/>
        <w:spacing w:line="440" w:lineRule="exact"/>
        <w:ind w:left="0" w:leftChars="0" w:right="0" w:rightChars="0" w:firstLine="480" w:firstLineChars="200"/>
        <w:jc w:val="both"/>
        <w:textAlignment w:val="auto"/>
        <w:outlineLvl w:val="9"/>
        <w:rPr>
          <w:rFonts w:hint="eastAsia" w:ascii="宋体" w:hAnsi="宋体" w:eastAsia="宋体" w:cs="宋体"/>
          <w:b w:val="0"/>
          <w:bCs w:val="0"/>
          <w:color w:val="auto"/>
          <w:kern w:val="0"/>
          <w:sz w:val="24"/>
          <w:szCs w:val="24"/>
          <w:highlight w:val="none"/>
          <w:u w:val="none"/>
          <w:shd w:val="clear" w:color="auto" w:fill="FFFFFF"/>
          <w:lang w:val="en-US" w:eastAsia="zh-CN" w:bidi="ar-SA"/>
        </w:rPr>
      </w:pPr>
      <w:r>
        <w:rPr>
          <w:rFonts w:hint="eastAsia" w:ascii="宋体" w:hAnsi="宋体" w:eastAsia="宋体" w:cs="宋体"/>
          <w:b w:val="0"/>
          <w:bCs w:val="0"/>
          <w:color w:val="auto"/>
          <w:kern w:val="0"/>
          <w:sz w:val="24"/>
          <w:szCs w:val="24"/>
          <w:highlight w:val="none"/>
          <w:u w:val="none"/>
          <w:shd w:val="clear" w:color="auto" w:fill="FFFFFF"/>
          <w:lang w:val="en-US" w:eastAsia="zh-CN" w:bidi="ar-SA"/>
        </w:rPr>
        <w:t>（9）中标人在参加本项目投标时有本企业投标承诺书所列被依法限制或暂停承揽业务或停业的处罚的；</w:t>
      </w:r>
    </w:p>
    <w:p w14:paraId="04490D83">
      <w:pPr>
        <w:keepNext w:val="0"/>
        <w:keepLines w:val="0"/>
        <w:pageBreakBefore w:val="0"/>
        <w:widowControl w:val="0"/>
        <w:kinsoku/>
        <w:wordWrap/>
        <w:overflowPunct/>
        <w:topLinePunct w:val="0"/>
        <w:autoSpaceDE/>
        <w:autoSpaceDN/>
        <w:bidi w:val="0"/>
        <w:adjustRightInd/>
        <w:snapToGrid/>
        <w:spacing w:line="440" w:lineRule="exact"/>
        <w:ind w:left="0" w:leftChars="0" w:right="0" w:rightChars="0" w:firstLine="480" w:firstLineChars="200"/>
        <w:jc w:val="both"/>
        <w:textAlignment w:val="auto"/>
        <w:outlineLvl w:val="9"/>
        <w:rPr>
          <w:rFonts w:hint="eastAsia" w:ascii="宋体" w:hAnsi="宋体" w:eastAsia="宋体" w:cs="宋体"/>
          <w:b w:val="0"/>
          <w:bCs w:val="0"/>
          <w:color w:val="auto"/>
          <w:kern w:val="0"/>
          <w:sz w:val="24"/>
          <w:szCs w:val="24"/>
          <w:highlight w:val="none"/>
          <w:u w:val="none"/>
          <w:shd w:val="clear" w:color="auto" w:fill="FFFFFF"/>
          <w:lang w:val="en-US" w:eastAsia="zh-CN" w:bidi="ar-SA"/>
        </w:rPr>
      </w:pPr>
      <w:r>
        <w:rPr>
          <w:rFonts w:hint="eastAsia" w:ascii="宋体" w:hAnsi="宋体" w:eastAsia="宋体" w:cs="宋体"/>
          <w:b w:val="0"/>
          <w:bCs w:val="0"/>
          <w:color w:val="auto"/>
          <w:kern w:val="0"/>
          <w:sz w:val="24"/>
          <w:szCs w:val="24"/>
          <w:highlight w:val="none"/>
          <w:u w:val="none"/>
          <w:shd w:val="clear" w:color="auto" w:fill="FFFFFF"/>
          <w:lang w:val="en-US" w:eastAsia="zh-CN" w:bidi="ar-SA"/>
        </w:rPr>
        <w:t>（10）</w:t>
      </w:r>
      <w:r>
        <w:rPr>
          <w:rFonts w:hint="eastAsia" w:hAnsi="宋体" w:eastAsia="宋体" w:cs="宋体"/>
          <w:b w:val="0"/>
          <w:bCs w:val="0"/>
          <w:color w:val="auto"/>
          <w:kern w:val="0"/>
          <w:sz w:val="24"/>
          <w:szCs w:val="24"/>
          <w:highlight w:val="none"/>
          <w:u w:val="none"/>
          <w:shd w:val="clear" w:color="auto" w:fill="FFFFFF"/>
          <w:lang w:val="en-US" w:eastAsia="zh-CN" w:bidi="ar-SA"/>
        </w:rPr>
        <w:t>法律法规或</w:t>
      </w:r>
      <w:r>
        <w:rPr>
          <w:rFonts w:hint="eastAsia" w:ascii="宋体" w:hAnsi="宋体" w:eastAsia="宋体" w:cs="宋体"/>
          <w:b w:val="0"/>
          <w:bCs w:val="0"/>
          <w:color w:val="auto"/>
          <w:kern w:val="0"/>
          <w:sz w:val="24"/>
          <w:szCs w:val="24"/>
          <w:highlight w:val="none"/>
          <w:u w:val="none"/>
          <w:shd w:val="clear" w:color="auto" w:fill="FFFFFF"/>
          <w:lang w:val="en-US" w:eastAsia="zh-CN" w:bidi="ar-SA"/>
        </w:rPr>
        <w:t>招标文件明确规定可以废除授标的其他情形。</w:t>
      </w:r>
    </w:p>
    <w:p w14:paraId="17263511">
      <w:pPr>
        <w:keepNext w:val="0"/>
        <w:keepLines w:val="0"/>
        <w:pageBreakBefore w:val="0"/>
        <w:widowControl w:val="0"/>
        <w:kinsoku/>
        <w:wordWrap/>
        <w:overflowPunct/>
        <w:topLinePunct w:val="0"/>
        <w:autoSpaceDE/>
        <w:autoSpaceDN/>
        <w:bidi w:val="0"/>
        <w:adjustRightInd/>
        <w:snapToGrid/>
        <w:spacing w:line="440" w:lineRule="exact"/>
        <w:ind w:left="0" w:leftChars="0" w:right="0" w:rightChars="0" w:firstLine="480" w:firstLineChars="200"/>
        <w:jc w:val="both"/>
        <w:textAlignment w:val="auto"/>
        <w:outlineLvl w:val="9"/>
        <w:rPr>
          <w:rFonts w:hint="eastAsia" w:ascii="宋体" w:hAnsi="宋体" w:eastAsia="宋体" w:cs="宋体"/>
          <w:b w:val="0"/>
          <w:bCs w:val="0"/>
          <w:color w:val="auto"/>
          <w:kern w:val="0"/>
          <w:sz w:val="24"/>
          <w:szCs w:val="24"/>
          <w:highlight w:val="none"/>
          <w:u w:val="none"/>
          <w:shd w:val="clear" w:color="auto" w:fill="FFFFFF"/>
          <w:lang w:val="en-US" w:eastAsia="zh-CN" w:bidi="ar-SA"/>
        </w:rPr>
      </w:pPr>
      <w:r>
        <w:rPr>
          <w:rFonts w:hint="eastAsia" w:ascii="宋体" w:hAnsi="宋体" w:eastAsia="宋体" w:cs="宋体"/>
          <w:b w:val="0"/>
          <w:bCs w:val="0"/>
          <w:color w:val="auto"/>
          <w:kern w:val="0"/>
          <w:sz w:val="24"/>
          <w:szCs w:val="24"/>
          <w:highlight w:val="none"/>
          <w:u w:val="none"/>
          <w:shd w:val="clear" w:color="auto" w:fill="FFFFFF"/>
          <w:lang w:val="en-US" w:eastAsia="zh-CN" w:bidi="ar-SA"/>
        </w:rPr>
        <w:t>3.2 排名第一的中标候选人被取消中标候选人资格或废除授标，招标人可以按照定标委员会提出的中标候选人名单排序按规定依次确定其他中标候选人为中标人，并按规定实行中标结果公示；也可以按规定重新组织招标或报原项目审批、核准部门重新审批、核准招标方式。</w:t>
      </w:r>
    </w:p>
    <w:p w14:paraId="2C06EE73">
      <w:pPr>
        <w:keepNext w:val="0"/>
        <w:keepLines w:val="0"/>
        <w:pageBreakBefore w:val="0"/>
        <w:widowControl w:val="0"/>
        <w:kinsoku/>
        <w:wordWrap/>
        <w:overflowPunct/>
        <w:topLinePunct w:val="0"/>
        <w:bidi w:val="0"/>
        <w:adjustRightInd/>
        <w:spacing w:line="460" w:lineRule="exact"/>
        <w:textAlignment w:val="auto"/>
        <w:rPr>
          <w:rFonts w:hint="eastAsia"/>
          <w:color w:val="auto"/>
          <w:sz w:val="24"/>
          <w:szCs w:val="24"/>
          <w:highlight w:val="none"/>
        </w:rPr>
        <w:sectPr>
          <w:endnotePr>
            <w:numFmt w:val="decimal"/>
          </w:endnotePr>
          <w:pgSz w:w="11905" w:h="16838"/>
          <w:pgMar w:top="1134" w:right="1134" w:bottom="1134" w:left="1417" w:header="850" w:footer="0" w:gutter="0"/>
          <w:pgBorders>
            <w:top w:val="none" w:sz="0" w:space="0"/>
            <w:left w:val="none" w:sz="0" w:space="0"/>
            <w:bottom w:val="none" w:sz="0" w:space="0"/>
            <w:right w:val="none" w:sz="0" w:space="0"/>
          </w:pgBorders>
          <w:pgNumType w:fmt="decimal"/>
          <w:cols w:space="0" w:num="1"/>
          <w:rtlGutter w:val="0"/>
          <w:docGrid w:linePitch="327" w:charSpace="0"/>
        </w:sectPr>
      </w:pPr>
    </w:p>
    <w:p w14:paraId="70F647B6">
      <w:pPr>
        <w:pStyle w:val="38"/>
        <w:keepNext/>
        <w:keepLines/>
        <w:tabs>
          <w:tab w:val="left" w:pos="885"/>
        </w:tabs>
        <w:spacing w:line="400" w:lineRule="exact"/>
        <w:jc w:val="center"/>
        <w:rPr>
          <w:rFonts w:asciiTheme="minorEastAsia" w:hAnsiTheme="minorEastAsia" w:eastAsiaTheme="minorEastAsia" w:cstheme="minorEastAsia"/>
          <w:b/>
          <w:color w:val="auto"/>
          <w:kern w:val="44"/>
          <w:sz w:val="36"/>
          <w:szCs w:val="36"/>
          <w:highlight w:val="none"/>
        </w:rPr>
      </w:pPr>
      <w:bookmarkStart w:id="294" w:name="_Toc19917"/>
      <w:r>
        <w:rPr>
          <w:rFonts w:hint="eastAsia" w:asciiTheme="minorEastAsia" w:hAnsiTheme="minorEastAsia" w:eastAsiaTheme="minorEastAsia" w:cstheme="minorEastAsia"/>
          <w:b/>
          <w:color w:val="auto"/>
          <w:kern w:val="44"/>
          <w:sz w:val="36"/>
          <w:szCs w:val="36"/>
          <w:highlight w:val="none"/>
        </w:rPr>
        <w:t>第二章</w:t>
      </w:r>
      <w:bookmarkStart w:id="295" w:name="_Hlt87793831"/>
      <w:bookmarkEnd w:id="295"/>
      <w:r>
        <w:rPr>
          <w:rFonts w:hint="eastAsia" w:asciiTheme="minorEastAsia" w:hAnsiTheme="minorEastAsia" w:eastAsiaTheme="minorEastAsia" w:cstheme="minorEastAsia"/>
          <w:b/>
          <w:color w:val="auto"/>
          <w:kern w:val="44"/>
          <w:sz w:val="36"/>
          <w:szCs w:val="36"/>
          <w:highlight w:val="none"/>
        </w:rPr>
        <w:t xml:space="preserve"> 拟签订合同的主要条款</w:t>
      </w:r>
      <w:bookmarkEnd w:id="272"/>
      <w:bookmarkEnd w:id="273"/>
      <w:bookmarkEnd w:id="274"/>
      <w:bookmarkEnd w:id="275"/>
      <w:bookmarkEnd w:id="276"/>
      <w:bookmarkEnd w:id="277"/>
      <w:bookmarkEnd w:id="278"/>
      <w:bookmarkEnd w:id="279"/>
      <w:bookmarkEnd w:id="294"/>
    </w:p>
    <w:p w14:paraId="1EACE97D">
      <w:pPr>
        <w:pStyle w:val="37"/>
        <w:rPr>
          <w:rFonts w:asciiTheme="minorEastAsia" w:hAnsiTheme="minorEastAsia" w:eastAsiaTheme="minorEastAsia" w:cstheme="minorEastAsia"/>
          <w:color w:val="auto"/>
          <w:highlight w:val="none"/>
        </w:rPr>
      </w:pPr>
    </w:p>
    <w:bookmarkEnd w:id="280"/>
    <w:bookmarkEnd w:id="281"/>
    <w:p w14:paraId="69C56DE8">
      <w:pPr>
        <w:pStyle w:val="39"/>
        <w:keepNext/>
        <w:keepLines/>
        <w:pageBreakBefore w:val="0"/>
        <w:kinsoku/>
        <w:overflowPunct/>
        <w:topLinePunct w:val="0"/>
        <w:bidi w:val="0"/>
        <w:spacing w:line="440" w:lineRule="exact"/>
        <w:ind w:firstLine="480"/>
        <w:jc w:val="both"/>
        <w:textAlignment w:val="auto"/>
        <w:rPr>
          <w:rFonts w:hint="eastAsia" w:ascii="宋体" w:hAnsi="宋体" w:eastAsia="宋体" w:cs="宋体"/>
          <w:b/>
          <w:color w:val="auto"/>
          <w:kern w:val="2"/>
          <w:highlight w:val="none"/>
        </w:rPr>
      </w:pPr>
      <w:bookmarkStart w:id="296" w:name="_Toc28378"/>
      <w:bookmarkStart w:id="297" w:name="_Toc19306"/>
      <w:bookmarkStart w:id="298" w:name="_Toc26552"/>
      <w:bookmarkStart w:id="299" w:name="_Toc326916629"/>
      <w:bookmarkStart w:id="300" w:name="_Toc322793288"/>
      <w:bookmarkStart w:id="301" w:name="_Toc12651"/>
      <w:bookmarkStart w:id="302" w:name="_Toc21667"/>
      <w:bookmarkStart w:id="303" w:name="_Toc7347"/>
      <w:bookmarkStart w:id="304" w:name="_Toc18454"/>
      <w:bookmarkStart w:id="305" w:name="_Toc19931"/>
      <w:bookmarkStart w:id="306" w:name="_Toc22879"/>
      <w:bookmarkStart w:id="307" w:name="_Toc8407"/>
      <w:bookmarkStart w:id="308" w:name="_Hlt69698741"/>
      <w:bookmarkStart w:id="309" w:name="_Hlt69698769"/>
      <w:bookmarkStart w:id="310" w:name="_Hlt69698722"/>
      <w:r>
        <w:rPr>
          <w:rFonts w:hint="eastAsia" w:ascii="宋体" w:hAnsi="宋体" w:eastAsia="宋体" w:cs="宋体"/>
          <w:b/>
          <w:color w:val="auto"/>
          <w:kern w:val="2"/>
          <w:highlight w:val="none"/>
        </w:rPr>
        <w:t>1 工程承包方式</w:t>
      </w:r>
      <w:bookmarkEnd w:id="296"/>
      <w:bookmarkEnd w:id="297"/>
      <w:bookmarkEnd w:id="298"/>
      <w:bookmarkEnd w:id="299"/>
      <w:bookmarkEnd w:id="300"/>
      <w:bookmarkEnd w:id="301"/>
      <w:bookmarkEnd w:id="302"/>
      <w:bookmarkEnd w:id="303"/>
      <w:bookmarkEnd w:id="304"/>
      <w:bookmarkEnd w:id="305"/>
      <w:bookmarkEnd w:id="306"/>
      <w:bookmarkEnd w:id="307"/>
    </w:p>
    <w:p w14:paraId="464BFB79">
      <w:pPr>
        <w:pStyle w:val="37"/>
        <w:pageBreakBefore w:val="0"/>
        <w:kinsoku/>
        <w:overflowPunct/>
        <w:topLinePunct w:val="0"/>
        <w:bidi w:val="0"/>
        <w:spacing w:line="440" w:lineRule="exact"/>
        <w:ind w:firstLine="480" w:firstLineChars="200"/>
        <w:textAlignment w:val="auto"/>
        <w:rPr>
          <w:rFonts w:hint="eastAsia" w:ascii="宋体" w:hAnsi="宋体" w:eastAsia="宋体" w:cs="宋体"/>
          <w:color w:val="auto"/>
          <w:highlight w:val="none"/>
        </w:rPr>
      </w:pPr>
      <w:r>
        <w:rPr>
          <w:rFonts w:hint="eastAsia" w:ascii="宋体" w:hAnsi="宋体" w:eastAsia="宋体" w:cs="宋体"/>
          <w:color w:val="auto"/>
          <w:highlight w:val="none"/>
        </w:rPr>
        <w:t>1.1承包人按中标价</w:t>
      </w:r>
      <w:r>
        <w:rPr>
          <w:rFonts w:hint="eastAsia" w:hAnsi="宋体" w:cs="宋体"/>
          <w:color w:val="auto"/>
          <w:highlight w:val="none"/>
          <w:lang w:eastAsia="zh-CN"/>
        </w:rPr>
        <w:t>（下浮率）</w:t>
      </w:r>
      <w:r>
        <w:rPr>
          <w:rFonts w:hint="eastAsia" w:ascii="宋体" w:hAnsi="宋体" w:eastAsia="宋体" w:cs="宋体"/>
          <w:color w:val="auto"/>
          <w:highlight w:val="none"/>
        </w:rPr>
        <w:t>以总承包方式在规定的期限内对设计、施工（包工</w:t>
      </w:r>
      <w:bookmarkStart w:id="311" w:name="_Hlt87948212"/>
      <w:bookmarkEnd w:id="311"/>
      <w:r>
        <w:rPr>
          <w:rFonts w:hint="eastAsia" w:ascii="宋体" w:hAnsi="宋体" w:eastAsia="宋体" w:cs="宋体"/>
          <w:color w:val="auto"/>
          <w:highlight w:val="none"/>
        </w:rPr>
        <w:t>包料、包质量、包机械、包绿色安全文明施工、包工期等）进行总承包，不允许转包和违法分包，如承包人无相应专业资质，确需分包须与发包人协商并得到发包人和监理人同意并报工程主管部门备案。</w:t>
      </w:r>
    </w:p>
    <w:p w14:paraId="3ED3626F">
      <w:pPr>
        <w:pStyle w:val="37"/>
        <w:pageBreakBefore w:val="0"/>
        <w:kinsoku/>
        <w:overflowPunct/>
        <w:topLinePunct w:val="0"/>
        <w:bidi w:val="0"/>
        <w:spacing w:line="440" w:lineRule="exact"/>
        <w:ind w:firstLine="480" w:firstLineChars="200"/>
        <w:textAlignment w:val="auto"/>
        <w:rPr>
          <w:rFonts w:hint="eastAsia" w:ascii="宋体" w:hAnsi="宋体" w:eastAsia="宋体" w:cs="宋体"/>
          <w:color w:val="auto"/>
          <w:highlight w:val="none"/>
        </w:rPr>
      </w:pPr>
      <w:r>
        <w:rPr>
          <w:rFonts w:hint="eastAsia" w:ascii="宋体" w:hAnsi="宋体" w:eastAsia="宋体" w:cs="宋体"/>
          <w:color w:val="auto"/>
          <w:highlight w:val="none"/>
        </w:rPr>
        <w:t>1.1.1 包工包料：材料符合招标文件要求</w:t>
      </w:r>
      <w:r>
        <w:rPr>
          <w:rFonts w:hint="eastAsia" w:ascii="宋体" w:hAnsi="宋体" w:eastAsia="宋体" w:cs="宋体"/>
          <w:snapToGrid w:val="0"/>
          <w:color w:val="auto"/>
          <w:kern w:val="0"/>
          <w:highlight w:val="none"/>
        </w:rPr>
        <w:t>及合同的相关约定</w:t>
      </w:r>
      <w:r>
        <w:rPr>
          <w:rFonts w:hint="eastAsia" w:ascii="宋体" w:hAnsi="宋体" w:eastAsia="宋体" w:cs="宋体"/>
          <w:color w:val="auto"/>
          <w:highlight w:val="none"/>
        </w:rPr>
        <w:t>，报验使用；办理用工保险。</w:t>
      </w:r>
    </w:p>
    <w:p w14:paraId="5C883D8B">
      <w:pPr>
        <w:pStyle w:val="37"/>
        <w:pageBreakBefore w:val="0"/>
        <w:kinsoku/>
        <w:overflowPunct/>
        <w:topLinePunct w:val="0"/>
        <w:bidi w:val="0"/>
        <w:spacing w:line="440" w:lineRule="exact"/>
        <w:ind w:firstLine="480" w:firstLineChars="200"/>
        <w:textAlignment w:val="auto"/>
        <w:rPr>
          <w:rFonts w:hint="eastAsia" w:ascii="宋体" w:hAnsi="宋体" w:eastAsia="宋体" w:cs="宋体"/>
          <w:color w:val="auto"/>
          <w:highlight w:val="none"/>
        </w:rPr>
      </w:pPr>
      <w:r>
        <w:rPr>
          <w:rFonts w:hint="eastAsia" w:ascii="宋体" w:hAnsi="宋体" w:eastAsia="宋体" w:cs="宋体"/>
          <w:color w:val="auto"/>
          <w:highlight w:val="none"/>
        </w:rPr>
        <w:t>1.1.2 包质量：符合招标文件要求</w:t>
      </w:r>
      <w:r>
        <w:rPr>
          <w:rFonts w:hint="eastAsia" w:ascii="宋体" w:hAnsi="宋体" w:eastAsia="宋体" w:cs="宋体"/>
          <w:color w:val="auto"/>
          <w:szCs w:val="24"/>
          <w:highlight w:val="none"/>
        </w:rPr>
        <w:t>及合同有关质量的相关约定</w:t>
      </w:r>
      <w:r>
        <w:rPr>
          <w:rFonts w:hint="eastAsia" w:ascii="宋体" w:hAnsi="宋体" w:eastAsia="宋体" w:cs="宋体"/>
          <w:color w:val="auto"/>
          <w:highlight w:val="none"/>
        </w:rPr>
        <w:t>。</w:t>
      </w:r>
    </w:p>
    <w:p w14:paraId="4E2F2D52">
      <w:pPr>
        <w:pageBreakBefore w:val="0"/>
        <w:kinsoku/>
        <w:wordWrap w:val="0"/>
        <w:overflowPunct/>
        <w:topLinePunct w:val="0"/>
        <w:bidi w:val="0"/>
        <w:adjustRightInd w:val="0"/>
        <w:snapToGrid w:val="0"/>
        <w:spacing w:line="440" w:lineRule="exact"/>
        <w:ind w:firstLine="480" w:firstLineChars="200"/>
        <w:textAlignment w:val="auto"/>
        <w:rPr>
          <w:rFonts w:hint="eastAsia" w:ascii="宋体" w:hAnsi="宋体" w:eastAsia="宋体" w:cs="宋体"/>
          <w:color w:val="auto"/>
          <w:szCs w:val="22"/>
          <w:highlight w:val="none"/>
        </w:rPr>
      </w:pPr>
      <w:r>
        <w:rPr>
          <w:rFonts w:hint="eastAsia" w:ascii="宋体" w:hAnsi="宋体" w:eastAsia="宋体" w:cs="宋体"/>
          <w:color w:val="auto"/>
          <w:szCs w:val="22"/>
          <w:highlight w:val="none"/>
        </w:rPr>
        <w:t>1.1.3 包安全包文明施工：符合国家及省、市的相关规定及招标文件、合同的相关约定要求。</w:t>
      </w:r>
    </w:p>
    <w:p w14:paraId="23255ABD">
      <w:pPr>
        <w:pStyle w:val="37"/>
        <w:pageBreakBefore w:val="0"/>
        <w:kinsoku/>
        <w:overflowPunct/>
        <w:topLinePunct w:val="0"/>
        <w:bidi w:val="0"/>
        <w:spacing w:line="440" w:lineRule="exact"/>
        <w:ind w:firstLine="480" w:firstLineChars="200"/>
        <w:textAlignment w:val="auto"/>
        <w:rPr>
          <w:rFonts w:hint="eastAsia" w:ascii="宋体" w:hAnsi="宋体" w:eastAsia="宋体" w:cs="宋体"/>
          <w:color w:val="auto"/>
          <w:highlight w:val="none"/>
        </w:rPr>
      </w:pPr>
      <w:r>
        <w:rPr>
          <w:rFonts w:hint="eastAsia" w:ascii="宋体" w:hAnsi="宋体" w:eastAsia="宋体" w:cs="宋体"/>
          <w:color w:val="auto"/>
          <w:highlight w:val="none"/>
        </w:rPr>
        <w:t>1.1.4 包工期：本工程项目施工必须在规定的期限内完成。</w:t>
      </w:r>
    </w:p>
    <w:p w14:paraId="40AFB902">
      <w:pPr>
        <w:pageBreakBefore w:val="0"/>
        <w:kinsoku/>
        <w:overflowPunct/>
        <w:topLinePunct w:val="0"/>
        <w:bidi w:val="0"/>
        <w:spacing w:line="440" w:lineRule="exact"/>
        <w:ind w:firstLine="480" w:firstLineChars="200"/>
        <w:textAlignment w:val="auto"/>
        <w:rPr>
          <w:rFonts w:hint="eastAsia" w:ascii="宋体" w:hAnsi="宋体" w:eastAsia="宋体" w:cs="宋体"/>
          <w:color w:val="auto"/>
          <w:szCs w:val="24"/>
          <w:highlight w:val="none"/>
        </w:rPr>
      </w:pPr>
      <w:r>
        <w:rPr>
          <w:rFonts w:hint="eastAsia" w:ascii="宋体" w:hAnsi="宋体" w:eastAsia="宋体" w:cs="宋体"/>
          <w:color w:val="auto"/>
          <w:szCs w:val="22"/>
          <w:highlight w:val="none"/>
        </w:rPr>
        <w:t xml:space="preserve">1.2 </w:t>
      </w:r>
      <w:r>
        <w:rPr>
          <w:rFonts w:hint="eastAsia" w:ascii="宋体" w:hAnsi="宋体" w:eastAsia="宋体" w:cs="宋体"/>
          <w:color w:val="auto"/>
          <w:szCs w:val="24"/>
          <w:highlight w:val="none"/>
        </w:rPr>
        <w:t>限额设计要求：</w:t>
      </w:r>
    </w:p>
    <w:p w14:paraId="42337BD4">
      <w:pPr>
        <w:pageBreakBefore w:val="0"/>
        <w:kinsoku/>
        <w:overflowPunct/>
        <w:topLinePunct w:val="0"/>
        <w:bidi w:val="0"/>
        <w:spacing w:line="440" w:lineRule="exact"/>
        <w:ind w:firstLine="480" w:firstLineChars="200"/>
        <w:textAlignment w:val="auto"/>
        <w:rPr>
          <w:rFonts w:hint="eastAsia" w:ascii="宋体" w:hAnsi="宋体" w:eastAsia="宋体" w:cs="宋体"/>
          <w:color w:val="auto"/>
          <w:szCs w:val="24"/>
          <w:highlight w:val="none"/>
        </w:rPr>
      </w:pPr>
      <w:r>
        <w:rPr>
          <w:rFonts w:hint="eastAsia" w:ascii="宋体" w:hAnsi="宋体" w:eastAsia="宋体" w:cs="宋体"/>
          <w:color w:val="auto"/>
          <w:szCs w:val="24"/>
          <w:highlight w:val="none"/>
        </w:rPr>
        <w:t>1.2.1施工图预算中的建安工程费不得超过初步设计概算中的建安工程费且不得超过建安工程费的中标价。</w:t>
      </w:r>
    </w:p>
    <w:p w14:paraId="03E3C0B4">
      <w:pPr>
        <w:pageBreakBefore w:val="0"/>
        <w:kinsoku/>
        <w:overflowPunct/>
        <w:topLinePunct w:val="0"/>
        <w:bidi w:val="0"/>
        <w:spacing w:line="440" w:lineRule="exact"/>
        <w:ind w:firstLine="480" w:firstLineChars="200"/>
        <w:textAlignment w:val="auto"/>
        <w:rPr>
          <w:rFonts w:hint="eastAsia" w:ascii="宋体" w:hAnsi="宋体" w:eastAsia="宋体" w:cs="宋体"/>
          <w:color w:val="auto"/>
          <w:highlight w:val="none"/>
        </w:rPr>
      </w:pPr>
      <w:r>
        <w:rPr>
          <w:rFonts w:hint="eastAsia" w:ascii="宋体" w:hAnsi="宋体" w:eastAsia="宋体" w:cs="宋体"/>
          <w:color w:val="auto"/>
          <w:szCs w:val="24"/>
          <w:highlight w:val="none"/>
        </w:rPr>
        <w:t>1.2.2 承包人在提交设计施工图时必须同时提交施工图预算。施工图预算作为承包人自我核算是否符合限额设计要求的依据。若造价咨询单位按施工图审核的建安工程费高于前条1.2.1条规定时，承包人必须无条件对施工图进行修改，直至满足限额设计要求，不另行增加设计费，且由此造成发包人委托的造价咨询单位重复审核施工图预算的费用由承包人承担，结算时在设计费中扣除。</w:t>
      </w:r>
    </w:p>
    <w:p w14:paraId="4F13EEF2">
      <w:pPr>
        <w:pStyle w:val="54"/>
        <w:keepNext/>
        <w:keepLines/>
        <w:pageBreakBefore w:val="0"/>
        <w:kinsoku/>
        <w:overflowPunct/>
        <w:topLinePunct w:val="0"/>
        <w:bidi w:val="0"/>
        <w:spacing w:line="440" w:lineRule="exact"/>
        <w:ind w:firstLine="480"/>
        <w:jc w:val="both"/>
        <w:textAlignment w:val="auto"/>
        <w:rPr>
          <w:rFonts w:hint="eastAsia" w:ascii="宋体" w:hAnsi="宋体" w:eastAsia="宋体" w:cs="宋体"/>
          <w:b/>
          <w:color w:val="auto"/>
          <w:highlight w:val="none"/>
        </w:rPr>
      </w:pPr>
      <w:bookmarkStart w:id="312" w:name="_Toc13383"/>
      <w:bookmarkStart w:id="313" w:name="_Toc16000"/>
      <w:bookmarkStart w:id="314" w:name="_Toc16582"/>
      <w:bookmarkStart w:id="315" w:name="_Toc20054"/>
      <w:bookmarkStart w:id="316" w:name="_Toc469940920"/>
      <w:bookmarkStart w:id="317" w:name="_Toc20951"/>
      <w:bookmarkStart w:id="318" w:name="_Toc4817"/>
      <w:bookmarkStart w:id="319" w:name="_Toc27815"/>
      <w:bookmarkStart w:id="320" w:name="_Toc3936"/>
      <w:bookmarkStart w:id="321" w:name="_Toc1359"/>
      <w:bookmarkStart w:id="322" w:name="_Toc10533"/>
      <w:bookmarkStart w:id="323" w:name="_Toc467587699"/>
      <w:r>
        <w:rPr>
          <w:rFonts w:hint="eastAsia" w:ascii="宋体" w:hAnsi="宋体" w:eastAsia="宋体" w:cs="宋体"/>
          <w:b/>
          <w:color w:val="auto"/>
          <w:highlight w:val="none"/>
        </w:rPr>
        <w:t>2 施工图预算的编制原则</w:t>
      </w:r>
      <w:bookmarkEnd w:id="312"/>
      <w:bookmarkEnd w:id="313"/>
      <w:bookmarkEnd w:id="314"/>
      <w:bookmarkEnd w:id="315"/>
      <w:bookmarkEnd w:id="316"/>
      <w:bookmarkEnd w:id="317"/>
      <w:bookmarkEnd w:id="318"/>
      <w:bookmarkEnd w:id="319"/>
      <w:bookmarkEnd w:id="320"/>
      <w:bookmarkEnd w:id="321"/>
      <w:bookmarkEnd w:id="322"/>
      <w:bookmarkEnd w:id="323"/>
    </w:p>
    <w:p w14:paraId="11F63672">
      <w:pPr>
        <w:pStyle w:val="55"/>
        <w:pageBreakBefore w:val="0"/>
        <w:kinsoku/>
        <w:overflowPunct/>
        <w:topLinePunct w:val="0"/>
        <w:bidi w:val="0"/>
        <w:spacing w:line="440" w:lineRule="exact"/>
        <w:ind w:firstLine="480" w:firstLineChars="200"/>
        <w:jc w:val="left"/>
        <w:textAlignment w:val="auto"/>
        <w:rPr>
          <w:rFonts w:hint="eastAsia" w:ascii="宋体" w:hAnsi="宋体" w:eastAsia="宋体" w:cs="宋体"/>
          <w:color w:val="auto"/>
          <w:kern w:val="0"/>
          <w:highlight w:val="none"/>
        </w:rPr>
      </w:pPr>
      <w:r>
        <w:rPr>
          <w:rFonts w:hint="eastAsia" w:ascii="宋体" w:hAnsi="宋体" w:eastAsia="宋体" w:cs="宋体"/>
          <w:color w:val="auto"/>
          <w:kern w:val="0"/>
          <w:highlight w:val="none"/>
        </w:rPr>
        <w:t>2.1 施工图设计必须符合本项目限额设计要求。本项目的建安工程费预算价不得超过</w:t>
      </w:r>
      <w:r>
        <w:rPr>
          <w:rFonts w:hint="eastAsia" w:hAnsi="宋体" w:cs="宋体"/>
          <w:color w:val="auto"/>
          <w:kern w:val="0"/>
          <w:highlight w:val="none"/>
          <w:lang w:val="en-US" w:eastAsia="zh-CN"/>
        </w:rPr>
        <w:t>初步设计</w:t>
      </w:r>
      <w:r>
        <w:rPr>
          <w:rFonts w:hint="eastAsia" w:ascii="宋体" w:hAnsi="宋体" w:eastAsia="宋体" w:cs="宋体"/>
          <w:color w:val="auto"/>
          <w:kern w:val="0"/>
          <w:highlight w:val="none"/>
        </w:rPr>
        <w:t>概算中相应的建安工程费</w:t>
      </w:r>
      <w:r>
        <w:rPr>
          <w:rFonts w:hint="eastAsia" w:ascii="宋体" w:hAnsi="宋体" w:eastAsia="宋体" w:cs="宋体"/>
          <w:color w:val="auto"/>
          <w:szCs w:val="24"/>
          <w:highlight w:val="none"/>
        </w:rPr>
        <w:t>且不得超过建安工程费的中标价</w:t>
      </w:r>
      <w:r>
        <w:rPr>
          <w:rFonts w:hint="eastAsia" w:ascii="宋体" w:hAnsi="宋体" w:eastAsia="宋体" w:cs="宋体"/>
          <w:color w:val="auto"/>
          <w:kern w:val="0"/>
          <w:highlight w:val="none"/>
        </w:rPr>
        <w:t>。否则，承包人必须进行调整，直至符合限额设计要求为止。</w:t>
      </w:r>
    </w:p>
    <w:p w14:paraId="03317E12">
      <w:pPr>
        <w:pageBreakBefore w:val="0"/>
        <w:kinsoku/>
        <w:overflowPunct/>
        <w:topLinePunct w:val="0"/>
        <w:bidi w:val="0"/>
        <w:spacing w:line="440" w:lineRule="exact"/>
        <w:ind w:firstLine="480" w:firstLineChars="200"/>
        <w:jc w:val="left"/>
        <w:textAlignment w:val="auto"/>
        <w:rPr>
          <w:rFonts w:hint="eastAsia" w:ascii="宋体" w:hAnsi="宋体" w:eastAsia="宋体" w:cs="宋体"/>
          <w:i/>
          <w:strike/>
          <w:color w:val="auto"/>
          <w:szCs w:val="24"/>
          <w:highlight w:val="none"/>
        </w:rPr>
      </w:pPr>
      <w:r>
        <w:rPr>
          <w:rFonts w:hint="eastAsia" w:ascii="宋体" w:hAnsi="宋体" w:eastAsia="宋体" w:cs="宋体"/>
          <w:color w:val="auto"/>
          <w:kern w:val="0"/>
          <w:highlight w:val="none"/>
        </w:rPr>
        <w:t>2.2</w:t>
      </w:r>
      <w:r>
        <w:rPr>
          <w:rFonts w:hint="eastAsia" w:ascii="宋体" w:hAnsi="宋体" w:eastAsia="宋体" w:cs="宋体"/>
          <w:color w:val="auto"/>
          <w:szCs w:val="24"/>
          <w:highlight w:val="none"/>
        </w:rPr>
        <w:t xml:space="preserve"> 施工图预算价的编制：承包人根据招标文件及设计任务书（或可行性研究报告）、初步设计等相关的文件完成本项目的设计工作，承包人设计的施工图经发包人确认后</w:t>
      </w:r>
      <w:r>
        <w:rPr>
          <w:rFonts w:hint="eastAsia" w:hAnsi="宋体" w:eastAsia="宋体" w:cs="宋体"/>
          <w:color w:val="auto"/>
          <w:szCs w:val="24"/>
          <w:highlight w:val="none"/>
          <w:lang w:eastAsia="zh-CN"/>
        </w:rPr>
        <w:t>经</w:t>
      </w:r>
      <w:r>
        <w:rPr>
          <w:rFonts w:hint="eastAsia" w:ascii="宋体" w:hAnsi="宋体" w:eastAsia="宋体" w:cs="宋体"/>
          <w:color w:val="auto"/>
          <w:szCs w:val="24"/>
          <w:highlight w:val="none"/>
        </w:rPr>
        <w:t>有资质的审图公司审查，施工图经审查合格后，由承包人编制的施工图预算</w:t>
      </w:r>
      <w:r>
        <w:rPr>
          <w:rFonts w:hint="eastAsia" w:ascii="宋体" w:hAnsi="宋体" w:eastAsia="宋体" w:cs="宋体"/>
          <w:color w:val="auto"/>
          <w:kern w:val="0"/>
          <w:szCs w:val="24"/>
          <w:highlight w:val="none"/>
        </w:rPr>
        <w:t>需经过发包人</w:t>
      </w:r>
      <w:r>
        <w:rPr>
          <w:rFonts w:hint="eastAsia" w:hAnsi="宋体" w:eastAsia="宋体" w:cs="宋体"/>
          <w:color w:val="auto"/>
          <w:kern w:val="0"/>
          <w:szCs w:val="24"/>
          <w:highlight w:val="none"/>
          <w:lang w:val="en-US" w:eastAsia="zh-CN"/>
        </w:rPr>
        <w:t>审定</w:t>
      </w:r>
      <w:r>
        <w:rPr>
          <w:rFonts w:hint="eastAsia" w:ascii="宋体" w:hAnsi="宋体" w:eastAsia="宋体" w:cs="宋体"/>
          <w:color w:val="auto"/>
          <w:szCs w:val="24"/>
          <w:highlight w:val="none"/>
        </w:rPr>
        <w:t>。施工图工程量清单预算的编制依据为：</w:t>
      </w:r>
      <w:r>
        <w:rPr>
          <w:rFonts w:hint="eastAsia" w:ascii="宋体" w:hAnsi="宋体" w:eastAsia="宋体" w:cs="宋体"/>
          <w:color w:val="auto"/>
          <w:kern w:val="0"/>
          <w:highlight w:val="none"/>
        </w:rPr>
        <w:t>（1）2024版清单计价计算标准</w:t>
      </w:r>
      <w:r>
        <w:rPr>
          <w:rFonts w:hint="eastAsia" w:ascii="宋体" w:hAnsi="宋体" w:eastAsia="宋体" w:cs="宋体"/>
          <w:color w:val="auto"/>
          <w:kern w:val="0"/>
          <w:highlight w:val="none"/>
          <w:lang w:val="en-US" w:eastAsia="zh-CN"/>
        </w:rPr>
        <w:t>：</w:t>
      </w:r>
      <w:r>
        <w:rPr>
          <w:rFonts w:hint="eastAsia" w:ascii="宋体" w:hAnsi="宋体" w:eastAsia="宋体" w:cs="宋体"/>
          <w:color w:val="auto"/>
          <w:kern w:val="0"/>
          <w:highlight w:val="none"/>
        </w:rPr>
        <w:t>《建设工程工程量清单计价标准》（GB/T 50500-2024）</w:t>
      </w:r>
      <w:r>
        <w:rPr>
          <w:rFonts w:hint="eastAsia" w:ascii="宋体" w:hAnsi="宋体" w:eastAsia="宋体" w:cs="宋体"/>
          <w:color w:val="auto"/>
          <w:kern w:val="0"/>
          <w:highlight w:val="none"/>
          <w:lang w:eastAsia="zh-CN"/>
        </w:rPr>
        <w:t>、</w:t>
      </w:r>
      <w:r>
        <w:rPr>
          <w:rFonts w:hint="eastAsia" w:ascii="宋体" w:hAnsi="宋体" w:eastAsia="宋体" w:cs="宋体"/>
          <w:color w:val="auto"/>
          <w:kern w:val="0"/>
          <w:highlight w:val="none"/>
        </w:rPr>
        <w:t>《房屋建筑与装饰工程工程量计算标准》（GB/T 50854-2024）《通用安装工程工程量计算标准》（GB/T 50856-2024）、《市政工程工程量计算标准》（GB/T 50857-2024）、《园林绿化工程工程量计算标准》（GB/T 50858-2024）</w:t>
      </w:r>
      <w:r>
        <w:rPr>
          <w:rFonts w:hint="eastAsia" w:ascii="宋体" w:hAnsi="宋体" w:eastAsia="宋体" w:cs="宋体"/>
          <w:color w:val="auto"/>
          <w:kern w:val="0"/>
          <w:highlight w:val="none"/>
          <w:lang w:val="en-US" w:eastAsia="zh-CN"/>
        </w:rPr>
        <w:t>等</w:t>
      </w:r>
      <w:r>
        <w:rPr>
          <w:rFonts w:hint="eastAsia" w:ascii="宋体" w:hAnsi="宋体" w:eastAsia="宋体" w:cs="宋体"/>
          <w:color w:val="auto"/>
          <w:kern w:val="0"/>
          <w:highlight w:val="none"/>
        </w:rPr>
        <w:t>，</w:t>
      </w:r>
      <w:r>
        <w:rPr>
          <w:rFonts w:hint="eastAsia" w:ascii="宋体" w:hAnsi="宋体" w:eastAsia="宋体" w:cs="宋体"/>
          <w:color w:val="auto"/>
          <w:highlight w:val="none"/>
        </w:rPr>
        <w:t>（2）</w:t>
      </w:r>
      <w:r>
        <w:rPr>
          <w:rFonts w:hint="eastAsia" w:ascii="宋体" w:hAnsi="宋体" w:eastAsia="宋体" w:cs="宋体"/>
          <w:color w:val="auto"/>
          <w:szCs w:val="24"/>
          <w:highlight w:val="none"/>
        </w:rPr>
        <w:t>《广东省建设工程计价依据（2018）》。具体包括：《广东省房屋建筑与装饰工程综合定额（2018）》《广东省市政工程综合定额（2018）》《广东省通用安装工程综合定额（2018）》《广东省园林绿化工程综合定额（2018）》《广东省建设工程施工机具台班费用编制规则（2018）》等</w:t>
      </w:r>
      <w:r>
        <w:rPr>
          <w:rFonts w:hint="eastAsia" w:ascii="宋体" w:hAnsi="宋体" w:eastAsia="宋体" w:cs="宋体"/>
          <w:color w:val="auto"/>
          <w:szCs w:val="24"/>
          <w:highlight w:val="none"/>
          <w:lang w:eastAsia="zh-CN"/>
        </w:rPr>
        <w:t>。</w:t>
      </w:r>
      <w:r>
        <w:rPr>
          <w:rFonts w:hint="eastAsia" w:ascii="宋体" w:hAnsi="宋体" w:eastAsia="宋体" w:cs="宋体"/>
          <w:color w:val="auto"/>
          <w:kern w:val="0"/>
          <w:szCs w:val="24"/>
          <w:highlight w:val="none"/>
        </w:rPr>
        <w:t>工程量按施工图计算，主要材料价格按预算编制时（招标文件所规定的设计预算编制工期内）当季</w:t>
      </w:r>
      <w:r>
        <w:rPr>
          <w:rFonts w:hint="eastAsia" w:hAnsi="宋体" w:eastAsia="宋体" w:cs="宋体"/>
          <w:color w:val="auto"/>
          <w:kern w:val="0"/>
          <w:szCs w:val="24"/>
          <w:highlight w:val="none"/>
          <w:lang w:eastAsia="zh-CN"/>
        </w:rPr>
        <w:t>韶关</w:t>
      </w:r>
      <w:r>
        <w:rPr>
          <w:rFonts w:hint="eastAsia" w:ascii="宋体" w:hAnsi="宋体" w:eastAsia="宋体" w:cs="宋体"/>
          <w:color w:val="auto"/>
          <w:kern w:val="0"/>
          <w:szCs w:val="24"/>
          <w:highlight w:val="none"/>
        </w:rPr>
        <w:t>市工程造价管理机构发布的人工、材料、机械台班综合单价（若</w:t>
      </w:r>
      <w:r>
        <w:rPr>
          <w:rFonts w:hint="eastAsia" w:hAnsi="宋体" w:eastAsia="宋体" w:cs="宋体"/>
          <w:color w:val="auto"/>
          <w:kern w:val="0"/>
          <w:szCs w:val="24"/>
          <w:highlight w:val="none"/>
          <w:lang w:eastAsia="zh-CN"/>
        </w:rPr>
        <w:t>韶关</w:t>
      </w:r>
      <w:r>
        <w:rPr>
          <w:rFonts w:hint="eastAsia" w:ascii="宋体" w:hAnsi="宋体" w:eastAsia="宋体" w:cs="宋体"/>
          <w:color w:val="auto"/>
          <w:kern w:val="0"/>
          <w:szCs w:val="24"/>
          <w:highlight w:val="none"/>
        </w:rPr>
        <w:t>市未发布信息则依次参照广东省清远市、广东省肇庆市、广东省佛山市、广东省东莞市、广东省广州市，若以上城市均没有信息价则按市场询价，市场询价方式优先从京东、国美、苏宁等大型电商平台查询）执行、经发包人确认的材料价格或暂定材料价格计算，规费、税金等其它费用则按有关规定计算（费率有上、下限的按平均值计算），预算包干费按2018年广东省计价办法的规定计算，赶工措施费不另行计算。</w:t>
      </w:r>
    </w:p>
    <w:p w14:paraId="0F06D1FD">
      <w:pPr>
        <w:pStyle w:val="4"/>
        <w:keepNext/>
        <w:keepLines/>
        <w:pageBreakBefore w:val="0"/>
        <w:kinsoku/>
        <w:overflowPunct/>
        <w:topLinePunct w:val="0"/>
        <w:bidi w:val="0"/>
        <w:spacing w:line="440" w:lineRule="exact"/>
        <w:ind w:firstLine="480"/>
        <w:jc w:val="both"/>
        <w:textAlignment w:val="auto"/>
        <w:rPr>
          <w:rFonts w:hint="eastAsia" w:ascii="宋体" w:hAnsi="宋体" w:eastAsia="宋体" w:cs="宋体"/>
          <w:b/>
          <w:color w:val="auto"/>
          <w:kern w:val="2"/>
          <w:szCs w:val="24"/>
          <w:highlight w:val="none"/>
        </w:rPr>
      </w:pPr>
      <w:bookmarkStart w:id="324" w:name="_Toc6675"/>
      <w:bookmarkStart w:id="325" w:name="_Toc25565"/>
      <w:bookmarkStart w:id="326" w:name="_Toc3958"/>
      <w:bookmarkStart w:id="327" w:name="_Toc466640604"/>
      <w:bookmarkStart w:id="328" w:name="_Toc2286"/>
      <w:bookmarkStart w:id="329" w:name="_Toc13437"/>
      <w:bookmarkStart w:id="330" w:name="_Toc28537"/>
      <w:bookmarkStart w:id="331" w:name="_Toc30405"/>
      <w:bookmarkStart w:id="332" w:name="_Toc755"/>
      <w:bookmarkStart w:id="333" w:name="_Toc11307"/>
      <w:bookmarkStart w:id="334" w:name="_Toc31861"/>
      <w:bookmarkStart w:id="335" w:name="_Hlt87948447"/>
      <w:bookmarkStart w:id="336" w:name="_Hlt87948449"/>
      <w:r>
        <w:rPr>
          <w:rFonts w:hint="eastAsia" w:ascii="宋体" w:hAnsi="宋体" w:eastAsia="宋体" w:cs="宋体"/>
          <w:b/>
          <w:color w:val="auto"/>
          <w:kern w:val="2"/>
          <w:szCs w:val="24"/>
          <w:highlight w:val="none"/>
        </w:rPr>
        <w:t>3 工程结算原则</w:t>
      </w:r>
      <w:bookmarkEnd w:id="324"/>
      <w:bookmarkEnd w:id="325"/>
      <w:bookmarkEnd w:id="326"/>
      <w:bookmarkEnd w:id="327"/>
      <w:bookmarkEnd w:id="328"/>
      <w:bookmarkEnd w:id="329"/>
      <w:bookmarkEnd w:id="330"/>
      <w:bookmarkEnd w:id="331"/>
      <w:bookmarkEnd w:id="332"/>
      <w:bookmarkEnd w:id="333"/>
      <w:bookmarkEnd w:id="334"/>
    </w:p>
    <w:p w14:paraId="438ED32F">
      <w:pPr>
        <w:pageBreakBefore w:val="0"/>
        <w:kinsoku/>
        <w:overflowPunct/>
        <w:topLinePunct w:val="0"/>
        <w:bidi w:val="0"/>
        <w:spacing w:line="440" w:lineRule="exact"/>
        <w:ind w:firstLine="480" w:firstLineChars="200"/>
        <w:jc w:val="left"/>
        <w:textAlignment w:val="auto"/>
        <w:rPr>
          <w:rFonts w:asciiTheme="minorEastAsia" w:hAnsiTheme="minorEastAsia" w:eastAsiaTheme="minorEastAsia" w:cstheme="minorEastAsia"/>
          <w:color w:val="auto"/>
          <w:kern w:val="1"/>
          <w:szCs w:val="24"/>
          <w:highlight w:val="none"/>
        </w:rPr>
      </w:pPr>
      <w:r>
        <w:rPr>
          <w:rFonts w:hint="eastAsia" w:ascii="宋体" w:hAnsi="宋体" w:eastAsia="宋体" w:cs="宋体"/>
          <w:color w:val="auto"/>
          <w:szCs w:val="24"/>
          <w:highlight w:val="none"/>
        </w:rPr>
        <w:t>3.1设计费结算原则：</w:t>
      </w:r>
      <w:r>
        <w:rPr>
          <w:rFonts w:asciiTheme="minorEastAsia" w:hAnsiTheme="minorEastAsia" w:eastAsiaTheme="minorEastAsia" w:cstheme="minorEastAsia"/>
          <w:color w:val="auto"/>
          <w:szCs w:val="24"/>
          <w:highlight w:val="none"/>
        </w:rPr>
        <w:t>设计费按中标价包干，结算时不作任何调整</w:t>
      </w:r>
      <w:r>
        <w:rPr>
          <w:rFonts w:asciiTheme="minorEastAsia" w:hAnsiTheme="minorEastAsia" w:eastAsiaTheme="minorEastAsia" w:cstheme="minorEastAsia"/>
          <w:color w:val="auto"/>
          <w:kern w:val="1"/>
          <w:szCs w:val="24"/>
          <w:highlight w:val="none"/>
        </w:rPr>
        <w:t>。</w:t>
      </w:r>
    </w:p>
    <w:p w14:paraId="7A97FAD8">
      <w:pPr>
        <w:pageBreakBefore w:val="0"/>
        <w:kinsoku/>
        <w:overflowPunct/>
        <w:topLinePunct w:val="0"/>
        <w:bidi w:val="0"/>
        <w:spacing w:line="440" w:lineRule="exact"/>
        <w:ind w:firstLine="480" w:firstLineChars="200"/>
        <w:jc w:val="left"/>
        <w:textAlignment w:val="auto"/>
        <w:rPr>
          <w:rFonts w:hint="eastAsia" w:ascii="宋体" w:hAnsi="宋体" w:eastAsia="宋体" w:cs="宋体"/>
          <w:strike/>
          <w:color w:val="auto"/>
          <w:szCs w:val="24"/>
          <w:highlight w:val="none"/>
        </w:rPr>
      </w:pPr>
      <w:r>
        <w:rPr>
          <w:rFonts w:hint="eastAsia" w:ascii="宋体" w:hAnsi="宋体" w:eastAsia="宋体" w:cs="宋体"/>
          <w:color w:val="auto"/>
          <w:szCs w:val="24"/>
          <w:highlight w:val="none"/>
        </w:rPr>
        <w:t>3.2工程费用结算基准价的确定：以</w:t>
      </w:r>
      <w:r>
        <w:rPr>
          <w:rFonts w:hint="eastAsia" w:hAnsi="宋体" w:eastAsia="宋体" w:cs="宋体"/>
          <w:color w:val="auto"/>
          <w:szCs w:val="24"/>
          <w:highlight w:val="none"/>
          <w:lang w:eastAsia="zh-CN"/>
        </w:rPr>
        <w:t>本章</w:t>
      </w:r>
      <w:r>
        <w:rPr>
          <w:rFonts w:hint="eastAsia" w:ascii="宋体" w:hAnsi="宋体" w:eastAsia="宋体" w:cs="宋体"/>
          <w:color w:val="auto"/>
          <w:szCs w:val="24"/>
          <w:highlight w:val="none"/>
        </w:rPr>
        <w:t>第</w:t>
      </w:r>
      <w:r>
        <w:rPr>
          <w:rFonts w:hint="eastAsia" w:hAnsi="宋体" w:eastAsia="宋体" w:cs="宋体"/>
          <w:b/>
          <w:color w:val="auto"/>
          <w:highlight w:val="none"/>
          <w:lang w:val="en-US" w:eastAsia="zh-CN"/>
        </w:rPr>
        <w:t>2.2</w:t>
      </w:r>
      <w:r>
        <w:rPr>
          <w:rFonts w:hint="eastAsia" w:ascii="宋体" w:hAnsi="宋体" w:eastAsia="宋体" w:cs="宋体"/>
          <w:color w:val="auto"/>
          <w:szCs w:val="24"/>
          <w:highlight w:val="none"/>
        </w:rPr>
        <w:t>条工程预算价编制原则编制的经审核后的预算价乘以（1－承包人中标下浮率）作为此工程项目的建安工程结算基准价（不含预备费）。</w:t>
      </w:r>
    </w:p>
    <w:p w14:paraId="1A932D5F">
      <w:pPr>
        <w:pageBreakBefore w:val="0"/>
        <w:kinsoku/>
        <w:overflowPunct/>
        <w:topLinePunct w:val="0"/>
        <w:bidi w:val="0"/>
        <w:spacing w:line="440" w:lineRule="exact"/>
        <w:ind w:firstLine="480" w:firstLineChars="200"/>
        <w:jc w:val="left"/>
        <w:textAlignment w:val="auto"/>
        <w:rPr>
          <w:rFonts w:hint="eastAsia" w:ascii="宋体" w:hAnsi="宋体" w:eastAsia="宋体" w:cs="宋体"/>
          <w:color w:val="auto"/>
          <w:kern w:val="0"/>
          <w:szCs w:val="24"/>
          <w:highlight w:val="none"/>
        </w:rPr>
      </w:pPr>
      <w:r>
        <w:rPr>
          <w:rFonts w:hint="eastAsia" w:ascii="宋体" w:hAnsi="宋体" w:eastAsia="宋体" w:cs="宋体"/>
          <w:color w:val="auto"/>
          <w:kern w:val="0"/>
          <w:szCs w:val="24"/>
          <w:highlight w:val="none"/>
        </w:rPr>
        <w:t>3.3</w:t>
      </w:r>
      <w:r>
        <w:rPr>
          <w:rFonts w:hint="eastAsia" w:ascii="宋体" w:hAnsi="宋体" w:eastAsia="宋体" w:cs="宋体"/>
          <w:color w:val="auto"/>
          <w:szCs w:val="24"/>
          <w:highlight w:val="none"/>
        </w:rPr>
        <w:t>工程</w:t>
      </w:r>
      <w:r>
        <w:rPr>
          <w:rFonts w:hint="eastAsia" w:ascii="宋体" w:hAnsi="宋体" w:eastAsia="宋体" w:cs="宋体"/>
          <w:color w:val="auto"/>
          <w:kern w:val="0"/>
          <w:szCs w:val="24"/>
          <w:highlight w:val="none"/>
        </w:rPr>
        <w:t>费用结算原则：发包人在不减</w:t>
      </w:r>
      <w:r>
        <w:rPr>
          <w:rFonts w:hint="eastAsia" w:hAnsi="宋体" w:eastAsia="宋体" w:cs="宋体"/>
          <w:color w:val="auto"/>
          <w:kern w:val="0"/>
          <w:szCs w:val="24"/>
          <w:highlight w:val="none"/>
          <w:lang w:val="en-US" w:eastAsia="zh-CN"/>
        </w:rPr>
        <w:t>少</w:t>
      </w:r>
      <w:r>
        <w:rPr>
          <w:rFonts w:hint="eastAsia" w:ascii="宋体" w:hAnsi="宋体" w:eastAsia="宋体" w:cs="宋体"/>
          <w:color w:val="auto"/>
          <w:kern w:val="0"/>
          <w:szCs w:val="24"/>
          <w:highlight w:val="none"/>
        </w:rPr>
        <w:t>建设规模的情况下，结算价即为</w:t>
      </w:r>
      <w:r>
        <w:rPr>
          <w:rFonts w:hint="eastAsia" w:ascii="宋体" w:hAnsi="宋体" w:eastAsia="宋体" w:cs="宋体"/>
          <w:color w:val="auto"/>
          <w:szCs w:val="24"/>
          <w:highlight w:val="none"/>
        </w:rPr>
        <w:t>结算基准价</w:t>
      </w:r>
      <w:r>
        <w:rPr>
          <w:rFonts w:hint="eastAsia" w:ascii="宋体" w:hAnsi="宋体" w:eastAsia="宋体" w:cs="宋体"/>
          <w:color w:val="auto"/>
          <w:kern w:val="0"/>
          <w:szCs w:val="24"/>
          <w:highlight w:val="none"/>
        </w:rPr>
        <w:t>，但下列情形除外：</w:t>
      </w:r>
    </w:p>
    <w:p w14:paraId="416F9019">
      <w:pPr>
        <w:pageBreakBefore w:val="0"/>
        <w:kinsoku/>
        <w:overflowPunct/>
        <w:topLinePunct w:val="0"/>
        <w:bidi w:val="0"/>
        <w:spacing w:line="440" w:lineRule="exact"/>
        <w:ind w:firstLine="480"/>
        <w:textAlignment w:val="auto"/>
        <w:rPr>
          <w:rFonts w:hint="eastAsia" w:ascii="宋体" w:hAnsi="宋体" w:eastAsia="宋体" w:cs="宋体"/>
          <w:color w:val="auto"/>
          <w:szCs w:val="24"/>
          <w:highlight w:val="none"/>
        </w:rPr>
      </w:pPr>
      <w:r>
        <w:rPr>
          <w:rFonts w:hint="eastAsia" w:ascii="宋体" w:hAnsi="宋体" w:eastAsia="宋体" w:cs="宋体"/>
          <w:color w:val="auto"/>
          <w:szCs w:val="24"/>
          <w:highlight w:val="none"/>
        </w:rPr>
        <w:t>3.3.1 国家政策性人工价差调整：</w:t>
      </w:r>
      <w:r>
        <w:rPr>
          <w:rFonts w:hint="eastAsia" w:ascii="宋体" w:hAnsi="宋体" w:eastAsia="宋体" w:cs="宋体"/>
          <w:color w:val="auto"/>
          <w:kern w:val="0"/>
          <w:szCs w:val="24"/>
          <w:highlight w:val="none"/>
        </w:rPr>
        <w:t>调整方式按省、市有关规定调整。</w:t>
      </w:r>
    </w:p>
    <w:p w14:paraId="04D0845A">
      <w:pPr>
        <w:pageBreakBefore w:val="0"/>
        <w:kinsoku/>
        <w:overflowPunct/>
        <w:topLinePunct w:val="0"/>
        <w:bidi w:val="0"/>
        <w:spacing w:line="440" w:lineRule="exact"/>
        <w:textAlignment w:val="auto"/>
        <w:rPr>
          <w:rFonts w:hint="eastAsia" w:ascii="宋体" w:hAnsi="宋体" w:eastAsia="宋体" w:cs="宋体"/>
          <w:color w:val="auto"/>
          <w:szCs w:val="24"/>
          <w:highlight w:val="none"/>
        </w:rPr>
      </w:pPr>
      <w:r>
        <w:rPr>
          <w:rFonts w:hint="eastAsia" w:ascii="宋体" w:hAnsi="宋体" w:eastAsia="宋体" w:cs="宋体"/>
          <w:color w:val="auto"/>
          <w:szCs w:val="24"/>
          <w:highlight w:val="none"/>
        </w:rPr>
        <w:t xml:space="preserve">    3.3.2 当后继相关</w:t>
      </w:r>
      <w:r>
        <w:rPr>
          <w:rFonts w:hint="eastAsia" w:hAnsi="宋体" w:eastAsia="宋体" w:cs="宋体"/>
          <w:color w:val="auto"/>
          <w:szCs w:val="24"/>
          <w:highlight w:val="none"/>
          <w:lang w:eastAsia="zh-CN"/>
        </w:rPr>
        <w:t>法律法规</w:t>
      </w:r>
      <w:r>
        <w:rPr>
          <w:rFonts w:hint="eastAsia" w:ascii="宋体" w:hAnsi="宋体" w:eastAsia="宋体" w:cs="宋体"/>
          <w:color w:val="auto"/>
          <w:szCs w:val="24"/>
          <w:highlight w:val="none"/>
        </w:rPr>
        <w:t>、规章和政策引起安全文明施工费发生变化时，应当按照省建设行政主管部门或省、韶关市工程造价管理机构据此发布的规定调整；</w:t>
      </w:r>
    </w:p>
    <w:p w14:paraId="5AF74193">
      <w:pPr>
        <w:pageBreakBefore w:val="0"/>
        <w:kinsoku/>
        <w:overflowPunct/>
        <w:topLinePunct w:val="0"/>
        <w:bidi w:val="0"/>
        <w:spacing w:line="440" w:lineRule="exact"/>
        <w:textAlignment w:val="auto"/>
        <w:rPr>
          <w:rFonts w:hint="eastAsia" w:ascii="宋体" w:hAnsi="宋体" w:eastAsia="宋体" w:cs="宋体"/>
          <w:color w:val="auto"/>
          <w:szCs w:val="24"/>
          <w:highlight w:val="none"/>
        </w:rPr>
      </w:pPr>
      <w:r>
        <w:rPr>
          <w:rFonts w:hint="eastAsia" w:ascii="宋体" w:hAnsi="宋体" w:eastAsia="宋体" w:cs="宋体"/>
          <w:color w:val="auto"/>
          <w:szCs w:val="24"/>
          <w:highlight w:val="none"/>
        </w:rPr>
        <w:t xml:space="preserve">    3.3.3 当后继相关</w:t>
      </w:r>
      <w:r>
        <w:rPr>
          <w:rFonts w:hint="eastAsia" w:hAnsi="宋体" w:eastAsia="宋体" w:cs="宋体"/>
          <w:color w:val="auto"/>
          <w:szCs w:val="24"/>
          <w:highlight w:val="none"/>
          <w:lang w:eastAsia="zh-CN"/>
        </w:rPr>
        <w:t>法律法规</w:t>
      </w:r>
      <w:r>
        <w:rPr>
          <w:rFonts w:hint="eastAsia" w:ascii="宋体" w:hAnsi="宋体" w:eastAsia="宋体" w:cs="宋体"/>
          <w:color w:val="auto"/>
          <w:szCs w:val="24"/>
          <w:highlight w:val="none"/>
        </w:rPr>
        <w:t>、规章和政策引起规费、税金等发生变化时，应当按照省政府或省、韶关市有关主管部门据此发布的规定调整；</w:t>
      </w:r>
    </w:p>
    <w:p w14:paraId="4762A398">
      <w:pPr>
        <w:pageBreakBefore w:val="0"/>
        <w:kinsoku/>
        <w:overflowPunct/>
        <w:topLinePunct w:val="0"/>
        <w:bidi w:val="0"/>
        <w:spacing w:line="440" w:lineRule="exact"/>
        <w:ind w:firstLine="480" w:firstLineChars="200"/>
        <w:textAlignment w:val="auto"/>
        <w:rPr>
          <w:rFonts w:hint="eastAsia" w:ascii="宋体" w:hAnsi="宋体" w:eastAsia="宋体" w:cs="宋体"/>
          <w:color w:val="auto"/>
          <w:szCs w:val="24"/>
          <w:highlight w:val="none"/>
        </w:rPr>
      </w:pPr>
      <w:r>
        <w:rPr>
          <w:rFonts w:hint="eastAsia" w:ascii="宋体" w:hAnsi="宋体" w:eastAsia="宋体" w:cs="宋体"/>
          <w:color w:val="auto"/>
          <w:szCs w:val="24"/>
          <w:highlight w:val="none"/>
        </w:rPr>
        <w:t>3.3.4 当施工期间市场物价发生涨落，引起工程所在地工程造价管理机构发布的价格信息中材料价格变化，主要建筑材料价格浮动超过±5%（指钢材、商品砼、商品砂浆、水泥、砂、石等主要材料），则双方同意调整5％以外部分价差；</w:t>
      </w:r>
      <w:r>
        <w:rPr>
          <w:rFonts w:hint="eastAsia" w:ascii="宋体" w:hAnsi="宋体" w:eastAsia="宋体" w:cs="宋体"/>
          <w:color w:val="auto"/>
          <w:kern w:val="0"/>
          <w:szCs w:val="24"/>
          <w:highlight w:val="none"/>
        </w:rPr>
        <w:t>人工费</w:t>
      </w:r>
      <w:r>
        <w:rPr>
          <w:rFonts w:hint="eastAsia" w:ascii="宋体" w:hAnsi="宋体" w:eastAsia="宋体" w:cs="宋体"/>
          <w:color w:val="auto"/>
          <w:szCs w:val="24"/>
          <w:highlight w:val="none"/>
        </w:rPr>
        <w:t>根据国家政策按实调整；机械费浮动超过±10%，双方同意调整10％以外部分价差。其工、料、机消耗量以发包人确认的</w:t>
      </w:r>
      <w:r>
        <w:rPr>
          <w:rFonts w:hint="eastAsia" w:ascii="宋体" w:hAnsi="宋体" w:eastAsia="宋体" w:cs="宋体"/>
          <w:color w:val="auto"/>
          <w:kern w:val="0"/>
          <w:szCs w:val="24"/>
          <w:highlight w:val="none"/>
        </w:rPr>
        <w:t>施工图工程量清单预算</w:t>
      </w:r>
      <w:r>
        <w:rPr>
          <w:rFonts w:hint="eastAsia" w:ascii="宋体" w:hAnsi="宋体" w:eastAsia="宋体" w:cs="宋体"/>
          <w:color w:val="auto"/>
          <w:szCs w:val="24"/>
          <w:highlight w:val="none"/>
        </w:rPr>
        <w:t>及进度中的消耗量为准。</w:t>
      </w:r>
    </w:p>
    <w:p w14:paraId="65CFD53F">
      <w:pPr>
        <w:pageBreakBefore w:val="0"/>
        <w:kinsoku/>
        <w:overflowPunct/>
        <w:topLinePunct w:val="0"/>
        <w:bidi w:val="0"/>
        <w:spacing w:line="440" w:lineRule="exact"/>
        <w:ind w:firstLine="482" w:firstLineChars="200"/>
        <w:textAlignment w:val="auto"/>
        <w:rPr>
          <w:rFonts w:hint="eastAsia" w:ascii="宋体" w:hAnsi="宋体" w:eastAsia="宋体" w:cs="宋体"/>
          <w:b/>
          <w:bCs/>
          <w:color w:val="auto"/>
          <w:kern w:val="0"/>
          <w:szCs w:val="24"/>
          <w:highlight w:val="none"/>
          <w:u w:val="single"/>
        </w:rPr>
      </w:pPr>
      <w:r>
        <w:rPr>
          <w:rFonts w:hint="eastAsia" w:ascii="宋体" w:hAnsi="宋体" w:eastAsia="宋体" w:cs="宋体"/>
          <w:b/>
          <w:bCs/>
          <w:color w:val="auto"/>
          <w:kern w:val="0"/>
          <w:szCs w:val="24"/>
          <w:highlight w:val="none"/>
          <w:u w:val="single"/>
        </w:rPr>
        <w:t>注：</w:t>
      </w:r>
      <w:r>
        <w:rPr>
          <w:rFonts w:hint="eastAsia" w:ascii="宋体" w:hAnsi="宋体" w:eastAsia="宋体" w:cs="宋体"/>
          <w:b/>
          <w:bCs/>
          <w:color w:val="auto"/>
          <w:kern w:val="0"/>
          <w:sz w:val="24"/>
          <w:szCs w:val="24"/>
          <w:highlight w:val="none"/>
          <w:u w:val="single"/>
        </w:rPr>
        <w:t>人工费、材料单价、机械台班的价差调整基数是以施工</w:t>
      </w:r>
      <w:r>
        <w:rPr>
          <w:rFonts w:hint="eastAsia" w:ascii="宋体" w:hAnsi="宋体" w:eastAsia="宋体" w:cs="宋体"/>
          <w:b/>
          <w:bCs/>
          <w:color w:val="auto"/>
          <w:kern w:val="0"/>
          <w:sz w:val="24"/>
          <w:szCs w:val="24"/>
          <w:highlight w:val="none"/>
          <w:u w:val="single"/>
          <w:lang w:val="en-US" w:eastAsia="zh-CN"/>
        </w:rPr>
        <w:t>同期</w:t>
      </w:r>
      <w:r>
        <w:rPr>
          <w:rFonts w:hint="eastAsia" w:ascii="宋体" w:hAnsi="宋体" w:eastAsia="宋体" w:cs="宋体"/>
          <w:b/>
          <w:bCs/>
          <w:color w:val="auto"/>
          <w:kern w:val="0"/>
          <w:sz w:val="24"/>
          <w:szCs w:val="24"/>
          <w:highlight w:val="none"/>
          <w:u w:val="single"/>
        </w:rPr>
        <w:t>《</w:t>
      </w:r>
      <w:r>
        <w:rPr>
          <w:rFonts w:hint="eastAsia" w:ascii="宋体" w:hAnsi="宋体" w:eastAsia="宋体" w:cs="宋体"/>
          <w:b/>
          <w:bCs/>
          <w:color w:val="auto"/>
          <w:kern w:val="0"/>
          <w:sz w:val="24"/>
          <w:szCs w:val="24"/>
          <w:highlight w:val="none"/>
          <w:u w:val="single"/>
          <w:lang w:val="en-US" w:eastAsia="zh-CN"/>
        </w:rPr>
        <w:t>韶关市</w:t>
      </w:r>
      <w:r>
        <w:rPr>
          <w:rFonts w:hint="eastAsia" w:ascii="宋体" w:hAnsi="宋体" w:eastAsia="宋体" w:cs="宋体"/>
          <w:b/>
          <w:bCs/>
          <w:color w:val="auto"/>
          <w:kern w:val="0"/>
          <w:sz w:val="24"/>
          <w:szCs w:val="24"/>
          <w:highlight w:val="none"/>
          <w:u w:val="single"/>
        </w:rPr>
        <w:t>建筑工程造价信息》</w:t>
      </w:r>
      <w:r>
        <w:rPr>
          <w:rFonts w:hint="eastAsia" w:ascii="宋体" w:hAnsi="宋体" w:eastAsia="宋体" w:cs="宋体"/>
          <w:b/>
          <w:bCs/>
          <w:color w:val="auto"/>
          <w:kern w:val="0"/>
          <w:sz w:val="24"/>
          <w:szCs w:val="24"/>
          <w:highlight w:val="none"/>
          <w:u w:val="single"/>
          <w:lang w:val="en-US" w:eastAsia="zh-CN"/>
        </w:rPr>
        <w:t>公</w:t>
      </w:r>
      <w:r>
        <w:rPr>
          <w:rFonts w:hint="eastAsia" w:ascii="宋体" w:hAnsi="宋体" w:eastAsia="宋体" w:cs="宋体"/>
          <w:b/>
          <w:bCs/>
          <w:color w:val="auto"/>
          <w:kern w:val="0"/>
          <w:sz w:val="24"/>
          <w:szCs w:val="24"/>
          <w:highlight w:val="none"/>
          <w:u w:val="single"/>
        </w:rPr>
        <w:t>布的信息价（包括人工费、材料单价、机械台班）为F1与编制施工图工程量清单预算</w:t>
      </w:r>
      <w:r>
        <w:rPr>
          <w:rFonts w:hint="eastAsia" w:ascii="宋体" w:hAnsi="宋体" w:eastAsia="宋体" w:cs="宋体"/>
          <w:b/>
          <w:bCs/>
          <w:color w:val="auto"/>
          <w:kern w:val="0"/>
          <w:sz w:val="24"/>
          <w:szCs w:val="24"/>
          <w:highlight w:val="none"/>
          <w:u w:val="single"/>
          <w:lang w:val="en-US" w:eastAsia="zh-CN"/>
        </w:rPr>
        <w:t>基准日</w:t>
      </w:r>
      <w:r>
        <w:rPr>
          <w:rFonts w:hint="eastAsia" w:ascii="宋体" w:hAnsi="宋体" w:eastAsia="宋体" w:cs="宋体"/>
          <w:b/>
          <w:color w:val="auto"/>
          <w:kern w:val="0"/>
          <w:sz w:val="24"/>
          <w:szCs w:val="24"/>
          <w:highlight w:val="none"/>
          <w:u w:val="single"/>
        </w:rPr>
        <w:t>（招标文件所规定的设计预算编制工期内）</w:t>
      </w:r>
      <w:r>
        <w:rPr>
          <w:rFonts w:hint="eastAsia" w:ascii="宋体" w:hAnsi="宋体" w:eastAsia="宋体" w:cs="宋体"/>
          <w:b/>
          <w:bCs/>
          <w:color w:val="auto"/>
          <w:kern w:val="0"/>
          <w:sz w:val="24"/>
          <w:szCs w:val="24"/>
          <w:highlight w:val="none"/>
          <w:u w:val="single"/>
        </w:rPr>
        <w:t>《</w:t>
      </w:r>
      <w:r>
        <w:rPr>
          <w:rFonts w:hint="eastAsia" w:ascii="宋体" w:hAnsi="宋体" w:eastAsia="宋体" w:cs="宋体"/>
          <w:b/>
          <w:bCs/>
          <w:color w:val="auto"/>
          <w:kern w:val="0"/>
          <w:sz w:val="24"/>
          <w:szCs w:val="24"/>
          <w:highlight w:val="none"/>
          <w:u w:val="single"/>
          <w:lang w:val="en-US" w:eastAsia="zh-CN"/>
        </w:rPr>
        <w:t>韶关市</w:t>
      </w:r>
      <w:r>
        <w:rPr>
          <w:rFonts w:hint="eastAsia" w:ascii="宋体" w:hAnsi="宋体" w:eastAsia="宋体" w:cs="宋体"/>
          <w:b/>
          <w:bCs/>
          <w:color w:val="auto"/>
          <w:kern w:val="0"/>
          <w:sz w:val="24"/>
          <w:szCs w:val="24"/>
          <w:highlight w:val="none"/>
          <w:u w:val="single"/>
        </w:rPr>
        <w:t>建筑工程造价信息》公布的信息价（包括人工费、材料单价、机械台班）F0比较</w:t>
      </w:r>
      <w:r>
        <w:rPr>
          <w:rFonts w:hint="eastAsia" w:ascii="宋体" w:hAnsi="宋体" w:eastAsia="宋体" w:cs="宋体"/>
          <w:b/>
          <w:bCs/>
          <w:color w:val="auto"/>
          <w:kern w:val="0"/>
          <w:szCs w:val="24"/>
          <w:highlight w:val="none"/>
          <w:u w:val="single"/>
        </w:rPr>
        <w:t>。</w:t>
      </w:r>
    </w:p>
    <w:p w14:paraId="1E4B75A5">
      <w:pPr>
        <w:pageBreakBefore w:val="0"/>
        <w:kinsoku/>
        <w:overflowPunct/>
        <w:topLinePunct w:val="0"/>
        <w:bidi w:val="0"/>
        <w:spacing w:line="440" w:lineRule="exact"/>
        <w:ind w:firstLine="480" w:firstLineChars="200"/>
        <w:textAlignment w:val="auto"/>
        <w:rPr>
          <w:rFonts w:hint="eastAsia" w:ascii="宋体" w:hAnsi="宋体" w:eastAsia="宋体" w:cs="宋体"/>
          <w:color w:val="auto"/>
          <w:kern w:val="0"/>
          <w:szCs w:val="24"/>
          <w:highlight w:val="none"/>
        </w:rPr>
      </w:pPr>
      <w:r>
        <w:rPr>
          <w:rFonts w:hint="eastAsia" w:ascii="宋体" w:hAnsi="宋体" w:eastAsia="宋体" w:cs="宋体"/>
          <w:color w:val="auto"/>
          <w:kern w:val="0"/>
          <w:szCs w:val="24"/>
          <w:highlight w:val="none"/>
        </w:rPr>
        <w:t>1）人工费调整方式：按省、市有关规定调整。</w:t>
      </w:r>
    </w:p>
    <w:p w14:paraId="0C0D19F8">
      <w:pPr>
        <w:pageBreakBefore w:val="0"/>
        <w:kinsoku/>
        <w:overflowPunct/>
        <w:topLinePunct w:val="0"/>
        <w:bidi w:val="0"/>
        <w:spacing w:line="440" w:lineRule="exact"/>
        <w:ind w:firstLine="480" w:firstLineChars="200"/>
        <w:textAlignment w:val="auto"/>
        <w:rPr>
          <w:rFonts w:hint="eastAsia" w:ascii="宋体" w:hAnsi="宋体" w:eastAsia="宋体" w:cs="宋体"/>
          <w:color w:val="auto"/>
          <w:kern w:val="0"/>
          <w:szCs w:val="24"/>
          <w:highlight w:val="none"/>
        </w:rPr>
      </w:pPr>
      <w:r>
        <w:rPr>
          <w:rFonts w:hint="eastAsia" w:ascii="宋体" w:hAnsi="宋体" w:eastAsia="宋体" w:cs="宋体"/>
          <w:color w:val="auto"/>
          <w:kern w:val="0"/>
          <w:szCs w:val="24"/>
          <w:highlight w:val="none"/>
        </w:rPr>
        <w:t>2）材料补差方式：</w:t>
      </w:r>
    </w:p>
    <w:p w14:paraId="6C881B57">
      <w:pPr>
        <w:pageBreakBefore w:val="0"/>
        <w:kinsoku/>
        <w:overflowPunct/>
        <w:topLinePunct w:val="0"/>
        <w:bidi w:val="0"/>
        <w:spacing w:line="440" w:lineRule="exact"/>
        <w:ind w:firstLine="480" w:firstLineChars="200"/>
        <w:textAlignment w:val="auto"/>
        <w:rPr>
          <w:rFonts w:hint="eastAsia" w:ascii="宋体" w:hAnsi="宋体" w:eastAsia="宋体" w:cs="宋体"/>
          <w:color w:val="auto"/>
          <w:kern w:val="0"/>
          <w:szCs w:val="24"/>
          <w:highlight w:val="none"/>
        </w:rPr>
      </w:pPr>
      <w:r>
        <w:rPr>
          <w:rFonts w:hint="eastAsia" w:ascii="宋体" w:hAnsi="宋体" w:eastAsia="宋体" w:cs="宋体"/>
          <w:color w:val="auto"/>
          <w:kern w:val="0"/>
          <w:szCs w:val="24"/>
          <w:highlight w:val="none"/>
        </w:rPr>
        <w:t>调价系数A=（F1-F0）÷F0×100%</w:t>
      </w:r>
    </w:p>
    <w:p w14:paraId="338BD149">
      <w:pPr>
        <w:pageBreakBefore w:val="0"/>
        <w:kinsoku/>
        <w:overflowPunct/>
        <w:topLinePunct w:val="0"/>
        <w:bidi w:val="0"/>
        <w:spacing w:line="440" w:lineRule="exact"/>
        <w:ind w:firstLine="480" w:firstLineChars="200"/>
        <w:textAlignment w:val="auto"/>
        <w:rPr>
          <w:rFonts w:hint="eastAsia" w:ascii="宋体" w:hAnsi="宋体" w:eastAsia="宋体" w:cs="宋体"/>
          <w:color w:val="auto"/>
          <w:kern w:val="0"/>
          <w:szCs w:val="24"/>
          <w:highlight w:val="none"/>
        </w:rPr>
      </w:pPr>
      <w:r>
        <w:rPr>
          <w:rFonts w:hint="eastAsia" w:ascii="宋体" w:hAnsi="宋体" w:eastAsia="宋体" w:cs="宋体"/>
          <w:color w:val="auto"/>
          <w:kern w:val="0"/>
          <w:szCs w:val="24"/>
          <w:highlight w:val="none"/>
        </w:rPr>
        <w:t>当材料涨价时，材料补差= F0×（A-5%），当材料跌价时，材料补差= F0×（A+5%），材料补差只计算相应的规费和税金。</w:t>
      </w:r>
    </w:p>
    <w:p w14:paraId="5B424AF2">
      <w:pPr>
        <w:pageBreakBefore w:val="0"/>
        <w:kinsoku/>
        <w:overflowPunct/>
        <w:topLinePunct w:val="0"/>
        <w:bidi w:val="0"/>
        <w:spacing w:line="440" w:lineRule="exact"/>
        <w:ind w:firstLine="480" w:firstLineChars="200"/>
        <w:textAlignment w:val="auto"/>
        <w:rPr>
          <w:rFonts w:hint="eastAsia" w:ascii="宋体" w:hAnsi="宋体" w:eastAsia="宋体" w:cs="宋体"/>
          <w:color w:val="auto"/>
          <w:kern w:val="0"/>
          <w:szCs w:val="24"/>
          <w:highlight w:val="none"/>
        </w:rPr>
      </w:pPr>
      <w:r>
        <w:rPr>
          <w:rFonts w:hint="eastAsia" w:ascii="宋体" w:hAnsi="宋体" w:eastAsia="宋体" w:cs="宋体"/>
          <w:color w:val="auto"/>
          <w:kern w:val="0"/>
          <w:szCs w:val="24"/>
          <w:highlight w:val="none"/>
        </w:rPr>
        <w:t>3）施工机械使用费补差方式：</w:t>
      </w:r>
    </w:p>
    <w:p w14:paraId="09C0772F">
      <w:pPr>
        <w:pageBreakBefore w:val="0"/>
        <w:kinsoku/>
        <w:overflowPunct/>
        <w:topLinePunct w:val="0"/>
        <w:bidi w:val="0"/>
        <w:spacing w:line="440" w:lineRule="exact"/>
        <w:ind w:firstLine="480" w:firstLineChars="200"/>
        <w:textAlignment w:val="auto"/>
        <w:rPr>
          <w:rFonts w:hint="eastAsia" w:ascii="宋体" w:hAnsi="宋体" w:eastAsia="宋体" w:cs="宋体"/>
          <w:color w:val="auto"/>
          <w:kern w:val="0"/>
          <w:szCs w:val="24"/>
          <w:highlight w:val="none"/>
        </w:rPr>
      </w:pPr>
      <w:r>
        <w:rPr>
          <w:rFonts w:hint="eastAsia" w:ascii="宋体" w:hAnsi="宋体" w:eastAsia="宋体" w:cs="宋体"/>
          <w:color w:val="auto"/>
          <w:kern w:val="0"/>
          <w:szCs w:val="24"/>
          <w:highlight w:val="none"/>
        </w:rPr>
        <w:t>调价系数A=（F1-F0）÷F0×100%</w:t>
      </w:r>
    </w:p>
    <w:p w14:paraId="4F8EC01F">
      <w:pPr>
        <w:pageBreakBefore w:val="0"/>
        <w:kinsoku/>
        <w:overflowPunct/>
        <w:topLinePunct w:val="0"/>
        <w:bidi w:val="0"/>
        <w:spacing w:line="440" w:lineRule="exact"/>
        <w:ind w:firstLine="480" w:firstLineChars="200"/>
        <w:textAlignment w:val="auto"/>
        <w:rPr>
          <w:rFonts w:hint="eastAsia" w:ascii="宋体" w:hAnsi="宋体" w:eastAsia="宋体" w:cs="宋体"/>
          <w:color w:val="auto"/>
          <w:highlight w:val="none"/>
        </w:rPr>
      </w:pPr>
      <w:r>
        <w:rPr>
          <w:rFonts w:hint="eastAsia" w:ascii="宋体" w:hAnsi="宋体" w:eastAsia="宋体" w:cs="宋体"/>
          <w:color w:val="auto"/>
          <w:kern w:val="0"/>
          <w:szCs w:val="24"/>
          <w:highlight w:val="none"/>
        </w:rPr>
        <w:t>当施工机械台班费涨价时，机械台班补差= F0×（A-10%），当施工机械台班费跌价时，机械台班补差= F0×（A+10%）， 施工机械使用费补差只计算相应的规费和税金。</w:t>
      </w:r>
    </w:p>
    <w:p w14:paraId="233CAED7">
      <w:pPr>
        <w:pageBreakBefore w:val="0"/>
        <w:kinsoku/>
        <w:overflowPunct/>
        <w:topLinePunct w:val="0"/>
        <w:bidi w:val="0"/>
        <w:spacing w:line="440" w:lineRule="exact"/>
        <w:textAlignment w:val="auto"/>
        <w:rPr>
          <w:rFonts w:hint="eastAsia" w:ascii="宋体" w:hAnsi="宋体" w:eastAsia="宋体" w:cs="宋体"/>
          <w:color w:val="auto"/>
          <w:szCs w:val="24"/>
          <w:highlight w:val="none"/>
        </w:rPr>
      </w:pPr>
      <w:r>
        <w:rPr>
          <w:rFonts w:hint="eastAsia" w:ascii="宋体" w:hAnsi="宋体" w:eastAsia="宋体" w:cs="宋体"/>
          <w:color w:val="auto"/>
          <w:szCs w:val="24"/>
          <w:highlight w:val="none"/>
        </w:rPr>
        <w:t xml:space="preserve">    4）若项目规模、建设标准等发生变化，因变化而发生的措施项目费结算时进行相应增减。</w:t>
      </w:r>
    </w:p>
    <w:p w14:paraId="25245EDF">
      <w:pPr>
        <w:pageBreakBefore w:val="0"/>
        <w:kinsoku/>
        <w:overflowPunct/>
        <w:topLinePunct w:val="0"/>
        <w:bidi w:val="0"/>
        <w:spacing w:line="440" w:lineRule="exact"/>
        <w:textAlignment w:val="auto"/>
        <w:rPr>
          <w:rFonts w:hint="eastAsia" w:ascii="宋体" w:hAnsi="宋体" w:eastAsia="宋体" w:cs="宋体"/>
          <w:color w:val="auto"/>
          <w:szCs w:val="24"/>
          <w:highlight w:val="none"/>
        </w:rPr>
      </w:pPr>
      <w:r>
        <w:rPr>
          <w:rFonts w:hint="eastAsia" w:ascii="宋体" w:hAnsi="宋体" w:eastAsia="宋体" w:cs="宋体"/>
          <w:color w:val="auto"/>
          <w:szCs w:val="24"/>
          <w:highlight w:val="none"/>
        </w:rPr>
        <w:t xml:space="preserve">    5）施工合同履行期间，由于非承包人原因导致工程变更的，发、承包双方应当按照2024版清单计价计算标准和省的有关规定，依据实际变更项目调整工程价款。工程变更引起工程量发生变化，出现本合同价款调整方式第3.3.5款情形的，应当按照其规定调整；其他情形的，按照以下规定调整：</w:t>
      </w:r>
    </w:p>
    <w:p w14:paraId="2DC68D50">
      <w:pPr>
        <w:pageBreakBefore w:val="0"/>
        <w:kinsoku/>
        <w:overflowPunct/>
        <w:topLinePunct w:val="0"/>
        <w:bidi w:val="0"/>
        <w:spacing w:line="440" w:lineRule="exact"/>
        <w:textAlignment w:val="auto"/>
        <w:rPr>
          <w:rFonts w:hint="eastAsia" w:ascii="宋体" w:hAnsi="宋体" w:eastAsia="宋体" w:cs="宋体"/>
          <w:color w:val="auto"/>
          <w:szCs w:val="24"/>
          <w:highlight w:val="none"/>
        </w:rPr>
      </w:pPr>
      <w:r>
        <w:rPr>
          <w:rFonts w:hint="eastAsia" w:ascii="宋体" w:hAnsi="宋体" w:eastAsia="宋体" w:cs="宋体"/>
          <w:color w:val="auto"/>
          <w:szCs w:val="24"/>
          <w:highlight w:val="none"/>
        </w:rPr>
        <w:t xml:space="preserve">    ①结算基准价中有适用于变更工程项目的，按照该项目的单价或合价调整；</w:t>
      </w:r>
    </w:p>
    <w:p w14:paraId="29C1AB11">
      <w:pPr>
        <w:pageBreakBefore w:val="0"/>
        <w:kinsoku/>
        <w:overflowPunct/>
        <w:topLinePunct w:val="0"/>
        <w:bidi w:val="0"/>
        <w:spacing w:line="440" w:lineRule="exact"/>
        <w:textAlignment w:val="auto"/>
        <w:rPr>
          <w:rFonts w:hint="eastAsia" w:ascii="宋体" w:hAnsi="宋体" w:eastAsia="宋体" w:cs="宋体"/>
          <w:color w:val="auto"/>
          <w:szCs w:val="24"/>
          <w:highlight w:val="none"/>
        </w:rPr>
      </w:pPr>
      <w:r>
        <w:rPr>
          <w:rFonts w:hint="eastAsia" w:ascii="宋体" w:hAnsi="宋体" w:eastAsia="宋体" w:cs="宋体"/>
          <w:color w:val="auto"/>
          <w:szCs w:val="24"/>
          <w:highlight w:val="none"/>
        </w:rPr>
        <w:t xml:space="preserve">    ②结算基准价中没有适用、只有类似于变更工程项目的，可在合理范围内参照类似项目的单价或合价调整；</w:t>
      </w:r>
    </w:p>
    <w:p w14:paraId="51CFCE34">
      <w:pPr>
        <w:pageBreakBefore w:val="0"/>
        <w:kinsoku/>
        <w:overflowPunct/>
        <w:topLinePunct w:val="0"/>
        <w:bidi w:val="0"/>
        <w:spacing w:line="440" w:lineRule="exact"/>
        <w:textAlignment w:val="auto"/>
        <w:rPr>
          <w:rFonts w:hint="eastAsia" w:ascii="宋体" w:hAnsi="宋体" w:eastAsia="宋体" w:cs="宋体"/>
          <w:color w:val="auto"/>
          <w:szCs w:val="24"/>
          <w:highlight w:val="none"/>
        </w:rPr>
      </w:pPr>
      <w:r>
        <w:rPr>
          <w:rFonts w:hint="eastAsia" w:ascii="宋体" w:hAnsi="宋体" w:eastAsia="宋体" w:cs="宋体"/>
          <w:color w:val="auto"/>
          <w:szCs w:val="24"/>
          <w:highlight w:val="none"/>
        </w:rPr>
        <w:t xml:space="preserve">    ③结算基准价中没有适用也没有类似于变更工程项目的，根据变更工程资料、计量规则和计价办法、施工期间工程造价管理机构发布的价格信息，按本结算原则第3.3.5款重新确定综合单价后，相应调整工程价款；</w:t>
      </w:r>
    </w:p>
    <w:p w14:paraId="155B7CAC">
      <w:pPr>
        <w:pageBreakBefore w:val="0"/>
        <w:kinsoku/>
        <w:overflowPunct/>
        <w:topLinePunct w:val="0"/>
        <w:bidi w:val="0"/>
        <w:spacing w:line="440" w:lineRule="exact"/>
        <w:textAlignment w:val="auto"/>
        <w:rPr>
          <w:rFonts w:hint="eastAsia" w:ascii="宋体" w:hAnsi="宋体" w:eastAsia="宋体" w:cs="宋体"/>
          <w:color w:val="auto"/>
          <w:szCs w:val="24"/>
          <w:highlight w:val="none"/>
        </w:rPr>
      </w:pPr>
      <w:r>
        <w:rPr>
          <w:rFonts w:hint="eastAsia" w:ascii="宋体" w:hAnsi="宋体" w:eastAsia="宋体" w:cs="宋体"/>
          <w:color w:val="auto"/>
          <w:szCs w:val="24"/>
          <w:highlight w:val="none"/>
        </w:rPr>
        <w:t xml:space="preserve">    ④结算基准价中没有适用也没有类似于变更工程项目，且施工期间工程造价管理机构发布的价格信息缺项的，根据变更工程资料、计量规则、计价办法和通过市场调查等的有合法依据的市场价格，按本原则第3.3.5条提出变更工程项目的单价或合价，经发、承包双方确认后调整；</w:t>
      </w:r>
    </w:p>
    <w:p w14:paraId="03F916BB">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宋体" w:hAnsi="宋体" w:eastAsia="宋体" w:cs="宋体"/>
          <w:color w:val="auto"/>
          <w:szCs w:val="24"/>
          <w:highlight w:val="none"/>
        </w:rPr>
      </w:pPr>
      <w:r>
        <w:rPr>
          <w:rFonts w:hint="eastAsia" w:ascii="宋体" w:hAnsi="宋体" w:eastAsia="宋体" w:cs="宋体"/>
          <w:color w:val="auto"/>
          <w:szCs w:val="24"/>
          <w:highlight w:val="none"/>
        </w:rPr>
        <w:t xml:space="preserve">    ⑤如发包人只调整材料的等级、规格或品牌，则其综合单价按结算基准价中单价＋该项材料的价差（经发包人审定后的材料单价-结算基准价中的材料单价）进行调整，规费、税金按有关规定调整。</w:t>
      </w:r>
    </w:p>
    <w:p w14:paraId="7E631B8A">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宋体" w:hAnsi="宋体" w:eastAsia="宋体" w:cs="宋体"/>
          <w:color w:val="auto"/>
          <w:kern w:val="0"/>
          <w:szCs w:val="24"/>
          <w:highlight w:val="none"/>
        </w:rPr>
      </w:pPr>
      <w:r>
        <w:rPr>
          <w:rFonts w:hint="eastAsia" w:ascii="宋体" w:hAnsi="宋体" w:eastAsia="宋体" w:cs="宋体"/>
          <w:color w:val="auto"/>
          <w:szCs w:val="24"/>
          <w:highlight w:val="none"/>
        </w:rPr>
        <w:t xml:space="preserve">    6）</w:t>
      </w:r>
      <w:r>
        <w:rPr>
          <w:rFonts w:hint="eastAsia" w:ascii="宋体" w:hAnsi="宋体" w:eastAsia="宋体" w:cs="宋体"/>
          <w:color w:val="auto"/>
          <w:sz w:val="24"/>
          <w:szCs w:val="24"/>
          <w:highlight w:val="none"/>
        </w:rPr>
        <w:t>建设工程完工后，发、承包双方和受其委托具有相应资质的工程造价咨询企业必须按照</w:t>
      </w:r>
      <w:r>
        <w:rPr>
          <w:rFonts w:hint="eastAsia" w:ascii="宋体" w:hAnsi="宋体" w:eastAsia="宋体" w:cs="宋体"/>
          <w:color w:val="auto"/>
          <w:sz w:val="24"/>
          <w:szCs w:val="24"/>
          <w:highlight w:val="none"/>
          <w:lang w:eastAsia="zh-CN"/>
        </w:rPr>
        <w:t>《建设工程工程量清单计价标准》（GB/T50500—2024）</w:t>
      </w:r>
      <w:r>
        <w:rPr>
          <w:rFonts w:hint="eastAsia" w:ascii="宋体" w:hAnsi="宋体" w:eastAsia="宋体" w:cs="宋体"/>
          <w:color w:val="auto"/>
          <w:sz w:val="24"/>
          <w:szCs w:val="24"/>
          <w:highlight w:val="none"/>
        </w:rPr>
        <w:t>和省的有关规定办理竣工结算</w:t>
      </w:r>
      <w:r>
        <w:rPr>
          <w:rFonts w:hint="eastAsia" w:ascii="宋体" w:hAnsi="宋体" w:eastAsia="宋体" w:cs="宋体"/>
          <w:color w:val="auto"/>
          <w:szCs w:val="24"/>
          <w:highlight w:val="none"/>
        </w:rPr>
        <w:t>。</w:t>
      </w:r>
    </w:p>
    <w:p w14:paraId="0C55F133">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宋体" w:hAnsi="宋体" w:eastAsia="宋体" w:cs="宋体"/>
          <w:color w:val="auto"/>
          <w:szCs w:val="24"/>
          <w:highlight w:val="none"/>
        </w:rPr>
      </w:pPr>
      <w:r>
        <w:rPr>
          <w:rFonts w:hint="eastAsia" w:ascii="宋体" w:hAnsi="宋体" w:eastAsia="宋体" w:cs="宋体"/>
          <w:color w:val="auto"/>
          <w:szCs w:val="24"/>
          <w:highlight w:val="none"/>
        </w:rPr>
        <w:t xml:space="preserve">    3.3.5 工程造价调整项目若是结算基准价中没有的项目，其造价调整如下：</w:t>
      </w:r>
    </w:p>
    <w:p w14:paraId="11CBB359">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宋体" w:hAnsi="宋体" w:eastAsia="宋体" w:cs="宋体"/>
          <w:color w:val="auto"/>
          <w:szCs w:val="24"/>
          <w:highlight w:val="none"/>
        </w:rPr>
      </w:pPr>
      <w:r>
        <w:rPr>
          <w:rFonts w:hint="eastAsia" w:ascii="宋体" w:hAnsi="宋体" w:eastAsia="宋体" w:cs="宋体"/>
          <w:color w:val="auto"/>
          <w:szCs w:val="24"/>
          <w:highlight w:val="none"/>
        </w:rPr>
        <w:t xml:space="preserve">    按</w:t>
      </w:r>
      <w:r>
        <w:rPr>
          <w:rFonts w:hint="eastAsia" w:ascii="宋体" w:hAnsi="宋体" w:eastAsia="宋体" w:cs="宋体"/>
          <w:color w:val="auto"/>
          <w:sz w:val="24"/>
          <w:szCs w:val="24"/>
          <w:highlight w:val="none"/>
        </w:rPr>
        <w:t>（1）2024版清单计价计算标准</w:t>
      </w:r>
      <w:r>
        <w:rPr>
          <w:rFonts w:hint="eastAsia" w:ascii="宋体" w:hAnsi="宋体" w:eastAsia="宋体" w:cs="宋体"/>
          <w:color w:val="auto"/>
          <w:sz w:val="24"/>
          <w:szCs w:val="24"/>
          <w:highlight w:val="none"/>
          <w:lang w:val="en-US" w:eastAsia="zh-CN"/>
        </w:rPr>
        <w:t>：</w:t>
      </w:r>
      <w:r>
        <w:rPr>
          <w:rFonts w:hint="eastAsia" w:ascii="宋体" w:hAnsi="宋体" w:eastAsia="宋体" w:cs="宋体"/>
          <w:color w:val="auto"/>
          <w:sz w:val="24"/>
          <w:szCs w:val="24"/>
          <w:highlight w:val="none"/>
        </w:rPr>
        <w:t>《建设工程工程量清单计价标准》（GB/T 50500-2024）</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rPr>
        <w:t>《房屋建筑与装饰工程工程量计算标准》（GB/T 50854-2024）《通用安装工程工程量计算标准》（GB/T 50856-2024）、《市政工程工程量计算标准》（GB/T 50857-2024）、《园林绿化工程工程量计算标准》（GB/T 50858-2024）</w:t>
      </w:r>
      <w:r>
        <w:rPr>
          <w:rFonts w:hint="eastAsia" w:ascii="宋体" w:hAnsi="宋体" w:eastAsia="宋体" w:cs="宋体"/>
          <w:color w:val="auto"/>
          <w:sz w:val="24"/>
          <w:szCs w:val="24"/>
          <w:highlight w:val="none"/>
          <w:lang w:val="en-US" w:eastAsia="zh-CN"/>
        </w:rPr>
        <w:t>等</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Cs w:val="24"/>
          <w:highlight w:val="none"/>
        </w:rPr>
        <w:t>（2）2018年广东省建设工程计价依据（包括2018年《广东省市政工程综合定额》、2018年《广东省房屋建筑与装饰工程综合定额》、2018年《广东省通用安装工程综合定额》、2018年《广东省园林绿化工程综合定额》、2018年《广东省传统建筑保护修复工程综合定额》</w:t>
      </w:r>
      <w:r>
        <w:rPr>
          <w:rFonts w:hint="eastAsia" w:ascii="宋体" w:hAnsi="宋体" w:eastAsia="宋体" w:cs="宋体"/>
          <w:color w:val="auto"/>
          <w:szCs w:val="24"/>
          <w:highlight w:val="none"/>
          <w:lang w:eastAsia="zh-CN"/>
        </w:rPr>
        <w:t>、</w:t>
      </w:r>
      <w:r>
        <w:rPr>
          <w:rFonts w:hint="eastAsia" w:ascii="宋体" w:hAnsi="宋体" w:eastAsia="宋体" w:cs="宋体"/>
          <w:color w:val="auto"/>
          <w:szCs w:val="24"/>
          <w:highlight w:val="none"/>
        </w:rPr>
        <w:t>2018年《广东省建设工程施工机具台班费用编制规则》）</w:t>
      </w:r>
      <w:r>
        <w:rPr>
          <w:rFonts w:hint="eastAsia" w:ascii="宋体" w:hAnsi="宋体" w:eastAsia="宋体" w:cs="宋体"/>
          <w:color w:val="auto"/>
          <w:szCs w:val="24"/>
          <w:highlight w:val="none"/>
          <w:lang w:eastAsia="zh-CN"/>
        </w:rPr>
        <w:t>。</w:t>
      </w:r>
      <w:r>
        <w:rPr>
          <w:rFonts w:hint="eastAsia" w:ascii="宋体" w:hAnsi="宋体" w:eastAsia="宋体" w:cs="宋体"/>
          <w:color w:val="auto"/>
          <w:szCs w:val="24"/>
          <w:highlight w:val="none"/>
        </w:rPr>
        <w:t>工程量按发、承包双方签证确认的、应予计量的实际完成的工程量计算，主要材料价格按施工同期工程所在地工程造价管理机构发布的价格信息中的综合单价计算，工程所在地工程造价管理机构发布的价格信息中参考价没有的材料价由发、承包双方市场询价确定，规费、税金等其它费用则按有关规定计算（费率有上、下限的以下限计算），预算包干费及赶工措施费不予计算。经发包人或其指定的有关单位审核，经审核后的造价按承包人的建安工程费中标下浮率下浮后作为工程结算价。</w:t>
      </w:r>
    </w:p>
    <w:p w14:paraId="41D70881">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hint="eastAsia" w:ascii="宋体" w:hAnsi="宋体" w:eastAsia="宋体" w:cs="宋体"/>
          <w:color w:val="auto"/>
          <w:szCs w:val="24"/>
          <w:highlight w:val="none"/>
        </w:rPr>
      </w:pPr>
      <w:r>
        <w:rPr>
          <w:rFonts w:hint="eastAsia" w:ascii="宋体" w:hAnsi="宋体" w:eastAsia="宋体" w:cs="宋体"/>
          <w:color w:val="auto"/>
          <w:szCs w:val="24"/>
          <w:highlight w:val="none"/>
        </w:rPr>
        <w:t>清单项目如只单独调整人工、材料、机械台班价差的，其人工、材料、机械台班消耗量均以审定施工图预算中的该清单项目的人工、材料、机械台班消耗量为准。</w:t>
      </w:r>
    </w:p>
    <w:p w14:paraId="79A80326">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hint="eastAsia" w:ascii="宋体" w:hAnsi="宋体" w:eastAsia="宋体" w:cs="宋体"/>
          <w:color w:val="auto"/>
          <w:szCs w:val="24"/>
          <w:highlight w:val="none"/>
        </w:rPr>
      </w:pPr>
      <w:r>
        <w:rPr>
          <w:rFonts w:hint="eastAsia" w:ascii="宋体" w:hAnsi="宋体" w:eastAsia="宋体" w:cs="宋体"/>
          <w:color w:val="auto"/>
          <w:sz w:val="24"/>
          <w:szCs w:val="24"/>
          <w:highlight w:val="none"/>
        </w:rPr>
        <w:t>中标人</w:t>
      </w:r>
      <w:r>
        <w:rPr>
          <w:rFonts w:hint="eastAsia" w:ascii="宋体" w:hAnsi="宋体" w:eastAsia="宋体" w:cs="宋体"/>
          <w:color w:val="auto"/>
          <w:szCs w:val="24"/>
          <w:highlight w:val="none"/>
        </w:rPr>
        <w:t>不得以不完全了解现场情况为理由，提出额外付款或延长工期等要求。对此类要求，</w:t>
      </w:r>
      <w:r>
        <w:rPr>
          <w:rFonts w:hint="eastAsia" w:ascii="宋体" w:hAnsi="宋体" w:eastAsia="宋体" w:cs="宋体"/>
          <w:color w:val="auto"/>
          <w:sz w:val="24"/>
          <w:szCs w:val="24"/>
          <w:highlight w:val="none"/>
        </w:rPr>
        <w:t>招标人</w:t>
      </w:r>
      <w:r>
        <w:rPr>
          <w:rFonts w:hint="eastAsia" w:ascii="宋体" w:hAnsi="宋体" w:eastAsia="宋体" w:cs="宋体"/>
          <w:color w:val="auto"/>
          <w:szCs w:val="24"/>
          <w:highlight w:val="none"/>
        </w:rPr>
        <w:t>不作任何考虑及答复。</w:t>
      </w:r>
    </w:p>
    <w:p w14:paraId="4BFA6CBC">
      <w:pPr>
        <w:keepNext w:val="0"/>
        <w:keepLines w:val="0"/>
        <w:pageBreakBefore w:val="0"/>
        <w:widowControl w:val="0"/>
        <w:kinsoku/>
        <w:wordWrap/>
        <w:overflowPunct/>
        <w:topLinePunct w:val="0"/>
        <w:autoSpaceDE/>
        <w:autoSpaceDN/>
        <w:bidi w:val="0"/>
        <w:adjustRightInd/>
        <w:snapToGrid/>
        <w:spacing w:line="440" w:lineRule="exact"/>
        <w:ind w:firstLine="482" w:firstLineChars="200"/>
        <w:textAlignment w:val="auto"/>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合同履行期间，由于设计人原因导致发生设计变更或现场签证的，由此增加的工程造价费用，由承包人自行承担，发包人不予以考虑和补偿，同时按相关违约条款处罚。</w:t>
      </w:r>
    </w:p>
    <w:p w14:paraId="215567A1">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宋体" w:hAnsi="宋体" w:eastAsia="宋体" w:cs="宋体"/>
          <w:color w:val="auto"/>
          <w:szCs w:val="24"/>
          <w:highlight w:val="none"/>
        </w:rPr>
      </w:pPr>
      <w:r>
        <w:rPr>
          <w:rFonts w:hint="eastAsia" w:ascii="宋体" w:hAnsi="宋体" w:eastAsia="宋体" w:cs="宋体"/>
          <w:color w:val="auto"/>
          <w:kern w:val="0"/>
          <w:szCs w:val="24"/>
          <w:highlight w:val="none"/>
        </w:rPr>
        <w:t xml:space="preserve">    3.4 如发包人减少建设规模，则</w:t>
      </w:r>
      <w:r>
        <w:rPr>
          <w:rFonts w:hint="eastAsia" w:ascii="宋体" w:hAnsi="宋体" w:eastAsia="宋体" w:cs="宋体"/>
          <w:color w:val="auto"/>
          <w:szCs w:val="24"/>
          <w:highlight w:val="none"/>
        </w:rPr>
        <w:t>根据</w:t>
      </w:r>
      <w:r>
        <w:rPr>
          <w:rFonts w:hint="eastAsia" w:ascii="宋体" w:hAnsi="宋体" w:eastAsia="宋体" w:cs="宋体"/>
          <w:color w:val="auto"/>
          <w:kern w:val="0"/>
          <w:szCs w:val="24"/>
          <w:highlight w:val="none"/>
        </w:rPr>
        <w:t>经发包人确认的预算书</w:t>
      </w:r>
      <w:r>
        <w:rPr>
          <w:rFonts w:hint="eastAsia" w:ascii="宋体" w:hAnsi="宋体" w:eastAsia="宋体" w:cs="宋体"/>
          <w:color w:val="auto"/>
          <w:szCs w:val="24"/>
          <w:highlight w:val="none"/>
        </w:rPr>
        <w:t>扣减减少</w:t>
      </w:r>
      <w:r>
        <w:rPr>
          <w:rFonts w:hint="eastAsia" w:ascii="宋体" w:hAnsi="宋体" w:eastAsia="宋体" w:cs="宋体"/>
          <w:color w:val="auto"/>
          <w:kern w:val="0"/>
          <w:szCs w:val="24"/>
          <w:highlight w:val="none"/>
        </w:rPr>
        <w:t xml:space="preserve">部分工程造价。 </w:t>
      </w:r>
    </w:p>
    <w:p w14:paraId="02BA88E6">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宋体" w:hAnsi="宋体" w:eastAsia="宋体" w:cs="宋体"/>
          <w:strike/>
          <w:color w:val="auto"/>
          <w:szCs w:val="24"/>
          <w:highlight w:val="none"/>
        </w:rPr>
      </w:pPr>
      <w:r>
        <w:rPr>
          <w:rFonts w:hint="eastAsia" w:ascii="宋体" w:hAnsi="宋体" w:eastAsia="宋体" w:cs="宋体"/>
          <w:color w:val="auto"/>
          <w:szCs w:val="24"/>
          <w:highlight w:val="none"/>
        </w:rPr>
        <w:t xml:space="preserve">    3.5 预备费：</w:t>
      </w:r>
      <w:r>
        <w:rPr>
          <w:rFonts w:hint="eastAsia" w:ascii="宋体" w:hAnsi="宋体" w:eastAsia="宋体" w:cs="宋体"/>
          <w:b/>
          <w:color w:val="auto"/>
          <w:szCs w:val="24"/>
          <w:highlight w:val="none"/>
        </w:rPr>
        <w:t>由发包人掌握使用，不发生时不计入结算总价。</w:t>
      </w:r>
      <w:r>
        <w:rPr>
          <w:rFonts w:hint="eastAsia" w:hAnsi="宋体" w:eastAsia="宋体" w:cs="宋体"/>
          <w:b/>
          <w:color w:val="auto"/>
          <w:szCs w:val="24"/>
          <w:highlight w:val="none"/>
          <w:lang w:eastAsia="zh-CN"/>
        </w:rPr>
        <w:t>适用范围</w:t>
      </w:r>
      <w:r>
        <w:rPr>
          <w:rFonts w:hint="eastAsia" w:ascii="宋体" w:hAnsi="宋体" w:eastAsia="宋体" w:cs="宋体"/>
          <w:b/>
          <w:color w:val="auto"/>
          <w:szCs w:val="24"/>
          <w:highlight w:val="none"/>
        </w:rPr>
        <w:t>用于以下情形：</w:t>
      </w:r>
    </w:p>
    <w:p w14:paraId="20CD3DC6">
      <w:pPr>
        <w:keepNext w:val="0"/>
        <w:keepLines w:val="0"/>
        <w:pageBreakBefore w:val="0"/>
        <w:widowControl w:val="0"/>
        <w:kinsoku/>
        <w:wordWrap/>
        <w:overflowPunct/>
        <w:topLinePunct w:val="0"/>
        <w:autoSpaceDE/>
        <w:autoSpaceDN/>
        <w:bidi w:val="0"/>
        <w:adjustRightInd/>
        <w:snapToGrid/>
        <w:spacing w:line="440" w:lineRule="exact"/>
        <w:ind w:firstLine="480"/>
        <w:textAlignment w:val="auto"/>
        <w:rPr>
          <w:rFonts w:hint="eastAsia" w:ascii="宋体" w:hAnsi="宋体" w:eastAsia="宋体" w:cs="宋体"/>
          <w:color w:val="auto"/>
          <w:szCs w:val="24"/>
          <w:highlight w:val="none"/>
        </w:rPr>
      </w:pPr>
      <w:r>
        <w:rPr>
          <w:rFonts w:hint="eastAsia" w:ascii="宋体" w:hAnsi="宋体" w:eastAsia="宋体" w:cs="宋体"/>
          <w:color w:val="auto"/>
          <w:szCs w:val="24"/>
          <w:highlight w:val="none"/>
        </w:rPr>
        <w:t>（1）由于发包人的要求导致发生设计变更或合同约定调整因素出现时的工程价款调整以及发生的索赔、现场签证等，其工程量按实调整，结算时按实际施工工作量及招标文件、合同约定进行结算，</w:t>
      </w:r>
      <w:r>
        <w:rPr>
          <w:rFonts w:hint="eastAsia" w:ascii="宋体" w:hAnsi="宋体" w:eastAsia="宋体" w:cs="宋体"/>
          <w:b/>
          <w:color w:val="auto"/>
          <w:szCs w:val="24"/>
          <w:highlight w:val="none"/>
        </w:rPr>
        <w:t>不发生时不计入结算总价</w:t>
      </w:r>
      <w:r>
        <w:rPr>
          <w:rFonts w:hint="eastAsia" w:ascii="宋体" w:hAnsi="宋体" w:eastAsia="宋体" w:cs="宋体"/>
          <w:color w:val="auto"/>
          <w:szCs w:val="24"/>
          <w:highlight w:val="none"/>
        </w:rPr>
        <w:t>。</w:t>
      </w:r>
    </w:p>
    <w:p w14:paraId="4BC80DA8">
      <w:pPr>
        <w:keepNext w:val="0"/>
        <w:keepLines w:val="0"/>
        <w:pageBreakBefore w:val="0"/>
        <w:widowControl w:val="0"/>
        <w:kinsoku/>
        <w:wordWrap/>
        <w:overflowPunct/>
        <w:topLinePunct w:val="0"/>
        <w:autoSpaceDE/>
        <w:autoSpaceDN/>
        <w:bidi w:val="0"/>
        <w:adjustRightInd/>
        <w:snapToGrid/>
        <w:spacing w:line="440" w:lineRule="exact"/>
        <w:ind w:firstLine="480"/>
        <w:textAlignment w:val="auto"/>
        <w:rPr>
          <w:rFonts w:hint="eastAsia" w:ascii="宋体" w:hAnsi="宋体" w:eastAsia="宋体" w:cs="宋体"/>
          <w:color w:val="auto"/>
          <w:szCs w:val="24"/>
          <w:highlight w:val="none"/>
        </w:rPr>
      </w:pPr>
      <w:r>
        <w:rPr>
          <w:rFonts w:hint="eastAsia" w:ascii="宋体" w:hAnsi="宋体" w:eastAsia="宋体" w:cs="宋体"/>
          <w:color w:val="auto"/>
          <w:szCs w:val="24"/>
          <w:highlight w:val="none"/>
        </w:rPr>
        <w:t>（2）国家政策变化导致的调整。</w:t>
      </w:r>
    </w:p>
    <w:p w14:paraId="425BF2E3">
      <w:pPr>
        <w:keepNext w:val="0"/>
        <w:keepLines w:val="0"/>
        <w:pageBreakBefore w:val="0"/>
        <w:widowControl w:val="0"/>
        <w:kinsoku/>
        <w:wordWrap/>
        <w:overflowPunct/>
        <w:topLinePunct w:val="0"/>
        <w:autoSpaceDE/>
        <w:autoSpaceDN/>
        <w:bidi w:val="0"/>
        <w:adjustRightInd/>
        <w:snapToGrid/>
        <w:spacing w:line="440" w:lineRule="exact"/>
        <w:ind w:firstLine="480"/>
        <w:textAlignment w:val="auto"/>
        <w:rPr>
          <w:rFonts w:hint="eastAsia" w:ascii="宋体" w:hAnsi="宋体" w:eastAsia="宋体" w:cs="宋体"/>
          <w:color w:val="auto"/>
          <w:szCs w:val="24"/>
          <w:highlight w:val="none"/>
        </w:rPr>
      </w:pPr>
      <w:r>
        <w:rPr>
          <w:rFonts w:hint="eastAsia" w:ascii="宋体" w:hAnsi="宋体" w:eastAsia="宋体" w:cs="宋体"/>
          <w:color w:val="auto"/>
          <w:szCs w:val="24"/>
          <w:highlight w:val="none"/>
        </w:rPr>
        <w:t>（3）施工期间市场物价涨落，引起工程所在地工程造价管理机构发布的价格信息中材料价格变化，主要建筑材料（具体参照第3.3.4条款）价格浮动超过+5%的。</w:t>
      </w:r>
    </w:p>
    <w:p w14:paraId="71CF2700">
      <w:pPr>
        <w:keepNext w:val="0"/>
        <w:keepLines w:val="0"/>
        <w:pageBreakBefore w:val="0"/>
        <w:widowControl w:val="0"/>
        <w:kinsoku/>
        <w:wordWrap/>
        <w:overflowPunct/>
        <w:topLinePunct w:val="0"/>
        <w:autoSpaceDE/>
        <w:autoSpaceDN/>
        <w:bidi w:val="0"/>
        <w:adjustRightInd/>
        <w:snapToGrid/>
        <w:spacing w:line="440" w:lineRule="exact"/>
        <w:ind w:firstLine="480"/>
        <w:textAlignment w:val="auto"/>
        <w:rPr>
          <w:rFonts w:hint="eastAsia" w:ascii="宋体" w:hAnsi="宋体" w:eastAsia="宋体" w:cs="宋体"/>
          <w:color w:val="auto"/>
          <w:szCs w:val="24"/>
          <w:highlight w:val="none"/>
        </w:rPr>
      </w:pPr>
      <w:r>
        <w:rPr>
          <w:rFonts w:hint="eastAsia" w:ascii="宋体" w:hAnsi="宋体" w:eastAsia="宋体" w:cs="宋体"/>
          <w:color w:val="auto"/>
          <w:szCs w:val="24"/>
          <w:highlight w:val="none"/>
        </w:rPr>
        <w:t>（4）施工合同签订时尚未确定或者不可预见的所需材料、设备、服务的采购。结算时按实际发生根据本招标文件的工程结算原则第3.3.5款进行结算。</w:t>
      </w:r>
    </w:p>
    <w:p w14:paraId="6DF2FCFB">
      <w:pPr>
        <w:pageBreakBefore w:val="0"/>
        <w:kinsoku/>
        <w:overflowPunct/>
        <w:topLinePunct w:val="0"/>
        <w:bidi w:val="0"/>
        <w:spacing w:line="440" w:lineRule="exact"/>
        <w:ind w:firstLine="480"/>
        <w:textAlignment w:val="auto"/>
        <w:rPr>
          <w:rFonts w:hint="eastAsia" w:ascii="宋体" w:hAnsi="宋体" w:eastAsia="宋体" w:cs="宋体"/>
          <w:color w:val="auto"/>
          <w:szCs w:val="24"/>
          <w:highlight w:val="none"/>
        </w:rPr>
      </w:pPr>
      <w:r>
        <w:rPr>
          <w:rFonts w:hint="eastAsia" w:ascii="宋体" w:hAnsi="宋体" w:eastAsia="宋体" w:cs="宋体"/>
          <w:color w:val="auto"/>
          <w:szCs w:val="24"/>
          <w:highlight w:val="none"/>
        </w:rPr>
        <w:t>（5）因不可预见的原因施工局部调整或施工技术工艺调整或应急工作需要发生的工程量。</w:t>
      </w:r>
    </w:p>
    <w:p w14:paraId="7CF973B8">
      <w:pPr>
        <w:pageBreakBefore w:val="0"/>
        <w:kinsoku/>
        <w:overflowPunct/>
        <w:topLinePunct w:val="0"/>
        <w:bidi w:val="0"/>
        <w:spacing w:line="440" w:lineRule="exact"/>
        <w:ind w:firstLine="480"/>
        <w:textAlignment w:val="auto"/>
        <w:rPr>
          <w:rFonts w:hint="eastAsia" w:ascii="宋体" w:hAnsi="宋体" w:eastAsia="宋体" w:cs="宋体"/>
          <w:b/>
          <w:bCs/>
          <w:color w:val="auto"/>
          <w:szCs w:val="24"/>
          <w:highlight w:val="none"/>
        </w:rPr>
      </w:pPr>
      <w:r>
        <w:rPr>
          <w:rFonts w:hint="eastAsia" w:ascii="宋体" w:hAnsi="宋体" w:eastAsia="宋体" w:cs="宋体"/>
          <w:color w:val="auto"/>
          <w:szCs w:val="24"/>
          <w:highlight w:val="none"/>
        </w:rPr>
        <w:t>3.6 预算包干费：根据2018年《广东省市政工程综合定额》、2018年《广东省房屋建筑与装饰工程综合定额》、2018年《广东省传统建筑保护修复工程综合定额》</w:t>
      </w:r>
      <w:r>
        <w:rPr>
          <w:rFonts w:hint="eastAsia" w:ascii="宋体" w:hAnsi="宋体" w:eastAsia="宋体" w:cs="宋体"/>
          <w:color w:val="auto"/>
          <w:szCs w:val="24"/>
          <w:highlight w:val="none"/>
          <w:lang w:eastAsia="zh-CN"/>
        </w:rPr>
        <w:t>、</w:t>
      </w:r>
      <w:r>
        <w:rPr>
          <w:rFonts w:hint="eastAsia" w:ascii="宋体" w:hAnsi="宋体" w:eastAsia="宋体" w:cs="宋体"/>
          <w:color w:val="auto"/>
          <w:szCs w:val="24"/>
          <w:highlight w:val="none"/>
        </w:rPr>
        <w:t>2018年《广东省通用安装工程综合定额》、2018年《广东省园林绿化工程综合定额》，以各专业分部分项的人工费与施工机具费之和为基础计算预算包干费。本工程的预算包干内容包括：按《广东省建设工程计价依据（2018）》相关规定</w:t>
      </w:r>
      <w:r>
        <w:rPr>
          <w:rFonts w:hint="eastAsia" w:ascii="宋体" w:hAnsi="宋体" w:eastAsia="宋体" w:cs="宋体"/>
          <w:b/>
          <w:bCs/>
          <w:color w:val="auto"/>
          <w:szCs w:val="24"/>
          <w:highlight w:val="none"/>
          <w:lang w:eastAsia="zh-CN"/>
        </w:rPr>
        <w:t>。</w:t>
      </w:r>
    </w:p>
    <w:p w14:paraId="47B26C57">
      <w:pPr>
        <w:pageBreakBefore w:val="0"/>
        <w:kinsoku/>
        <w:overflowPunct/>
        <w:topLinePunct w:val="0"/>
        <w:bidi w:val="0"/>
        <w:spacing w:line="440" w:lineRule="exact"/>
        <w:ind w:firstLine="480"/>
        <w:textAlignment w:val="auto"/>
        <w:rPr>
          <w:rFonts w:hint="eastAsia" w:ascii="宋体" w:hAnsi="宋体" w:eastAsia="宋体" w:cs="宋体"/>
          <w:color w:val="auto"/>
          <w:szCs w:val="24"/>
          <w:highlight w:val="none"/>
        </w:rPr>
      </w:pPr>
      <w:r>
        <w:rPr>
          <w:rFonts w:hint="eastAsia" w:ascii="宋体" w:hAnsi="宋体" w:eastAsia="宋体" w:cs="宋体"/>
          <w:color w:val="auto"/>
          <w:szCs w:val="24"/>
          <w:highlight w:val="none"/>
        </w:rPr>
        <w:t>3.7本工程结算不另行计取高温补贴费用、预算编制费、专业分包总包服务及配合费、设计优化及修改增加的费用。</w:t>
      </w:r>
    </w:p>
    <w:p w14:paraId="3E9E889C">
      <w:pPr>
        <w:pageBreakBefore w:val="0"/>
        <w:kinsoku/>
        <w:overflowPunct/>
        <w:topLinePunct w:val="0"/>
        <w:bidi w:val="0"/>
        <w:spacing w:line="440" w:lineRule="exact"/>
        <w:ind w:firstLine="480"/>
        <w:textAlignment w:val="auto"/>
        <w:rPr>
          <w:rFonts w:hint="eastAsia" w:ascii="宋体" w:hAnsi="宋体" w:eastAsia="宋体" w:cs="宋体"/>
          <w:color w:val="auto"/>
          <w:szCs w:val="24"/>
          <w:highlight w:val="none"/>
        </w:rPr>
      </w:pPr>
      <w:r>
        <w:rPr>
          <w:rFonts w:hint="eastAsia" w:ascii="宋体" w:hAnsi="宋体" w:eastAsia="宋体" w:cs="宋体"/>
          <w:color w:val="auto"/>
          <w:szCs w:val="24"/>
          <w:highlight w:val="none"/>
        </w:rPr>
        <w:t>3.8 本工程暂估价（若有）为发包人用于支付必然发生但暂时不能确定价格的材料、工程设备的单价以及专业工程的金额，其结算原则按本章“3 工程结算原则”有关条款进行结算，结算时不得超过预算中所列相应的暂估价。</w:t>
      </w:r>
    </w:p>
    <w:p w14:paraId="0BCA336D">
      <w:pPr>
        <w:pageBreakBefore w:val="0"/>
        <w:kinsoku/>
        <w:overflowPunct/>
        <w:topLinePunct w:val="0"/>
        <w:bidi w:val="0"/>
        <w:spacing w:line="240" w:lineRule="auto"/>
        <w:ind w:firstLine="480"/>
        <w:textAlignment w:val="auto"/>
        <w:rPr>
          <w:rFonts w:hint="eastAsia" w:ascii="宋体" w:hAnsi="宋体" w:eastAsia="宋体" w:cs="宋体"/>
          <w:b/>
          <w:bCs/>
          <w:color w:val="auto"/>
          <w:sz w:val="28"/>
          <w:szCs w:val="28"/>
          <w:highlight w:val="none"/>
        </w:rPr>
      </w:pPr>
      <w:r>
        <w:rPr>
          <w:rFonts w:hint="eastAsia" w:ascii="宋体" w:hAnsi="宋体" w:eastAsia="宋体" w:cs="宋体"/>
          <w:b/>
          <w:bCs/>
          <w:color w:val="auto"/>
          <w:sz w:val="28"/>
          <w:szCs w:val="28"/>
          <w:highlight w:val="none"/>
        </w:rPr>
        <w:t>3.9 因本项目为</w:t>
      </w:r>
      <w:r>
        <w:rPr>
          <w:rFonts w:hint="eastAsia" w:hAnsi="宋体" w:eastAsia="宋体" w:cs="宋体"/>
          <w:b/>
          <w:bCs/>
          <w:color w:val="auto"/>
          <w:sz w:val="28"/>
          <w:szCs w:val="28"/>
          <w:highlight w:val="none"/>
          <w:lang w:val="en-US" w:eastAsia="zh-CN"/>
        </w:rPr>
        <w:t>EPC</w:t>
      </w:r>
      <w:r>
        <w:rPr>
          <w:rFonts w:hint="eastAsia" w:ascii="宋体" w:hAnsi="宋体" w:eastAsia="宋体" w:cs="宋体"/>
          <w:b/>
          <w:bCs/>
          <w:color w:val="auto"/>
          <w:sz w:val="28"/>
          <w:szCs w:val="28"/>
          <w:highlight w:val="none"/>
        </w:rPr>
        <w:t>总承包，如果设计图纸、施工图预算由于设计深度原因导致的设计变更，不另行增加费用。</w:t>
      </w:r>
    </w:p>
    <w:p w14:paraId="1CCB2A13">
      <w:pPr>
        <w:pageBreakBefore w:val="0"/>
        <w:kinsoku/>
        <w:overflowPunct/>
        <w:topLinePunct w:val="0"/>
        <w:bidi w:val="0"/>
        <w:snapToGrid w:val="0"/>
        <w:spacing w:line="36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3.1</w:t>
      </w:r>
      <w:r>
        <w:rPr>
          <w:rFonts w:hint="eastAsia" w:ascii="宋体" w:hAnsi="宋体" w:eastAsia="宋体" w:cs="宋体"/>
          <w:color w:val="auto"/>
          <w:sz w:val="24"/>
          <w:szCs w:val="24"/>
          <w:highlight w:val="none"/>
          <w:lang w:val="en-US" w:eastAsia="zh-CN"/>
        </w:rPr>
        <w:t>0</w:t>
      </w:r>
      <w:r>
        <w:rPr>
          <w:rFonts w:hint="eastAsia" w:ascii="宋体" w:hAnsi="宋体" w:eastAsia="宋体" w:cs="宋体"/>
          <w:color w:val="auto"/>
          <w:sz w:val="24"/>
          <w:szCs w:val="24"/>
          <w:highlight w:val="none"/>
        </w:rPr>
        <w:t>项目工程费用最终结算价以</w:t>
      </w:r>
      <w:r>
        <w:rPr>
          <w:rFonts w:hint="eastAsia" w:hAnsi="宋体" w:eastAsia="宋体" w:cs="宋体"/>
          <w:color w:val="auto"/>
          <w:sz w:val="24"/>
          <w:szCs w:val="24"/>
          <w:highlight w:val="none"/>
          <w:lang w:val="en-US" w:eastAsia="zh-CN"/>
        </w:rPr>
        <w:t>发包人</w:t>
      </w:r>
      <w:r>
        <w:rPr>
          <w:rFonts w:hint="eastAsia" w:ascii="宋体" w:hAnsi="宋体" w:eastAsia="宋体" w:cs="宋体"/>
          <w:color w:val="auto"/>
          <w:sz w:val="24"/>
          <w:szCs w:val="24"/>
          <w:highlight w:val="none"/>
        </w:rPr>
        <w:t>审定意见为准。</w:t>
      </w:r>
    </w:p>
    <w:bookmarkEnd w:id="335"/>
    <w:bookmarkEnd w:id="336"/>
    <w:p w14:paraId="3DBFA1EC">
      <w:pPr>
        <w:pStyle w:val="39"/>
        <w:keepNext/>
        <w:keepLines/>
        <w:pageBreakBefore w:val="0"/>
        <w:kinsoku/>
        <w:overflowPunct/>
        <w:topLinePunct w:val="0"/>
        <w:bidi w:val="0"/>
        <w:spacing w:line="440" w:lineRule="exact"/>
        <w:ind w:firstLine="480"/>
        <w:jc w:val="both"/>
        <w:textAlignment w:val="auto"/>
        <w:rPr>
          <w:rFonts w:hint="eastAsia" w:ascii="宋体" w:hAnsi="宋体" w:eastAsia="宋体" w:cs="宋体"/>
          <w:b/>
          <w:color w:val="auto"/>
          <w:kern w:val="2"/>
          <w:szCs w:val="24"/>
          <w:highlight w:val="none"/>
        </w:rPr>
      </w:pPr>
      <w:bookmarkStart w:id="337" w:name="_Hlt112206782"/>
      <w:bookmarkEnd w:id="337"/>
      <w:bookmarkStart w:id="338" w:name="_Toc20983"/>
      <w:bookmarkStart w:id="339" w:name="_Toc11208"/>
      <w:bookmarkStart w:id="340" w:name="_Toc2973"/>
      <w:bookmarkStart w:id="341" w:name="_Toc30894"/>
      <w:bookmarkStart w:id="342" w:name="_Toc24211"/>
      <w:bookmarkStart w:id="343" w:name="_Toc3812"/>
      <w:bookmarkStart w:id="344" w:name="_Toc16793"/>
      <w:bookmarkStart w:id="345" w:name="_Toc322793290"/>
      <w:bookmarkStart w:id="346" w:name="_Toc326916631"/>
      <w:bookmarkStart w:id="347" w:name="_Toc23408"/>
      <w:bookmarkStart w:id="348" w:name="_Toc15300"/>
      <w:bookmarkStart w:id="349" w:name="_Toc29998"/>
      <w:bookmarkStart w:id="350" w:name="_Hlt87951777"/>
      <w:r>
        <w:rPr>
          <w:rFonts w:hint="eastAsia" w:ascii="宋体" w:hAnsi="宋体" w:eastAsia="宋体" w:cs="宋体"/>
          <w:b/>
          <w:color w:val="auto"/>
          <w:kern w:val="2"/>
          <w:szCs w:val="24"/>
          <w:highlight w:val="none"/>
        </w:rPr>
        <w:t>4 工程付款办法</w:t>
      </w:r>
      <w:bookmarkEnd w:id="338"/>
      <w:bookmarkEnd w:id="339"/>
      <w:bookmarkEnd w:id="340"/>
      <w:bookmarkEnd w:id="341"/>
      <w:bookmarkEnd w:id="342"/>
      <w:bookmarkEnd w:id="343"/>
      <w:bookmarkEnd w:id="344"/>
      <w:bookmarkEnd w:id="345"/>
      <w:bookmarkEnd w:id="346"/>
      <w:bookmarkEnd w:id="347"/>
      <w:bookmarkEnd w:id="348"/>
      <w:bookmarkEnd w:id="349"/>
    </w:p>
    <w:bookmarkEnd w:id="350"/>
    <w:p w14:paraId="2EFA2352">
      <w:pPr>
        <w:pStyle w:val="37"/>
        <w:pageBreakBefore w:val="0"/>
        <w:kinsoku/>
        <w:overflowPunct/>
        <w:topLinePunct w:val="0"/>
        <w:bidi w:val="0"/>
        <w:spacing w:line="440" w:lineRule="exact"/>
        <w:ind w:firstLine="480"/>
        <w:textAlignment w:val="auto"/>
        <w:rPr>
          <w:rFonts w:hint="eastAsia" w:ascii="宋体" w:hAnsi="宋体" w:eastAsia="宋体" w:cs="宋体"/>
          <w:color w:val="auto"/>
          <w:szCs w:val="22"/>
          <w:highlight w:val="none"/>
        </w:rPr>
      </w:pPr>
      <w:bookmarkStart w:id="351" w:name="_Hlt70150985"/>
      <w:bookmarkEnd w:id="351"/>
      <w:bookmarkStart w:id="352" w:name="_Hlt69669774"/>
      <w:bookmarkEnd w:id="352"/>
      <w:bookmarkStart w:id="353" w:name="_Hlt66608388"/>
      <w:bookmarkEnd w:id="353"/>
      <w:bookmarkStart w:id="354" w:name="_Hlt69114106"/>
      <w:bookmarkEnd w:id="354"/>
      <w:bookmarkStart w:id="355" w:name="_Hlt66593437"/>
      <w:bookmarkEnd w:id="355"/>
      <w:bookmarkStart w:id="356" w:name="_Hlt69700007"/>
      <w:bookmarkEnd w:id="356"/>
      <w:bookmarkStart w:id="357" w:name="_Hlt88976467"/>
      <w:bookmarkEnd w:id="357"/>
      <w:bookmarkStart w:id="358" w:name="_Hlt66591689"/>
      <w:bookmarkEnd w:id="358"/>
      <w:r>
        <w:rPr>
          <w:rFonts w:hint="eastAsia" w:ascii="宋体" w:hAnsi="宋体" w:eastAsia="宋体" w:cs="宋体"/>
          <w:b/>
          <w:bCs/>
          <w:color w:val="auto"/>
          <w:szCs w:val="22"/>
          <w:highlight w:val="none"/>
        </w:rPr>
        <w:t>4.1</w:t>
      </w:r>
      <w:r>
        <w:rPr>
          <w:rFonts w:hint="eastAsia" w:ascii="宋体" w:hAnsi="宋体" w:eastAsia="宋体" w:cs="宋体"/>
          <w:b/>
          <w:bCs/>
          <w:color w:val="auto"/>
          <w:szCs w:val="21"/>
          <w:highlight w:val="none"/>
        </w:rPr>
        <w:t>设计费的支付</w:t>
      </w:r>
      <w:r>
        <w:rPr>
          <w:rFonts w:hint="eastAsia" w:ascii="宋体" w:hAnsi="宋体" w:eastAsia="宋体" w:cs="宋体"/>
          <w:color w:val="auto"/>
          <w:szCs w:val="22"/>
          <w:highlight w:val="none"/>
        </w:rPr>
        <w:t>：</w:t>
      </w:r>
    </w:p>
    <w:p w14:paraId="2CF7A87B">
      <w:pPr>
        <w:pStyle w:val="37"/>
        <w:pageBreakBefore w:val="0"/>
        <w:kinsoku/>
        <w:overflowPunct/>
        <w:topLinePunct w:val="0"/>
        <w:bidi w:val="0"/>
        <w:spacing w:line="440" w:lineRule="exact"/>
        <w:ind w:firstLine="480"/>
        <w:textAlignment w:val="auto"/>
        <w:rPr>
          <w:rFonts w:hint="eastAsia" w:ascii="宋体" w:hAnsi="宋体" w:eastAsia="宋体" w:cs="宋体"/>
          <w:color w:val="auto"/>
          <w:highlight w:val="none"/>
        </w:rPr>
      </w:pPr>
      <w:r>
        <w:rPr>
          <w:rFonts w:hint="eastAsia" w:ascii="宋体" w:hAnsi="宋体" w:eastAsia="宋体" w:cs="宋体"/>
          <w:color w:val="auto"/>
          <w:highlight w:val="none"/>
        </w:rPr>
        <w:t>4.1.1</w:t>
      </w:r>
      <w:r>
        <w:rPr>
          <w:rFonts w:hint="eastAsia"/>
          <w:color w:val="auto"/>
          <w:highlight w:val="none"/>
        </w:rPr>
        <w:t>合同签订后，</w:t>
      </w:r>
      <w:r>
        <w:rPr>
          <w:rFonts w:hint="eastAsia"/>
          <w:color w:val="auto"/>
          <w:highlight w:val="none"/>
          <w:lang w:eastAsia="zh-CN"/>
        </w:rPr>
        <w:t>发包人</w:t>
      </w:r>
      <w:r>
        <w:rPr>
          <w:rFonts w:hint="eastAsia"/>
          <w:color w:val="auto"/>
          <w:highlight w:val="none"/>
        </w:rPr>
        <w:t>在15 日内</w:t>
      </w:r>
      <w:r>
        <w:rPr>
          <w:rFonts w:hint="eastAsia" w:ascii="宋体" w:hAnsi="宋体" w:eastAsia="宋体" w:cs="宋体"/>
          <w:color w:val="auto"/>
          <w:highlight w:val="none"/>
        </w:rPr>
        <w:t>支付</w:t>
      </w:r>
      <w:r>
        <w:rPr>
          <w:rFonts w:hint="eastAsia" w:hAnsi="宋体" w:cs="宋体"/>
          <w:color w:val="auto"/>
          <w:highlight w:val="none"/>
          <w:lang w:val="en-US" w:eastAsia="zh-CN"/>
        </w:rPr>
        <w:t>承包人</w:t>
      </w:r>
      <w:r>
        <w:rPr>
          <w:rFonts w:hint="eastAsia" w:ascii="宋体" w:hAnsi="宋体" w:eastAsia="宋体" w:cs="宋体"/>
          <w:color w:val="auto"/>
          <w:highlight w:val="none"/>
        </w:rPr>
        <w:t>设计费的</w:t>
      </w:r>
      <w:r>
        <w:rPr>
          <w:rFonts w:hint="eastAsia" w:hAnsi="宋体" w:cs="宋体"/>
          <w:color w:val="auto"/>
          <w:highlight w:val="none"/>
          <w:lang w:val="en-US" w:eastAsia="zh-CN"/>
        </w:rPr>
        <w:t>2</w:t>
      </w:r>
      <w:r>
        <w:rPr>
          <w:rFonts w:hint="eastAsia" w:ascii="宋体" w:hAnsi="宋体" w:eastAsia="宋体" w:cs="宋体"/>
          <w:color w:val="auto"/>
          <w:highlight w:val="none"/>
        </w:rPr>
        <w:t>0%</w:t>
      </w:r>
      <w:r>
        <w:rPr>
          <w:rFonts w:hint="eastAsia" w:hAnsi="宋体" w:cs="宋体"/>
          <w:color w:val="auto"/>
          <w:highlight w:val="none"/>
          <w:lang w:eastAsia="zh-CN"/>
        </w:rPr>
        <w:t>作为</w:t>
      </w:r>
      <w:r>
        <w:rPr>
          <w:rFonts w:hint="eastAsia"/>
          <w:color w:val="auto"/>
          <w:highlight w:val="none"/>
          <w:lang w:val="en-US" w:eastAsia="zh-CN"/>
        </w:rPr>
        <w:t>预付款</w:t>
      </w:r>
      <w:r>
        <w:rPr>
          <w:rFonts w:hint="eastAsia" w:ascii="宋体" w:hAnsi="宋体" w:eastAsia="宋体" w:cs="宋体"/>
          <w:color w:val="auto"/>
          <w:highlight w:val="none"/>
        </w:rPr>
        <w:t>。</w:t>
      </w:r>
    </w:p>
    <w:p w14:paraId="76426152">
      <w:pPr>
        <w:pStyle w:val="37"/>
        <w:pageBreakBefore w:val="0"/>
        <w:kinsoku/>
        <w:overflowPunct/>
        <w:topLinePunct w:val="0"/>
        <w:bidi w:val="0"/>
        <w:spacing w:line="440" w:lineRule="exact"/>
        <w:ind w:firstLine="480"/>
        <w:textAlignment w:val="auto"/>
        <w:rPr>
          <w:rFonts w:hint="eastAsia" w:ascii="宋体" w:hAnsi="宋体" w:eastAsia="宋体" w:cs="宋体"/>
          <w:color w:val="auto"/>
          <w:highlight w:val="none"/>
        </w:rPr>
      </w:pPr>
      <w:r>
        <w:rPr>
          <w:rFonts w:hint="eastAsia" w:ascii="宋体" w:hAnsi="宋体" w:eastAsia="宋体" w:cs="宋体"/>
          <w:color w:val="auto"/>
          <w:highlight w:val="none"/>
        </w:rPr>
        <w:t>4.1.2</w:t>
      </w:r>
      <w:r>
        <w:rPr>
          <w:rFonts w:hint="eastAsia" w:hAnsi="宋体" w:cs="宋体"/>
          <w:color w:val="auto"/>
          <w:highlight w:val="none"/>
          <w:lang w:val="en-US" w:eastAsia="zh-CN"/>
        </w:rPr>
        <w:t>承包人</w:t>
      </w:r>
      <w:r>
        <w:rPr>
          <w:rFonts w:hint="eastAsia" w:ascii="宋体" w:hAnsi="宋体" w:eastAsia="宋体" w:cs="宋体"/>
          <w:color w:val="auto"/>
          <w:highlight w:val="none"/>
        </w:rPr>
        <w:t>提交合格的完整施工图设计成果文件</w:t>
      </w:r>
      <w:r>
        <w:rPr>
          <w:rFonts w:hint="eastAsia" w:hAnsi="宋体" w:cs="宋体"/>
          <w:color w:val="auto"/>
          <w:highlight w:val="none"/>
          <w:lang w:val="en-US" w:eastAsia="zh-CN"/>
        </w:rPr>
        <w:t>并</w:t>
      </w:r>
      <w:r>
        <w:rPr>
          <w:rFonts w:hint="eastAsia" w:ascii="宋体" w:hAnsi="宋体" w:eastAsia="宋体" w:cs="宋体"/>
          <w:color w:val="auto"/>
          <w:highlight w:val="none"/>
        </w:rPr>
        <w:t>经具有资质的第三方审图机构审查合格后，</w:t>
      </w:r>
      <w:r>
        <w:rPr>
          <w:rFonts w:hint="eastAsia" w:hAnsi="宋体" w:cs="宋体"/>
          <w:color w:val="auto"/>
          <w:highlight w:val="none"/>
          <w:lang w:val="en-US" w:eastAsia="zh-CN"/>
        </w:rPr>
        <w:t>承包人提交</w:t>
      </w:r>
      <w:r>
        <w:rPr>
          <w:rFonts w:hint="eastAsia" w:ascii="宋体" w:hAnsi="宋体" w:eastAsia="宋体" w:cs="宋体"/>
          <w:color w:val="auto"/>
          <w:highlight w:val="none"/>
        </w:rPr>
        <w:t>相关请款资料经</w:t>
      </w:r>
      <w:r>
        <w:rPr>
          <w:rFonts w:hint="eastAsia" w:hAnsi="宋体" w:cs="宋体"/>
          <w:color w:val="auto"/>
          <w:highlight w:val="none"/>
          <w:lang w:val="en-US" w:eastAsia="zh-CN"/>
        </w:rPr>
        <w:t>发包人</w:t>
      </w:r>
      <w:r>
        <w:rPr>
          <w:rFonts w:hint="eastAsia" w:ascii="宋体" w:hAnsi="宋体" w:eastAsia="宋体" w:cs="宋体"/>
          <w:color w:val="auto"/>
          <w:highlight w:val="none"/>
        </w:rPr>
        <w:t>审批</w:t>
      </w:r>
      <w:r>
        <w:rPr>
          <w:rFonts w:hint="eastAsia" w:hAnsi="宋体" w:cs="宋体"/>
          <w:color w:val="auto"/>
          <w:highlight w:val="none"/>
          <w:lang w:val="en-US" w:eastAsia="zh-CN"/>
        </w:rPr>
        <w:t>完成</w:t>
      </w:r>
      <w:r>
        <w:rPr>
          <w:rFonts w:hint="eastAsia" w:ascii="宋体" w:hAnsi="宋体" w:eastAsia="宋体" w:cs="宋体"/>
          <w:color w:val="auto"/>
          <w:highlight w:val="none"/>
        </w:rPr>
        <w:t>后</w:t>
      </w:r>
      <w:r>
        <w:rPr>
          <w:rFonts w:hint="eastAsia" w:hAnsi="宋体" w:cs="宋体"/>
          <w:color w:val="auto"/>
          <w:highlight w:val="none"/>
          <w:lang w:val="en-US" w:eastAsia="zh-CN"/>
        </w:rPr>
        <w:t>15</w:t>
      </w:r>
      <w:r>
        <w:rPr>
          <w:rFonts w:hint="eastAsia" w:ascii="宋体" w:hAnsi="宋体" w:eastAsia="宋体" w:cs="宋体"/>
          <w:color w:val="auto"/>
          <w:highlight w:val="none"/>
        </w:rPr>
        <w:t>日内，支付至设计费的</w:t>
      </w:r>
      <w:r>
        <w:rPr>
          <w:rFonts w:hint="eastAsia" w:hAnsi="宋体" w:cs="宋体"/>
          <w:color w:val="auto"/>
          <w:highlight w:val="none"/>
          <w:lang w:val="en-US" w:eastAsia="zh-CN"/>
        </w:rPr>
        <w:t>7</w:t>
      </w:r>
      <w:r>
        <w:rPr>
          <w:rFonts w:hint="eastAsia" w:ascii="宋体" w:hAnsi="宋体" w:eastAsia="宋体" w:cs="宋体"/>
          <w:color w:val="auto"/>
          <w:highlight w:val="none"/>
        </w:rPr>
        <w:t>0%。</w:t>
      </w:r>
    </w:p>
    <w:p w14:paraId="0FBE5B0E">
      <w:pPr>
        <w:pStyle w:val="37"/>
        <w:pageBreakBefore w:val="0"/>
        <w:kinsoku/>
        <w:overflowPunct/>
        <w:topLinePunct w:val="0"/>
        <w:bidi w:val="0"/>
        <w:spacing w:line="440" w:lineRule="exact"/>
        <w:ind w:firstLine="480"/>
        <w:textAlignment w:val="auto"/>
        <w:rPr>
          <w:rFonts w:hint="eastAsia" w:ascii="宋体" w:hAnsi="宋体" w:eastAsia="宋体" w:cs="宋体"/>
          <w:color w:val="auto"/>
          <w:highlight w:val="none"/>
        </w:rPr>
      </w:pPr>
      <w:r>
        <w:rPr>
          <w:rFonts w:hint="eastAsia" w:ascii="宋体" w:hAnsi="宋体" w:eastAsia="宋体" w:cs="宋体"/>
          <w:color w:val="auto"/>
          <w:highlight w:val="none"/>
        </w:rPr>
        <w:t>4.1.3</w:t>
      </w:r>
      <w:r>
        <w:rPr>
          <w:rFonts w:hint="eastAsia" w:hAnsi="宋体" w:cs="宋体"/>
          <w:color w:val="auto"/>
          <w:highlight w:val="none"/>
          <w:lang w:val="en-US" w:eastAsia="zh-CN"/>
        </w:rPr>
        <w:t>承包人</w:t>
      </w:r>
      <w:r>
        <w:rPr>
          <w:rFonts w:hint="eastAsia" w:ascii="宋体" w:hAnsi="宋体" w:eastAsia="宋体" w:cs="宋体"/>
          <w:color w:val="auto"/>
          <w:highlight w:val="none"/>
        </w:rPr>
        <w:t>完成本项目工程施工图预算审定后，</w:t>
      </w:r>
      <w:r>
        <w:rPr>
          <w:rFonts w:hint="eastAsia" w:hAnsi="宋体" w:cs="宋体"/>
          <w:color w:val="auto"/>
          <w:highlight w:val="none"/>
          <w:lang w:val="en-US" w:eastAsia="zh-CN"/>
        </w:rPr>
        <w:t>承包人提交</w:t>
      </w:r>
      <w:r>
        <w:rPr>
          <w:rFonts w:hint="eastAsia" w:ascii="宋体" w:hAnsi="宋体" w:eastAsia="宋体" w:cs="宋体"/>
          <w:color w:val="auto"/>
          <w:highlight w:val="none"/>
        </w:rPr>
        <w:t>相关请款资料经</w:t>
      </w:r>
      <w:r>
        <w:rPr>
          <w:rFonts w:hint="eastAsia" w:hAnsi="宋体" w:cs="宋体"/>
          <w:color w:val="auto"/>
          <w:highlight w:val="none"/>
          <w:lang w:val="en-US" w:eastAsia="zh-CN"/>
        </w:rPr>
        <w:t>发包人</w:t>
      </w:r>
      <w:r>
        <w:rPr>
          <w:rFonts w:hint="eastAsia" w:ascii="宋体" w:hAnsi="宋体" w:eastAsia="宋体" w:cs="宋体"/>
          <w:color w:val="auto"/>
          <w:highlight w:val="none"/>
        </w:rPr>
        <w:t>审批</w:t>
      </w:r>
      <w:r>
        <w:rPr>
          <w:rFonts w:hint="eastAsia" w:hAnsi="宋体" w:cs="宋体"/>
          <w:color w:val="auto"/>
          <w:highlight w:val="none"/>
          <w:lang w:val="en-US" w:eastAsia="zh-CN"/>
        </w:rPr>
        <w:t>完成</w:t>
      </w:r>
      <w:r>
        <w:rPr>
          <w:rFonts w:hint="eastAsia" w:ascii="宋体" w:hAnsi="宋体" w:eastAsia="宋体" w:cs="宋体"/>
          <w:color w:val="auto"/>
          <w:highlight w:val="none"/>
        </w:rPr>
        <w:t>后</w:t>
      </w:r>
      <w:r>
        <w:rPr>
          <w:rFonts w:hint="eastAsia" w:hAnsi="宋体" w:cs="宋体"/>
          <w:color w:val="auto"/>
          <w:highlight w:val="none"/>
          <w:lang w:val="en-US" w:eastAsia="zh-CN"/>
        </w:rPr>
        <w:t>15</w:t>
      </w:r>
      <w:r>
        <w:rPr>
          <w:rFonts w:hint="eastAsia" w:ascii="宋体" w:hAnsi="宋体" w:eastAsia="宋体" w:cs="宋体"/>
          <w:color w:val="auto"/>
          <w:highlight w:val="none"/>
        </w:rPr>
        <w:t>日内，支付至设计费的</w:t>
      </w:r>
      <w:r>
        <w:rPr>
          <w:rFonts w:hint="eastAsia" w:hAnsi="宋体" w:cs="宋体"/>
          <w:color w:val="auto"/>
          <w:highlight w:val="none"/>
          <w:lang w:val="en-US" w:eastAsia="zh-CN"/>
        </w:rPr>
        <w:t>9</w:t>
      </w:r>
      <w:r>
        <w:rPr>
          <w:rFonts w:hint="eastAsia" w:ascii="宋体" w:hAnsi="宋体" w:eastAsia="宋体" w:cs="宋体"/>
          <w:color w:val="auto"/>
          <w:highlight w:val="none"/>
        </w:rPr>
        <w:t>0%。</w:t>
      </w:r>
    </w:p>
    <w:p w14:paraId="568B668B">
      <w:pPr>
        <w:pStyle w:val="37"/>
        <w:pageBreakBefore w:val="0"/>
        <w:kinsoku/>
        <w:overflowPunct/>
        <w:topLinePunct w:val="0"/>
        <w:bidi w:val="0"/>
        <w:spacing w:line="440" w:lineRule="exact"/>
        <w:ind w:firstLine="480"/>
        <w:textAlignment w:val="auto"/>
        <w:rPr>
          <w:rFonts w:hint="eastAsia" w:ascii="宋体" w:hAnsi="宋体" w:eastAsia="宋体" w:cs="宋体"/>
          <w:color w:val="auto"/>
          <w:szCs w:val="24"/>
          <w:highlight w:val="none"/>
        </w:rPr>
      </w:pPr>
      <w:r>
        <w:rPr>
          <w:rFonts w:hint="eastAsia" w:ascii="宋体" w:hAnsi="宋体" w:eastAsia="宋体" w:cs="宋体"/>
          <w:color w:val="auto"/>
          <w:highlight w:val="none"/>
        </w:rPr>
        <w:t>4.1.4工程竣工验收合格后，</w:t>
      </w:r>
      <w:r>
        <w:rPr>
          <w:rFonts w:hint="eastAsia" w:hAnsi="宋体" w:cs="宋体"/>
          <w:color w:val="auto"/>
          <w:highlight w:val="none"/>
          <w:lang w:val="en-US" w:eastAsia="zh-CN"/>
        </w:rPr>
        <w:t>承包人提交</w:t>
      </w:r>
      <w:r>
        <w:rPr>
          <w:rFonts w:hint="eastAsia" w:ascii="宋体" w:hAnsi="宋体" w:eastAsia="宋体" w:cs="宋体"/>
          <w:color w:val="auto"/>
          <w:highlight w:val="none"/>
        </w:rPr>
        <w:t>相关请款资料经</w:t>
      </w:r>
      <w:r>
        <w:rPr>
          <w:rFonts w:hint="eastAsia" w:hAnsi="宋体" w:cs="宋体"/>
          <w:color w:val="auto"/>
          <w:highlight w:val="none"/>
          <w:lang w:val="en-US" w:eastAsia="zh-CN"/>
        </w:rPr>
        <w:t>发包人</w:t>
      </w:r>
      <w:r>
        <w:rPr>
          <w:rFonts w:hint="eastAsia" w:ascii="宋体" w:hAnsi="宋体" w:eastAsia="宋体" w:cs="宋体"/>
          <w:color w:val="auto"/>
          <w:highlight w:val="none"/>
        </w:rPr>
        <w:t>审批</w:t>
      </w:r>
      <w:r>
        <w:rPr>
          <w:rFonts w:hint="eastAsia" w:hAnsi="宋体" w:cs="宋体"/>
          <w:color w:val="auto"/>
          <w:highlight w:val="none"/>
          <w:lang w:val="en-US" w:eastAsia="zh-CN"/>
        </w:rPr>
        <w:t>完成</w:t>
      </w:r>
      <w:r>
        <w:rPr>
          <w:rFonts w:hint="eastAsia" w:ascii="宋体" w:hAnsi="宋体" w:eastAsia="宋体" w:cs="宋体"/>
          <w:color w:val="auto"/>
          <w:highlight w:val="none"/>
        </w:rPr>
        <w:t>后</w:t>
      </w:r>
      <w:r>
        <w:rPr>
          <w:rFonts w:hint="eastAsia" w:hAnsi="宋体" w:cs="宋体"/>
          <w:color w:val="auto"/>
          <w:highlight w:val="none"/>
          <w:lang w:val="en-US" w:eastAsia="zh-CN"/>
        </w:rPr>
        <w:t>15</w:t>
      </w:r>
      <w:r>
        <w:rPr>
          <w:rFonts w:hint="eastAsia" w:ascii="宋体" w:hAnsi="宋体" w:eastAsia="宋体" w:cs="宋体"/>
          <w:color w:val="auto"/>
          <w:highlight w:val="none"/>
        </w:rPr>
        <w:t>日内支付设计费余额。</w:t>
      </w:r>
    </w:p>
    <w:p w14:paraId="0ED743F2">
      <w:pPr>
        <w:pStyle w:val="37"/>
        <w:pageBreakBefore w:val="0"/>
        <w:kinsoku/>
        <w:overflowPunct/>
        <w:topLinePunct w:val="0"/>
        <w:bidi w:val="0"/>
        <w:spacing w:line="440" w:lineRule="exact"/>
        <w:ind w:firstLine="482" w:firstLineChars="200"/>
        <w:textAlignment w:val="auto"/>
        <w:rPr>
          <w:rFonts w:hint="eastAsia" w:ascii="宋体" w:hAnsi="宋体" w:eastAsia="宋体" w:cs="宋体"/>
          <w:color w:val="auto"/>
          <w:highlight w:val="none"/>
        </w:rPr>
      </w:pPr>
      <w:r>
        <w:rPr>
          <w:rFonts w:hint="eastAsia" w:ascii="宋体" w:hAnsi="宋体" w:eastAsia="宋体" w:cs="宋体"/>
          <w:b/>
          <w:bCs/>
          <w:color w:val="auto"/>
          <w:highlight w:val="none"/>
        </w:rPr>
        <w:t xml:space="preserve">4.2 </w:t>
      </w:r>
      <w:r>
        <w:rPr>
          <w:rFonts w:hint="eastAsia" w:ascii="宋体" w:hAnsi="宋体" w:eastAsia="宋体" w:cs="宋体"/>
          <w:b/>
          <w:bCs/>
          <w:color w:val="auto"/>
          <w:szCs w:val="21"/>
          <w:highlight w:val="none"/>
        </w:rPr>
        <w:t>建安工程款的支付</w:t>
      </w:r>
      <w:r>
        <w:rPr>
          <w:rFonts w:hint="eastAsia" w:ascii="宋体" w:hAnsi="宋体" w:eastAsia="宋体" w:cs="宋体"/>
          <w:color w:val="auto"/>
          <w:szCs w:val="22"/>
          <w:highlight w:val="none"/>
        </w:rPr>
        <w:t>：</w:t>
      </w:r>
    </w:p>
    <w:p w14:paraId="1E50EC19">
      <w:pPr>
        <w:pStyle w:val="37"/>
        <w:pageBreakBefore w:val="0"/>
        <w:kinsoku/>
        <w:overflowPunct/>
        <w:topLinePunct w:val="0"/>
        <w:bidi w:val="0"/>
        <w:spacing w:line="440" w:lineRule="exact"/>
        <w:ind w:firstLine="480"/>
        <w:textAlignment w:val="auto"/>
        <w:rPr>
          <w:rFonts w:hint="eastAsia" w:ascii="宋体" w:hAnsi="宋体" w:eastAsia="宋体" w:cs="宋体"/>
          <w:color w:val="auto"/>
          <w:highlight w:val="none"/>
        </w:rPr>
      </w:pPr>
      <w:r>
        <w:rPr>
          <w:rFonts w:hint="eastAsia" w:ascii="宋体" w:hAnsi="宋体" w:eastAsia="宋体" w:cs="宋体"/>
          <w:color w:val="auto"/>
          <w:highlight w:val="none"/>
        </w:rPr>
        <w:t>4.2.1 本工程</w:t>
      </w:r>
      <w:r>
        <w:rPr>
          <w:rFonts w:hint="eastAsia" w:ascii="宋体" w:hAnsi="宋体" w:eastAsia="宋体" w:cs="宋体"/>
          <w:color w:val="auto"/>
          <w:highlight w:val="none"/>
          <w:u w:val="single"/>
        </w:rPr>
        <w:t>支付</w:t>
      </w:r>
      <w:r>
        <w:rPr>
          <w:rFonts w:hint="eastAsia" w:ascii="宋体" w:hAnsi="宋体" w:eastAsia="宋体" w:cs="宋体"/>
          <w:color w:val="auto"/>
          <w:highlight w:val="none"/>
        </w:rPr>
        <w:t>施工预付款。</w:t>
      </w:r>
    </w:p>
    <w:p w14:paraId="1A9B8DDF">
      <w:pPr>
        <w:pStyle w:val="37"/>
        <w:pageBreakBefore w:val="0"/>
        <w:kinsoku/>
        <w:overflowPunct/>
        <w:topLinePunct w:val="0"/>
        <w:bidi w:val="0"/>
        <w:spacing w:line="440" w:lineRule="exact"/>
        <w:ind w:firstLine="480"/>
        <w:textAlignment w:val="auto"/>
        <w:rPr>
          <w:rFonts w:hint="eastAsia" w:ascii="宋体" w:hAnsi="宋体" w:eastAsia="宋体" w:cs="宋体"/>
          <w:i/>
          <w:snapToGrid w:val="0"/>
          <w:color w:val="auto"/>
          <w:kern w:val="0"/>
          <w:highlight w:val="none"/>
        </w:rPr>
      </w:pPr>
      <w:r>
        <w:rPr>
          <w:rFonts w:hint="eastAsia" w:ascii="宋体" w:hAnsi="宋体" w:eastAsia="宋体" w:cs="宋体"/>
          <w:color w:val="auto"/>
          <w:highlight w:val="none"/>
        </w:rPr>
        <w:t xml:space="preserve">4.2.2 </w:t>
      </w:r>
      <w:r>
        <w:rPr>
          <w:rFonts w:hint="eastAsia" w:ascii="宋体" w:hAnsi="宋体" w:eastAsia="宋体" w:cs="宋体"/>
          <w:snapToGrid w:val="0"/>
          <w:color w:val="auto"/>
          <w:kern w:val="0"/>
          <w:highlight w:val="none"/>
        </w:rPr>
        <w:t>施工预付款必须专用于合同工程，并按以下原则支付和抵扣：</w:t>
      </w:r>
    </w:p>
    <w:p w14:paraId="48EAF863">
      <w:pPr>
        <w:pageBreakBefore w:val="0"/>
        <w:kinsoku/>
        <w:overflowPunct/>
        <w:topLinePunct w:val="0"/>
        <w:bidi w:val="0"/>
        <w:adjustRightInd w:val="0"/>
        <w:snapToGrid w:val="0"/>
        <w:spacing w:line="440" w:lineRule="exact"/>
        <w:ind w:firstLine="560"/>
        <w:textAlignment w:val="auto"/>
        <w:rPr>
          <w:rFonts w:hint="eastAsia" w:ascii="宋体" w:hAnsi="宋体" w:eastAsia="宋体" w:cs="宋体"/>
          <w:snapToGrid w:val="0"/>
          <w:color w:val="auto"/>
          <w:kern w:val="0"/>
          <w:szCs w:val="24"/>
          <w:highlight w:val="none"/>
        </w:rPr>
      </w:pPr>
      <w:r>
        <w:rPr>
          <w:rFonts w:hint="eastAsia" w:ascii="宋体" w:hAnsi="宋体" w:eastAsia="宋体" w:cs="宋体"/>
          <w:snapToGrid w:val="0"/>
          <w:color w:val="auto"/>
          <w:kern w:val="0"/>
          <w:szCs w:val="24"/>
          <w:highlight w:val="none"/>
        </w:rPr>
        <w:t>（1） 施工预付款支付比例为：</w:t>
      </w:r>
      <w:r>
        <w:rPr>
          <w:rFonts w:hint="eastAsia" w:ascii="宋体" w:hAnsi="宋体" w:eastAsia="宋体" w:cs="宋体"/>
          <w:snapToGrid w:val="0"/>
          <w:color w:val="auto"/>
          <w:kern w:val="0"/>
          <w:sz w:val="24"/>
          <w:szCs w:val="20"/>
          <w:highlight w:val="none"/>
          <w:lang w:eastAsia="zh-CN"/>
        </w:rPr>
        <w:t>按施工合同价（</w:t>
      </w:r>
      <w:r>
        <w:rPr>
          <w:rFonts w:hint="eastAsia" w:ascii="宋体" w:hAnsi="宋体" w:eastAsia="宋体" w:cs="宋体"/>
          <w:snapToGrid w:val="0"/>
          <w:color w:val="auto"/>
          <w:kern w:val="0"/>
          <w:sz w:val="24"/>
          <w:szCs w:val="20"/>
          <w:highlight w:val="none"/>
          <w:lang w:val="en-US" w:eastAsia="zh-CN"/>
        </w:rPr>
        <w:t>扣除安全生产措施费、暂列金额、计日工和专业工程暂估价</w:t>
      </w:r>
      <w:r>
        <w:rPr>
          <w:rFonts w:hint="eastAsia" w:ascii="宋体" w:hAnsi="宋体" w:eastAsia="宋体" w:cs="宋体"/>
          <w:snapToGrid w:val="0"/>
          <w:color w:val="auto"/>
          <w:kern w:val="0"/>
          <w:sz w:val="24"/>
          <w:szCs w:val="20"/>
          <w:highlight w:val="none"/>
          <w:lang w:eastAsia="zh-CN"/>
        </w:rPr>
        <w:t xml:space="preserve">）的 </w:t>
      </w:r>
      <w:r>
        <w:rPr>
          <w:rFonts w:hint="eastAsia" w:hAnsi="宋体" w:eastAsia="宋体" w:cs="宋体"/>
          <w:snapToGrid w:val="0"/>
          <w:color w:val="auto"/>
          <w:kern w:val="0"/>
          <w:sz w:val="24"/>
          <w:szCs w:val="20"/>
          <w:highlight w:val="none"/>
          <w:lang w:val="en-US" w:eastAsia="zh-CN"/>
        </w:rPr>
        <w:t>2</w:t>
      </w:r>
      <w:r>
        <w:rPr>
          <w:rFonts w:hint="eastAsia" w:ascii="宋体" w:hAnsi="宋体" w:eastAsia="宋体" w:cs="宋体"/>
          <w:snapToGrid w:val="0"/>
          <w:color w:val="auto"/>
          <w:kern w:val="0"/>
          <w:sz w:val="24"/>
          <w:szCs w:val="20"/>
          <w:highlight w:val="none"/>
          <w:lang w:eastAsia="zh-CN"/>
        </w:rPr>
        <w:t>0% 支付</w:t>
      </w:r>
      <w:r>
        <w:rPr>
          <w:rFonts w:hint="eastAsia" w:ascii="宋体" w:hAnsi="宋体" w:eastAsia="宋体" w:cs="宋体"/>
          <w:snapToGrid w:val="0"/>
          <w:color w:val="auto"/>
          <w:kern w:val="0"/>
          <w:szCs w:val="24"/>
          <w:highlight w:val="none"/>
        </w:rPr>
        <w:t>。</w:t>
      </w:r>
    </w:p>
    <w:p w14:paraId="514CCE98">
      <w:pPr>
        <w:pageBreakBefore w:val="0"/>
        <w:kinsoku/>
        <w:overflowPunct/>
        <w:topLinePunct w:val="0"/>
        <w:bidi w:val="0"/>
        <w:adjustRightInd w:val="0"/>
        <w:snapToGrid w:val="0"/>
        <w:spacing w:line="440" w:lineRule="exact"/>
        <w:ind w:firstLine="560"/>
        <w:textAlignment w:val="auto"/>
        <w:rPr>
          <w:rFonts w:hint="eastAsia" w:ascii="宋体" w:hAnsi="宋体" w:eastAsia="宋体" w:cs="宋体"/>
          <w:b/>
          <w:snapToGrid w:val="0"/>
          <w:color w:val="auto"/>
          <w:kern w:val="0"/>
          <w:szCs w:val="24"/>
          <w:highlight w:val="none"/>
        </w:rPr>
      </w:pPr>
      <w:r>
        <w:rPr>
          <w:rFonts w:hint="eastAsia" w:ascii="宋体" w:hAnsi="宋体" w:eastAsia="宋体" w:cs="宋体"/>
          <w:snapToGrid w:val="0"/>
          <w:color w:val="auto"/>
          <w:kern w:val="0"/>
          <w:szCs w:val="24"/>
          <w:highlight w:val="none"/>
        </w:rPr>
        <w:t>（2）</w:t>
      </w:r>
      <w:r>
        <w:rPr>
          <w:rFonts w:hint="eastAsia" w:ascii="宋体" w:hAnsi="宋体" w:eastAsia="宋体" w:cs="宋体"/>
          <w:snapToGrid w:val="0"/>
          <w:color w:val="auto"/>
          <w:kern w:val="0"/>
          <w:sz w:val="24"/>
          <w:szCs w:val="20"/>
          <w:highlight w:val="none"/>
          <w:lang w:eastAsia="zh-CN"/>
        </w:rPr>
        <w:t>本招标项目</w:t>
      </w:r>
      <w:r>
        <w:rPr>
          <w:rFonts w:hint="eastAsia" w:ascii="宋体" w:hAnsi="宋体" w:eastAsia="宋体" w:cs="宋体"/>
          <w:b/>
          <w:bCs/>
          <w:snapToGrid w:val="0"/>
          <w:color w:val="auto"/>
          <w:kern w:val="0"/>
          <w:sz w:val="24"/>
          <w:szCs w:val="20"/>
          <w:highlight w:val="none"/>
          <w:u w:val="single"/>
          <w:lang w:eastAsia="zh-CN"/>
        </w:rPr>
        <w:t xml:space="preserve"> 要求 </w:t>
      </w:r>
      <w:r>
        <w:rPr>
          <w:rFonts w:hint="eastAsia" w:ascii="宋体" w:hAnsi="宋体" w:eastAsia="宋体" w:cs="宋体"/>
          <w:snapToGrid w:val="0"/>
          <w:color w:val="auto"/>
          <w:kern w:val="0"/>
          <w:sz w:val="24"/>
          <w:szCs w:val="20"/>
          <w:highlight w:val="none"/>
          <w:lang w:eastAsia="zh-CN"/>
        </w:rPr>
        <w:t>承包人提供与预付款等额的预付款保函。</w:t>
      </w:r>
      <w:r>
        <w:rPr>
          <w:rFonts w:hint="eastAsia" w:ascii="宋体" w:hAnsi="宋体" w:eastAsia="宋体" w:cs="宋体"/>
          <w:b/>
          <w:bCs/>
          <w:snapToGrid w:val="0"/>
          <w:color w:val="auto"/>
          <w:kern w:val="0"/>
          <w:sz w:val="24"/>
          <w:szCs w:val="20"/>
          <w:highlight w:val="none"/>
          <w:lang w:eastAsia="zh-CN"/>
        </w:rPr>
        <w:t>（预付款保函格式按《住房和城乡建设部关于印发工程保函示范文本的通知》建市〔2021〕11号）执行），且预付款保函期限与总工期一致，承包单位的预付款保函有效期应保证在扣回预付款前有效，未扣回预付款但保函过期的承包人应重新开具预付款保函</w:t>
      </w:r>
      <w:r>
        <w:rPr>
          <w:rFonts w:hint="eastAsia" w:ascii="宋体" w:hAnsi="宋体" w:eastAsia="宋体" w:cs="宋体"/>
          <w:b/>
          <w:snapToGrid w:val="0"/>
          <w:color w:val="auto"/>
          <w:kern w:val="0"/>
          <w:szCs w:val="24"/>
          <w:highlight w:val="none"/>
        </w:rPr>
        <w:t>。</w:t>
      </w:r>
    </w:p>
    <w:p w14:paraId="5828A0AD">
      <w:pPr>
        <w:pStyle w:val="37"/>
        <w:pageBreakBefore w:val="0"/>
        <w:kinsoku/>
        <w:overflowPunct/>
        <w:topLinePunct w:val="0"/>
        <w:bidi w:val="0"/>
        <w:spacing w:line="440" w:lineRule="exact"/>
        <w:ind w:firstLine="480"/>
        <w:textAlignment w:val="auto"/>
        <w:rPr>
          <w:rFonts w:hint="eastAsia" w:ascii="宋体" w:hAnsi="宋体" w:eastAsia="宋体" w:cs="宋体"/>
          <w:snapToGrid w:val="0"/>
          <w:color w:val="auto"/>
          <w:kern w:val="0"/>
          <w:highlight w:val="none"/>
        </w:rPr>
      </w:pPr>
      <w:r>
        <w:rPr>
          <w:rFonts w:hint="eastAsia" w:ascii="宋体" w:hAnsi="宋体" w:eastAsia="宋体" w:cs="宋体"/>
          <w:snapToGrid w:val="0"/>
          <w:color w:val="auto"/>
          <w:kern w:val="0"/>
          <w:szCs w:val="24"/>
          <w:highlight w:val="none"/>
        </w:rPr>
        <w:t>（3）承包人应在签订施工合同后，在提供等额的预付款保函及具备施工条件的前提下（如承包人主要人员及主要机械进场到位），向发包人提交预付款支付申请。</w:t>
      </w:r>
    </w:p>
    <w:p w14:paraId="3B408DC5">
      <w:pPr>
        <w:pStyle w:val="37"/>
        <w:pageBreakBefore w:val="0"/>
        <w:kinsoku/>
        <w:overflowPunct/>
        <w:topLinePunct w:val="0"/>
        <w:bidi w:val="0"/>
        <w:spacing w:line="440" w:lineRule="exact"/>
        <w:ind w:firstLine="480" w:firstLineChars="200"/>
        <w:textAlignment w:val="auto"/>
        <w:rPr>
          <w:rFonts w:hint="eastAsia" w:ascii="宋体" w:hAnsi="宋体" w:eastAsia="宋体" w:cs="宋体"/>
          <w:snapToGrid w:val="0"/>
          <w:color w:val="auto"/>
          <w:kern w:val="0"/>
          <w:highlight w:val="none"/>
        </w:rPr>
      </w:pPr>
      <w:r>
        <w:rPr>
          <w:rFonts w:hint="eastAsia" w:ascii="宋体" w:hAnsi="宋体" w:eastAsia="宋体" w:cs="宋体"/>
          <w:snapToGrid w:val="0"/>
          <w:color w:val="auto"/>
          <w:kern w:val="0"/>
          <w:highlight w:val="none"/>
        </w:rPr>
        <w:t>发包人在收到支付申请的7天内进行核实后，按程序一次性支付预付款（工人工资预付款单独支付至工人工资专用账户）。</w:t>
      </w:r>
      <w:r>
        <w:rPr>
          <w:rFonts w:hint="eastAsia" w:ascii="宋体" w:hAnsi="宋体" w:eastAsia="宋体" w:cs="宋体"/>
          <w:b/>
          <w:snapToGrid w:val="0"/>
          <w:color w:val="auto"/>
          <w:kern w:val="0"/>
          <w:highlight w:val="none"/>
        </w:rPr>
        <w:t>凡未签订合同、未提供预付款保函或不具备施工条件的工程，发包人不预付工程款。</w:t>
      </w:r>
    </w:p>
    <w:p w14:paraId="63D25593">
      <w:pPr>
        <w:pStyle w:val="37"/>
        <w:pageBreakBefore w:val="0"/>
        <w:kinsoku/>
        <w:overflowPunct/>
        <w:topLinePunct w:val="0"/>
        <w:bidi w:val="0"/>
        <w:spacing w:line="440" w:lineRule="exact"/>
        <w:textAlignment w:val="auto"/>
        <w:rPr>
          <w:rFonts w:hint="eastAsia" w:ascii="宋体" w:hAnsi="宋体" w:eastAsia="宋体" w:cs="宋体"/>
          <w:strike/>
          <w:color w:val="auto"/>
          <w:highlight w:val="none"/>
          <w:lang w:eastAsia="zh-CN"/>
        </w:rPr>
      </w:pPr>
      <w:r>
        <w:rPr>
          <w:rFonts w:hint="eastAsia" w:ascii="宋体" w:hAnsi="宋体" w:eastAsia="宋体" w:cs="宋体"/>
          <w:bCs/>
          <w:snapToGrid w:val="0"/>
          <w:color w:val="auto"/>
          <w:kern w:val="0"/>
          <w:highlight w:val="none"/>
        </w:rPr>
        <w:t>（4）</w:t>
      </w:r>
      <w:r>
        <w:rPr>
          <w:rFonts w:ascii="Times New Roman"/>
          <w:snapToGrid w:val="0"/>
          <w:color w:val="auto"/>
          <w:kern w:val="0"/>
          <w:sz w:val="24"/>
          <w:szCs w:val="24"/>
          <w:highlight w:val="none"/>
        </w:rPr>
        <w:t>预付款</w:t>
      </w:r>
      <w:r>
        <w:rPr>
          <w:rFonts w:ascii="Times New Roman"/>
          <w:snapToGrid w:val="0"/>
          <w:color w:val="auto"/>
          <w:kern w:val="0"/>
          <w:sz w:val="24"/>
          <w:szCs w:val="24"/>
          <w:highlight w:val="none"/>
          <w:u w:val="single"/>
        </w:rPr>
        <w:t>应按每支付期应支付给承包人的工程进度款的30%抵扣</w:t>
      </w:r>
      <w:r>
        <w:rPr>
          <w:rFonts w:ascii="Times New Roman"/>
          <w:snapToGrid w:val="0"/>
          <w:color w:val="auto"/>
          <w:kern w:val="0"/>
          <w:sz w:val="24"/>
          <w:szCs w:val="24"/>
          <w:highlight w:val="none"/>
        </w:rPr>
        <w:t>，直到扣回的金额达到合同约定的预付款金额为止。如因建设工期短导致工程已完工而预付款尚未扣清的，尚未扣清的预付款余额在竣工验收合格后当期应支付的工程款项中一次性扣清</w:t>
      </w:r>
      <w:r>
        <w:rPr>
          <w:rFonts w:hint="eastAsia" w:ascii="宋体" w:hAnsi="宋体" w:eastAsia="宋体" w:cs="宋体"/>
          <w:bCs/>
          <w:snapToGrid w:val="0"/>
          <w:color w:val="auto"/>
          <w:kern w:val="0"/>
          <w:highlight w:val="none"/>
        </w:rPr>
        <w:t>。</w:t>
      </w:r>
    </w:p>
    <w:p w14:paraId="67B7DC84">
      <w:pPr>
        <w:pStyle w:val="37"/>
        <w:pageBreakBefore w:val="0"/>
        <w:kinsoku/>
        <w:overflowPunct/>
        <w:topLinePunct w:val="0"/>
        <w:bidi w:val="0"/>
        <w:spacing w:line="440" w:lineRule="exact"/>
        <w:ind w:firstLine="480" w:firstLineChars="200"/>
        <w:textAlignment w:val="auto"/>
        <w:rPr>
          <w:rFonts w:hint="eastAsia" w:ascii="宋体" w:hAnsi="宋体" w:eastAsia="宋体" w:cs="宋体"/>
          <w:bCs/>
          <w:snapToGrid w:val="0"/>
          <w:color w:val="auto"/>
          <w:kern w:val="0"/>
          <w:highlight w:val="none"/>
        </w:rPr>
      </w:pPr>
      <w:r>
        <w:rPr>
          <w:rFonts w:hint="eastAsia" w:ascii="宋体" w:hAnsi="宋体" w:eastAsia="宋体" w:cs="宋体"/>
          <w:color w:val="auto"/>
          <w:highlight w:val="none"/>
        </w:rPr>
        <w:t xml:space="preserve"> 4.2.3工程进度款支付条件：承包人必须提供完整的施工图预算（加盖承包人公章及注册造价工程师注册章）报发包人审核后方可支付工程进度款。</w:t>
      </w:r>
    </w:p>
    <w:p w14:paraId="433FA62D">
      <w:pPr>
        <w:pStyle w:val="37"/>
        <w:pageBreakBefore w:val="0"/>
        <w:kinsoku/>
        <w:overflowPunct/>
        <w:topLinePunct w:val="0"/>
        <w:bidi w:val="0"/>
        <w:spacing w:line="440" w:lineRule="exact"/>
        <w:textAlignment w:val="auto"/>
        <w:rPr>
          <w:rFonts w:hint="eastAsia" w:ascii="宋体" w:hAnsi="宋体" w:eastAsia="宋体" w:cs="宋体"/>
          <w:strike/>
          <w:color w:val="auto"/>
          <w:highlight w:val="none"/>
          <w:lang w:eastAsia="zh-CN"/>
        </w:rPr>
      </w:pPr>
      <w:r>
        <w:rPr>
          <w:rFonts w:hint="eastAsia" w:ascii="宋体" w:hAnsi="宋体" w:eastAsia="宋体" w:cs="宋体"/>
          <w:color w:val="auto"/>
          <w:szCs w:val="24"/>
          <w:highlight w:val="none"/>
        </w:rPr>
        <w:t xml:space="preserve"> </w:t>
      </w:r>
      <w:r>
        <w:rPr>
          <w:rFonts w:hint="eastAsia" w:hAnsi="宋体" w:cs="宋体"/>
          <w:color w:val="auto"/>
          <w:szCs w:val="24"/>
          <w:highlight w:val="none"/>
          <w:lang w:val="en-US" w:eastAsia="zh-CN"/>
        </w:rPr>
        <w:t xml:space="preserve">    </w:t>
      </w:r>
      <w:r>
        <w:rPr>
          <w:rFonts w:hint="eastAsia" w:ascii="宋体" w:hAnsi="宋体" w:eastAsia="宋体" w:cs="宋体"/>
          <w:color w:val="auto"/>
          <w:szCs w:val="24"/>
          <w:highlight w:val="none"/>
        </w:rPr>
        <w:t>4.2.4</w:t>
      </w:r>
      <w:r>
        <w:rPr>
          <w:rFonts w:hint="eastAsia" w:ascii="宋体" w:hAnsi="宋体" w:eastAsia="宋体" w:cs="宋体"/>
          <w:color w:val="auto"/>
          <w:highlight w:val="none"/>
        </w:rPr>
        <w:t xml:space="preserve"> 施工过程中按月支付工程进度款：承包人每月按</w:t>
      </w:r>
      <w:r>
        <w:rPr>
          <w:rFonts w:hint="eastAsia" w:ascii="宋体" w:hAnsi="宋体" w:eastAsia="宋体" w:cs="宋体"/>
          <w:color w:val="auto"/>
          <w:szCs w:val="22"/>
          <w:highlight w:val="none"/>
        </w:rPr>
        <w:t>工程形象进度申</w:t>
      </w:r>
      <w:r>
        <w:rPr>
          <w:rFonts w:hint="eastAsia" w:ascii="宋体" w:hAnsi="宋体" w:eastAsia="宋体" w:cs="宋体"/>
          <w:color w:val="auto"/>
          <w:highlight w:val="none"/>
        </w:rPr>
        <w:t>报，截止日为当月26日，形象进度和</w:t>
      </w:r>
      <w:r>
        <w:rPr>
          <w:rFonts w:hint="eastAsia" w:ascii="宋体" w:hAnsi="宋体" w:eastAsia="宋体" w:cs="宋体"/>
          <w:snapToGrid w:val="0"/>
          <w:color w:val="auto"/>
          <w:kern w:val="0"/>
          <w:highlight w:val="none"/>
        </w:rPr>
        <w:t>《工程付款申请书》</w:t>
      </w:r>
      <w:r>
        <w:rPr>
          <w:rFonts w:hint="eastAsia" w:ascii="宋体" w:hAnsi="宋体" w:eastAsia="宋体" w:cs="宋体"/>
          <w:color w:val="auto"/>
          <w:highlight w:val="none"/>
        </w:rPr>
        <w:t>由监理单位核实确认，经</w:t>
      </w:r>
      <w:r>
        <w:rPr>
          <w:rFonts w:hint="eastAsia" w:ascii="宋体" w:hAnsi="宋体" w:eastAsia="宋体" w:cs="宋体"/>
          <w:snapToGrid w:val="0"/>
          <w:color w:val="auto"/>
          <w:kern w:val="0"/>
          <w:highlight w:val="none"/>
        </w:rPr>
        <w:t>造价咨询单位（如有造价单位）审核，</w:t>
      </w:r>
      <w:r>
        <w:rPr>
          <w:rFonts w:hint="eastAsia" w:ascii="宋体" w:hAnsi="宋体" w:eastAsia="宋体" w:cs="宋体"/>
          <w:color w:val="auto"/>
          <w:highlight w:val="none"/>
        </w:rPr>
        <w:t>再经发包人审核确认后于申报工程进度款的次月支付。</w:t>
      </w:r>
    </w:p>
    <w:p w14:paraId="24CCA562">
      <w:pPr>
        <w:pageBreakBefore w:val="0"/>
        <w:kinsoku/>
        <w:overflowPunct/>
        <w:topLinePunct w:val="0"/>
        <w:bidi w:val="0"/>
        <w:spacing w:line="440" w:lineRule="exact"/>
        <w:textAlignment w:val="auto"/>
        <w:rPr>
          <w:rFonts w:hint="eastAsia" w:ascii="宋体" w:hAnsi="宋体" w:eastAsia="宋体" w:cs="宋体"/>
          <w:snapToGrid w:val="0"/>
          <w:color w:val="auto"/>
          <w:kern w:val="0"/>
          <w:highlight w:val="none"/>
        </w:rPr>
      </w:pPr>
      <w:r>
        <w:rPr>
          <w:rFonts w:hint="eastAsia" w:ascii="宋体" w:hAnsi="宋体" w:eastAsia="宋体" w:cs="宋体"/>
          <w:color w:val="auto"/>
          <w:szCs w:val="24"/>
          <w:highlight w:val="none"/>
        </w:rPr>
        <w:t xml:space="preserve">     4.2.5</w:t>
      </w:r>
      <w:r>
        <w:rPr>
          <w:rFonts w:hint="eastAsia" w:ascii="宋体" w:hAnsi="宋体" w:eastAsia="宋体" w:cs="宋体"/>
          <w:snapToGrid w:val="0"/>
          <w:color w:val="auto"/>
          <w:kern w:val="0"/>
          <w:highlight w:val="none"/>
        </w:rPr>
        <w:t>每月的工程进度款按应付金额的 80 ％支付，工程进度款中的作业工人工资款项暂为该月工程进度款的 30 ％，具体工人工资拨付金额以该月实际审核确认的为准，由发包人将该月审核确认后的作业工人工资款项单独足额拨付到承包人的工资专户。</w:t>
      </w:r>
    </w:p>
    <w:p w14:paraId="7386355B">
      <w:pPr>
        <w:pStyle w:val="37"/>
        <w:pageBreakBefore w:val="0"/>
        <w:kinsoku/>
        <w:overflowPunct/>
        <w:topLinePunct w:val="0"/>
        <w:bidi w:val="0"/>
        <w:spacing w:line="440" w:lineRule="exact"/>
        <w:ind w:firstLine="480" w:firstLineChars="200"/>
        <w:textAlignment w:val="auto"/>
        <w:rPr>
          <w:rFonts w:hint="eastAsia" w:ascii="宋体" w:hAnsi="宋体" w:eastAsia="宋体" w:cs="宋体"/>
          <w:strike/>
          <w:color w:val="auto"/>
          <w:highlight w:val="none"/>
        </w:rPr>
      </w:pPr>
      <w:r>
        <w:rPr>
          <w:rFonts w:hint="eastAsia" w:ascii="宋体" w:hAnsi="宋体" w:eastAsia="宋体" w:cs="宋体"/>
          <w:color w:val="auto"/>
          <w:highlight w:val="none"/>
        </w:rPr>
        <w:t>4.3</w:t>
      </w:r>
      <w:r>
        <w:rPr>
          <w:rFonts w:hint="eastAsia" w:ascii="宋体" w:hAnsi="宋体" w:eastAsia="宋体" w:cs="宋体"/>
          <w:snapToGrid w:val="0"/>
          <w:color w:val="auto"/>
          <w:kern w:val="0"/>
          <w:szCs w:val="24"/>
          <w:highlight w:val="none"/>
        </w:rPr>
        <w:t>措施项目费中的“</w:t>
      </w:r>
      <w:r>
        <w:rPr>
          <w:rFonts w:hint="eastAsia" w:ascii="宋体" w:hAnsi="宋体" w:eastAsia="宋体" w:cs="宋体"/>
          <w:snapToGrid w:val="0"/>
          <w:color w:val="auto"/>
          <w:kern w:val="0"/>
          <w:szCs w:val="24"/>
          <w:highlight w:val="none"/>
          <w:lang w:eastAsia="zh-CN"/>
        </w:rPr>
        <w:t>安全生产措施费</w:t>
      </w:r>
      <w:r>
        <w:rPr>
          <w:rFonts w:hint="eastAsia" w:ascii="宋体" w:hAnsi="宋体" w:eastAsia="宋体" w:cs="宋体"/>
          <w:snapToGrid w:val="0"/>
          <w:color w:val="auto"/>
          <w:kern w:val="0"/>
          <w:szCs w:val="24"/>
          <w:highlight w:val="none"/>
        </w:rPr>
        <w:t>”拨付</w:t>
      </w:r>
      <w:r>
        <w:rPr>
          <w:rFonts w:hint="eastAsia" w:ascii="宋体" w:hAnsi="宋体" w:eastAsia="宋体" w:cs="宋体"/>
          <w:snapToGrid w:val="0"/>
          <w:color w:val="auto"/>
          <w:kern w:val="0"/>
          <w:sz w:val="24"/>
          <w:szCs w:val="20"/>
          <w:highlight w:val="none"/>
          <w:lang w:eastAsia="zh-CN"/>
        </w:rPr>
        <w:t>按照《建设工程工程量清单计价标准》（GB/T50500-2024）执行，按照项目所在地的建设行政主管部门有关规定支付。发生一般事故及以上等级重大安全事故的，发包人可扣除承包人金额相当于所有“安全生产措施费”的工程管理费</w:t>
      </w:r>
      <w:r>
        <w:rPr>
          <w:rFonts w:hint="eastAsia" w:ascii="宋体" w:hAnsi="宋体" w:eastAsia="宋体" w:cs="宋体"/>
          <w:snapToGrid w:val="0"/>
          <w:color w:val="auto"/>
          <w:kern w:val="0"/>
          <w:szCs w:val="24"/>
          <w:highlight w:val="none"/>
        </w:rPr>
        <w:t>。</w:t>
      </w:r>
    </w:p>
    <w:p w14:paraId="2E15E27A">
      <w:pPr>
        <w:pStyle w:val="37"/>
        <w:pageBreakBefore w:val="0"/>
        <w:kinsoku/>
        <w:overflowPunct/>
        <w:topLinePunct w:val="0"/>
        <w:bidi w:val="0"/>
        <w:spacing w:line="440" w:lineRule="exact"/>
        <w:textAlignment w:val="auto"/>
        <w:rPr>
          <w:rFonts w:hint="eastAsia" w:ascii="宋体" w:hAnsi="宋体" w:eastAsia="宋体" w:cs="宋体"/>
          <w:color w:val="auto"/>
          <w:highlight w:val="none"/>
        </w:rPr>
      </w:pPr>
      <w:r>
        <w:rPr>
          <w:rFonts w:hint="eastAsia" w:ascii="宋体" w:hAnsi="宋体" w:eastAsia="宋体" w:cs="宋体"/>
          <w:color w:val="auto"/>
          <w:highlight w:val="none"/>
        </w:rPr>
        <w:t xml:space="preserve">    4.</w:t>
      </w:r>
      <w:r>
        <w:rPr>
          <w:rFonts w:hint="eastAsia" w:hAnsi="宋体" w:cs="宋体"/>
          <w:color w:val="auto"/>
          <w:highlight w:val="none"/>
          <w:lang w:val="en-US" w:eastAsia="zh-CN"/>
        </w:rPr>
        <w:t>4</w:t>
      </w:r>
      <w:r>
        <w:rPr>
          <w:rFonts w:hint="eastAsia" w:ascii="宋体" w:hAnsi="宋体" w:eastAsia="宋体" w:cs="宋体"/>
          <w:color w:val="auto"/>
          <w:highlight w:val="none"/>
        </w:rPr>
        <w:t xml:space="preserve"> 结算审核完成后，于次月支付至审定总造价的97%</w:t>
      </w:r>
      <w:r>
        <w:rPr>
          <w:rFonts w:hint="eastAsia" w:ascii="宋体" w:hAnsi="宋体" w:eastAsia="宋体" w:cs="宋体"/>
          <w:snapToGrid w:val="0"/>
          <w:color w:val="auto"/>
          <w:kern w:val="0"/>
          <w:sz w:val="24"/>
          <w:szCs w:val="20"/>
          <w:highlight w:val="none"/>
          <w:lang w:eastAsia="zh-CN"/>
        </w:rPr>
        <w:t>（承包人</w:t>
      </w:r>
      <w:r>
        <w:rPr>
          <w:rFonts w:hint="eastAsia" w:ascii="宋体" w:hAnsi="宋体" w:eastAsia="宋体" w:cs="宋体"/>
          <w:snapToGrid w:val="0"/>
          <w:color w:val="auto"/>
          <w:kern w:val="0"/>
          <w:sz w:val="24"/>
          <w:szCs w:val="20"/>
          <w:highlight w:val="none"/>
          <w:lang w:val="en-US" w:eastAsia="zh-CN"/>
        </w:rPr>
        <w:t>按结算审核价</w:t>
      </w:r>
      <w:r>
        <w:rPr>
          <w:rFonts w:hint="eastAsia" w:ascii="宋体" w:hAnsi="宋体" w:eastAsia="宋体" w:cs="宋体"/>
          <w:snapToGrid w:val="0"/>
          <w:color w:val="auto"/>
          <w:kern w:val="0"/>
          <w:sz w:val="24"/>
          <w:szCs w:val="20"/>
          <w:highlight w:val="none"/>
          <w:lang w:eastAsia="zh-CN"/>
        </w:rPr>
        <w:t>提供</w:t>
      </w:r>
      <w:r>
        <w:rPr>
          <w:rFonts w:hint="eastAsia" w:ascii="宋体" w:hAnsi="宋体" w:eastAsia="宋体" w:cs="宋体"/>
          <w:snapToGrid w:val="0"/>
          <w:color w:val="auto"/>
          <w:kern w:val="0"/>
          <w:sz w:val="24"/>
          <w:szCs w:val="20"/>
          <w:highlight w:val="none"/>
          <w:lang w:val="en-US" w:eastAsia="zh-CN"/>
        </w:rPr>
        <w:t>100%</w:t>
      </w:r>
      <w:r>
        <w:rPr>
          <w:rFonts w:hint="eastAsia" w:ascii="宋体" w:hAnsi="宋体" w:eastAsia="宋体" w:cs="宋体"/>
          <w:snapToGrid w:val="0"/>
          <w:color w:val="auto"/>
          <w:kern w:val="0"/>
          <w:sz w:val="24"/>
          <w:szCs w:val="20"/>
          <w:highlight w:val="none"/>
          <w:lang w:eastAsia="zh-CN"/>
        </w:rPr>
        <w:t>发票），剩余3%</w:t>
      </w:r>
      <w:r>
        <w:rPr>
          <w:rFonts w:hint="eastAsia" w:ascii="宋体" w:hAnsi="宋体" w:eastAsia="宋体" w:cs="宋体"/>
          <w:snapToGrid w:val="0"/>
          <w:color w:val="auto"/>
          <w:kern w:val="0"/>
          <w:sz w:val="24"/>
          <w:szCs w:val="20"/>
          <w:highlight w:val="none"/>
          <w:lang w:val="en-US" w:eastAsia="zh-CN"/>
        </w:rPr>
        <w:t xml:space="preserve"> </w:t>
      </w:r>
      <w:r>
        <w:rPr>
          <w:rFonts w:hint="eastAsia" w:ascii="宋体" w:hAnsi="宋体" w:eastAsia="宋体" w:cs="宋体"/>
          <w:snapToGrid w:val="0"/>
          <w:color w:val="auto"/>
          <w:kern w:val="0"/>
          <w:sz w:val="24"/>
          <w:szCs w:val="20"/>
          <w:highlight w:val="none"/>
          <w:lang w:eastAsia="zh-CN"/>
        </w:rPr>
        <w:t>转为质量保证金；承包人提交了等额质量保证担保或质量保证保险的，于次月一次性结清审定总造价</w:t>
      </w:r>
      <w:r>
        <w:rPr>
          <w:rFonts w:hint="eastAsia" w:ascii="宋体" w:hAnsi="宋体" w:eastAsia="宋体" w:cs="宋体"/>
          <w:b w:val="0"/>
          <w:bCs/>
          <w:color w:val="auto"/>
          <w:sz w:val="24"/>
          <w:szCs w:val="24"/>
          <w:highlight w:val="none"/>
          <w:lang w:val="en-US" w:eastAsia="zh-CN"/>
        </w:rPr>
        <w:t>。</w:t>
      </w:r>
    </w:p>
    <w:p w14:paraId="7398F39C">
      <w:pPr>
        <w:pStyle w:val="37"/>
        <w:pageBreakBefore w:val="0"/>
        <w:kinsoku/>
        <w:overflowPunct/>
        <w:topLinePunct w:val="0"/>
        <w:bidi w:val="0"/>
        <w:spacing w:line="440" w:lineRule="exact"/>
        <w:textAlignment w:val="auto"/>
        <w:rPr>
          <w:rFonts w:hint="eastAsia" w:ascii="宋体" w:hAnsi="宋体" w:eastAsia="宋体" w:cs="宋体"/>
          <w:strike/>
          <w:color w:val="auto"/>
          <w:highlight w:val="none"/>
        </w:rPr>
      </w:pPr>
      <w:r>
        <w:rPr>
          <w:rFonts w:hint="eastAsia" w:ascii="宋体" w:hAnsi="宋体" w:eastAsia="宋体" w:cs="宋体"/>
          <w:color w:val="auto"/>
          <w:highlight w:val="none"/>
        </w:rPr>
        <w:t xml:space="preserve">    4.</w:t>
      </w:r>
      <w:r>
        <w:rPr>
          <w:rFonts w:hint="eastAsia" w:hAnsi="宋体" w:cs="宋体"/>
          <w:color w:val="auto"/>
          <w:highlight w:val="none"/>
          <w:lang w:val="en-US" w:eastAsia="zh-CN"/>
        </w:rPr>
        <w:t>5</w:t>
      </w:r>
      <w:r>
        <w:rPr>
          <w:rFonts w:hint="eastAsia" w:ascii="宋体" w:hAnsi="宋体" w:eastAsia="宋体" w:cs="宋体"/>
          <w:color w:val="auto"/>
          <w:highlight w:val="none"/>
        </w:rPr>
        <w:t xml:space="preserve"> </w:t>
      </w:r>
      <w:r>
        <w:rPr>
          <w:rFonts w:hint="eastAsia" w:ascii="宋体" w:hAnsi="宋体" w:eastAsia="宋体" w:cs="宋体"/>
          <w:snapToGrid w:val="0"/>
          <w:color w:val="auto"/>
          <w:kern w:val="0"/>
          <w:sz w:val="24"/>
          <w:szCs w:val="20"/>
          <w:highlight w:val="none"/>
          <w:lang w:eastAsia="zh-CN"/>
        </w:rPr>
        <w:t>本招标项目缺陷责任期为</w:t>
      </w:r>
      <w:r>
        <w:rPr>
          <w:rFonts w:hint="eastAsia" w:ascii="宋体" w:hAnsi="宋体" w:eastAsia="宋体" w:cs="宋体"/>
          <w:snapToGrid w:val="0"/>
          <w:color w:val="auto"/>
          <w:kern w:val="0"/>
          <w:sz w:val="24"/>
          <w:szCs w:val="20"/>
          <w:highlight w:val="none"/>
          <w:u w:val="single"/>
          <w:lang w:val="en-US" w:eastAsia="zh-CN"/>
        </w:rPr>
        <w:t>2</w:t>
      </w:r>
      <w:r>
        <w:rPr>
          <w:rFonts w:hint="eastAsia" w:ascii="宋体" w:hAnsi="宋体" w:eastAsia="宋体" w:cs="宋体"/>
          <w:snapToGrid w:val="0"/>
          <w:color w:val="auto"/>
          <w:kern w:val="0"/>
          <w:sz w:val="24"/>
          <w:szCs w:val="20"/>
          <w:highlight w:val="none"/>
          <w:lang w:eastAsia="zh-CN"/>
        </w:rPr>
        <w:t xml:space="preserve"> 年（自通过竣工验收之日起计算）。缺陷责任期到期后，承包人向发包人申请退还质量保证。发包人收到退还申请后，于</w:t>
      </w:r>
      <w:r>
        <w:rPr>
          <w:rFonts w:hint="eastAsia" w:ascii="宋体" w:hAnsi="宋体" w:eastAsia="宋体" w:cs="宋体"/>
          <w:snapToGrid w:val="0"/>
          <w:color w:val="auto"/>
          <w:kern w:val="0"/>
          <w:sz w:val="24"/>
          <w:szCs w:val="20"/>
          <w:highlight w:val="none"/>
          <w:u w:val="single"/>
          <w:lang w:eastAsia="zh-CN"/>
        </w:rPr>
        <w:t>14</w:t>
      </w:r>
      <w:r>
        <w:rPr>
          <w:rFonts w:hint="eastAsia" w:ascii="宋体" w:hAnsi="宋体" w:eastAsia="宋体" w:cs="宋体"/>
          <w:snapToGrid w:val="0"/>
          <w:color w:val="auto"/>
          <w:kern w:val="0"/>
          <w:sz w:val="24"/>
          <w:szCs w:val="20"/>
          <w:highlight w:val="none"/>
          <w:lang w:eastAsia="zh-CN"/>
        </w:rPr>
        <w:t>天内会同承包人进行核实。经双方核实且均无异议后，发包人在核实之日起</w:t>
      </w:r>
      <w:r>
        <w:rPr>
          <w:rFonts w:hint="eastAsia" w:ascii="宋体" w:hAnsi="宋体" w:eastAsia="宋体" w:cs="宋体"/>
          <w:snapToGrid w:val="0"/>
          <w:color w:val="auto"/>
          <w:kern w:val="0"/>
          <w:sz w:val="24"/>
          <w:szCs w:val="20"/>
          <w:highlight w:val="none"/>
          <w:u w:val="single"/>
          <w:lang w:eastAsia="zh-CN"/>
        </w:rPr>
        <w:t xml:space="preserve"> 14 </w:t>
      </w:r>
      <w:r>
        <w:rPr>
          <w:rFonts w:hint="eastAsia" w:ascii="宋体" w:hAnsi="宋体" w:eastAsia="宋体" w:cs="宋体"/>
          <w:snapToGrid w:val="0"/>
          <w:color w:val="auto"/>
          <w:kern w:val="0"/>
          <w:sz w:val="24"/>
          <w:szCs w:val="20"/>
          <w:highlight w:val="none"/>
          <w:lang w:eastAsia="zh-CN"/>
        </w:rPr>
        <w:t>天内将应返保证金（或银行保函）退还承包人</w:t>
      </w:r>
      <w:r>
        <w:rPr>
          <w:rFonts w:hint="eastAsia" w:ascii="宋体" w:hAnsi="宋体" w:eastAsia="宋体" w:cs="宋体"/>
          <w:bCs/>
          <w:color w:val="auto"/>
          <w:kern w:val="0"/>
          <w:highlight w:val="none"/>
        </w:rPr>
        <w:t>。</w:t>
      </w:r>
    </w:p>
    <w:p w14:paraId="3E243DBC">
      <w:pPr>
        <w:pageBreakBefore w:val="0"/>
        <w:kinsoku/>
        <w:wordWrap w:val="0"/>
        <w:overflowPunct/>
        <w:topLinePunct w:val="0"/>
        <w:bidi w:val="0"/>
        <w:adjustRightInd w:val="0"/>
        <w:snapToGrid w:val="0"/>
        <w:spacing w:line="440" w:lineRule="exact"/>
        <w:ind w:firstLine="480" w:firstLineChars="200"/>
        <w:textAlignment w:val="auto"/>
        <w:rPr>
          <w:rFonts w:hint="eastAsia" w:ascii="宋体" w:hAnsi="宋体" w:eastAsia="宋体" w:cs="宋体"/>
          <w:color w:val="auto"/>
          <w:highlight w:val="none"/>
        </w:rPr>
      </w:pPr>
      <w:r>
        <w:rPr>
          <w:rFonts w:hint="eastAsia" w:ascii="宋体" w:hAnsi="宋体" w:eastAsia="宋体" w:cs="宋体"/>
          <w:color w:val="auto"/>
          <w:szCs w:val="24"/>
          <w:highlight w:val="none"/>
        </w:rPr>
        <w:t xml:space="preserve"> 4.7</w:t>
      </w:r>
      <w:r>
        <w:rPr>
          <w:rFonts w:hint="eastAsia" w:ascii="宋体" w:hAnsi="宋体" w:eastAsia="宋体" w:cs="宋体"/>
          <w:b/>
          <w:bCs/>
          <w:snapToGrid w:val="0"/>
          <w:color w:val="auto"/>
          <w:kern w:val="0"/>
          <w:sz w:val="24"/>
          <w:szCs w:val="20"/>
          <w:highlight w:val="none"/>
          <w:lang w:eastAsia="zh-CN"/>
        </w:rPr>
        <w:t>发包人每次支付工程款前，承包人均应提供等值有效的增值税专用发票。如果承包人无法提供符合要求的发票，由此造成的相应损失由承包人承担</w:t>
      </w:r>
      <w:r>
        <w:rPr>
          <w:rFonts w:hint="eastAsia" w:ascii="宋体" w:hAnsi="宋体" w:eastAsia="宋体" w:cs="宋体"/>
          <w:snapToGrid w:val="0"/>
          <w:color w:val="auto"/>
          <w:kern w:val="0"/>
          <w:szCs w:val="24"/>
          <w:highlight w:val="none"/>
        </w:rPr>
        <w:t>。</w:t>
      </w:r>
    </w:p>
    <w:p w14:paraId="76A88BE1">
      <w:pPr>
        <w:rPr>
          <w:rFonts w:hint="eastAsia"/>
          <w:color w:val="auto"/>
          <w:highlight w:val="none"/>
          <w:lang w:val="en-US" w:eastAsia="zh-CN"/>
        </w:rPr>
      </w:pPr>
    </w:p>
    <w:p w14:paraId="6792D0F6">
      <w:pPr>
        <w:pStyle w:val="39"/>
        <w:keepNext/>
        <w:keepLines/>
        <w:pageBreakBefore w:val="0"/>
        <w:kinsoku/>
        <w:overflowPunct/>
        <w:topLinePunct w:val="0"/>
        <w:bidi w:val="0"/>
        <w:spacing w:line="440" w:lineRule="exact"/>
        <w:ind w:firstLine="480"/>
        <w:jc w:val="both"/>
        <w:textAlignment w:val="auto"/>
        <w:rPr>
          <w:rFonts w:hint="eastAsia" w:ascii="宋体" w:hAnsi="宋体" w:eastAsia="宋体" w:cs="宋体"/>
          <w:b/>
          <w:color w:val="auto"/>
          <w:kern w:val="2"/>
          <w:szCs w:val="24"/>
          <w:highlight w:val="none"/>
        </w:rPr>
      </w:pPr>
      <w:bookmarkStart w:id="359" w:name="_Toc31972"/>
      <w:r>
        <w:rPr>
          <w:rFonts w:hint="eastAsia" w:ascii="宋体" w:hAnsi="宋体" w:eastAsia="宋体" w:cs="宋体"/>
          <w:b/>
          <w:color w:val="auto"/>
          <w:kern w:val="2"/>
          <w:szCs w:val="24"/>
          <w:highlight w:val="none"/>
          <w:lang w:val="en-US" w:eastAsia="zh-CN"/>
        </w:rPr>
        <w:t xml:space="preserve">5 </w:t>
      </w:r>
      <w:r>
        <w:rPr>
          <w:rFonts w:hint="eastAsia" w:ascii="宋体" w:hAnsi="宋体" w:eastAsia="宋体" w:cs="宋体"/>
          <w:b/>
          <w:color w:val="auto"/>
          <w:kern w:val="2"/>
          <w:szCs w:val="24"/>
          <w:highlight w:val="none"/>
        </w:rPr>
        <w:t>施工部分</w:t>
      </w:r>
      <w:bookmarkEnd w:id="359"/>
    </w:p>
    <w:p w14:paraId="06557B8A">
      <w:pPr>
        <w:pStyle w:val="56"/>
        <w:pageBreakBefore w:val="0"/>
        <w:widowControl/>
        <w:kinsoku/>
        <w:overflowPunct/>
        <w:topLinePunct w:val="0"/>
        <w:bidi w:val="0"/>
        <w:spacing w:line="440" w:lineRule="exact"/>
        <w:ind w:firstLine="420"/>
        <w:jc w:val="left"/>
        <w:textAlignment w:val="auto"/>
        <w:rPr>
          <w:rFonts w:hint="eastAsia" w:ascii="宋体" w:hAnsi="宋体" w:eastAsia="宋体" w:cs="宋体"/>
          <w:b/>
          <w:bCs/>
          <w:color w:val="auto"/>
          <w:highlight w:val="none"/>
          <w:lang w:val="zh-CN"/>
        </w:rPr>
      </w:pPr>
      <w:r>
        <w:rPr>
          <w:rFonts w:hint="eastAsia" w:ascii="宋体" w:hAnsi="宋体" w:eastAsia="宋体" w:cs="宋体"/>
          <w:b/>
          <w:bCs/>
          <w:color w:val="auto"/>
          <w:highlight w:val="none"/>
        </w:rPr>
        <w:t>5.1</w:t>
      </w:r>
      <w:r>
        <w:rPr>
          <w:rFonts w:hint="eastAsia" w:ascii="宋体" w:hAnsi="宋体" w:eastAsia="宋体" w:cs="宋体"/>
          <w:b/>
          <w:bCs/>
          <w:color w:val="auto"/>
          <w:highlight w:val="none"/>
          <w:lang w:val="zh-CN"/>
        </w:rPr>
        <w:t>项目管理</w:t>
      </w:r>
    </w:p>
    <w:p w14:paraId="10918D96">
      <w:pPr>
        <w:pStyle w:val="56"/>
        <w:pageBreakBefore w:val="0"/>
        <w:widowControl/>
        <w:kinsoku/>
        <w:overflowPunct/>
        <w:topLinePunct w:val="0"/>
        <w:bidi w:val="0"/>
        <w:spacing w:line="440" w:lineRule="exact"/>
        <w:ind w:firstLine="420"/>
        <w:jc w:val="left"/>
        <w:textAlignment w:val="auto"/>
        <w:rPr>
          <w:rFonts w:hint="eastAsia" w:ascii="宋体" w:hAnsi="宋体" w:eastAsia="宋体" w:cs="宋体"/>
          <w:color w:val="auto"/>
          <w:highlight w:val="none"/>
        </w:rPr>
      </w:pPr>
      <w:r>
        <w:rPr>
          <w:rFonts w:hint="eastAsia" w:ascii="宋体" w:hAnsi="宋体" w:eastAsia="宋体" w:cs="宋体"/>
          <w:color w:val="auto"/>
          <w:highlight w:val="none"/>
        </w:rPr>
        <w:t>5.1.1项目经理要求：</w:t>
      </w:r>
    </w:p>
    <w:p w14:paraId="21331545">
      <w:pPr>
        <w:pStyle w:val="56"/>
        <w:pageBreakBefore w:val="0"/>
        <w:widowControl/>
        <w:kinsoku/>
        <w:overflowPunct/>
        <w:topLinePunct w:val="0"/>
        <w:bidi w:val="0"/>
        <w:spacing w:line="440" w:lineRule="exact"/>
        <w:ind w:firstLine="420"/>
        <w:jc w:val="left"/>
        <w:textAlignment w:val="auto"/>
        <w:rPr>
          <w:rFonts w:hint="eastAsia" w:ascii="宋体" w:hAnsi="宋体" w:eastAsia="宋体" w:cs="宋体"/>
          <w:color w:val="auto"/>
          <w:highlight w:val="none"/>
        </w:rPr>
      </w:pPr>
      <w:r>
        <w:rPr>
          <w:rFonts w:hint="eastAsia" w:ascii="宋体" w:hAnsi="宋体" w:eastAsia="宋体" w:cs="宋体"/>
          <w:color w:val="auto"/>
          <w:highlight w:val="none"/>
        </w:rPr>
        <w:t xml:space="preserve"> 项目经理与投标文件承诺不一致或未及时到位，发包人将按照下列方式对承包人进行处罚：</w:t>
      </w:r>
    </w:p>
    <w:p w14:paraId="4FA7A16A">
      <w:pPr>
        <w:pStyle w:val="56"/>
        <w:pageBreakBefore w:val="0"/>
        <w:widowControl/>
        <w:numPr>
          <w:ilvl w:val="0"/>
          <w:numId w:val="4"/>
        </w:numPr>
        <w:kinsoku/>
        <w:overflowPunct/>
        <w:topLinePunct w:val="0"/>
        <w:bidi w:val="0"/>
        <w:spacing w:line="440" w:lineRule="exact"/>
        <w:ind w:firstLine="420"/>
        <w:jc w:val="left"/>
        <w:textAlignment w:val="auto"/>
        <w:rPr>
          <w:rFonts w:hint="eastAsia" w:ascii="宋体" w:hAnsi="宋体" w:eastAsia="宋体" w:cs="宋体"/>
          <w:color w:val="auto"/>
          <w:highlight w:val="none"/>
          <w:u w:val="single"/>
        </w:rPr>
      </w:pPr>
      <w:r>
        <w:rPr>
          <w:rFonts w:hint="eastAsia" w:ascii="宋体" w:hAnsi="宋体" w:eastAsia="宋体" w:cs="宋体"/>
          <w:color w:val="auto"/>
          <w:highlight w:val="none"/>
          <w:u w:val="single"/>
        </w:rPr>
        <w:t>担任项目经理的注册建造师与投标书承诺不一致，将视为承包人严重违约。除符合广东省住房和城乡建设厅《关于建设工程项目招标中标后监督检查的办法》〔2009〕8号文第九条规定的情形外，项目经理一律不得更换。承包人未经监理工程师和发包人书面同意，擅自更换投标书中确认的本工程项目经理的，监理工程师或发包人有权责令承包人三天内整改，且发包人有权提请建设行政主管部门对其作不良行为记录，有权给予承包人履约评价为不合格</w:t>
      </w:r>
      <w:r>
        <w:rPr>
          <w:rFonts w:hint="eastAsia" w:ascii="宋体" w:hAnsi="宋体" w:cs="宋体"/>
          <w:color w:val="auto"/>
          <w:highlight w:val="none"/>
          <w:u w:val="single"/>
          <w:lang w:eastAsia="zh-CN"/>
        </w:rPr>
        <w:t>。</w:t>
      </w:r>
      <w:r>
        <w:rPr>
          <w:rFonts w:hint="eastAsia" w:ascii="宋体" w:hAnsi="宋体" w:eastAsia="宋体" w:cs="宋体"/>
          <w:snapToGrid w:val="0"/>
          <w:color w:val="auto"/>
          <w:kern w:val="0"/>
          <w:szCs w:val="24"/>
          <w:highlight w:val="none"/>
          <w:u w:val="single"/>
        </w:rPr>
        <w:t>擅自更换本工程项目经理的，</w:t>
      </w:r>
      <w:r>
        <w:rPr>
          <w:rFonts w:hint="eastAsia" w:ascii="宋体" w:hAnsi="宋体" w:eastAsia="宋体" w:cs="宋体"/>
          <w:color w:val="auto"/>
          <w:highlight w:val="none"/>
          <w:u w:val="single"/>
        </w:rPr>
        <w:t>即使发包人</w:t>
      </w:r>
      <w:r>
        <w:rPr>
          <w:rFonts w:hint="eastAsia" w:ascii="宋体" w:hAnsi="宋体" w:eastAsia="宋体" w:cs="宋体"/>
          <w:snapToGrid w:val="0"/>
          <w:color w:val="auto"/>
          <w:kern w:val="0"/>
          <w:szCs w:val="24"/>
          <w:highlight w:val="none"/>
          <w:u w:val="single"/>
        </w:rPr>
        <w:t>事后</w:t>
      </w:r>
      <w:r>
        <w:rPr>
          <w:rFonts w:hint="eastAsia" w:ascii="宋体" w:hAnsi="宋体" w:eastAsia="宋体" w:cs="宋体"/>
          <w:color w:val="auto"/>
          <w:highlight w:val="none"/>
          <w:u w:val="single"/>
        </w:rPr>
        <w:t>批准同意更换，承包人仍需支付每换一次15万元的违约金（仅被羁押或判处刑罚、身亡可免责）。</w:t>
      </w:r>
    </w:p>
    <w:p w14:paraId="14AD9F91">
      <w:pPr>
        <w:pStyle w:val="56"/>
        <w:pageBreakBefore w:val="0"/>
        <w:widowControl/>
        <w:numPr>
          <w:ilvl w:val="0"/>
          <w:numId w:val="4"/>
        </w:numPr>
        <w:kinsoku/>
        <w:overflowPunct/>
        <w:topLinePunct w:val="0"/>
        <w:bidi w:val="0"/>
        <w:spacing w:line="440" w:lineRule="exact"/>
        <w:ind w:firstLine="420"/>
        <w:jc w:val="left"/>
        <w:textAlignment w:val="auto"/>
        <w:rPr>
          <w:rFonts w:hint="eastAsia" w:ascii="宋体" w:hAnsi="宋体" w:eastAsia="宋体" w:cs="宋体"/>
          <w:color w:val="auto"/>
          <w:highlight w:val="none"/>
          <w:u w:val="single"/>
        </w:rPr>
      </w:pPr>
      <w:r>
        <w:rPr>
          <w:rFonts w:hint="eastAsia" w:ascii="宋体" w:hAnsi="宋体" w:eastAsia="宋体" w:cs="宋体"/>
          <w:color w:val="auto"/>
          <w:highlight w:val="none"/>
          <w:u w:val="single"/>
        </w:rPr>
        <w:t>项目经理每延迟到位一天承包人应向发包人支付违约金5万元/天，超过10天（含10天）发包人有权单方解除合同，并要求承包人承担由此造成的一切损失。</w:t>
      </w:r>
    </w:p>
    <w:p w14:paraId="162C4740">
      <w:pPr>
        <w:pStyle w:val="56"/>
        <w:pageBreakBefore w:val="0"/>
        <w:widowControl/>
        <w:numPr>
          <w:ilvl w:val="0"/>
          <w:numId w:val="4"/>
        </w:numPr>
        <w:kinsoku/>
        <w:overflowPunct/>
        <w:topLinePunct w:val="0"/>
        <w:bidi w:val="0"/>
        <w:spacing w:line="440" w:lineRule="exact"/>
        <w:ind w:firstLine="420"/>
        <w:jc w:val="left"/>
        <w:textAlignment w:val="auto"/>
        <w:rPr>
          <w:rFonts w:hint="eastAsia" w:ascii="宋体" w:hAnsi="宋体" w:eastAsia="宋体" w:cs="宋体"/>
          <w:color w:val="auto"/>
          <w:highlight w:val="none"/>
          <w:u w:val="single"/>
        </w:rPr>
      </w:pPr>
      <w:r>
        <w:rPr>
          <w:rFonts w:hint="eastAsia" w:ascii="宋体" w:hAnsi="宋体" w:eastAsia="宋体" w:cs="宋体"/>
          <w:color w:val="auto"/>
          <w:highlight w:val="none"/>
          <w:u w:val="single"/>
        </w:rPr>
        <w:t>项目经理必须按时参加工程例会、图纸会审和技术交底、现场协调会、方案论证会、专项工作碰头会，以及发包人要求其参加的会议。未经发包人同意不到会者，承包人每次向发包人支付1万元违约金，并承担一般违约责任1次。</w:t>
      </w:r>
    </w:p>
    <w:p w14:paraId="1DB43AF5">
      <w:pPr>
        <w:pStyle w:val="56"/>
        <w:pageBreakBefore w:val="0"/>
        <w:widowControl/>
        <w:numPr>
          <w:ilvl w:val="0"/>
          <w:numId w:val="4"/>
        </w:numPr>
        <w:kinsoku/>
        <w:overflowPunct/>
        <w:topLinePunct w:val="0"/>
        <w:bidi w:val="0"/>
        <w:spacing w:line="440" w:lineRule="exact"/>
        <w:ind w:firstLine="420"/>
        <w:jc w:val="left"/>
        <w:textAlignment w:val="auto"/>
        <w:rPr>
          <w:rFonts w:hint="eastAsia" w:ascii="宋体" w:hAnsi="宋体" w:eastAsia="宋体" w:cs="宋体"/>
          <w:color w:val="auto"/>
          <w:highlight w:val="none"/>
          <w:u w:val="single"/>
        </w:rPr>
      </w:pPr>
      <w:r>
        <w:rPr>
          <w:rFonts w:hint="eastAsia" w:ascii="宋体" w:hAnsi="宋体" w:eastAsia="宋体" w:cs="宋体"/>
          <w:color w:val="auto"/>
          <w:highlight w:val="none"/>
          <w:u w:val="single"/>
        </w:rPr>
        <w:t>项目经理若需离开施工现场1日以上（含1日）需经发包人批准。在其请假离开的时间段内应委托项目副经理或项目总工全权代表其行使职权，否则每违约一次，承包人应当承担一般违约责任1次。项目经理每月的出勤天数不得少于22天，如少于22天的，按每缺勤一天向发包人支付违约金人民币3仟元，并承担一般违约责任1次。</w:t>
      </w:r>
    </w:p>
    <w:p w14:paraId="2F647534">
      <w:pPr>
        <w:pStyle w:val="56"/>
        <w:pageBreakBefore w:val="0"/>
        <w:widowControl/>
        <w:kinsoku/>
        <w:overflowPunct/>
        <w:topLinePunct w:val="0"/>
        <w:bidi w:val="0"/>
        <w:spacing w:line="440" w:lineRule="exact"/>
        <w:ind w:firstLine="480" w:firstLineChars="200"/>
        <w:jc w:val="left"/>
        <w:textAlignment w:val="auto"/>
        <w:rPr>
          <w:rFonts w:hint="eastAsia" w:ascii="宋体" w:hAnsi="宋体" w:eastAsia="宋体" w:cs="宋体"/>
          <w:color w:val="auto"/>
          <w:highlight w:val="none"/>
        </w:rPr>
      </w:pPr>
      <w:r>
        <w:rPr>
          <w:rFonts w:hint="eastAsia" w:ascii="宋体" w:hAnsi="宋体" w:eastAsia="宋体" w:cs="宋体"/>
          <w:color w:val="auto"/>
          <w:highlight w:val="none"/>
          <w:u w:val="single"/>
        </w:rPr>
        <w:t>（5）对于难以胜任工作项目经理，发包人有权要求承包人进行更换，直至发包人满意为止，且更换人员应在接到书面通知后的3天内到位。更换项目经理期间延误的工期不予顺延，所有费用由承包人承担，给发包人造成的损失由承包人承担。</w:t>
      </w:r>
    </w:p>
    <w:p w14:paraId="389E50FE">
      <w:pPr>
        <w:pStyle w:val="56"/>
        <w:pageBreakBefore w:val="0"/>
        <w:widowControl/>
        <w:kinsoku/>
        <w:overflowPunct/>
        <w:topLinePunct w:val="0"/>
        <w:bidi w:val="0"/>
        <w:spacing w:line="440" w:lineRule="exact"/>
        <w:ind w:firstLine="420"/>
        <w:jc w:val="left"/>
        <w:textAlignment w:val="auto"/>
        <w:rPr>
          <w:rFonts w:hint="eastAsia" w:ascii="宋体" w:hAnsi="宋体" w:eastAsia="宋体" w:cs="宋体"/>
          <w:color w:val="auto"/>
          <w:highlight w:val="none"/>
        </w:rPr>
      </w:pPr>
      <w:r>
        <w:rPr>
          <w:rFonts w:hint="eastAsia" w:ascii="宋体" w:hAnsi="宋体" w:eastAsia="宋体" w:cs="宋体"/>
          <w:color w:val="auto"/>
          <w:highlight w:val="none"/>
          <w:u w:val="single"/>
        </w:rPr>
        <w:t>上述违约金由承包人直接向发包人支付，未付清之前，发包人有权暂停支付工程款。</w:t>
      </w:r>
    </w:p>
    <w:p w14:paraId="0C9F2456">
      <w:pPr>
        <w:pStyle w:val="56"/>
        <w:pageBreakBefore w:val="0"/>
        <w:widowControl/>
        <w:kinsoku/>
        <w:overflowPunct/>
        <w:topLinePunct w:val="0"/>
        <w:bidi w:val="0"/>
        <w:spacing w:line="440" w:lineRule="exact"/>
        <w:ind w:firstLine="420"/>
        <w:jc w:val="left"/>
        <w:textAlignment w:val="auto"/>
        <w:rPr>
          <w:rFonts w:hint="eastAsia" w:ascii="宋体" w:hAnsi="宋体" w:eastAsia="宋体" w:cs="宋体"/>
          <w:color w:val="auto"/>
          <w:highlight w:val="none"/>
        </w:rPr>
      </w:pPr>
      <w:r>
        <w:rPr>
          <w:rFonts w:hint="eastAsia" w:ascii="宋体" w:hAnsi="宋体" w:eastAsia="宋体" w:cs="宋体"/>
          <w:color w:val="auto"/>
          <w:highlight w:val="none"/>
        </w:rPr>
        <w:t>5.1.2承包人必须遵守国家相关法律法规、政府相关规定及</w:t>
      </w:r>
      <w:r>
        <w:rPr>
          <w:rFonts w:hint="eastAsia" w:ascii="宋体" w:hAnsi="宋体" w:eastAsia="宋体" w:cs="宋体"/>
          <w:snapToGrid/>
          <w:color w:val="auto"/>
          <w:sz w:val="24"/>
          <w:szCs w:val="20"/>
          <w:highlight w:val="none"/>
          <w:u w:val="none"/>
        </w:rPr>
        <w:fldChar w:fldCharType="begin"/>
      </w:r>
      <w:r>
        <w:rPr>
          <w:rFonts w:hint="eastAsia" w:ascii="宋体" w:hAnsi="宋体" w:eastAsia="宋体" w:cs="宋体"/>
          <w:snapToGrid/>
          <w:color w:val="auto"/>
          <w:sz w:val="24"/>
          <w:szCs w:val="20"/>
          <w:highlight w:val="none"/>
          <w:u w:val="none"/>
        </w:rPr>
        <w:instrText xml:space="preserve"> HYPERLINK "http://www.baidu.com/link?url=To8jlHcD1_hx7plWzT83EfzQK8hvsX351cywy6UQGz5hQuKwLrA9iU9j6gfKrb1tTV--re_Ief2zn-uSOyE1MjMUaAkjlfwMnBbRzbRFy2xI-QKWGHo0suCMqBQdPqRHLtVR7AZepOK8DrmOrgNwKVMQN0kJyiOkhUX_F8r2-e7Cnz7yx_n_3XxgyvMqXsz1r7N1tMWDmEOcSN9d3GHTG1B9FvXGNji-UONHj5B2IV7" \t "https://www.baidu.com/_blank" </w:instrText>
      </w:r>
      <w:r>
        <w:rPr>
          <w:rFonts w:hint="eastAsia" w:ascii="宋体" w:hAnsi="宋体" w:eastAsia="宋体" w:cs="宋体"/>
          <w:snapToGrid/>
          <w:color w:val="auto"/>
          <w:sz w:val="24"/>
          <w:szCs w:val="20"/>
          <w:highlight w:val="none"/>
          <w:u w:val="none"/>
        </w:rPr>
        <w:fldChar w:fldCharType="separate"/>
      </w:r>
      <w:r>
        <w:rPr>
          <w:rFonts w:hint="eastAsia" w:ascii="宋体" w:hAnsi="宋体" w:eastAsia="宋体" w:cs="宋体"/>
          <w:snapToGrid/>
          <w:color w:val="auto"/>
          <w:sz w:val="24"/>
          <w:szCs w:val="20"/>
          <w:highlight w:val="none"/>
          <w:u w:val="none"/>
        </w:rPr>
        <w:t>韶关市金财投资集团有限公司</w:t>
      </w:r>
      <w:r>
        <w:rPr>
          <w:rFonts w:hint="eastAsia" w:ascii="宋体" w:hAnsi="宋体" w:eastAsia="宋体" w:cs="宋体"/>
          <w:snapToGrid/>
          <w:color w:val="auto"/>
          <w:sz w:val="24"/>
          <w:szCs w:val="20"/>
          <w:highlight w:val="none"/>
          <w:u w:val="none"/>
        </w:rPr>
        <w:fldChar w:fldCharType="end"/>
      </w:r>
      <w:r>
        <w:rPr>
          <w:rFonts w:hint="eastAsia" w:ascii="宋体" w:hAnsi="宋体" w:eastAsia="宋体" w:cs="宋体"/>
          <w:color w:val="auto"/>
          <w:highlight w:val="none"/>
        </w:rPr>
        <w:t>的工程管理制度。</w:t>
      </w:r>
    </w:p>
    <w:p w14:paraId="1B60476E">
      <w:pPr>
        <w:pStyle w:val="56"/>
        <w:pageBreakBefore w:val="0"/>
        <w:widowControl/>
        <w:kinsoku/>
        <w:overflowPunct/>
        <w:topLinePunct w:val="0"/>
        <w:bidi w:val="0"/>
        <w:spacing w:line="440" w:lineRule="exact"/>
        <w:ind w:firstLine="420"/>
        <w:jc w:val="left"/>
        <w:textAlignment w:val="auto"/>
        <w:rPr>
          <w:rFonts w:hint="eastAsia" w:ascii="宋体" w:hAnsi="宋体" w:eastAsia="宋体" w:cs="宋体"/>
          <w:color w:val="auto"/>
          <w:szCs w:val="24"/>
          <w:highlight w:val="none"/>
        </w:rPr>
      </w:pPr>
      <w:r>
        <w:rPr>
          <w:rFonts w:hint="eastAsia" w:ascii="宋体" w:hAnsi="宋体" w:eastAsia="宋体" w:cs="宋体"/>
          <w:color w:val="auto"/>
          <w:szCs w:val="24"/>
          <w:highlight w:val="none"/>
        </w:rPr>
        <w:t>5.1.3承包人应根据工程实际需要，配备满足进度要求的施工机械，自备发电机保证供电稳定，所有费用已包含在合同价中。</w:t>
      </w:r>
    </w:p>
    <w:p w14:paraId="6898F40B">
      <w:pPr>
        <w:pStyle w:val="56"/>
        <w:pageBreakBefore w:val="0"/>
        <w:widowControl/>
        <w:kinsoku/>
        <w:overflowPunct/>
        <w:topLinePunct w:val="0"/>
        <w:bidi w:val="0"/>
        <w:spacing w:line="440" w:lineRule="exact"/>
        <w:ind w:firstLine="420"/>
        <w:jc w:val="left"/>
        <w:textAlignment w:val="auto"/>
        <w:rPr>
          <w:rFonts w:hint="eastAsia" w:ascii="宋体" w:hAnsi="宋体" w:eastAsia="宋体" w:cs="宋体"/>
          <w:color w:val="auto"/>
          <w:szCs w:val="24"/>
          <w:highlight w:val="none"/>
        </w:rPr>
      </w:pPr>
      <w:r>
        <w:rPr>
          <w:rFonts w:hint="eastAsia" w:ascii="宋体" w:hAnsi="宋体" w:eastAsia="宋体" w:cs="宋体"/>
          <w:color w:val="auto"/>
          <w:szCs w:val="24"/>
          <w:highlight w:val="none"/>
        </w:rPr>
        <w:t>5.1.4如果承包人未能按照规定的工期完成合同工程（含材料、设备采购等），或者未能在相应的工期内完成某区段或某单项工程，经发包人书面发出通知要求承包人在规定时间内完成前述工程后，承包人仍未完成，则发包人有权</w:t>
      </w:r>
      <w:r>
        <w:rPr>
          <w:rFonts w:hint="eastAsia" w:ascii="宋体" w:hAnsi="宋体" w:cs="宋体"/>
          <w:color w:val="auto"/>
          <w:szCs w:val="24"/>
          <w:highlight w:val="none"/>
          <w:lang w:eastAsia="zh-CN"/>
        </w:rPr>
        <w:t>直接雇用</w:t>
      </w:r>
      <w:r>
        <w:rPr>
          <w:rFonts w:hint="eastAsia" w:ascii="宋体" w:hAnsi="宋体" w:eastAsia="宋体" w:cs="宋体"/>
          <w:color w:val="auto"/>
          <w:szCs w:val="24"/>
          <w:highlight w:val="none"/>
        </w:rPr>
        <w:t>他人执行该项指令，并向其支付有关费用，所发生的费用从承包人合同总价中扣除，同时，在工程结算时发包人有权扣除承包人向发包人支付所发生费用10%的违约金，并由承包人承担影响工期的一切责任。</w:t>
      </w:r>
    </w:p>
    <w:p w14:paraId="1BA6185D">
      <w:pPr>
        <w:pStyle w:val="56"/>
        <w:pageBreakBefore w:val="0"/>
        <w:widowControl/>
        <w:kinsoku/>
        <w:overflowPunct/>
        <w:topLinePunct w:val="0"/>
        <w:bidi w:val="0"/>
        <w:spacing w:line="440" w:lineRule="exact"/>
        <w:ind w:firstLine="420"/>
        <w:jc w:val="left"/>
        <w:textAlignment w:val="auto"/>
        <w:rPr>
          <w:rFonts w:hint="eastAsia" w:ascii="宋体" w:hAnsi="宋体" w:eastAsia="宋体" w:cs="宋体"/>
          <w:color w:val="auto"/>
          <w:szCs w:val="24"/>
          <w:highlight w:val="none"/>
        </w:rPr>
      </w:pPr>
      <w:r>
        <w:rPr>
          <w:rFonts w:hint="eastAsia" w:ascii="宋体" w:hAnsi="宋体" w:eastAsia="宋体" w:cs="宋体"/>
          <w:color w:val="auto"/>
          <w:szCs w:val="24"/>
          <w:highlight w:val="none"/>
        </w:rPr>
        <w:t>5.1.5在合同履行中如发包人、承包人双方发生争议，承包人不得以争议未解决为由擅自停工，否则将视为违约，由此产生工期的延误不予顺延。</w:t>
      </w:r>
    </w:p>
    <w:p w14:paraId="5B95995E">
      <w:pPr>
        <w:pStyle w:val="56"/>
        <w:pageBreakBefore w:val="0"/>
        <w:widowControl/>
        <w:kinsoku/>
        <w:overflowPunct/>
        <w:topLinePunct w:val="0"/>
        <w:bidi w:val="0"/>
        <w:spacing w:line="440" w:lineRule="exact"/>
        <w:ind w:firstLine="420"/>
        <w:jc w:val="left"/>
        <w:textAlignment w:val="auto"/>
        <w:rPr>
          <w:rFonts w:hint="eastAsia" w:ascii="宋体" w:hAnsi="宋体" w:eastAsia="宋体" w:cs="宋体"/>
          <w:color w:val="auto"/>
          <w:szCs w:val="24"/>
          <w:highlight w:val="none"/>
        </w:rPr>
      </w:pPr>
      <w:r>
        <w:rPr>
          <w:rFonts w:hint="eastAsia" w:ascii="宋体" w:hAnsi="宋体" w:eastAsia="宋体" w:cs="宋体"/>
          <w:color w:val="auto"/>
          <w:szCs w:val="24"/>
          <w:highlight w:val="none"/>
        </w:rPr>
        <w:t>5.1.6对于隐蔽工程，若发现承包人在验收合格后到隐蔽施工前，对合格部分做任何改动，应重新进行验收；若承包人同一分项工程验收两次仍不合格，则以后每增加一次验收，承包人向发包人支付违约金5000元。如出现未经验收就进行隐蔽施工，承包人向发包人支付10万元/次的违约金，并且发包人有权暂停支付该部分进度款，直至发包人确认该部分工程合格为止，并通报相关部门，由此产生质量、工期延误等等均由承包人负责。</w:t>
      </w:r>
    </w:p>
    <w:p w14:paraId="42619792">
      <w:pPr>
        <w:pageBreakBefore w:val="0"/>
        <w:kinsoku/>
        <w:wordWrap w:val="0"/>
        <w:overflowPunct/>
        <w:topLinePunct w:val="0"/>
        <w:bidi w:val="0"/>
        <w:adjustRightInd w:val="0"/>
        <w:snapToGrid w:val="0"/>
        <w:spacing w:line="440" w:lineRule="exact"/>
        <w:ind w:firstLine="480" w:firstLineChars="200"/>
        <w:textAlignment w:val="auto"/>
        <w:rPr>
          <w:rFonts w:hint="eastAsia" w:ascii="宋体" w:hAnsi="宋体" w:eastAsia="宋体" w:cs="宋体"/>
          <w:color w:val="auto"/>
          <w:szCs w:val="24"/>
          <w:highlight w:val="none"/>
        </w:rPr>
      </w:pPr>
      <w:r>
        <w:rPr>
          <w:rFonts w:hint="eastAsia" w:ascii="宋体" w:hAnsi="宋体" w:eastAsia="宋体" w:cs="宋体"/>
          <w:color w:val="auto"/>
          <w:szCs w:val="24"/>
          <w:highlight w:val="none"/>
        </w:rPr>
        <w:t>经承包人的自检确认隐蔽工程和工程的隐蔽部位具备覆盖条件后的24小时内，承包人应通知监理人进行检查，通知应按规定的格式说明检查地点、内容和检查时间，并附有承包人自检记录和必要的检查资料。监理人应按通知约定的时间派员到场进行检查，在监理人员确认质量符合要求，并在检查记录上签字后，承包人才能进行覆盖。</w:t>
      </w:r>
    </w:p>
    <w:p w14:paraId="0846ABF8">
      <w:pPr>
        <w:pStyle w:val="56"/>
        <w:pageBreakBefore w:val="0"/>
        <w:widowControl/>
        <w:kinsoku/>
        <w:overflowPunct/>
        <w:topLinePunct w:val="0"/>
        <w:bidi w:val="0"/>
        <w:spacing w:line="440" w:lineRule="exact"/>
        <w:ind w:firstLine="420"/>
        <w:jc w:val="left"/>
        <w:textAlignment w:val="auto"/>
        <w:rPr>
          <w:rFonts w:hint="eastAsia" w:ascii="宋体" w:hAnsi="宋体" w:eastAsia="宋体" w:cs="宋体"/>
          <w:color w:val="auto"/>
          <w:szCs w:val="24"/>
          <w:highlight w:val="none"/>
        </w:rPr>
      </w:pPr>
      <w:r>
        <w:rPr>
          <w:rFonts w:hint="eastAsia" w:ascii="宋体" w:hAnsi="宋体" w:eastAsia="宋体" w:cs="宋体"/>
          <w:color w:val="auto"/>
          <w:szCs w:val="24"/>
          <w:highlight w:val="none"/>
        </w:rPr>
        <w:t>承包人未及时通知监理人到场检查，私自将隐蔽部位覆盖，监理人有权指示承包人采用钻孔探测揭开进行检查，由此增加的费用和工期延误责任由承包人承担。</w:t>
      </w:r>
    </w:p>
    <w:p w14:paraId="55D26C61">
      <w:pPr>
        <w:pStyle w:val="56"/>
        <w:pageBreakBefore w:val="0"/>
        <w:widowControl/>
        <w:kinsoku/>
        <w:overflowPunct/>
        <w:topLinePunct w:val="0"/>
        <w:bidi w:val="0"/>
        <w:spacing w:line="440" w:lineRule="exact"/>
        <w:ind w:firstLine="420"/>
        <w:jc w:val="left"/>
        <w:textAlignment w:val="auto"/>
        <w:rPr>
          <w:rFonts w:hint="eastAsia" w:ascii="宋体" w:hAnsi="宋体" w:eastAsia="宋体" w:cs="宋体"/>
          <w:color w:val="auto"/>
          <w:szCs w:val="24"/>
          <w:highlight w:val="none"/>
        </w:rPr>
      </w:pPr>
      <w:r>
        <w:rPr>
          <w:rFonts w:hint="eastAsia" w:ascii="宋体" w:hAnsi="宋体" w:eastAsia="宋体" w:cs="宋体"/>
          <w:color w:val="auto"/>
          <w:szCs w:val="24"/>
          <w:highlight w:val="none"/>
        </w:rPr>
        <w:t>5.1.7承包人必须编制合理的交通维护方案并负责实施，保证施工期间的交通组织符合</w:t>
      </w:r>
      <w:r>
        <w:rPr>
          <w:rFonts w:hint="eastAsia" w:ascii="宋体" w:hAnsi="宋体" w:cs="宋体"/>
          <w:color w:val="auto"/>
          <w:szCs w:val="24"/>
          <w:highlight w:val="none"/>
          <w:lang w:eastAsia="zh-CN"/>
        </w:rPr>
        <w:t>韶关市</w:t>
      </w:r>
      <w:r>
        <w:rPr>
          <w:rFonts w:hint="eastAsia" w:ascii="宋体" w:hAnsi="宋体" w:eastAsia="宋体" w:cs="宋体"/>
          <w:color w:val="auto"/>
          <w:szCs w:val="24"/>
          <w:highlight w:val="none"/>
        </w:rPr>
        <w:t>公安交通管理的有关规定，确保施工安全，其费用包含在合同价中。</w:t>
      </w:r>
    </w:p>
    <w:p w14:paraId="06FA685E">
      <w:pPr>
        <w:pStyle w:val="56"/>
        <w:pageBreakBefore w:val="0"/>
        <w:widowControl/>
        <w:kinsoku/>
        <w:overflowPunct/>
        <w:topLinePunct w:val="0"/>
        <w:bidi w:val="0"/>
        <w:spacing w:line="440" w:lineRule="exact"/>
        <w:ind w:firstLine="420"/>
        <w:jc w:val="left"/>
        <w:textAlignment w:val="auto"/>
        <w:rPr>
          <w:rFonts w:hint="eastAsia" w:ascii="宋体" w:hAnsi="宋体" w:eastAsia="宋体" w:cs="宋体"/>
          <w:color w:val="auto"/>
          <w:szCs w:val="24"/>
          <w:highlight w:val="none"/>
        </w:rPr>
      </w:pPr>
      <w:r>
        <w:rPr>
          <w:rFonts w:hint="eastAsia" w:ascii="宋体" w:hAnsi="宋体" w:eastAsia="宋体" w:cs="宋体"/>
          <w:color w:val="auto"/>
          <w:szCs w:val="24"/>
          <w:highlight w:val="none"/>
        </w:rPr>
        <w:t>5.1.8发生</w:t>
      </w:r>
      <w:r>
        <w:rPr>
          <w:rFonts w:hint="eastAsia" w:ascii="宋体" w:hAnsi="宋体" w:cs="宋体"/>
          <w:color w:val="auto"/>
          <w:szCs w:val="24"/>
          <w:highlight w:val="none"/>
          <w:lang w:eastAsia="zh-CN"/>
        </w:rPr>
        <w:t>安全</w:t>
      </w:r>
      <w:r>
        <w:rPr>
          <w:rFonts w:hint="eastAsia" w:ascii="宋体" w:hAnsi="宋体" w:eastAsia="宋体" w:cs="宋体"/>
          <w:color w:val="auto"/>
          <w:szCs w:val="24"/>
          <w:highlight w:val="none"/>
        </w:rPr>
        <w:t>事故，承包人应在第一时间通知发包人，并按规定立即上报有关部门，同时按</w:t>
      </w:r>
      <w:r>
        <w:rPr>
          <w:rFonts w:hint="eastAsia" w:ascii="宋体" w:hAnsi="宋体" w:cs="宋体"/>
          <w:color w:val="auto"/>
          <w:szCs w:val="24"/>
          <w:highlight w:val="none"/>
          <w:lang w:eastAsia="zh-CN"/>
        </w:rPr>
        <w:t>法律法规及相关</w:t>
      </w:r>
      <w:r>
        <w:rPr>
          <w:rFonts w:hint="eastAsia" w:ascii="宋体" w:hAnsi="宋体" w:eastAsia="宋体" w:cs="宋体"/>
          <w:color w:val="auto"/>
          <w:szCs w:val="24"/>
          <w:highlight w:val="none"/>
        </w:rPr>
        <w:t>规定的要求及时处理，</w:t>
      </w:r>
      <w:r>
        <w:rPr>
          <w:rFonts w:hint="eastAsia" w:ascii="宋体" w:hAnsi="宋体" w:cs="宋体"/>
          <w:color w:val="auto"/>
          <w:szCs w:val="24"/>
          <w:highlight w:val="none"/>
          <w:lang w:val="en-US" w:eastAsia="zh-CN"/>
        </w:rPr>
        <w:t>并记</w:t>
      </w:r>
      <w:r>
        <w:rPr>
          <w:rFonts w:hint="eastAsia" w:ascii="宋体" w:hAnsi="宋体" w:eastAsia="宋体" w:cs="宋体"/>
          <w:color w:val="auto"/>
          <w:szCs w:val="24"/>
          <w:highlight w:val="none"/>
        </w:rPr>
        <w:t>承包人严重违约责任一次。</w:t>
      </w:r>
    </w:p>
    <w:p w14:paraId="2AA88C5C">
      <w:pPr>
        <w:pageBreakBefore w:val="0"/>
        <w:kinsoku/>
        <w:overflowPunct/>
        <w:topLinePunct w:val="0"/>
        <w:bidi w:val="0"/>
        <w:spacing w:line="440" w:lineRule="exact"/>
        <w:ind w:firstLine="480" w:firstLineChars="200"/>
        <w:textAlignment w:val="auto"/>
        <w:rPr>
          <w:rFonts w:hint="eastAsia" w:ascii="宋体" w:hAnsi="宋体" w:eastAsia="宋体" w:cs="宋体"/>
          <w:color w:val="auto"/>
          <w:szCs w:val="24"/>
          <w:highlight w:val="none"/>
        </w:rPr>
      </w:pPr>
      <w:r>
        <w:rPr>
          <w:rFonts w:hint="eastAsia" w:ascii="宋体" w:hAnsi="宋体" w:eastAsia="宋体" w:cs="宋体"/>
          <w:color w:val="auto"/>
          <w:szCs w:val="24"/>
          <w:highlight w:val="none"/>
        </w:rPr>
        <w:t>因承包人原因，承包人施工现场发生</w:t>
      </w:r>
      <w:r>
        <w:rPr>
          <w:rFonts w:hint="eastAsia" w:hAnsi="宋体" w:eastAsia="宋体" w:cs="宋体"/>
          <w:color w:val="auto"/>
          <w:szCs w:val="24"/>
          <w:highlight w:val="none"/>
          <w:lang w:val="en-US" w:eastAsia="zh-CN"/>
        </w:rPr>
        <w:t>安全事故</w:t>
      </w:r>
      <w:r>
        <w:rPr>
          <w:rFonts w:hint="eastAsia" w:ascii="宋体" w:hAnsi="宋体" w:eastAsia="宋体" w:cs="宋体"/>
          <w:color w:val="auto"/>
          <w:szCs w:val="24"/>
          <w:highlight w:val="none"/>
        </w:rPr>
        <w:t>或其他责任事故的，除按相关法律法规依法接受</w:t>
      </w:r>
      <w:r>
        <w:rPr>
          <w:rFonts w:hint="eastAsia" w:ascii="宋体" w:hAnsi="宋体" w:eastAsia="宋体" w:cs="宋体"/>
          <w:color w:val="auto"/>
          <w:szCs w:val="24"/>
          <w:highlight w:val="none"/>
          <w:lang w:val="en-US" w:eastAsia="zh-CN"/>
        </w:rPr>
        <w:t>相关行政部门的处罚和承担事故处理的所有费用外</w:t>
      </w:r>
      <w:r>
        <w:rPr>
          <w:rFonts w:hint="eastAsia" w:ascii="宋体" w:hAnsi="宋体" w:eastAsia="宋体" w:cs="宋体"/>
          <w:color w:val="auto"/>
          <w:szCs w:val="24"/>
          <w:highlight w:val="none"/>
        </w:rPr>
        <w:t>，承包人还须按下列标准向发包人支付惩罚性违约金：</w:t>
      </w:r>
    </w:p>
    <w:p w14:paraId="26067897">
      <w:pPr>
        <w:pageBreakBefore w:val="0"/>
        <w:kinsoku/>
        <w:overflowPunct/>
        <w:topLinePunct w:val="0"/>
        <w:bidi w:val="0"/>
        <w:spacing w:line="440" w:lineRule="exact"/>
        <w:ind w:firstLine="480" w:firstLineChars="200"/>
        <w:textAlignment w:val="auto"/>
        <w:rPr>
          <w:rFonts w:hint="eastAsia" w:ascii="宋体" w:hAnsi="宋体" w:eastAsia="宋体" w:cs="宋体"/>
          <w:color w:val="auto"/>
          <w:szCs w:val="24"/>
          <w:highlight w:val="none"/>
        </w:rPr>
      </w:pPr>
      <w:r>
        <w:rPr>
          <w:rFonts w:hint="eastAsia" w:ascii="宋体" w:hAnsi="宋体" w:eastAsia="宋体" w:cs="宋体"/>
          <w:color w:val="auto"/>
          <w:szCs w:val="24"/>
          <w:highlight w:val="none"/>
        </w:rPr>
        <w:t>（1）一次事故死亡3人及以上：</w:t>
      </w:r>
      <w:r>
        <w:rPr>
          <w:rFonts w:hint="eastAsia" w:ascii="宋体" w:hAnsi="宋体" w:eastAsia="宋体" w:cs="宋体"/>
          <w:color w:val="auto"/>
          <w:szCs w:val="24"/>
          <w:highlight w:val="none"/>
          <w:lang w:val="en-US" w:eastAsia="zh-CN"/>
        </w:rPr>
        <w:t>依法由承包人承担责任，且</w:t>
      </w:r>
      <w:r>
        <w:rPr>
          <w:rFonts w:hint="eastAsia" w:ascii="宋体" w:hAnsi="宋体" w:eastAsia="宋体" w:cs="宋体"/>
          <w:color w:val="auto"/>
          <w:szCs w:val="24"/>
          <w:highlight w:val="none"/>
        </w:rPr>
        <w:t>承包人必须撤换项目经理、</w:t>
      </w:r>
      <w:r>
        <w:rPr>
          <w:rFonts w:hint="eastAsia" w:ascii="宋体" w:hAnsi="宋体" w:eastAsia="宋体" w:cs="宋体"/>
          <w:color w:val="auto"/>
          <w:szCs w:val="24"/>
          <w:highlight w:val="none"/>
          <w:lang w:val="en-US" w:eastAsia="zh-CN"/>
        </w:rPr>
        <w:t>专职安全员及项目相关负责人，并向发包人支付50万元的惩罚性违约金。</w:t>
      </w:r>
    </w:p>
    <w:p w14:paraId="74E3DB39">
      <w:pPr>
        <w:pageBreakBefore w:val="0"/>
        <w:kinsoku/>
        <w:overflowPunct/>
        <w:topLinePunct w:val="0"/>
        <w:bidi w:val="0"/>
        <w:spacing w:line="440" w:lineRule="exact"/>
        <w:ind w:firstLine="480" w:firstLineChars="200"/>
        <w:textAlignment w:val="auto"/>
        <w:rPr>
          <w:rFonts w:hint="eastAsia" w:ascii="宋体" w:hAnsi="宋体" w:eastAsia="宋体" w:cs="宋体"/>
          <w:color w:val="auto"/>
          <w:szCs w:val="24"/>
          <w:highlight w:val="none"/>
          <w:lang w:val="en-US" w:eastAsia="zh-CN"/>
        </w:rPr>
      </w:pPr>
      <w:r>
        <w:rPr>
          <w:rFonts w:hint="eastAsia" w:ascii="宋体" w:hAnsi="宋体" w:eastAsia="宋体" w:cs="宋体"/>
          <w:color w:val="auto"/>
          <w:szCs w:val="24"/>
          <w:highlight w:val="none"/>
        </w:rPr>
        <w:t>（2）一次事故死亡2人：</w:t>
      </w:r>
      <w:r>
        <w:rPr>
          <w:rFonts w:hint="eastAsia" w:ascii="宋体" w:hAnsi="宋体" w:eastAsia="宋体" w:cs="宋体"/>
          <w:color w:val="auto"/>
          <w:szCs w:val="24"/>
          <w:highlight w:val="none"/>
          <w:lang w:val="en-US" w:eastAsia="zh-CN"/>
        </w:rPr>
        <w:t>依法由承包人承担责任，且</w:t>
      </w:r>
      <w:r>
        <w:rPr>
          <w:rFonts w:hint="eastAsia" w:ascii="宋体" w:hAnsi="宋体" w:eastAsia="宋体" w:cs="宋体"/>
          <w:color w:val="auto"/>
          <w:szCs w:val="24"/>
          <w:highlight w:val="none"/>
        </w:rPr>
        <w:t>承包人必须撤换项目经理、</w:t>
      </w:r>
      <w:r>
        <w:rPr>
          <w:rFonts w:hint="eastAsia" w:ascii="宋体" w:hAnsi="宋体" w:eastAsia="宋体" w:cs="宋体"/>
          <w:color w:val="auto"/>
          <w:szCs w:val="24"/>
          <w:highlight w:val="none"/>
          <w:lang w:val="en-US" w:eastAsia="zh-CN"/>
        </w:rPr>
        <w:t>专职安全员及项目相关负责人，并向发包人支付20万元的惩罚性违约金。</w:t>
      </w:r>
    </w:p>
    <w:p w14:paraId="747271DB">
      <w:pPr>
        <w:pageBreakBefore w:val="0"/>
        <w:kinsoku/>
        <w:overflowPunct/>
        <w:topLinePunct w:val="0"/>
        <w:bidi w:val="0"/>
        <w:spacing w:line="440" w:lineRule="exact"/>
        <w:ind w:firstLine="480" w:firstLineChars="200"/>
        <w:textAlignment w:val="auto"/>
        <w:rPr>
          <w:rFonts w:hint="eastAsia" w:ascii="宋体" w:hAnsi="宋体" w:eastAsia="宋体" w:cs="宋体"/>
          <w:color w:val="auto"/>
          <w:szCs w:val="24"/>
          <w:highlight w:val="none"/>
          <w:lang w:val="en-US" w:eastAsia="zh-CN"/>
        </w:rPr>
      </w:pPr>
      <w:r>
        <w:rPr>
          <w:rFonts w:hint="eastAsia" w:ascii="宋体" w:hAnsi="宋体" w:eastAsia="宋体" w:cs="宋体"/>
          <w:color w:val="auto"/>
          <w:szCs w:val="24"/>
          <w:highlight w:val="none"/>
        </w:rPr>
        <w:t>（3）</w:t>
      </w:r>
      <w:r>
        <w:rPr>
          <w:rFonts w:hint="eastAsia" w:hAnsi="宋体" w:eastAsia="宋体" w:cs="宋体"/>
          <w:color w:val="auto"/>
          <w:szCs w:val="24"/>
          <w:highlight w:val="none"/>
          <w:lang w:val="en-US" w:eastAsia="zh-CN"/>
        </w:rPr>
        <w:t>一次事故</w:t>
      </w:r>
      <w:r>
        <w:rPr>
          <w:rFonts w:hint="eastAsia" w:ascii="宋体" w:hAnsi="宋体" w:eastAsia="宋体" w:cs="宋体"/>
          <w:color w:val="auto"/>
          <w:szCs w:val="24"/>
          <w:highlight w:val="none"/>
        </w:rPr>
        <w:t>死亡1人：</w:t>
      </w:r>
      <w:r>
        <w:rPr>
          <w:rFonts w:hint="eastAsia" w:ascii="宋体" w:hAnsi="宋体" w:eastAsia="宋体" w:cs="宋体"/>
          <w:color w:val="auto"/>
          <w:szCs w:val="24"/>
          <w:highlight w:val="none"/>
          <w:lang w:val="en-US" w:eastAsia="zh-CN"/>
        </w:rPr>
        <w:t>依法由承包人承担责任，且</w:t>
      </w:r>
      <w:r>
        <w:rPr>
          <w:rFonts w:hint="eastAsia" w:ascii="宋体" w:hAnsi="宋体" w:eastAsia="宋体" w:cs="宋体"/>
          <w:color w:val="auto"/>
          <w:szCs w:val="24"/>
          <w:highlight w:val="none"/>
        </w:rPr>
        <w:t>承包人必须撤换项目经理、</w:t>
      </w:r>
      <w:r>
        <w:rPr>
          <w:rFonts w:hint="eastAsia" w:ascii="宋体" w:hAnsi="宋体" w:eastAsia="宋体" w:cs="宋体"/>
          <w:color w:val="auto"/>
          <w:szCs w:val="24"/>
          <w:highlight w:val="none"/>
          <w:lang w:val="en-US" w:eastAsia="zh-CN"/>
        </w:rPr>
        <w:t>专职安全员及项目相关负责人，并向发包人支付10万元的惩罚性违约金。</w:t>
      </w:r>
    </w:p>
    <w:p w14:paraId="25802E33">
      <w:pPr>
        <w:pageBreakBefore w:val="0"/>
        <w:kinsoku/>
        <w:overflowPunct/>
        <w:topLinePunct w:val="0"/>
        <w:bidi w:val="0"/>
        <w:spacing w:line="440" w:lineRule="exact"/>
        <w:ind w:firstLine="480" w:firstLineChars="200"/>
        <w:textAlignment w:val="auto"/>
        <w:rPr>
          <w:rFonts w:hint="eastAsia" w:ascii="宋体" w:hAnsi="宋体" w:eastAsia="宋体" w:cs="宋体"/>
          <w:color w:val="auto"/>
          <w:szCs w:val="24"/>
          <w:highlight w:val="none"/>
          <w:lang w:val="en-US" w:eastAsia="zh-CN"/>
        </w:rPr>
      </w:pPr>
      <w:r>
        <w:rPr>
          <w:rFonts w:hint="eastAsia" w:ascii="宋体" w:hAnsi="宋体" w:eastAsia="宋体" w:cs="宋体"/>
          <w:color w:val="auto"/>
          <w:szCs w:val="24"/>
          <w:highlight w:val="none"/>
        </w:rPr>
        <w:t>（4）</w:t>
      </w:r>
      <w:r>
        <w:rPr>
          <w:rFonts w:hint="eastAsia" w:ascii="宋体" w:hAnsi="宋体" w:eastAsia="宋体" w:cs="宋体"/>
          <w:color w:val="auto"/>
          <w:szCs w:val="24"/>
          <w:highlight w:val="none"/>
          <w:lang w:val="en-US" w:eastAsia="zh-CN"/>
        </w:rPr>
        <w:t>一次重伤事故或造成5人及以上集体住院，依法由承包人承担责任，且承包人必须撤换专职安全员及项目相关负责人，并向发包人支付5万元的惩罚性违约金。</w:t>
      </w:r>
    </w:p>
    <w:p w14:paraId="352B814A">
      <w:pPr>
        <w:pStyle w:val="56"/>
        <w:pageBreakBefore w:val="0"/>
        <w:widowControl/>
        <w:kinsoku/>
        <w:overflowPunct/>
        <w:topLinePunct w:val="0"/>
        <w:bidi w:val="0"/>
        <w:spacing w:line="440" w:lineRule="exact"/>
        <w:ind w:firstLine="420"/>
        <w:jc w:val="left"/>
        <w:textAlignment w:val="auto"/>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（5）因施工造成的道路交通中断、通讯中断、管线漏水漏气等全部责任事故，依法由承包人承担责任，且承包人必须撤换专职安全员及项目相关负责人，并向发包人支付2万元的惩罚性违约金。</w:t>
      </w:r>
    </w:p>
    <w:p w14:paraId="5BDDBC25">
      <w:pPr>
        <w:pStyle w:val="56"/>
        <w:pageBreakBefore w:val="0"/>
        <w:widowControl/>
        <w:kinsoku/>
        <w:overflowPunct/>
        <w:topLinePunct w:val="0"/>
        <w:bidi w:val="0"/>
        <w:spacing w:line="440" w:lineRule="exact"/>
        <w:ind w:firstLine="420"/>
        <w:jc w:val="left"/>
        <w:textAlignment w:val="auto"/>
        <w:rPr>
          <w:rFonts w:hint="eastAsia" w:ascii="宋体" w:hAnsi="宋体" w:eastAsia="宋体" w:cs="宋体"/>
          <w:color w:val="auto"/>
          <w:szCs w:val="24"/>
          <w:highlight w:val="none"/>
        </w:rPr>
      </w:pPr>
      <w:r>
        <w:rPr>
          <w:rFonts w:hint="eastAsia" w:ascii="宋体" w:hAnsi="宋体" w:eastAsia="宋体" w:cs="宋体"/>
          <w:color w:val="auto"/>
          <w:szCs w:val="24"/>
          <w:highlight w:val="none"/>
        </w:rPr>
        <w:t xml:space="preserve">5.1.9 承包人必须遵守有关环境保护的法律法规，并采取有效措施控制施工现场的各种粉尘、废气、废弃物、噪声、振动等对身体健康和周边环境造成的危害和污染，有关费用已包含在合同价中。 </w:t>
      </w:r>
    </w:p>
    <w:p w14:paraId="25B4D060">
      <w:pPr>
        <w:pageBreakBefore w:val="0"/>
        <w:kinsoku/>
        <w:overflowPunct/>
        <w:topLinePunct w:val="0"/>
        <w:autoSpaceDE w:val="0"/>
        <w:autoSpaceDN w:val="0"/>
        <w:bidi w:val="0"/>
        <w:adjustRightInd w:val="0"/>
        <w:snapToGrid w:val="0"/>
        <w:spacing w:beforeLines="50" w:line="440" w:lineRule="exact"/>
        <w:ind w:firstLine="480"/>
        <w:textAlignment w:val="auto"/>
        <w:rPr>
          <w:rFonts w:hint="eastAsia" w:ascii="宋体" w:hAnsi="宋体" w:eastAsia="宋体" w:cs="宋体"/>
          <w:color w:val="auto"/>
          <w:szCs w:val="24"/>
          <w:highlight w:val="none"/>
        </w:rPr>
      </w:pPr>
      <w:r>
        <w:rPr>
          <w:rFonts w:hint="eastAsia" w:ascii="宋体" w:hAnsi="宋体" w:eastAsia="宋体" w:cs="宋体"/>
          <w:color w:val="auto"/>
          <w:szCs w:val="24"/>
          <w:highlight w:val="none"/>
        </w:rPr>
        <w:t>5.1.10 工程竣工验收合格后30天内，承包人必须及时</w:t>
      </w:r>
      <w:r>
        <w:rPr>
          <w:rFonts w:hint="eastAsia" w:ascii="宋体" w:hAnsi="宋体" w:eastAsia="宋体" w:cs="宋体"/>
          <w:snapToGrid w:val="0"/>
          <w:color w:val="auto"/>
          <w:kern w:val="0"/>
          <w:szCs w:val="24"/>
          <w:highlight w:val="none"/>
        </w:rPr>
        <w:t>按</w:t>
      </w:r>
      <w:r>
        <w:rPr>
          <w:rFonts w:hint="eastAsia" w:ascii="宋体" w:hAnsi="宋体" w:eastAsia="宋体" w:cs="宋体"/>
          <w:color w:val="auto"/>
          <w:szCs w:val="24"/>
          <w:highlight w:val="none"/>
        </w:rPr>
        <w:t>韶关市城市建设档案要求及发包人要求提交真实完整的竣工图纸等竣工资料，并由承包人负责汇总后，移交相关管理部门，且办理完成相关移交手续，否则每延迟</w:t>
      </w:r>
      <w:r>
        <w:rPr>
          <w:rFonts w:hint="eastAsia" w:hAnsi="宋体" w:eastAsia="宋体" w:cs="宋体"/>
          <w:color w:val="auto"/>
          <w:szCs w:val="24"/>
          <w:highlight w:val="none"/>
          <w:lang w:eastAsia="zh-CN"/>
        </w:rPr>
        <w:t>1</w:t>
      </w:r>
      <w:r>
        <w:rPr>
          <w:rFonts w:hint="eastAsia" w:ascii="宋体" w:hAnsi="宋体" w:eastAsia="宋体" w:cs="宋体"/>
          <w:color w:val="auto"/>
          <w:szCs w:val="24"/>
          <w:highlight w:val="none"/>
        </w:rPr>
        <w:t xml:space="preserve">天，承包人向发包人支付2000元/天的违约金。同时，承包人向发包人提供完整的竣工图纸等竣工资料各8套（包括声像及电子文件），档案的制作费用由承包人承担。 </w:t>
      </w:r>
    </w:p>
    <w:p w14:paraId="1DBB81E9">
      <w:pPr>
        <w:pageBreakBefore w:val="0"/>
        <w:kinsoku/>
        <w:overflowPunct/>
        <w:topLinePunct w:val="0"/>
        <w:autoSpaceDE w:val="0"/>
        <w:autoSpaceDN w:val="0"/>
        <w:bidi w:val="0"/>
        <w:adjustRightInd w:val="0"/>
        <w:snapToGrid w:val="0"/>
        <w:spacing w:beforeLines="50" w:line="440" w:lineRule="exact"/>
        <w:ind w:firstLine="480"/>
        <w:textAlignment w:val="auto"/>
        <w:rPr>
          <w:rFonts w:hint="eastAsia" w:ascii="宋体" w:hAnsi="宋体" w:eastAsia="宋体" w:cs="宋体"/>
          <w:color w:val="auto"/>
          <w:szCs w:val="24"/>
          <w:highlight w:val="none"/>
        </w:rPr>
      </w:pPr>
      <w:r>
        <w:rPr>
          <w:rFonts w:hint="eastAsia" w:ascii="宋体" w:hAnsi="宋体" w:eastAsia="宋体" w:cs="宋体"/>
          <w:color w:val="auto"/>
          <w:szCs w:val="24"/>
          <w:highlight w:val="none"/>
        </w:rPr>
        <w:t>5.1.11 如承包人不按合同内容及条款施工，或违反正常施工程序、施工工艺进行施工，或施工质量、安全、环保等达不到有关要求，或施工用材料设备不符合规定，发包人有权勒令承包人暂停施工，承包人必须停工整改，一切责任由承包人负责。</w:t>
      </w:r>
    </w:p>
    <w:p w14:paraId="3A8E7DF2">
      <w:pPr>
        <w:pageBreakBefore w:val="0"/>
        <w:kinsoku/>
        <w:overflowPunct/>
        <w:topLinePunct w:val="0"/>
        <w:autoSpaceDE w:val="0"/>
        <w:autoSpaceDN w:val="0"/>
        <w:bidi w:val="0"/>
        <w:adjustRightInd w:val="0"/>
        <w:snapToGrid w:val="0"/>
        <w:spacing w:beforeLines="50" w:line="440" w:lineRule="exact"/>
        <w:ind w:firstLine="480"/>
        <w:textAlignment w:val="auto"/>
        <w:rPr>
          <w:rFonts w:hint="eastAsia" w:ascii="宋体" w:hAnsi="宋体" w:eastAsia="宋体" w:cs="宋体"/>
          <w:color w:val="auto"/>
          <w:szCs w:val="24"/>
          <w:highlight w:val="none"/>
        </w:rPr>
      </w:pPr>
      <w:r>
        <w:rPr>
          <w:rFonts w:hint="eastAsia" w:ascii="宋体" w:hAnsi="宋体" w:eastAsia="宋体" w:cs="宋体"/>
          <w:color w:val="auto"/>
          <w:szCs w:val="24"/>
          <w:highlight w:val="none"/>
        </w:rPr>
        <w:t>5.1.12 承包人全体现场施工人员佩戴安全帽，全部施工人员佩戴工作牌。</w:t>
      </w:r>
    </w:p>
    <w:p w14:paraId="28FE5715">
      <w:pPr>
        <w:pageBreakBefore w:val="0"/>
        <w:kinsoku/>
        <w:overflowPunct/>
        <w:topLinePunct w:val="0"/>
        <w:autoSpaceDE w:val="0"/>
        <w:autoSpaceDN w:val="0"/>
        <w:bidi w:val="0"/>
        <w:adjustRightInd w:val="0"/>
        <w:snapToGrid w:val="0"/>
        <w:spacing w:beforeLines="50" w:line="440" w:lineRule="exact"/>
        <w:ind w:firstLine="480"/>
        <w:textAlignment w:val="auto"/>
        <w:rPr>
          <w:rFonts w:hint="eastAsia" w:ascii="宋体" w:hAnsi="宋体" w:eastAsia="宋体" w:cs="宋体"/>
          <w:color w:val="auto"/>
          <w:szCs w:val="24"/>
          <w:highlight w:val="none"/>
        </w:rPr>
      </w:pPr>
      <w:r>
        <w:rPr>
          <w:rFonts w:hint="eastAsia" w:ascii="宋体" w:hAnsi="宋体" w:eastAsia="宋体" w:cs="宋体"/>
          <w:color w:val="auto"/>
          <w:szCs w:val="24"/>
          <w:highlight w:val="none"/>
        </w:rPr>
        <w:t>5.1.13 未经发包人书面许可，承包人不得在施工现场布置任何与本项目工程无关的商业广告，否则发包人有权要求承包人予以拆除，承包人并向发包人每次支付违约金10000元。</w:t>
      </w:r>
    </w:p>
    <w:p w14:paraId="01066822">
      <w:pPr>
        <w:pageBreakBefore w:val="0"/>
        <w:kinsoku/>
        <w:overflowPunct/>
        <w:topLinePunct w:val="0"/>
        <w:autoSpaceDE w:val="0"/>
        <w:autoSpaceDN w:val="0"/>
        <w:bidi w:val="0"/>
        <w:adjustRightInd w:val="0"/>
        <w:snapToGrid w:val="0"/>
        <w:spacing w:beforeLines="50" w:line="440" w:lineRule="exact"/>
        <w:ind w:firstLine="480"/>
        <w:textAlignment w:val="auto"/>
        <w:rPr>
          <w:rFonts w:hint="eastAsia" w:ascii="宋体" w:hAnsi="宋体" w:eastAsia="宋体" w:cs="宋体"/>
          <w:color w:val="auto"/>
          <w:szCs w:val="24"/>
          <w:highlight w:val="none"/>
        </w:rPr>
      </w:pPr>
      <w:r>
        <w:rPr>
          <w:rFonts w:hint="eastAsia" w:ascii="宋体" w:hAnsi="宋体" w:eastAsia="宋体" w:cs="宋体"/>
          <w:color w:val="auto"/>
          <w:szCs w:val="24"/>
          <w:highlight w:val="none"/>
        </w:rPr>
        <w:t>5.1.14 承包人下列人员有以下情形的，承包人必须在24小时内将其调离，并应在3天内补充经发包人批准的相关合格人员。若承包人不及时履行，发包人则有权要求承包人按每人每次支付违约金1000元/天，具体情形如下：</w:t>
      </w:r>
    </w:p>
    <w:p w14:paraId="4944847C">
      <w:pPr>
        <w:pageBreakBefore w:val="0"/>
        <w:kinsoku/>
        <w:overflowPunct/>
        <w:topLinePunct w:val="0"/>
        <w:autoSpaceDE w:val="0"/>
        <w:autoSpaceDN w:val="0"/>
        <w:bidi w:val="0"/>
        <w:adjustRightInd w:val="0"/>
        <w:snapToGrid w:val="0"/>
        <w:spacing w:line="440" w:lineRule="exact"/>
        <w:ind w:firstLine="240" w:firstLineChars="100"/>
        <w:textAlignment w:val="auto"/>
        <w:rPr>
          <w:rFonts w:hint="eastAsia" w:ascii="宋体" w:hAnsi="宋体" w:eastAsia="宋体" w:cs="宋体"/>
          <w:color w:val="auto"/>
          <w:szCs w:val="24"/>
          <w:highlight w:val="none"/>
        </w:rPr>
      </w:pPr>
      <w:r>
        <w:rPr>
          <w:rFonts w:hint="eastAsia" w:ascii="宋体" w:hAnsi="宋体" w:eastAsia="宋体" w:cs="宋体"/>
          <w:color w:val="auto"/>
          <w:szCs w:val="24"/>
          <w:highlight w:val="none"/>
        </w:rPr>
        <w:t>（1）发包人确认无法胜任工作者，包括：对分部分项工程施工进度及施工质量达不到合同要求负有责任的施工人员、不熟悉本专业的施工人员、工作责任心不强的施工人员等；</w:t>
      </w:r>
    </w:p>
    <w:p w14:paraId="4E190A52">
      <w:pPr>
        <w:pageBreakBefore w:val="0"/>
        <w:kinsoku/>
        <w:overflowPunct/>
        <w:topLinePunct w:val="0"/>
        <w:autoSpaceDE w:val="0"/>
        <w:autoSpaceDN w:val="0"/>
        <w:bidi w:val="0"/>
        <w:adjustRightInd w:val="0"/>
        <w:snapToGrid w:val="0"/>
        <w:spacing w:line="440" w:lineRule="exact"/>
        <w:ind w:firstLine="240" w:firstLineChars="100"/>
        <w:textAlignment w:val="auto"/>
        <w:rPr>
          <w:rFonts w:hint="eastAsia" w:ascii="宋体" w:hAnsi="宋体" w:eastAsia="宋体" w:cs="宋体"/>
          <w:color w:val="auto"/>
          <w:szCs w:val="24"/>
          <w:highlight w:val="none"/>
        </w:rPr>
      </w:pPr>
      <w:r>
        <w:rPr>
          <w:rFonts w:hint="eastAsia" w:ascii="宋体" w:hAnsi="宋体" w:eastAsia="宋体" w:cs="宋体"/>
          <w:color w:val="auto"/>
          <w:szCs w:val="24"/>
          <w:highlight w:val="none"/>
        </w:rPr>
        <w:t>（2）不积极配合发包人、监理工程师正常工作人员；</w:t>
      </w:r>
    </w:p>
    <w:p w14:paraId="754E033C">
      <w:pPr>
        <w:pageBreakBefore w:val="0"/>
        <w:kinsoku/>
        <w:overflowPunct/>
        <w:topLinePunct w:val="0"/>
        <w:autoSpaceDE w:val="0"/>
        <w:autoSpaceDN w:val="0"/>
        <w:bidi w:val="0"/>
        <w:adjustRightInd w:val="0"/>
        <w:snapToGrid w:val="0"/>
        <w:spacing w:line="440" w:lineRule="exact"/>
        <w:ind w:firstLine="240" w:firstLineChars="100"/>
        <w:textAlignment w:val="auto"/>
        <w:rPr>
          <w:rFonts w:hint="eastAsia" w:ascii="宋体" w:hAnsi="宋体" w:eastAsia="宋体" w:cs="宋体"/>
          <w:color w:val="auto"/>
          <w:szCs w:val="24"/>
          <w:highlight w:val="none"/>
        </w:rPr>
      </w:pPr>
      <w:r>
        <w:rPr>
          <w:rFonts w:hint="eastAsia" w:ascii="宋体" w:hAnsi="宋体" w:eastAsia="宋体" w:cs="宋体"/>
          <w:color w:val="auto"/>
          <w:szCs w:val="24"/>
          <w:highlight w:val="none"/>
        </w:rPr>
        <w:t>（3）违反承包人或发包人工地现场管理规定的人员；</w:t>
      </w:r>
    </w:p>
    <w:p w14:paraId="71F1EEE4">
      <w:pPr>
        <w:pageBreakBefore w:val="0"/>
        <w:kinsoku/>
        <w:overflowPunct/>
        <w:topLinePunct w:val="0"/>
        <w:autoSpaceDE w:val="0"/>
        <w:autoSpaceDN w:val="0"/>
        <w:bidi w:val="0"/>
        <w:adjustRightInd w:val="0"/>
        <w:snapToGrid w:val="0"/>
        <w:spacing w:line="440" w:lineRule="exact"/>
        <w:ind w:firstLine="240" w:firstLineChars="100"/>
        <w:textAlignment w:val="auto"/>
        <w:rPr>
          <w:rFonts w:hint="eastAsia" w:ascii="宋体" w:hAnsi="宋体" w:eastAsia="宋体" w:cs="宋体"/>
          <w:color w:val="auto"/>
          <w:szCs w:val="24"/>
          <w:highlight w:val="none"/>
        </w:rPr>
      </w:pPr>
      <w:r>
        <w:rPr>
          <w:rFonts w:hint="eastAsia" w:ascii="宋体" w:hAnsi="宋体" w:eastAsia="宋体" w:cs="宋体"/>
          <w:color w:val="auto"/>
          <w:szCs w:val="24"/>
          <w:highlight w:val="none"/>
        </w:rPr>
        <w:t>（4）无证上岗人员（适用于按规定必须有上岗证的）；</w:t>
      </w:r>
    </w:p>
    <w:p w14:paraId="2D53F61E">
      <w:pPr>
        <w:pageBreakBefore w:val="0"/>
        <w:kinsoku/>
        <w:overflowPunct/>
        <w:topLinePunct w:val="0"/>
        <w:bidi w:val="0"/>
        <w:adjustRightInd w:val="0"/>
        <w:snapToGrid w:val="0"/>
        <w:spacing w:line="440" w:lineRule="exact"/>
        <w:ind w:firstLine="240" w:firstLineChars="100"/>
        <w:textAlignment w:val="auto"/>
        <w:rPr>
          <w:rFonts w:hint="eastAsia" w:ascii="宋体" w:hAnsi="宋体" w:eastAsia="宋体" w:cs="宋体"/>
          <w:color w:val="auto"/>
          <w:szCs w:val="24"/>
          <w:highlight w:val="none"/>
        </w:rPr>
      </w:pPr>
      <w:r>
        <w:rPr>
          <w:rFonts w:hint="eastAsia" w:ascii="宋体" w:hAnsi="宋体" w:eastAsia="宋体" w:cs="宋体"/>
          <w:color w:val="auto"/>
          <w:szCs w:val="24"/>
          <w:highlight w:val="none"/>
        </w:rPr>
        <w:t>（5）与本工程施工无关的人员。</w:t>
      </w:r>
    </w:p>
    <w:p w14:paraId="593529C4">
      <w:pPr>
        <w:pageBreakBefore w:val="0"/>
        <w:kinsoku/>
        <w:overflowPunct/>
        <w:topLinePunct w:val="0"/>
        <w:bidi w:val="0"/>
        <w:adjustRightInd w:val="0"/>
        <w:snapToGrid w:val="0"/>
        <w:spacing w:line="440" w:lineRule="exact"/>
        <w:ind w:firstLine="480" w:firstLineChars="200"/>
        <w:textAlignment w:val="auto"/>
        <w:rPr>
          <w:rFonts w:hint="eastAsia" w:ascii="宋体" w:hAnsi="宋体" w:eastAsia="宋体" w:cs="宋体"/>
          <w:color w:val="auto"/>
          <w:szCs w:val="24"/>
          <w:highlight w:val="none"/>
        </w:rPr>
      </w:pPr>
      <w:r>
        <w:rPr>
          <w:rFonts w:hint="eastAsia" w:ascii="宋体" w:hAnsi="宋体" w:eastAsia="宋体" w:cs="宋体"/>
          <w:color w:val="auto"/>
          <w:szCs w:val="24"/>
          <w:highlight w:val="none"/>
        </w:rPr>
        <w:t>5.1.15 本工程禁止转包，若发包人和监理人认为承包人有转包行为，且经行政主管部门落实认定。发包人有权勒令承包人停工、驱逐其出现场，并提请建设行政主管部门对承包人按相关法律法规进行行政处罚；发包人还有权给予承包人履约评价为不合格，及有权拒绝承包人3年内参加发包人</w:t>
      </w:r>
      <w:r>
        <w:rPr>
          <w:rFonts w:hint="eastAsia" w:hAnsi="宋体" w:eastAsia="宋体" w:cs="宋体"/>
          <w:color w:val="auto"/>
          <w:szCs w:val="24"/>
          <w:highlight w:val="none"/>
          <w:lang w:eastAsia="zh-CN"/>
        </w:rPr>
        <w:t>其他</w:t>
      </w:r>
      <w:r>
        <w:rPr>
          <w:rFonts w:hint="eastAsia" w:ascii="宋体" w:hAnsi="宋体" w:eastAsia="宋体" w:cs="宋体"/>
          <w:color w:val="auto"/>
          <w:szCs w:val="24"/>
          <w:highlight w:val="none"/>
        </w:rPr>
        <w:t xml:space="preserve">工程的投标；同时发包人有权单方面解除本合同。由此造成的损失均由承包人承担。 </w:t>
      </w:r>
    </w:p>
    <w:p w14:paraId="00E59327">
      <w:pPr>
        <w:pageBreakBefore w:val="0"/>
        <w:kinsoku/>
        <w:overflowPunct/>
        <w:topLinePunct w:val="0"/>
        <w:bidi w:val="0"/>
        <w:spacing w:line="440" w:lineRule="exact"/>
        <w:ind w:firstLine="482" w:firstLineChars="200"/>
        <w:textAlignment w:val="auto"/>
        <w:rPr>
          <w:rFonts w:hint="eastAsia" w:ascii="宋体" w:hAnsi="宋体" w:eastAsia="宋体" w:cs="宋体"/>
          <w:b/>
          <w:bCs/>
          <w:color w:val="auto"/>
          <w:szCs w:val="24"/>
          <w:highlight w:val="none"/>
        </w:rPr>
      </w:pPr>
      <w:r>
        <w:rPr>
          <w:rFonts w:hint="eastAsia" w:ascii="宋体" w:hAnsi="宋体" w:eastAsia="宋体" w:cs="宋体"/>
          <w:b/>
          <w:bCs/>
          <w:color w:val="auto"/>
          <w:szCs w:val="24"/>
          <w:highlight w:val="none"/>
        </w:rPr>
        <w:t>5.2 用工和劳务</w:t>
      </w:r>
    </w:p>
    <w:p w14:paraId="6B50119E">
      <w:pPr>
        <w:pageBreakBefore w:val="0"/>
        <w:kinsoku/>
        <w:overflowPunct/>
        <w:topLinePunct w:val="0"/>
        <w:bidi w:val="0"/>
        <w:adjustRightInd w:val="0"/>
        <w:snapToGrid w:val="0"/>
        <w:spacing w:line="440" w:lineRule="exact"/>
        <w:ind w:firstLine="480" w:firstLineChars="200"/>
        <w:textAlignment w:val="auto"/>
        <w:rPr>
          <w:rFonts w:hint="eastAsia" w:ascii="宋体" w:hAnsi="宋体" w:eastAsia="宋体" w:cs="宋体"/>
          <w:color w:val="auto"/>
          <w:szCs w:val="24"/>
          <w:highlight w:val="none"/>
        </w:rPr>
      </w:pPr>
      <w:r>
        <w:rPr>
          <w:rFonts w:hint="eastAsia" w:ascii="宋体" w:hAnsi="宋体" w:eastAsia="宋体" w:cs="宋体"/>
          <w:color w:val="auto"/>
          <w:szCs w:val="24"/>
          <w:highlight w:val="none"/>
        </w:rPr>
        <w:t>5.2.1承包人不得从为发包人或工程师服务的人员中招雇任何人员。</w:t>
      </w:r>
    </w:p>
    <w:p w14:paraId="6DB46828">
      <w:pPr>
        <w:pageBreakBefore w:val="0"/>
        <w:kinsoku/>
        <w:overflowPunct/>
        <w:topLinePunct w:val="0"/>
        <w:bidi w:val="0"/>
        <w:adjustRightInd w:val="0"/>
        <w:snapToGrid w:val="0"/>
        <w:spacing w:line="440" w:lineRule="exact"/>
        <w:ind w:firstLine="480" w:firstLineChars="200"/>
        <w:textAlignment w:val="auto"/>
        <w:rPr>
          <w:rFonts w:hint="eastAsia" w:ascii="宋体" w:hAnsi="宋体" w:eastAsia="宋体" w:cs="宋体"/>
          <w:color w:val="auto"/>
          <w:szCs w:val="24"/>
          <w:highlight w:val="none"/>
        </w:rPr>
      </w:pPr>
      <w:r>
        <w:rPr>
          <w:rFonts w:hint="eastAsia" w:ascii="宋体" w:hAnsi="宋体" w:eastAsia="宋体" w:cs="宋体"/>
          <w:color w:val="auto"/>
          <w:szCs w:val="24"/>
          <w:highlight w:val="none"/>
        </w:rPr>
        <w:t>5.2.2承包人不得以任何理由延期支付雇员的工资和劳务分包人的劳务费用。对发包人支付的工程款，承包人须优先用于支付工人劳动报酬，确保不发生因拖欠工人工资、劳务费而停工、上访，或因此在媒体曝光等事件。如果发生因拖欠工人工资、劳务费而停工上访，或因此在媒体曝光等事件，视为承包人违约，发包人有权要求承包人支付违约金20万元/次。</w:t>
      </w:r>
    </w:p>
    <w:p w14:paraId="0CC3B266">
      <w:pPr>
        <w:pageBreakBefore w:val="0"/>
        <w:kinsoku/>
        <w:overflowPunct/>
        <w:topLinePunct w:val="0"/>
        <w:bidi w:val="0"/>
        <w:adjustRightInd w:val="0"/>
        <w:snapToGrid w:val="0"/>
        <w:spacing w:line="440" w:lineRule="exact"/>
        <w:ind w:firstLine="480" w:firstLineChars="200"/>
        <w:textAlignment w:val="auto"/>
        <w:rPr>
          <w:rFonts w:hint="eastAsia" w:ascii="宋体" w:hAnsi="宋体" w:eastAsia="宋体" w:cs="宋体"/>
          <w:color w:val="auto"/>
          <w:szCs w:val="24"/>
          <w:highlight w:val="none"/>
        </w:rPr>
      </w:pPr>
      <w:r>
        <w:rPr>
          <w:rFonts w:hint="eastAsia" w:ascii="宋体" w:hAnsi="宋体" w:eastAsia="宋体" w:cs="宋体"/>
          <w:color w:val="auto"/>
          <w:szCs w:val="24"/>
          <w:highlight w:val="none"/>
        </w:rPr>
        <w:t>5.2.3承包人应避免发包人因施工工人追索劳务费或工程款而将发包人诉至法庭或仲裁庭，否则一切责任由承包人承担，所发生的所有费用（包括但不限于诉讼费、调查费、律师费、赔偿费、违约金等）全部由承包人承担，发包人有权将此等费用从任何应支付的工程款中扣除或没收履约保函中的相应金额。</w:t>
      </w:r>
    </w:p>
    <w:p w14:paraId="77934F5F">
      <w:pPr>
        <w:pageBreakBefore w:val="0"/>
        <w:kinsoku/>
        <w:overflowPunct/>
        <w:topLinePunct w:val="0"/>
        <w:bidi w:val="0"/>
        <w:spacing w:line="440" w:lineRule="exact"/>
        <w:ind w:firstLine="480" w:firstLineChars="200"/>
        <w:textAlignment w:val="auto"/>
        <w:rPr>
          <w:rFonts w:hint="eastAsia" w:ascii="宋体" w:hAnsi="宋体" w:eastAsia="宋体" w:cs="宋体"/>
          <w:color w:val="auto"/>
          <w:szCs w:val="24"/>
          <w:highlight w:val="none"/>
        </w:rPr>
      </w:pPr>
      <w:r>
        <w:rPr>
          <w:rFonts w:hint="eastAsia" w:ascii="宋体" w:hAnsi="宋体" w:eastAsia="宋体" w:cs="宋体"/>
          <w:color w:val="auto"/>
          <w:szCs w:val="24"/>
          <w:highlight w:val="none"/>
        </w:rPr>
        <w:t>5.2.4如果现场工程师需要了解承包人在现场的管理人员和各种劳务工种操作人员情况，以及工程师要求的有关承包人机械设备、主要施工机具、周转材料等的详细资料。</w:t>
      </w:r>
      <w:r>
        <w:rPr>
          <w:rFonts w:hint="eastAsia" w:hAnsi="宋体" w:eastAsia="宋体" w:cs="宋体"/>
          <w:color w:val="auto"/>
          <w:szCs w:val="24"/>
          <w:highlight w:val="none"/>
          <w:lang w:eastAsia="zh-CN"/>
        </w:rPr>
        <w:t>承包人</w:t>
      </w:r>
      <w:r>
        <w:rPr>
          <w:rFonts w:hint="eastAsia" w:ascii="宋体" w:hAnsi="宋体" w:eastAsia="宋体" w:cs="宋体"/>
          <w:color w:val="auto"/>
          <w:szCs w:val="24"/>
          <w:highlight w:val="none"/>
        </w:rPr>
        <w:t>应向工程师提交一份详细的统计表，其格式和提交的间隔时间应符合工程师的规定。</w:t>
      </w:r>
    </w:p>
    <w:p w14:paraId="23D1213E">
      <w:pPr>
        <w:pageBreakBefore w:val="0"/>
        <w:kinsoku/>
        <w:overflowPunct/>
        <w:topLinePunct w:val="0"/>
        <w:bidi w:val="0"/>
        <w:spacing w:line="440" w:lineRule="exact"/>
        <w:ind w:firstLine="482" w:firstLineChars="200"/>
        <w:textAlignment w:val="auto"/>
        <w:rPr>
          <w:rFonts w:hint="eastAsia" w:ascii="宋体" w:hAnsi="宋体" w:eastAsia="宋体" w:cs="宋体"/>
          <w:b/>
          <w:bCs/>
          <w:color w:val="auto"/>
          <w:szCs w:val="24"/>
          <w:highlight w:val="none"/>
        </w:rPr>
      </w:pPr>
      <w:r>
        <w:rPr>
          <w:rFonts w:hint="eastAsia" w:ascii="宋体" w:hAnsi="宋体" w:eastAsia="宋体" w:cs="宋体"/>
          <w:b/>
          <w:bCs/>
          <w:color w:val="auto"/>
          <w:szCs w:val="24"/>
          <w:highlight w:val="none"/>
        </w:rPr>
        <w:t>5.3施工准备工作</w:t>
      </w:r>
    </w:p>
    <w:p w14:paraId="0E8E867C">
      <w:pPr>
        <w:pageBreakBefore w:val="0"/>
        <w:kinsoku/>
        <w:overflowPunct/>
        <w:topLinePunct w:val="0"/>
        <w:bidi w:val="0"/>
        <w:spacing w:line="440" w:lineRule="exact"/>
        <w:ind w:firstLine="480" w:firstLineChars="200"/>
        <w:textAlignment w:val="auto"/>
        <w:rPr>
          <w:rFonts w:hint="eastAsia" w:ascii="宋体" w:hAnsi="宋体" w:eastAsia="宋体" w:cs="宋体"/>
          <w:color w:val="auto"/>
          <w:szCs w:val="24"/>
          <w:highlight w:val="none"/>
        </w:rPr>
      </w:pPr>
      <w:r>
        <w:rPr>
          <w:rFonts w:hint="eastAsia" w:ascii="宋体" w:hAnsi="宋体" w:eastAsia="宋体" w:cs="宋体"/>
          <w:color w:val="auto"/>
          <w:szCs w:val="24"/>
          <w:highlight w:val="none"/>
        </w:rPr>
        <w:t>5.3.1承包人应充分认识到本工程的特殊性和复杂性，施工前应切实做好各项准备工作，包括但不限于以下（1）、</w:t>
      </w:r>
      <w:r>
        <w:rPr>
          <w:rFonts w:hint="eastAsia" w:hAnsi="宋体" w:eastAsia="宋体" w:cs="宋体"/>
          <w:color w:val="auto"/>
          <w:szCs w:val="24"/>
          <w:highlight w:val="none"/>
          <w:lang w:eastAsia="zh-CN"/>
        </w:rPr>
        <w:t>（2）</w:t>
      </w:r>
      <w:r>
        <w:rPr>
          <w:rFonts w:hint="eastAsia" w:ascii="宋体" w:hAnsi="宋体" w:eastAsia="宋体" w:cs="宋体"/>
          <w:color w:val="auto"/>
          <w:szCs w:val="24"/>
          <w:highlight w:val="none"/>
        </w:rPr>
        <w:t>（3）的内容：</w:t>
      </w:r>
    </w:p>
    <w:p w14:paraId="2E6562AD">
      <w:pPr>
        <w:pageBreakBefore w:val="0"/>
        <w:kinsoku/>
        <w:overflowPunct/>
        <w:topLinePunct w:val="0"/>
        <w:bidi w:val="0"/>
        <w:spacing w:line="440" w:lineRule="exact"/>
        <w:textAlignment w:val="auto"/>
        <w:rPr>
          <w:rFonts w:hint="eastAsia" w:ascii="宋体" w:hAnsi="宋体" w:eastAsia="宋体" w:cs="宋体"/>
          <w:color w:val="auto"/>
          <w:szCs w:val="24"/>
          <w:highlight w:val="none"/>
        </w:rPr>
      </w:pPr>
      <w:r>
        <w:rPr>
          <w:rFonts w:hint="eastAsia" w:ascii="宋体" w:hAnsi="宋体" w:eastAsia="宋体" w:cs="宋体"/>
          <w:color w:val="auto"/>
          <w:szCs w:val="24"/>
          <w:highlight w:val="none"/>
        </w:rPr>
        <w:t xml:space="preserve">   （1）必须按要求完成临时设施建设和现场指挥部建设。</w:t>
      </w:r>
    </w:p>
    <w:p w14:paraId="39F9D16B">
      <w:pPr>
        <w:pageBreakBefore w:val="0"/>
        <w:kinsoku/>
        <w:overflowPunct/>
        <w:topLinePunct w:val="0"/>
        <w:bidi w:val="0"/>
        <w:spacing w:line="440" w:lineRule="exact"/>
        <w:textAlignment w:val="auto"/>
        <w:rPr>
          <w:rFonts w:hint="eastAsia" w:ascii="宋体" w:hAnsi="宋体" w:eastAsia="宋体" w:cs="宋体"/>
          <w:color w:val="auto"/>
          <w:szCs w:val="24"/>
          <w:highlight w:val="none"/>
        </w:rPr>
      </w:pPr>
      <w:r>
        <w:rPr>
          <w:rFonts w:hint="eastAsia" w:ascii="宋体" w:hAnsi="宋体" w:eastAsia="宋体" w:cs="宋体"/>
          <w:color w:val="auto"/>
          <w:szCs w:val="24"/>
          <w:highlight w:val="none"/>
        </w:rPr>
        <w:t xml:space="preserve">   （2）按照相关规定及发包人要求做好现场申报、宣传、走访、排查和解释工作。</w:t>
      </w:r>
    </w:p>
    <w:p w14:paraId="4EDC2E4A">
      <w:pPr>
        <w:pageBreakBefore w:val="0"/>
        <w:kinsoku/>
        <w:overflowPunct/>
        <w:topLinePunct w:val="0"/>
        <w:bidi w:val="0"/>
        <w:spacing w:line="440" w:lineRule="exact"/>
        <w:textAlignment w:val="auto"/>
        <w:rPr>
          <w:rFonts w:hint="eastAsia" w:ascii="宋体" w:hAnsi="宋体" w:eastAsia="宋体" w:cs="宋体"/>
          <w:color w:val="auto"/>
          <w:szCs w:val="24"/>
          <w:highlight w:val="none"/>
        </w:rPr>
      </w:pPr>
      <w:r>
        <w:rPr>
          <w:rFonts w:hint="eastAsia" w:ascii="宋体" w:hAnsi="宋体" w:eastAsia="宋体" w:cs="宋体"/>
          <w:color w:val="auto"/>
          <w:szCs w:val="24"/>
          <w:highlight w:val="none"/>
        </w:rPr>
        <w:t xml:space="preserve">   （3）根据现场实际环境，做好防火、防盗、防坠落等各项措施，排除安全隐患，确保施工期间施工的安全。</w:t>
      </w:r>
    </w:p>
    <w:p w14:paraId="2B9AD3A1">
      <w:pPr>
        <w:pageBreakBefore w:val="0"/>
        <w:kinsoku/>
        <w:overflowPunct/>
        <w:topLinePunct w:val="0"/>
        <w:bidi w:val="0"/>
        <w:spacing w:line="440" w:lineRule="exact"/>
        <w:ind w:firstLine="480" w:firstLineChars="200"/>
        <w:textAlignment w:val="auto"/>
        <w:rPr>
          <w:rFonts w:hint="eastAsia" w:ascii="宋体" w:hAnsi="宋体" w:eastAsia="宋体" w:cs="宋体"/>
          <w:color w:val="auto"/>
          <w:szCs w:val="24"/>
          <w:highlight w:val="none"/>
        </w:rPr>
      </w:pPr>
      <w:r>
        <w:rPr>
          <w:rFonts w:hint="eastAsia" w:ascii="宋体" w:hAnsi="宋体" w:eastAsia="宋体" w:cs="宋体"/>
          <w:color w:val="auto"/>
          <w:szCs w:val="24"/>
          <w:highlight w:val="none"/>
        </w:rPr>
        <w:t>5.3.2存在设计图纸疑问，必须在施工前30日提出，不得在施工时临时提出，也不得以此手段要求任何索赔，由此造成的一切损失由承包人承担。</w:t>
      </w:r>
    </w:p>
    <w:p w14:paraId="41A3C95F">
      <w:pPr>
        <w:pageBreakBefore w:val="0"/>
        <w:kinsoku/>
        <w:overflowPunct/>
        <w:topLinePunct w:val="0"/>
        <w:bidi w:val="0"/>
        <w:spacing w:line="440" w:lineRule="exact"/>
        <w:ind w:left="480" w:leftChars="200"/>
        <w:textAlignment w:val="auto"/>
        <w:rPr>
          <w:rFonts w:hint="eastAsia" w:ascii="宋体" w:hAnsi="宋体" w:eastAsia="宋体" w:cs="宋体"/>
          <w:strike/>
          <w:color w:val="auto"/>
          <w:szCs w:val="24"/>
          <w:highlight w:val="none"/>
        </w:rPr>
      </w:pPr>
      <w:r>
        <w:rPr>
          <w:rFonts w:hint="eastAsia" w:ascii="宋体" w:hAnsi="宋体" w:eastAsia="宋体" w:cs="宋体"/>
          <w:b/>
          <w:bCs/>
          <w:color w:val="auto"/>
          <w:szCs w:val="24"/>
          <w:highlight w:val="none"/>
        </w:rPr>
        <w:t>5.4工程变更</w:t>
      </w:r>
    </w:p>
    <w:p w14:paraId="68E65A3C">
      <w:pPr>
        <w:pageBreakBefore w:val="0"/>
        <w:kinsoku/>
        <w:overflowPunct/>
        <w:topLinePunct w:val="0"/>
        <w:bidi w:val="0"/>
        <w:spacing w:line="440" w:lineRule="exact"/>
        <w:ind w:firstLine="480" w:firstLineChars="200"/>
        <w:textAlignment w:val="auto"/>
        <w:rPr>
          <w:rFonts w:hint="eastAsia" w:ascii="宋体" w:hAnsi="宋体" w:eastAsia="宋体" w:cs="宋体"/>
          <w:color w:val="auto"/>
          <w:szCs w:val="24"/>
          <w:highlight w:val="none"/>
        </w:rPr>
      </w:pPr>
      <w:r>
        <w:rPr>
          <w:rFonts w:hint="eastAsia" w:ascii="宋体" w:hAnsi="宋体" w:eastAsia="宋体" w:cs="宋体"/>
          <w:color w:val="auto"/>
          <w:szCs w:val="24"/>
          <w:highlight w:val="none"/>
        </w:rPr>
        <w:t>5.4.1承包人报送的变更价款，应实事求是，不得虚报数量，增加或变更的工程内容按招标文件中约定计价办法进行计量。若其报送金额超出建设工程造价管理部门或政府审核部门审定金额15%以上的，每次承包人向发包人支付人民币伍仟（￥5000）元的违约金，并在结算中予以扣除。</w:t>
      </w:r>
    </w:p>
    <w:p w14:paraId="513EEB52">
      <w:pPr>
        <w:pageBreakBefore w:val="0"/>
        <w:kinsoku/>
        <w:overflowPunct/>
        <w:topLinePunct w:val="0"/>
        <w:bidi w:val="0"/>
        <w:spacing w:line="440" w:lineRule="exact"/>
        <w:ind w:firstLine="480" w:firstLineChars="200"/>
        <w:textAlignment w:val="auto"/>
        <w:rPr>
          <w:rFonts w:hint="eastAsia" w:ascii="宋体" w:hAnsi="宋体" w:eastAsia="宋体" w:cs="宋体"/>
          <w:color w:val="auto"/>
          <w:szCs w:val="24"/>
          <w:highlight w:val="none"/>
        </w:rPr>
      </w:pPr>
      <w:r>
        <w:rPr>
          <w:rFonts w:hint="eastAsia" w:ascii="宋体" w:hAnsi="宋体" w:eastAsia="宋体" w:cs="宋体"/>
          <w:color w:val="auto"/>
          <w:szCs w:val="24"/>
          <w:highlight w:val="none"/>
        </w:rPr>
        <w:t>5.4.2承包人应充分考虑工程设计变更带来的风险。工程变更须按政府及发包人的有关规定、审批权限和审批程序进行审批，凡未经发包人审批同意，承包人擅自实施的，一律视为无效变更，结算时发包人不予承认。</w:t>
      </w:r>
    </w:p>
    <w:p w14:paraId="6E43795C">
      <w:pPr>
        <w:pageBreakBefore w:val="0"/>
        <w:kinsoku/>
        <w:overflowPunct/>
        <w:topLinePunct w:val="0"/>
        <w:bidi w:val="0"/>
        <w:spacing w:line="440" w:lineRule="exact"/>
        <w:ind w:firstLine="482" w:firstLineChars="200"/>
        <w:textAlignment w:val="auto"/>
        <w:rPr>
          <w:rFonts w:hint="eastAsia" w:ascii="宋体" w:hAnsi="宋体" w:eastAsia="宋体" w:cs="宋体"/>
          <w:b/>
          <w:bCs/>
          <w:color w:val="auto"/>
          <w:szCs w:val="24"/>
          <w:highlight w:val="none"/>
        </w:rPr>
      </w:pPr>
      <w:r>
        <w:rPr>
          <w:rFonts w:hint="eastAsia" w:ascii="宋体" w:hAnsi="宋体" w:eastAsia="宋体" w:cs="宋体"/>
          <w:b/>
          <w:bCs/>
          <w:color w:val="auto"/>
          <w:szCs w:val="24"/>
          <w:highlight w:val="none"/>
        </w:rPr>
        <w:t>5.5工程量计量的约定：</w:t>
      </w:r>
    </w:p>
    <w:p w14:paraId="0B71586E">
      <w:pPr>
        <w:pageBreakBefore w:val="0"/>
        <w:kinsoku/>
        <w:overflowPunct/>
        <w:topLinePunct w:val="0"/>
        <w:bidi w:val="0"/>
        <w:spacing w:line="440" w:lineRule="exact"/>
        <w:ind w:firstLine="480" w:firstLineChars="200"/>
        <w:textAlignment w:val="auto"/>
        <w:rPr>
          <w:rFonts w:hint="eastAsia" w:ascii="宋体" w:hAnsi="宋体" w:eastAsia="宋体" w:cs="宋体"/>
          <w:color w:val="auto"/>
          <w:szCs w:val="24"/>
          <w:highlight w:val="none"/>
        </w:rPr>
      </w:pPr>
      <w:r>
        <w:rPr>
          <w:rFonts w:hint="eastAsia" w:ascii="宋体" w:hAnsi="宋体" w:eastAsia="宋体" w:cs="宋体"/>
          <w:color w:val="auto"/>
          <w:szCs w:val="24"/>
          <w:highlight w:val="none"/>
        </w:rPr>
        <w:t>①承包人不得自行取消施工图或清单中的任何项目，发包人根据需要取消的未施工项目，经监理工程师核实后予以扣减，相应的措施费用予以扣减。</w:t>
      </w:r>
    </w:p>
    <w:p w14:paraId="12D84992">
      <w:pPr>
        <w:pageBreakBefore w:val="0"/>
        <w:kinsoku/>
        <w:overflowPunct/>
        <w:topLinePunct w:val="0"/>
        <w:bidi w:val="0"/>
        <w:spacing w:line="440" w:lineRule="exact"/>
        <w:ind w:firstLine="480" w:firstLineChars="200"/>
        <w:textAlignment w:val="auto"/>
        <w:rPr>
          <w:rFonts w:hint="eastAsia" w:ascii="宋体" w:hAnsi="宋体" w:eastAsia="宋体" w:cs="宋体"/>
          <w:color w:val="auto"/>
          <w:szCs w:val="24"/>
          <w:highlight w:val="none"/>
        </w:rPr>
      </w:pPr>
      <w:r>
        <w:rPr>
          <w:rFonts w:hint="eastAsia" w:ascii="宋体" w:hAnsi="宋体" w:eastAsia="宋体" w:cs="宋体"/>
          <w:color w:val="auto"/>
          <w:szCs w:val="24"/>
          <w:highlight w:val="none"/>
        </w:rPr>
        <w:t>②承包人自身原因造成的返工工程量，不予计量。</w:t>
      </w:r>
    </w:p>
    <w:p w14:paraId="32207BC2">
      <w:pPr>
        <w:pageBreakBefore w:val="0"/>
        <w:kinsoku/>
        <w:overflowPunct/>
        <w:topLinePunct w:val="0"/>
        <w:bidi w:val="0"/>
        <w:spacing w:line="440" w:lineRule="exact"/>
        <w:ind w:firstLine="480" w:firstLineChars="200"/>
        <w:textAlignment w:val="auto"/>
        <w:rPr>
          <w:rFonts w:hint="eastAsia" w:ascii="宋体" w:hAnsi="宋体" w:eastAsia="宋体" w:cs="宋体"/>
          <w:color w:val="auto"/>
          <w:szCs w:val="24"/>
          <w:highlight w:val="none"/>
        </w:rPr>
      </w:pPr>
      <w:r>
        <w:rPr>
          <w:rFonts w:hint="eastAsia" w:ascii="宋体" w:hAnsi="宋体" w:eastAsia="宋体" w:cs="宋体"/>
          <w:color w:val="auto"/>
          <w:szCs w:val="24"/>
          <w:highlight w:val="none"/>
        </w:rPr>
        <w:t>③凡超出图纸范围又未经变更审批的工程量，不予计量。</w:t>
      </w:r>
    </w:p>
    <w:p w14:paraId="1344F577">
      <w:pPr>
        <w:pageBreakBefore w:val="0"/>
        <w:kinsoku/>
        <w:overflowPunct/>
        <w:topLinePunct w:val="0"/>
        <w:bidi w:val="0"/>
        <w:spacing w:line="440" w:lineRule="exact"/>
        <w:ind w:firstLine="480" w:firstLineChars="200"/>
        <w:textAlignment w:val="auto"/>
        <w:rPr>
          <w:rFonts w:hint="eastAsia" w:ascii="宋体" w:hAnsi="宋体" w:eastAsia="宋体" w:cs="宋体"/>
          <w:color w:val="auto"/>
          <w:szCs w:val="24"/>
          <w:highlight w:val="none"/>
        </w:rPr>
      </w:pPr>
      <w:r>
        <w:rPr>
          <w:rFonts w:hint="eastAsia" w:ascii="宋体" w:hAnsi="宋体" w:eastAsia="宋体" w:cs="宋体"/>
          <w:color w:val="auto"/>
          <w:szCs w:val="24"/>
          <w:highlight w:val="none"/>
        </w:rPr>
        <w:t>④不符合工程质量标准的工程量，不予计量。</w:t>
      </w:r>
    </w:p>
    <w:p w14:paraId="4F29C36A">
      <w:pPr>
        <w:pageBreakBefore w:val="0"/>
        <w:kinsoku/>
        <w:overflowPunct/>
        <w:topLinePunct w:val="0"/>
        <w:bidi w:val="0"/>
        <w:spacing w:line="440" w:lineRule="exact"/>
        <w:ind w:firstLine="480" w:firstLineChars="200"/>
        <w:textAlignment w:val="auto"/>
        <w:rPr>
          <w:rFonts w:hint="eastAsia" w:ascii="宋体" w:hAnsi="宋体" w:eastAsia="宋体" w:cs="宋体"/>
          <w:color w:val="auto"/>
          <w:szCs w:val="24"/>
          <w:highlight w:val="none"/>
        </w:rPr>
      </w:pPr>
      <w:r>
        <w:rPr>
          <w:rFonts w:hint="eastAsia" w:ascii="宋体" w:hAnsi="宋体" w:eastAsia="宋体" w:cs="宋体"/>
          <w:color w:val="auto"/>
          <w:szCs w:val="24"/>
          <w:highlight w:val="none"/>
        </w:rPr>
        <w:t>⑤发包人书面通知承包人取消的工程量，不予计量。</w:t>
      </w:r>
    </w:p>
    <w:p w14:paraId="344EF62E">
      <w:pPr>
        <w:pStyle w:val="32"/>
        <w:keepNext w:val="0"/>
        <w:keepLines w:val="0"/>
        <w:pageBreakBefore w:val="0"/>
        <w:widowControl w:val="0"/>
        <w:kinsoku/>
        <w:wordWrap/>
        <w:overflowPunct/>
        <w:topLinePunct w:val="0"/>
        <w:autoSpaceDE/>
        <w:autoSpaceDN/>
        <w:bidi w:val="0"/>
        <w:adjustRightInd/>
        <w:snapToGrid/>
        <w:spacing w:line="440" w:lineRule="exact"/>
        <w:ind w:firstLine="480" w:firstLineChars="200"/>
        <w:jc w:val="left"/>
        <w:textAlignment w:val="auto"/>
        <w:rPr>
          <w:rFonts w:hint="eastAsia" w:ascii="宋体" w:hAnsi="宋体" w:eastAsia="宋体" w:cs="宋体"/>
          <w:b w:val="0"/>
          <w:bCs/>
          <w:snapToGrid w:val="0"/>
          <w:color w:val="auto"/>
          <w:kern w:val="0"/>
          <w:sz w:val="24"/>
          <w:highlight w:val="none"/>
        </w:rPr>
      </w:pPr>
      <w:r>
        <w:rPr>
          <w:rFonts w:hint="eastAsia" w:ascii="宋体" w:hAnsi="宋体" w:eastAsia="宋体" w:cs="宋体"/>
          <w:b w:val="0"/>
          <w:bCs/>
          <w:snapToGrid w:val="0"/>
          <w:color w:val="auto"/>
          <w:kern w:val="0"/>
          <w:sz w:val="24"/>
          <w:highlight w:val="none"/>
        </w:rPr>
        <w:t>承包人编制的工程量预算清单中的综合单价为按技术规范与技术要求完成一个规定计量单位的工程所需的人工费、材料费、机械使用费、管理费、利润并考虑风险因素。按技术规范、招标文件、设计图纸、国标《建设工程工程量清单计价规范》、省市现行计价规程等要求为完成一个规定计量单位的工程量所需的其他一切费用，承包人不得以综合单价和措施费所含工作内容缺漏项为由，向发包人提出任何变更工程价款的要求。</w:t>
      </w:r>
    </w:p>
    <w:p w14:paraId="0BDD0E5F">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宋体" w:hAnsi="宋体" w:eastAsia="宋体" w:cs="宋体"/>
          <w:b/>
          <w:bCs/>
          <w:color w:val="auto"/>
          <w:szCs w:val="24"/>
          <w:highlight w:val="none"/>
          <w:u w:val="single"/>
        </w:rPr>
      </w:pPr>
      <w:r>
        <w:rPr>
          <w:rFonts w:hint="eastAsia" w:ascii="宋体" w:hAnsi="宋体" w:eastAsia="宋体" w:cs="宋体"/>
          <w:b w:val="0"/>
          <w:bCs/>
          <w:snapToGrid w:val="0"/>
          <w:color w:val="auto"/>
          <w:kern w:val="0"/>
          <w:sz w:val="24"/>
          <w:highlight w:val="none"/>
          <w:lang w:val="en-US" w:eastAsia="zh-CN"/>
        </w:rPr>
        <w:t xml:space="preserve">    </w:t>
      </w:r>
      <w:r>
        <w:rPr>
          <w:rFonts w:hint="eastAsia" w:ascii="宋体" w:hAnsi="宋体" w:eastAsia="宋体" w:cs="宋体"/>
          <w:b/>
          <w:bCs/>
          <w:color w:val="auto"/>
          <w:szCs w:val="24"/>
          <w:highlight w:val="none"/>
        </w:rPr>
        <w:t>5.6承包人对专业分包的总要求</w:t>
      </w:r>
    </w:p>
    <w:p w14:paraId="5E648DED">
      <w:pPr>
        <w:pageBreakBefore w:val="0"/>
        <w:kinsoku/>
        <w:overflowPunct/>
        <w:topLinePunct w:val="0"/>
        <w:bidi w:val="0"/>
        <w:adjustRightInd w:val="0"/>
        <w:snapToGrid w:val="0"/>
        <w:spacing w:beforeLines="50" w:line="440" w:lineRule="exact"/>
        <w:ind w:firstLine="480" w:firstLineChars="200"/>
        <w:textAlignment w:val="auto"/>
        <w:rPr>
          <w:rFonts w:hint="eastAsia" w:ascii="宋体" w:hAnsi="宋体" w:eastAsia="宋体" w:cs="宋体"/>
          <w:color w:val="auto"/>
          <w:szCs w:val="24"/>
          <w:highlight w:val="none"/>
        </w:rPr>
      </w:pPr>
      <w:r>
        <w:rPr>
          <w:rFonts w:hint="eastAsia" w:ascii="宋体" w:hAnsi="宋体" w:eastAsia="宋体" w:cs="宋体"/>
          <w:color w:val="auto"/>
          <w:szCs w:val="24"/>
          <w:highlight w:val="none"/>
        </w:rPr>
        <w:t>5.6.1承包人对本工程所有分包人的管理费和相互间的配合费用由承包人与分包人自行商定，已含在承包人的投标报价中，发包人不予任何补偿。承包人承担全部管理、组织、协调和配合工作。</w:t>
      </w:r>
    </w:p>
    <w:p w14:paraId="6437E620">
      <w:pPr>
        <w:pageBreakBefore w:val="0"/>
        <w:kinsoku/>
        <w:overflowPunct/>
        <w:topLinePunct w:val="0"/>
        <w:bidi w:val="0"/>
        <w:spacing w:line="440" w:lineRule="exact"/>
        <w:ind w:firstLine="495"/>
        <w:textAlignment w:val="auto"/>
        <w:rPr>
          <w:rFonts w:hint="eastAsia" w:ascii="宋体" w:hAnsi="宋体" w:eastAsia="宋体" w:cs="宋体"/>
          <w:color w:val="auto"/>
          <w:szCs w:val="24"/>
          <w:highlight w:val="none"/>
        </w:rPr>
      </w:pPr>
      <w:r>
        <w:rPr>
          <w:rFonts w:hint="eastAsia" w:ascii="宋体" w:hAnsi="宋体" w:eastAsia="宋体" w:cs="宋体"/>
          <w:color w:val="auto"/>
          <w:szCs w:val="24"/>
          <w:highlight w:val="none"/>
        </w:rPr>
        <w:t>5.6.2若承包人的施工承包资质缺少本工程的专业承包资质，应按照有关规定事先报发包人和监理工程师审查并取得发包人批准后分包给具有相应资质的专业承包人（如果分包工程按规定需要进行招标的，由承包人在建设交易中心自行组织），由此产生的一切分包费用、配合费、招标费用以及其他可能存在风险所产生的费用都含在合同价中。承包人因上述情况提出的任何索赔或工期延长申请将不获批准。若承包人在施工过程中由于自身缺少本工程要求的专业承包资质，而又不能按规定时间发包给具有资质的专业承包企业或者分包企业不能按照设计要求实施专业工程的，由此造成工期延误，每延误1天承包人向发包人支付违约金3万元；给发包人造成质量损失的，承包人负责赔偿，同时发包人有权从合同价中按分包工程的审定预算价扣除，并委托其他施工单位实施，承包人须无条件与分包人签订合同。</w:t>
      </w:r>
    </w:p>
    <w:p w14:paraId="1EC9DDE5">
      <w:pPr>
        <w:pageBreakBefore w:val="0"/>
        <w:kinsoku/>
        <w:overflowPunct/>
        <w:topLinePunct w:val="0"/>
        <w:bidi w:val="0"/>
        <w:spacing w:line="440" w:lineRule="exact"/>
        <w:ind w:firstLine="480" w:firstLineChars="200"/>
        <w:textAlignment w:val="auto"/>
        <w:rPr>
          <w:rFonts w:hint="eastAsia" w:ascii="宋体" w:hAnsi="宋体" w:eastAsia="宋体" w:cs="宋体"/>
          <w:color w:val="auto"/>
          <w:szCs w:val="24"/>
          <w:highlight w:val="none"/>
        </w:rPr>
      </w:pPr>
      <w:r>
        <w:rPr>
          <w:rFonts w:hint="eastAsia" w:ascii="宋体" w:hAnsi="宋体" w:eastAsia="宋体" w:cs="宋体"/>
          <w:color w:val="auto"/>
          <w:szCs w:val="24"/>
          <w:highlight w:val="none"/>
        </w:rPr>
        <w:t>5.6.3若同一分包工程的分包申请被否定二次，发包人有权就该分包工程采用单独招标形式确定分包人或直接指定分包人，承包人须无条件与分包人签订合同，并不得收取任何费用。同时发包人有权从合同价中按分包工程的审定预算价扣除，并委托其他施工单位实施，承包人须无条件与分包人签订合同。同时由此造成工期延误，每延误1天承包人向发包人支付违约金3万元；给发包人造成质量损失的，承包人负责赔偿。</w:t>
      </w:r>
    </w:p>
    <w:p w14:paraId="6DA608D7">
      <w:pPr>
        <w:pageBreakBefore w:val="0"/>
        <w:kinsoku/>
        <w:overflowPunct/>
        <w:topLinePunct w:val="0"/>
        <w:bidi w:val="0"/>
        <w:spacing w:line="440" w:lineRule="exact"/>
        <w:ind w:firstLine="480" w:firstLineChars="200"/>
        <w:textAlignment w:val="auto"/>
        <w:rPr>
          <w:rFonts w:hint="eastAsia" w:ascii="宋体" w:hAnsi="宋体" w:eastAsia="宋体" w:cs="宋体"/>
          <w:color w:val="auto"/>
          <w:szCs w:val="24"/>
          <w:highlight w:val="none"/>
        </w:rPr>
      </w:pPr>
      <w:r>
        <w:rPr>
          <w:rFonts w:hint="eastAsia" w:ascii="宋体" w:hAnsi="宋体" w:eastAsia="宋体" w:cs="宋体"/>
          <w:color w:val="auto"/>
          <w:szCs w:val="24"/>
          <w:highlight w:val="none"/>
        </w:rPr>
        <w:t>5.6.4经工程师、发包人认可，承包人与分包人签订分包合同后的5天内，承包人必须将分包合同等相关资料按规定送建设行政主管部门及其他相关管理部门备案，分包合同与本施工合同发生抵触，以本施工合同为准。承包人对分包合同承担连带责任。分包合同不解除承包人任何义务与责任，承包人在分包现场应派驻监督管理人员，保证合同的履行。分包人的任何违约或疏忽，均视为承包人违约或疏忽。</w:t>
      </w:r>
    </w:p>
    <w:p w14:paraId="3BE5E863">
      <w:pPr>
        <w:pageBreakBefore w:val="0"/>
        <w:kinsoku/>
        <w:overflowPunct/>
        <w:topLinePunct w:val="0"/>
        <w:bidi w:val="0"/>
        <w:adjustRightInd w:val="0"/>
        <w:snapToGrid w:val="0"/>
        <w:spacing w:line="440" w:lineRule="exact"/>
        <w:ind w:firstLine="600" w:firstLineChars="250"/>
        <w:textAlignment w:val="auto"/>
        <w:rPr>
          <w:rFonts w:hint="eastAsia" w:ascii="宋体" w:hAnsi="宋体" w:eastAsia="宋体" w:cs="宋体"/>
          <w:color w:val="auto"/>
          <w:szCs w:val="24"/>
          <w:highlight w:val="none"/>
        </w:rPr>
      </w:pPr>
      <w:r>
        <w:rPr>
          <w:rFonts w:hint="eastAsia" w:ascii="宋体" w:hAnsi="宋体" w:eastAsia="宋体" w:cs="宋体"/>
          <w:color w:val="auto"/>
          <w:szCs w:val="24"/>
          <w:highlight w:val="none"/>
        </w:rPr>
        <w:t>5.6.5若发包人和监理均认定承包人有未经发包人同意的分包行为（无须承包人认可，除非承包人在发包人发出通知后3天内提出有效举证），发包人有权勒令其停工、驱逐出现场等，由此造成的损失均由承包人承担，同时承包人向发包人支付违约金30万元/次。发包人有权提请建设行政主管部门对其作不良行为记录，有权给予承包人履约评价为不合格，同时发包人有权拒绝承包人3年内参加发包人</w:t>
      </w:r>
      <w:r>
        <w:rPr>
          <w:rFonts w:hint="eastAsia" w:hAnsi="宋体" w:eastAsia="宋体" w:cs="宋体"/>
          <w:color w:val="auto"/>
          <w:szCs w:val="24"/>
          <w:highlight w:val="none"/>
          <w:lang w:eastAsia="zh-CN"/>
        </w:rPr>
        <w:t>其他</w:t>
      </w:r>
      <w:r>
        <w:rPr>
          <w:rFonts w:hint="eastAsia" w:ascii="宋体" w:hAnsi="宋体" w:eastAsia="宋体" w:cs="宋体"/>
          <w:color w:val="auto"/>
          <w:szCs w:val="24"/>
          <w:highlight w:val="none"/>
        </w:rPr>
        <w:t xml:space="preserve">工程的投标。 </w:t>
      </w:r>
    </w:p>
    <w:p w14:paraId="10EF14B4">
      <w:pPr>
        <w:pageBreakBefore w:val="0"/>
        <w:kinsoku/>
        <w:overflowPunct/>
        <w:topLinePunct w:val="0"/>
        <w:bidi w:val="0"/>
        <w:adjustRightInd w:val="0"/>
        <w:snapToGrid w:val="0"/>
        <w:spacing w:line="440" w:lineRule="exact"/>
        <w:ind w:firstLine="482" w:firstLineChars="200"/>
        <w:textAlignment w:val="auto"/>
        <w:rPr>
          <w:rFonts w:hint="eastAsia" w:ascii="宋体" w:hAnsi="宋体" w:eastAsia="宋体" w:cs="宋体"/>
          <w:b/>
          <w:bCs/>
          <w:color w:val="auto"/>
          <w:szCs w:val="24"/>
          <w:highlight w:val="none"/>
        </w:rPr>
      </w:pPr>
      <w:r>
        <w:rPr>
          <w:rFonts w:hint="eastAsia" w:ascii="宋体" w:hAnsi="宋体" w:eastAsia="宋体" w:cs="宋体"/>
          <w:b/>
          <w:bCs/>
          <w:color w:val="auto"/>
          <w:szCs w:val="24"/>
          <w:highlight w:val="none"/>
        </w:rPr>
        <w:t>5.7 措施项目</w:t>
      </w:r>
    </w:p>
    <w:p w14:paraId="77E344E2">
      <w:pPr>
        <w:pageBreakBefore w:val="0"/>
        <w:kinsoku/>
        <w:overflowPunct/>
        <w:topLinePunct w:val="0"/>
        <w:bidi w:val="0"/>
        <w:spacing w:line="440" w:lineRule="exact"/>
        <w:ind w:firstLine="480" w:firstLineChars="200"/>
        <w:textAlignment w:val="auto"/>
        <w:rPr>
          <w:rFonts w:hint="eastAsia" w:ascii="宋体" w:hAnsi="宋体" w:eastAsia="宋体" w:cs="宋体"/>
          <w:color w:val="auto"/>
          <w:szCs w:val="24"/>
          <w:highlight w:val="none"/>
        </w:rPr>
      </w:pPr>
      <w:r>
        <w:rPr>
          <w:rFonts w:hint="eastAsia" w:ascii="宋体" w:hAnsi="宋体" w:eastAsia="宋体" w:cs="宋体"/>
          <w:color w:val="auto"/>
          <w:szCs w:val="24"/>
          <w:highlight w:val="none"/>
        </w:rPr>
        <w:t>5.7.1现场安全文明设计必须满足国家、省市相关的要求，除此之外，尚应满足如下要求：</w:t>
      </w:r>
    </w:p>
    <w:p w14:paraId="34D243C0">
      <w:pPr>
        <w:pageBreakBefore w:val="0"/>
        <w:numPr>
          <w:ilvl w:val="0"/>
          <w:numId w:val="5"/>
        </w:numPr>
        <w:kinsoku/>
        <w:overflowPunct/>
        <w:topLinePunct w:val="0"/>
        <w:bidi w:val="0"/>
        <w:spacing w:line="440" w:lineRule="exact"/>
        <w:ind w:firstLine="480" w:firstLineChars="200"/>
        <w:textAlignment w:val="auto"/>
        <w:rPr>
          <w:rFonts w:hint="eastAsia" w:ascii="宋体" w:hAnsi="宋体" w:eastAsia="宋体" w:cs="宋体"/>
          <w:color w:val="auto"/>
          <w:szCs w:val="24"/>
          <w:highlight w:val="none"/>
        </w:rPr>
      </w:pPr>
      <w:r>
        <w:rPr>
          <w:rFonts w:hint="eastAsia" w:ascii="宋体" w:hAnsi="宋体" w:eastAsia="宋体" w:cs="宋体"/>
          <w:color w:val="auto"/>
          <w:szCs w:val="24"/>
          <w:highlight w:val="none"/>
        </w:rPr>
        <w:t>安全、文明、临时设施要求：</w:t>
      </w:r>
    </w:p>
    <w:p w14:paraId="32B8589C">
      <w:pPr>
        <w:pageBreakBefore w:val="0"/>
        <w:numPr>
          <w:ilvl w:val="0"/>
          <w:numId w:val="0"/>
        </w:numPr>
        <w:kinsoku/>
        <w:overflowPunct/>
        <w:topLinePunct w:val="0"/>
        <w:bidi w:val="0"/>
        <w:spacing w:line="440" w:lineRule="exact"/>
        <w:ind w:firstLine="480" w:firstLineChars="200"/>
        <w:textAlignment w:val="auto"/>
        <w:rPr>
          <w:rFonts w:hint="eastAsia" w:ascii="宋体" w:hAnsi="宋体" w:eastAsia="宋体" w:cs="宋体"/>
          <w:color w:val="auto"/>
          <w:szCs w:val="24"/>
          <w:highlight w:val="none"/>
        </w:rPr>
      </w:pPr>
      <w:r>
        <w:rPr>
          <w:rFonts w:hint="eastAsia" w:ascii="宋体" w:hAnsi="宋体" w:eastAsia="宋体" w:cs="宋体"/>
          <w:color w:val="auto"/>
          <w:szCs w:val="24"/>
          <w:highlight w:val="none"/>
        </w:rPr>
        <w:t>①主要管理人员与投标文件内填写的应一致；</w:t>
      </w:r>
    </w:p>
    <w:p w14:paraId="0E9CF798">
      <w:pPr>
        <w:pageBreakBefore w:val="0"/>
        <w:kinsoku/>
        <w:overflowPunct/>
        <w:topLinePunct w:val="0"/>
        <w:bidi w:val="0"/>
        <w:spacing w:line="440" w:lineRule="exact"/>
        <w:ind w:firstLine="480" w:firstLineChars="200"/>
        <w:textAlignment w:val="auto"/>
        <w:rPr>
          <w:rFonts w:hint="eastAsia" w:ascii="宋体" w:hAnsi="宋体" w:eastAsia="宋体" w:cs="宋体"/>
          <w:color w:val="auto"/>
          <w:szCs w:val="24"/>
          <w:highlight w:val="none"/>
        </w:rPr>
      </w:pPr>
      <w:r>
        <w:rPr>
          <w:rFonts w:hint="eastAsia" w:ascii="宋体" w:hAnsi="宋体" w:eastAsia="宋体" w:cs="宋体"/>
          <w:color w:val="auto"/>
          <w:szCs w:val="24"/>
          <w:highlight w:val="none"/>
        </w:rPr>
        <w:t>②施工现场应封闭施工。进出口要设大门、门卫和门卫制度。主进出口门头设企业标志，两侧要挂“七牌一图”，标牌应规范、整齐；</w:t>
      </w:r>
    </w:p>
    <w:p w14:paraId="2BC5502F">
      <w:pPr>
        <w:pageBreakBefore w:val="0"/>
        <w:kinsoku/>
        <w:overflowPunct/>
        <w:topLinePunct w:val="0"/>
        <w:bidi w:val="0"/>
        <w:spacing w:line="440" w:lineRule="exact"/>
        <w:ind w:firstLine="480" w:firstLineChars="200"/>
        <w:textAlignment w:val="auto"/>
        <w:rPr>
          <w:rFonts w:hint="eastAsia" w:ascii="宋体" w:hAnsi="宋体" w:eastAsia="宋体" w:cs="宋体"/>
          <w:color w:val="auto"/>
          <w:szCs w:val="24"/>
          <w:highlight w:val="none"/>
        </w:rPr>
      </w:pPr>
      <w:r>
        <w:rPr>
          <w:rFonts w:hint="eastAsia" w:ascii="宋体" w:hAnsi="宋体" w:eastAsia="宋体" w:cs="宋体"/>
          <w:color w:val="auto"/>
          <w:szCs w:val="24"/>
          <w:highlight w:val="none"/>
        </w:rPr>
        <w:t>③施工场地及生活区的所有临时道路，无污水、积水，地面要平整，路面满足施工及生活需要；排水要通畅，要有防止泥浆、污物堵塞排水管道的措施；按要求张挂各种安全标志牌和标语，设宣传栏，读报栏和黑板报并设有吸烟处；有绿化布置；</w:t>
      </w:r>
    </w:p>
    <w:p w14:paraId="5D8633B1">
      <w:pPr>
        <w:pageBreakBefore w:val="0"/>
        <w:kinsoku/>
        <w:overflowPunct/>
        <w:topLinePunct w:val="0"/>
        <w:bidi w:val="0"/>
        <w:spacing w:line="440" w:lineRule="exact"/>
        <w:ind w:firstLine="480" w:firstLineChars="200"/>
        <w:textAlignment w:val="auto"/>
        <w:rPr>
          <w:rFonts w:hint="eastAsia" w:ascii="宋体" w:hAnsi="宋体" w:eastAsia="宋体" w:cs="宋体"/>
          <w:color w:val="auto"/>
          <w:szCs w:val="24"/>
          <w:highlight w:val="none"/>
        </w:rPr>
      </w:pPr>
      <w:r>
        <w:rPr>
          <w:rFonts w:hint="eastAsia" w:ascii="宋体" w:hAnsi="宋体" w:eastAsia="宋体" w:cs="宋体"/>
          <w:color w:val="auto"/>
          <w:szCs w:val="24"/>
          <w:highlight w:val="none"/>
        </w:rPr>
        <w:t>④施工期间，承包人应随时根据现场情况对围挡进行维修和保护，确保施工界面达到韶关市和建设部有关规定的标准。为确保施工安全，防止无关人员进入现场，承包人必须对施工范围（特殊情况除外）进行全封闭围挡，并设置车辆进出口，若确因条件限制或环境要求无法实施封闭围挡，承包人应切实做好安全防护及安全通道，设置合理科学的安全警示标志。如果承包人开工后经监理工程师下达整改通知后3天内仍未按规定实施，发包人有权安排其他施工队伍进场</w:t>
      </w:r>
      <w:r>
        <w:rPr>
          <w:rFonts w:hint="eastAsia" w:hAnsi="宋体" w:eastAsia="宋体" w:cs="宋体"/>
          <w:color w:val="auto"/>
          <w:szCs w:val="24"/>
          <w:highlight w:val="none"/>
          <w:lang w:eastAsia="zh-CN"/>
        </w:rPr>
        <w:t>做好</w:t>
      </w:r>
      <w:r>
        <w:rPr>
          <w:rFonts w:hint="eastAsia" w:ascii="宋体" w:hAnsi="宋体" w:eastAsia="宋体" w:cs="宋体"/>
          <w:color w:val="auto"/>
          <w:szCs w:val="24"/>
          <w:highlight w:val="none"/>
        </w:rPr>
        <w:t>封闭围挡，相应费用从本合同总价中的现场安全文明措施费中扣除。承包人承诺按发包人制定的此条款执行，不得有任何异议；</w:t>
      </w:r>
    </w:p>
    <w:p w14:paraId="11BA77BF">
      <w:pPr>
        <w:pageBreakBefore w:val="0"/>
        <w:kinsoku/>
        <w:overflowPunct/>
        <w:topLinePunct w:val="0"/>
        <w:bidi w:val="0"/>
        <w:spacing w:line="440" w:lineRule="exact"/>
        <w:ind w:firstLine="480" w:firstLineChars="200"/>
        <w:textAlignment w:val="auto"/>
        <w:rPr>
          <w:rFonts w:hint="eastAsia" w:ascii="宋体" w:hAnsi="宋体" w:eastAsia="宋体" w:cs="宋体"/>
          <w:color w:val="auto"/>
          <w:szCs w:val="24"/>
          <w:highlight w:val="none"/>
        </w:rPr>
      </w:pPr>
      <w:r>
        <w:rPr>
          <w:rFonts w:hint="eastAsia" w:ascii="宋体" w:hAnsi="宋体" w:eastAsia="宋体" w:cs="宋体"/>
          <w:color w:val="auto"/>
          <w:szCs w:val="24"/>
          <w:highlight w:val="none"/>
        </w:rPr>
        <w:t>⑤施工场内，建筑材料、构件和料具要按施工现场平面图的布置要求堆放整齐，并挂物料名称，品种，规格等标牌，施工现场渣土和垃圾清运应当采取喷淋压尘装载；</w:t>
      </w:r>
    </w:p>
    <w:p w14:paraId="2D2E7B85">
      <w:pPr>
        <w:pageBreakBefore w:val="0"/>
        <w:kinsoku/>
        <w:overflowPunct/>
        <w:topLinePunct w:val="0"/>
        <w:bidi w:val="0"/>
        <w:spacing w:line="440" w:lineRule="exact"/>
        <w:ind w:firstLine="480" w:firstLineChars="200"/>
        <w:textAlignment w:val="auto"/>
        <w:rPr>
          <w:rFonts w:hint="eastAsia" w:ascii="宋体" w:hAnsi="宋体" w:eastAsia="宋体" w:cs="宋体"/>
          <w:color w:val="auto"/>
          <w:szCs w:val="24"/>
          <w:highlight w:val="none"/>
        </w:rPr>
      </w:pPr>
      <w:r>
        <w:rPr>
          <w:rFonts w:hint="eastAsia" w:ascii="宋体" w:hAnsi="宋体" w:eastAsia="宋体" w:cs="宋体"/>
          <w:color w:val="auto"/>
          <w:szCs w:val="24"/>
          <w:highlight w:val="none"/>
        </w:rPr>
        <w:t>⑥承包人必须按照粤建安字〔2009〕20号文件要求，在开工前按有关规定要求，编制施工组织设计和施工现场消防设施平面布置图，按规定配备合格的消防器材等，满足施工现场所需的消防措施、制度和灭火器材，灭火器材配置、消防水源所有器材和设备应合理、合格，使用明火应有动火审批手续和动火监护，所发生的费用已含合同中；</w:t>
      </w:r>
    </w:p>
    <w:p w14:paraId="1D262FD9">
      <w:pPr>
        <w:pageBreakBefore w:val="0"/>
        <w:kinsoku/>
        <w:overflowPunct/>
        <w:topLinePunct w:val="0"/>
        <w:bidi w:val="0"/>
        <w:spacing w:line="440" w:lineRule="exact"/>
        <w:ind w:firstLine="480" w:firstLineChars="200"/>
        <w:textAlignment w:val="auto"/>
        <w:rPr>
          <w:rFonts w:hint="eastAsia" w:ascii="宋体" w:hAnsi="宋体" w:eastAsia="宋体" w:cs="宋体"/>
          <w:color w:val="auto"/>
          <w:szCs w:val="24"/>
          <w:highlight w:val="none"/>
        </w:rPr>
      </w:pPr>
      <w:r>
        <w:rPr>
          <w:rFonts w:hint="eastAsia" w:ascii="宋体" w:hAnsi="宋体" w:eastAsia="宋体" w:cs="宋体"/>
          <w:color w:val="auto"/>
          <w:szCs w:val="24"/>
          <w:highlight w:val="none"/>
        </w:rPr>
        <w:t>⑦施工现场的施工区、 办公区、生活区应当分开设置，实行区划管理，临时办公和生活用房应采用轻钢板房，并要具有抗强台风的措施，确保安全；</w:t>
      </w:r>
    </w:p>
    <w:p w14:paraId="3513256A">
      <w:pPr>
        <w:pageBreakBefore w:val="0"/>
        <w:kinsoku/>
        <w:overflowPunct/>
        <w:topLinePunct w:val="0"/>
        <w:bidi w:val="0"/>
        <w:spacing w:line="440" w:lineRule="exact"/>
        <w:ind w:firstLine="480" w:firstLineChars="200"/>
        <w:textAlignment w:val="auto"/>
        <w:rPr>
          <w:rFonts w:hint="eastAsia" w:ascii="宋体" w:hAnsi="宋体" w:eastAsia="宋体" w:cs="宋体"/>
          <w:color w:val="auto"/>
          <w:szCs w:val="24"/>
          <w:highlight w:val="none"/>
        </w:rPr>
      </w:pPr>
      <w:r>
        <w:rPr>
          <w:rFonts w:hint="eastAsia" w:ascii="宋体" w:hAnsi="宋体" w:eastAsia="宋体" w:cs="宋体"/>
          <w:color w:val="auto"/>
          <w:szCs w:val="24"/>
          <w:highlight w:val="none"/>
        </w:rPr>
        <w:t>⑧工地内要配备经培训的急救人员、保健医药箱、安全急救措施和急救器材，要开展卫生、防病自救、互救宣传教育；</w:t>
      </w:r>
    </w:p>
    <w:p w14:paraId="5C76AA39">
      <w:pPr>
        <w:pageBreakBefore w:val="0"/>
        <w:kinsoku/>
        <w:overflowPunct/>
        <w:topLinePunct w:val="0"/>
        <w:bidi w:val="0"/>
        <w:spacing w:line="440" w:lineRule="exact"/>
        <w:ind w:firstLine="480" w:firstLineChars="200"/>
        <w:textAlignment w:val="auto"/>
        <w:rPr>
          <w:rFonts w:hint="eastAsia" w:ascii="宋体" w:hAnsi="宋体" w:eastAsia="宋体" w:cs="宋体"/>
          <w:color w:val="auto"/>
          <w:szCs w:val="24"/>
          <w:highlight w:val="none"/>
        </w:rPr>
      </w:pPr>
      <w:r>
        <w:rPr>
          <w:rFonts w:hint="eastAsia" w:ascii="宋体" w:hAnsi="宋体" w:eastAsia="宋体" w:cs="宋体"/>
          <w:color w:val="auto"/>
          <w:szCs w:val="24"/>
          <w:highlight w:val="none"/>
        </w:rPr>
        <w:t>⑨要建立治安保卫制度，责任要分解到人。承包人在施工过程中的施工人员应配备必要的劳动、安全保护用品并佩戴工作证，以及满足招标文件中其他相关规定。</w:t>
      </w:r>
    </w:p>
    <w:p w14:paraId="75EB5BA9">
      <w:pPr>
        <w:pageBreakBefore w:val="0"/>
        <w:numPr>
          <w:ilvl w:val="0"/>
          <w:numId w:val="5"/>
        </w:numPr>
        <w:kinsoku/>
        <w:overflowPunct/>
        <w:topLinePunct w:val="0"/>
        <w:bidi w:val="0"/>
        <w:spacing w:line="440" w:lineRule="exact"/>
        <w:ind w:firstLine="480" w:firstLineChars="200"/>
        <w:textAlignment w:val="auto"/>
        <w:rPr>
          <w:rFonts w:hint="eastAsia" w:ascii="宋体" w:hAnsi="宋体" w:eastAsia="宋体" w:cs="宋体"/>
          <w:color w:val="auto"/>
          <w:szCs w:val="24"/>
          <w:highlight w:val="none"/>
        </w:rPr>
      </w:pPr>
      <w:r>
        <w:rPr>
          <w:rFonts w:hint="eastAsia" w:ascii="宋体" w:hAnsi="宋体" w:eastAsia="宋体" w:cs="宋体"/>
          <w:color w:val="auto"/>
          <w:szCs w:val="24"/>
          <w:highlight w:val="none"/>
        </w:rPr>
        <w:t>环保要求：承包人在施工过程中必须根据环保部门和城管部门的要求采取一切可能的措施做好环境保护和水土保持工作，有效控制施工现场的各种粉尘、废气、废弃物、</w:t>
      </w:r>
      <w:r>
        <w:rPr>
          <w:rFonts w:hint="eastAsia" w:hAnsi="宋体" w:eastAsia="宋体" w:cs="宋体"/>
          <w:color w:val="auto"/>
          <w:szCs w:val="24"/>
          <w:highlight w:val="none"/>
          <w:lang w:eastAsia="zh-CN"/>
        </w:rPr>
        <w:t>噪声</w:t>
      </w:r>
      <w:r>
        <w:rPr>
          <w:rFonts w:hint="eastAsia" w:ascii="宋体" w:hAnsi="宋体" w:eastAsia="宋体" w:cs="宋体"/>
          <w:color w:val="auto"/>
          <w:szCs w:val="24"/>
          <w:highlight w:val="none"/>
        </w:rPr>
        <w:t>、振动、雨污水等对周边环境造成的污染和危害，避免对周围的管线、道路、构筑物、建筑物造成损坏，环境保护所采用的措施包括但不局限于：</w:t>
      </w:r>
    </w:p>
    <w:p w14:paraId="68BB0C1D">
      <w:pPr>
        <w:pageBreakBefore w:val="0"/>
        <w:kinsoku/>
        <w:overflowPunct/>
        <w:topLinePunct w:val="0"/>
        <w:bidi w:val="0"/>
        <w:spacing w:line="440" w:lineRule="exact"/>
        <w:ind w:firstLine="480" w:firstLineChars="200"/>
        <w:textAlignment w:val="auto"/>
        <w:rPr>
          <w:rFonts w:hint="eastAsia" w:ascii="宋体" w:hAnsi="宋体" w:eastAsia="宋体" w:cs="宋体"/>
          <w:color w:val="auto"/>
          <w:szCs w:val="24"/>
          <w:highlight w:val="none"/>
        </w:rPr>
      </w:pPr>
      <w:r>
        <w:rPr>
          <w:rFonts w:hint="eastAsia" w:ascii="宋体" w:hAnsi="宋体" w:eastAsia="宋体" w:cs="宋体"/>
          <w:color w:val="auto"/>
          <w:szCs w:val="24"/>
          <w:highlight w:val="none"/>
        </w:rPr>
        <w:t>①环境污染防治措施：禁止向周边和雨水口、河道倾倒一切废物，包括生产和生活污水、生产和生活垃圾等；生活废水要自建生活污水处理装置；生活垃圾要收集在有防雨棚和防地表径流冲刷的临时垃圾池内，及时集中、清运；堆土区表面进行覆盖；</w:t>
      </w:r>
    </w:p>
    <w:p w14:paraId="65E57378">
      <w:pPr>
        <w:pageBreakBefore w:val="0"/>
        <w:kinsoku/>
        <w:overflowPunct/>
        <w:topLinePunct w:val="0"/>
        <w:bidi w:val="0"/>
        <w:spacing w:line="440" w:lineRule="exact"/>
        <w:ind w:firstLine="480" w:firstLineChars="200"/>
        <w:textAlignment w:val="auto"/>
        <w:rPr>
          <w:rFonts w:hint="eastAsia" w:ascii="宋体" w:hAnsi="宋体" w:eastAsia="宋体" w:cs="宋体"/>
          <w:color w:val="auto"/>
          <w:szCs w:val="24"/>
          <w:highlight w:val="none"/>
        </w:rPr>
      </w:pPr>
      <w:r>
        <w:rPr>
          <w:rFonts w:hint="eastAsia" w:ascii="宋体" w:hAnsi="宋体" w:eastAsia="宋体" w:cs="宋体"/>
          <w:color w:val="auto"/>
          <w:szCs w:val="24"/>
          <w:highlight w:val="none"/>
        </w:rPr>
        <w:t>②大气污染防治措施：采用洒水湿法抑尘；重点时段防护如：对</w:t>
      </w:r>
      <w:r>
        <w:rPr>
          <w:rFonts w:hint="eastAsia" w:ascii="宋体" w:hAnsi="宋体" w:eastAsia="宋体" w:cs="宋体"/>
          <w:snapToGrid w:val="0"/>
          <w:color w:val="auto"/>
          <w:kern w:val="0"/>
          <w:szCs w:val="24"/>
          <w:highlight w:val="none"/>
        </w:rPr>
        <w:t>工地进出运输</w:t>
      </w:r>
      <w:r>
        <w:rPr>
          <w:rFonts w:hint="eastAsia" w:ascii="宋体" w:hAnsi="宋体" w:eastAsia="宋体" w:cs="宋体"/>
          <w:color w:val="auto"/>
          <w:szCs w:val="24"/>
          <w:highlight w:val="none"/>
        </w:rPr>
        <w:t>车辆进行冲洗；运送散装物料的机动车、存放散装物料的堆放场地必须用</w:t>
      </w:r>
      <w:r>
        <w:rPr>
          <w:rFonts w:hint="eastAsia" w:hAnsi="宋体" w:eastAsia="宋体" w:cs="宋体"/>
          <w:color w:val="auto"/>
          <w:szCs w:val="24"/>
          <w:highlight w:val="none"/>
          <w:lang w:eastAsia="zh-CN"/>
        </w:rPr>
        <w:t>篷布</w:t>
      </w:r>
      <w:r>
        <w:rPr>
          <w:rFonts w:hint="eastAsia" w:ascii="宋体" w:hAnsi="宋体" w:eastAsia="宋体" w:cs="宋体"/>
          <w:color w:val="auto"/>
          <w:szCs w:val="24"/>
          <w:highlight w:val="none"/>
        </w:rPr>
        <w:t>遮盖，拌和设备尽量封闭；</w:t>
      </w:r>
    </w:p>
    <w:p w14:paraId="5B5C45ED">
      <w:pPr>
        <w:pageBreakBefore w:val="0"/>
        <w:kinsoku/>
        <w:overflowPunct/>
        <w:topLinePunct w:val="0"/>
        <w:bidi w:val="0"/>
        <w:spacing w:line="440" w:lineRule="exact"/>
        <w:ind w:firstLine="480" w:firstLineChars="200"/>
        <w:textAlignment w:val="auto"/>
        <w:rPr>
          <w:rFonts w:hint="eastAsia" w:ascii="宋体" w:hAnsi="宋体" w:eastAsia="宋体" w:cs="宋体"/>
          <w:color w:val="auto"/>
          <w:szCs w:val="24"/>
          <w:highlight w:val="none"/>
        </w:rPr>
      </w:pPr>
      <w:r>
        <w:rPr>
          <w:rFonts w:hint="eastAsia" w:ascii="宋体" w:hAnsi="宋体" w:eastAsia="宋体" w:cs="宋体"/>
          <w:color w:val="auto"/>
          <w:szCs w:val="24"/>
          <w:highlight w:val="none"/>
        </w:rPr>
        <w:t>③施工噪音防护措施：施工噪音执行《建筑施工噪音标准限值》（GB12523-90）规定的有关标准，未经环保部门批准中午和夜间不得施工作业；对高噪音的施工机械或加工环节尽量安排在远离民居的地方；</w:t>
      </w:r>
    </w:p>
    <w:p w14:paraId="2EB62BBC">
      <w:pPr>
        <w:pageBreakBefore w:val="0"/>
        <w:kinsoku/>
        <w:overflowPunct/>
        <w:topLinePunct w:val="0"/>
        <w:bidi w:val="0"/>
        <w:spacing w:line="440" w:lineRule="exact"/>
        <w:ind w:firstLine="480" w:firstLineChars="200"/>
        <w:textAlignment w:val="auto"/>
        <w:rPr>
          <w:rFonts w:hint="eastAsia" w:ascii="宋体" w:hAnsi="宋体" w:eastAsia="宋体" w:cs="宋体"/>
          <w:color w:val="auto"/>
          <w:szCs w:val="24"/>
          <w:highlight w:val="none"/>
        </w:rPr>
      </w:pPr>
      <w:r>
        <w:rPr>
          <w:rFonts w:hint="eastAsia" w:ascii="宋体" w:hAnsi="宋体" w:eastAsia="宋体" w:cs="宋体"/>
          <w:color w:val="auto"/>
          <w:szCs w:val="24"/>
          <w:highlight w:val="none"/>
        </w:rPr>
        <w:fldChar w:fldCharType="begin"/>
      </w:r>
      <w:r>
        <w:rPr>
          <w:rFonts w:hint="eastAsia" w:ascii="宋体" w:hAnsi="宋体" w:eastAsia="宋体" w:cs="宋体"/>
          <w:color w:val="auto"/>
          <w:szCs w:val="24"/>
          <w:highlight w:val="none"/>
        </w:rPr>
        <w:instrText xml:space="preserve"> = 4 \* GB3 </w:instrText>
      </w:r>
      <w:r>
        <w:rPr>
          <w:rFonts w:hint="eastAsia" w:ascii="宋体" w:hAnsi="宋体" w:eastAsia="宋体" w:cs="宋体"/>
          <w:color w:val="auto"/>
          <w:szCs w:val="24"/>
          <w:highlight w:val="none"/>
        </w:rPr>
        <w:fldChar w:fldCharType="separate"/>
      </w:r>
      <w:r>
        <w:rPr>
          <w:rFonts w:hint="eastAsia" w:ascii="宋体" w:hAnsi="宋体" w:eastAsia="宋体" w:cs="宋体"/>
          <w:color w:val="auto"/>
          <w:szCs w:val="24"/>
          <w:highlight w:val="none"/>
          <w:lang w:val="zh-CN"/>
        </w:rPr>
        <w:t>④</w:t>
      </w:r>
      <w:r>
        <w:rPr>
          <w:rFonts w:hint="eastAsia" w:ascii="宋体" w:hAnsi="宋体" w:eastAsia="宋体" w:cs="宋体"/>
          <w:color w:val="auto"/>
          <w:szCs w:val="24"/>
          <w:highlight w:val="none"/>
        </w:rPr>
        <w:fldChar w:fldCharType="end"/>
      </w:r>
      <w:r>
        <w:rPr>
          <w:rFonts w:hint="eastAsia" w:ascii="宋体" w:hAnsi="宋体" w:eastAsia="宋体" w:cs="宋体"/>
          <w:color w:val="auto"/>
          <w:szCs w:val="24"/>
          <w:highlight w:val="none"/>
        </w:rPr>
        <w:t>针对固体废物可能产生的多种环境影响，须采取必要的措施分类收集，运至指定</w:t>
      </w:r>
      <w:r>
        <w:rPr>
          <w:rFonts w:hint="eastAsia" w:hAnsi="宋体" w:eastAsia="宋体" w:cs="宋体"/>
          <w:color w:val="auto"/>
          <w:szCs w:val="24"/>
          <w:highlight w:val="none"/>
          <w:lang w:eastAsia="zh-CN"/>
        </w:rPr>
        <w:t>地点</w:t>
      </w:r>
      <w:r>
        <w:rPr>
          <w:rFonts w:hint="eastAsia" w:ascii="宋体" w:hAnsi="宋体" w:eastAsia="宋体" w:cs="宋体"/>
          <w:color w:val="auto"/>
          <w:szCs w:val="24"/>
          <w:highlight w:val="none"/>
        </w:rPr>
        <w:t>按规定进行处理；</w:t>
      </w:r>
    </w:p>
    <w:p w14:paraId="1D2C0793">
      <w:pPr>
        <w:pageBreakBefore w:val="0"/>
        <w:kinsoku/>
        <w:overflowPunct/>
        <w:topLinePunct w:val="0"/>
        <w:bidi w:val="0"/>
        <w:spacing w:line="440" w:lineRule="exact"/>
        <w:ind w:firstLine="480" w:firstLineChars="200"/>
        <w:textAlignment w:val="auto"/>
        <w:rPr>
          <w:rFonts w:hint="eastAsia" w:ascii="宋体" w:hAnsi="宋体" w:eastAsia="宋体" w:cs="宋体"/>
          <w:color w:val="auto"/>
          <w:szCs w:val="24"/>
          <w:highlight w:val="none"/>
        </w:rPr>
      </w:pPr>
      <w:r>
        <w:rPr>
          <w:rFonts w:hint="eastAsia" w:ascii="宋体" w:hAnsi="宋体" w:eastAsia="宋体" w:cs="宋体"/>
          <w:color w:val="auto"/>
          <w:szCs w:val="24"/>
          <w:highlight w:val="none"/>
        </w:rPr>
        <w:fldChar w:fldCharType="begin"/>
      </w:r>
      <w:r>
        <w:rPr>
          <w:rFonts w:hint="eastAsia" w:ascii="宋体" w:hAnsi="宋体" w:eastAsia="宋体" w:cs="宋体"/>
          <w:color w:val="auto"/>
          <w:szCs w:val="24"/>
          <w:highlight w:val="none"/>
        </w:rPr>
        <w:instrText xml:space="preserve"> = 5 \* GB3 </w:instrText>
      </w:r>
      <w:r>
        <w:rPr>
          <w:rFonts w:hint="eastAsia" w:ascii="宋体" w:hAnsi="宋体" w:eastAsia="宋体" w:cs="宋体"/>
          <w:color w:val="auto"/>
          <w:szCs w:val="24"/>
          <w:highlight w:val="none"/>
        </w:rPr>
        <w:fldChar w:fldCharType="separate"/>
      </w:r>
      <w:r>
        <w:rPr>
          <w:rFonts w:hint="eastAsia" w:ascii="宋体" w:hAnsi="宋体" w:eastAsia="宋体" w:cs="宋体"/>
          <w:color w:val="auto"/>
          <w:szCs w:val="24"/>
          <w:highlight w:val="none"/>
          <w:lang w:val="zh-CN"/>
        </w:rPr>
        <w:t>⑤</w:t>
      </w:r>
      <w:r>
        <w:rPr>
          <w:rFonts w:hint="eastAsia" w:ascii="宋体" w:hAnsi="宋体" w:eastAsia="宋体" w:cs="宋体"/>
          <w:color w:val="auto"/>
          <w:szCs w:val="24"/>
          <w:highlight w:val="none"/>
        </w:rPr>
        <w:fldChar w:fldCharType="end"/>
      </w:r>
      <w:r>
        <w:rPr>
          <w:rFonts w:hint="eastAsia" w:ascii="宋体" w:hAnsi="宋体" w:eastAsia="宋体" w:cs="宋体"/>
          <w:color w:val="auto"/>
          <w:szCs w:val="24"/>
          <w:highlight w:val="none"/>
        </w:rPr>
        <w:t>制定建筑废弃物管理计划，达到绿色安全文明施工的要求；</w:t>
      </w:r>
    </w:p>
    <w:p w14:paraId="7D27789C">
      <w:pPr>
        <w:pageBreakBefore w:val="0"/>
        <w:kinsoku/>
        <w:overflowPunct/>
        <w:topLinePunct w:val="0"/>
        <w:bidi w:val="0"/>
        <w:spacing w:line="440" w:lineRule="exact"/>
        <w:ind w:firstLine="480" w:firstLineChars="200"/>
        <w:textAlignment w:val="auto"/>
        <w:rPr>
          <w:rFonts w:hint="eastAsia" w:ascii="宋体" w:hAnsi="宋体" w:eastAsia="宋体" w:cs="宋体"/>
          <w:color w:val="auto"/>
          <w:szCs w:val="24"/>
          <w:highlight w:val="none"/>
        </w:rPr>
      </w:pPr>
      <w:r>
        <w:rPr>
          <w:rFonts w:hint="eastAsia" w:ascii="宋体" w:hAnsi="宋体" w:eastAsia="宋体" w:cs="宋体"/>
          <w:color w:val="auto"/>
          <w:szCs w:val="24"/>
          <w:highlight w:val="none"/>
        </w:rPr>
        <w:fldChar w:fldCharType="begin"/>
      </w:r>
      <w:r>
        <w:rPr>
          <w:rFonts w:hint="eastAsia" w:ascii="宋体" w:hAnsi="宋体" w:eastAsia="宋体" w:cs="宋体"/>
          <w:color w:val="auto"/>
          <w:szCs w:val="24"/>
          <w:highlight w:val="none"/>
        </w:rPr>
        <w:instrText xml:space="preserve"> = 6 \* GB3 </w:instrText>
      </w:r>
      <w:r>
        <w:rPr>
          <w:rFonts w:hint="eastAsia" w:ascii="宋体" w:hAnsi="宋体" w:eastAsia="宋体" w:cs="宋体"/>
          <w:color w:val="auto"/>
          <w:szCs w:val="24"/>
          <w:highlight w:val="none"/>
        </w:rPr>
        <w:fldChar w:fldCharType="separate"/>
      </w:r>
      <w:r>
        <w:rPr>
          <w:rFonts w:hint="eastAsia" w:ascii="宋体" w:hAnsi="宋体" w:eastAsia="宋体" w:cs="宋体"/>
          <w:color w:val="auto"/>
          <w:szCs w:val="24"/>
          <w:highlight w:val="none"/>
          <w:lang w:val="zh-CN"/>
        </w:rPr>
        <w:t>⑥</w:t>
      </w:r>
      <w:r>
        <w:rPr>
          <w:rFonts w:hint="eastAsia" w:ascii="宋体" w:hAnsi="宋体" w:eastAsia="宋体" w:cs="宋体"/>
          <w:color w:val="auto"/>
          <w:szCs w:val="24"/>
          <w:highlight w:val="none"/>
        </w:rPr>
        <w:fldChar w:fldCharType="end"/>
      </w:r>
      <w:r>
        <w:rPr>
          <w:rFonts w:hint="eastAsia" w:ascii="宋体" w:hAnsi="宋体" w:eastAsia="宋体" w:cs="宋体"/>
          <w:color w:val="auto"/>
          <w:szCs w:val="24"/>
          <w:highlight w:val="none"/>
        </w:rPr>
        <w:t>红线范围内必须落实雨污分流，生活污水须经过化粪池处理后接入市政管网排放。</w:t>
      </w:r>
    </w:p>
    <w:p w14:paraId="4134B1C9">
      <w:pPr>
        <w:pageBreakBefore w:val="0"/>
        <w:kinsoku/>
        <w:overflowPunct/>
        <w:topLinePunct w:val="0"/>
        <w:bidi w:val="0"/>
        <w:spacing w:line="440" w:lineRule="exact"/>
        <w:ind w:firstLine="480" w:firstLineChars="200"/>
        <w:textAlignment w:val="auto"/>
        <w:rPr>
          <w:rFonts w:hint="eastAsia" w:ascii="宋体" w:hAnsi="宋体" w:eastAsia="宋体" w:cs="宋体"/>
          <w:color w:val="auto"/>
          <w:szCs w:val="24"/>
          <w:highlight w:val="none"/>
        </w:rPr>
      </w:pPr>
      <w:r>
        <w:rPr>
          <w:rFonts w:hint="eastAsia" w:ascii="宋体" w:hAnsi="宋体" w:eastAsia="宋体" w:cs="宋体"/>
          <w:color w:val="auto"/>
          <w:szCs w:val="24"/>
          <w:highlight w:val="none"/>
        </w:rPr>
        <w:t>由于承包人原因导致的投诉、索赔、指控，由承包人承担全部责任，同时造成工期延误的，发包人将按照合同条款相关约定进行索赔。</w:t>
      </w:r>
    </w:p>
    <w:p w14:paraId="3FC02B75">
      <w:pPr>
        <w:pageBreakBefore w:val="0"/>
        <w:kinsoku/>
        <w:overflowPunct/>
        <w:topLinePunct w:val="0"/>
        <w:bidi w:val="0"/>
        <w:spacing w:line="440" w:lineRule="exact"/>
        <w:ind w:firstLine="480" w:firstLineChars="200"/>
        <w:textAlignment w:val="auto"/>
        <w:rPr>
          <w:rFonts w:hint="eastAsia" w:ascii="宋体" w:hAnsi="宋体" w:eastAsia="宋体" w:cs="宋体"/>
          <w:color w:val="auto"/>
          <w:szCs w:val="24"/>
          <w:highlight w:val="none"/>
        </w:rPr>
      </w:pPr>
      <w:r>
        <w:rPr>
          <w:rFonts w:hint="eastAsia" w:ascii="宋体" w:hAnsi="宋体" w:eastAsia="宋体" w:cs="宋体"/>
          <w:color w:val="auto"/>
          <w:szCs w:val="24"/>
          <w:highlight w:val="none"/>
        </w:rPr>
        <w:t>以上</w:t>
      </w:r>
      <w:r>
        <w:rPr>
          <w:rFonts w:hint="eastAsia" w:hAnsi="宋体" w:eastAsia="宋体" w:cs="宋体"/>
          <w:color w:val="auto"/>
          <w:szCs w:val="24"/>
          <w:highlight w:val="none"/>
          <w:lang w:eastAsia="zh-CN"/>
        </w:rPr>
        <w:t>需</w:t>
      </w:r>
      <w:r>
        <w:rPr>
          <w:rFonts w:hint="eastAsia" w:ascii="宋体" w:hAnsi="宋体" w:eastAsia="宋体" w:cs="宋体"/>
          <w:color w:val="auto"/>
          <w:szCs w:val="24"/>
          <w:highlight w:val="none"/>
        </w:rPr>
        <w:t>采取的所有措施费用及相关的费用已含在合同价中。</w:t>
      </w:r>
    </w:p>
    <w:p w14:paraId="3DEC2AF8">
      <w:pPr>
        <w:pageBreakBefore w:val="0"/>
        <w:kinsoku/>
        <w:overflowPunct/>
        <w:topLinePunct w:val="0"/>
        <w:bidi w:val="0"/>
        <w:spacing w:line="440" w:lineRule="exact"/>
        <w:ind w:firstLine="480" w:firstLineChars="200"/>
        <w:textAlignment w:val="auto"/>
        <w:rPr>
          <w:rFonts w:hint="eastAsia" w:ascii="宋体" w:hAnsi="宋体" w:eastAsia="宋体" w:cs="宋体"/>
          <w:color w:val="auto"/>
          <w:szCs w:val="24"/>
          <w:highlight w:val="none"/>
        </w:rPr>
      </w:pPr>
      <w:r>
        <w:rPr>
          <w:rFonts w:hint="eastAsia" w:hAnsi="宋体" w:eastAsia="宋体" w:cs="宋体"/>
          <w:color w:val="auto"/>
          <w:szCs w:val="24"/>
          <w:highlight w:val="none"/>
          <w:lang w:eastAsia="zh-CN"/>
        </w:rPr>
        <w:t>第三，</w:t>
      </w:r>
      <w:r>
        <w:rPr>
          <w:rFonts w:hint="eastAsia" w:ascii="宋体" w:hAnsi="宋体" w:eastAsia="宋体" w:cs="宋体"/>
          <w:color w:val="auto"/>
          <w:szCs w:val="24"/>
          <w:highlight w:val="none"/>
        </w:rPr>
        <w:t>承包人须按建设主管部门的相关规定，在工地安装视频监控系统，覆盖全场，保证正常使用。采取相应保卫措施防止出现财、物被盗行为，相关费用已包括在安全文明施工措施费中，发包人不再另行支付此类费用。</w:t>
      </w:r>
    </w:p>
    <w:p w14:paraId="7A35D666">
      <w:pPr>
        <w:pageBreakBefore w:val="0"/>
        <w:kinsoku/>
        <w:overflowPunct/>
        <w:topLinePunct w:val="0"/>
        <w:bidi w:val="0"/>
        <w:spacing w:line="440" w:lineRule="exact"/>
        <w:ind w:firstLine="480" w:firstLineChars="200"/>
        <w:textAlignment w:val="auto"/>
        <w:rPr>
          <w:rFonts w:hint="eastAsia" w:ascii="宋体" w:hAnsi="宋体" w:eastAsia="宋体" w:cs="宋体"/>
          <w:color w:val="auto"/>
          <w:kern w:val="0"/>
          <w:szCs w:val="24"/>
          <w:highlight w:val="none"/>
        </w:rPr>
      </w:pPr>
      <w:r>
        <w:rPr>
          <w:rFonts w:hint="eastAsia" w:ascii="宋体" w:hAnsi="宋体" w:eastAsia="宋体" w:cs="宋体"/>
          <w:color w:val="auto"/>
          <w:kern w:val="0"/>
          <w:szCs w:val="24"/>
          <w:highlight w:val="none"/>
        </w:rPr>
        <w:t>5.7.2已完工程及设备保护费</w:t>
      </w:r>
    </w:p>
    <w:p w14:paraId="7B199FE2">
      <w:pPr>
        <w:pageBreakBefore w:val="0"/>
        <w:kinsoku/>
        <w:overflowPunct/>
        <w:topLinePunct w:val="0"/>
        <w:bidi w:val="0"/>
        <w:spacing w:line="440" w:lineRule="exact"/>
        <w:ind w:firstLine="480" w:firstLineChars="200"/>
        <w:textAlignment w:val="auto"/>
        <w:rPr>
          <w:rFonts w:hint="eastAsia" w:ascii="宋体" w:hAnsi="宋体" w:eastAsia="宋体" w:cs="宋体"/>
          <w:color w:val="auto"/>
          <w:kern w:val="0"/>
          <w:szCs w:val="24"/>
          <w:highlight w:val="none"/>
        </w:rPr>
      </w:pPr>
      <w:r>
        <w:rPr>
          <w:rFonts w:hint="eastAsia" w:ascii="宋体" w:hAnsi="宋体" w:eastAsia="宋体" w:cs="宋体"/>
          <w:color w:val="auto"/>
          <w:szCs w:val="24"/>
          <w:highlight w:val="none"/>
        </w:rPr>
        <w:t>①承包人应充分考虑本工程的</w:t>
      </w:r>
      <w:r>
        <w:rPr>
          <w:rFonts w:hint="eastAsia" w:ascii="宋体" w:hAnsi="宋体" w:eastAsia="宋体" w:cs="宋体"/>
          <w:color w:val="auto"/>
          <w:kern w:val="0"/>
          <w:szCs w:val="24"/>
          <w:highlight w:val="none"/>
        </w:rPr>
        <w:t>已完工程及设备保护，其费用已包含在合同价内，结算不再调整；</w:t>
      </w:r>
    </w:p>
    <w:p w14:paraId="2B985BBD">
      <w:pPr>
        <w:pageBreakBefore w:val="0"/>
        <w:kinsoku/>
        <w:overflowPunct/>
        <w:topLinePunct w:val="0"/>
        <w:bidi w:val="0"/>
        <w:spacing w:line="440" w:lineRule="exact"/>
        <w:ind w:firstLine="480" w:firstLineChars="200"/>
        <w:textAlignment w:val="auto"/>
        <w:rPr>
          <w:rFonts w:hint="eastAsia" w:ascii="宋体" w:hAnsi="宋体" w:eastAsia="宋体" w:cs="宋体"/>
          <w:color w:val="auto"/>
          <w:szCs w:val="24"/>
          <w:highlight w:val="none"/>
        </w:rPr>
      </w:pPr>
      <w:r>
        <w:rPr>
          <w:rFonts w:hint="eastAsia" w:ascii="宋体" w:hAnsi="宋体" w:eastAsia="宋体" w:cs="宋体"/>
          <w:color w:val="auto"/>
          <w:szCs w:val="24"/>
          <w:highlight w:val="none"/>
        </w:rPr>
        <w:t>②承包人应充分考虑施工影响范围内的地上、地下设施，建筑物的临时保护等措施，</w:t>
      </w:r>
      <w:r>
        <w:rPr>
          <w:rFonts w:hint="eastAsia" w:ascii="宋体" w:hAnsi="宋体" w:eastAsia="宋体" w:cs="宋体"/>
          <w:color w:val="auto"/>
          <w:kern w:val="0"/>
          <w:szCs w:val="24"/>
          <w:highlight w:val="none"/>
        </w:rPr>
        <w:t>以及</w:t>
      </w:r>
      <w:r>
        <w:rPr>
          <w:rFonts w:hint="eastAsia" w:ascii="宋体" w:hAnsi="宋体" w:eastAsia="宋体" w:cs="宋体"/>
          <w:color w:val="auto"/>
          <w:szCs w:val="24"/>
          <w:highlight w:val="none"/>
        </w:rPr>
        <w:t>对周围建筑物、周围道路管线的沉降和位移按照施工规范进行质量、安全性检查，对于现场及周边</w:t>
      </w:r>
      <w:r>
        <w:rPr>
          <w:rFonts w:hint="eastAsia" w:hAnsi="宋体" w:eastAsia="宋体" w:cs="宋体"/>
          <w:color w:val="auto"/>
          <w:szCs w:val="24"/>
          <w:highlight w:val="none"/>
          <w:lang w:eastAsia="zh-CN"/>
        </w:rPr>
        <w:t>邻近</w:t>
      </w:r>
      <w:r>
        <w:rPr>
          <w:rFonts w:hint="eastAsia" w:ascii="宋体" w:hAnsi="宋体" w:eastAsia="宋体" w:cs="宋体"/>
          <w:color w:val="auto"/>
          <w:szCs w:val="24"/>
          <w:highlight w:val="none"/>
        </w:rPr>
        <w:t>的可能发生的危险情况及时向监理工程师或主管部门报告，在施工现场根据相关要求准备应急物资并及时采取有效措施，保护费用已包含在合同价中，结算时不再调整。</w:t>
      </w:r>
    </w:p>
    <w:p w14:paraId="44AE0955">
      <w:pPr>
        <w:pageBreakBefore w:val="0"/>
        <w:kinsoku/>
        <w:overflowPunct/>
        <w:topLinePunct w:val="0"/>
        <w:bidi w:val="0"/>
        <w:spacing w:line="440" w:lineRule="exact"/>
        <w:ind w:firstLine="480" w:firstLineChars="200"/>
        <w:textAlignment w:val="auto"/>
        <w:rPr>
          <w:rFonts w:hint="eastAsia" w:ascii="宋体" w:hAnsi="宋体" w:eastAsia="宋体" w:cs="宋体"/>
          <w:color w:val="auto"/>
          <w:szCs w:val="24"/>
          <w:highlight w:val="none"/>
        </w:rPr>
      </w:pPr>
      <w:r>
        <w:rPr>
          <w:rFonts w:hint="eastAsia" w:ascii="宋体" w:hAnsi="宋体" w:eastAsia="宋体" w:cs="宋体"/>
          <w:color w:val="auto"/>
          <w:szCs w:val="24"/>
          <w:highlight w:val="none"/>
        </w:rPr>
        <w:t>5.7.3施工降排水</w:t>
      </w:r>
    </w:p>
    <w:p w14:paraId="2E22C2AA">
      <w:pPr>
        <w:pageBreakBefore w:val="0"/>
        <w:kinsoku/>
        <w:overflowPunct/>
        <w:topLinePunct w:val="0"/>
        <w:bidi w:val="0"/>
        <w:spacing w:line="440" w:lineRule="exact"/>
        <w:ind w:firstLine="480" w:firstLineChars="200"/>
        <w:textAlignment w:val="auto"/>
        <w:rPr>
          <w:rFonts w:hint="eastAsia" w:ascii="宋体" w:hAnsi="宋体" w:eastAsia="宋体" w:cs="宋体"/>
          <w:color w:val="auto"/>
          <w:kern w:val="0"/>
          <w:szCs w:val="24"/>
          <w:highlight w:val="none"/>
        </w:rPr>
      </w:pPr>
      <w:r>
        <w:rPr>
          <w:rFonts w:hint="eastAsia" w:ascii="宋体" w:hAnsi="宋体" w:eastAsia="宋体" w:cs="宋体"/>
          <w:color w:val="auto"/>
          <w:szCs w:val="24"/>
          <w:highlight w:val="none"/>
        </w:rPr>
        <w:t>承包人应按照地质报告、设计图纸要求、降水水位要求、现场实际和工程经验等对降排水进行深化设计、维护和加固，其深化应经过设计单位的审批、监理工程师和发包人的同意，施工降排水应包括设计、施工、加固、维护直至竣工的全部施工和抽排水工作，同时</w:t>
      </w:r>
      <w:r>
        <w:rPr>
          <w:rFonts w:hint="eastAsia" w:ascii="宋体" w:hAnsi="宋体" w:eastAsia="宋体" w:cs="宋体"/>
          <w:color w:val="auto"/>
          <w:kern w:val="0"/>
          <w:szCs w:val="24"/>
          <w:highlight w:val="none"/>
        </w:rPr>
        <w:t>保证护栏的安全性。</w:t>
      </w:r>
    </w:p>
    <w:p w14:paraId="653D9BDC">
      <w:pPr>
        <w:pageBreakBefore w:val="0"/>
        <w:kinsoku/>
        <w:overflowPunct/>
        <w:topLinePunct w:val="0"/>
        <w:bidi w:val="0"/>
        <w:spacing w:line="440" w:lineRule="exact"/>
        <w:ind w:firstLine="480" w:firstLineChars="200"/>
        <w:textAlignment w:val="auto"/>
        <w:rPr>
          <w:rFonts w:hint="eastAsia" w:ascii="宋体" w:hAnsi="宋体" w:eastAsia="宋体" w:cs="宋体"/>
          <w:color w:val="auto"/>
          <w:kern w:val="0"/>
          <w:szCs w:val="24"/>
          <w:highlight w:val="none"/>
        </w:rPr>
      </w:pPr>
      <w:r>
        <w:rPr>
          <w:rFonts w:hint="eastAsia" w:ascii="宋体" w:hAnsi="宋体" w:eastAsia="宋体" w:cs="宋体"/>
          <w:color w:val="auto"/>
          <w:kern w:val="0"/>
          <w:szCs w:val="24"/>
          <w:highlight w:val="none"/>
        </w:rPr>
        <w:t xml:space="preserve">本工程施工期间地表及地下水采用有组织的排放，尤其是主体结构工程施工期间，应确保满足低于设计抗浮水位要求并满足防水工程需要，采取的施工排水、降水应确保周边建（构）筑物的安全等有效措施。 </w:t>
      </w:r>
    </w:p>
    <w:p w14:paraId="47F8A19E">
      <w:pPr>
        <w:pageBreakBefore w:val="0"/>
        <w:kinsoku/>
        <w:overflowPunct/>
        <w:topLinePunct w:val="0"/>
        <w:bidi w:val="0"/>
        <w:spacing w:line="440" w:lineRule="exact"/>
        <w:ind w:firstLine="480" w:firstLineChars="200"/>
        <w:textAlignment w:val="auto"/>
        <w:rPr>
          <w:rFonts w:hint="eastAsia" w:ascii="宋体" w:hAnsi="宋体" w:eastAsia="宋体" w:cs="宋体"/>
          <w:color w:val="auto"/>
          <w:kern w:val="0"/>
          <w:szCs w:val="24"/>
          <w:highlight w:val="none"/>
        </w:rPr>
      </w:pPr>
      <w:r>
        <w:rPr>
          <w:rFonts w:hint="eastAsia" w:ascii="宋体" w:hAnsi="宋体" w:eastAsia="宋体" w:cs="宋体"/>
          <w:color w:val="auto"/>
          <w:kern w:val="0"/>
          <w:szCs w:val="24"/>
          <w:highlight w:val="none"/>
        </w:rPr>
        <w:t>承包人应综合考虑施工期间除不可抗力原因外的气候条件造成的现场工程量的增加及其它风险（如发包人提供的地质报告等相关资料可能存在与实际不符）。</w:t>
      </w:r>
    </w:p>
    <w:p w14:paraId="479ECF33">
      <w:pPr>
        <w:pageBreakBefore w:val="0"/>
        <w:kinsoku/>
        <w:overflowPunct/>
        <w:topLinePunct w:val="0"/>
        <w:bidi w:val="0"/>
        <w:spacing w:line="440" w:lineRule="exact"/>
        <w:ind w:firstLine="480" w:firstLineChars="200"/>
        <w:textAlignment w:val="auto"/>
        <w:rPr>
          <w:rFonts w:hint="eastAsia" w:ascii="宋体" w:hAnsi="宋体" w:eastAsia="宋体" w:cs="宋体"/>
          <w:color w:val="auto"/>
          <w:kern w:val="0"/>
          <w:szCs w:val="24"/>
          <w:highlight w:val="none"/>
        </w:rPr>
      </w:pPr>
      <w:r>
        <w:rPr>
          <w:rFonts w:hint="eastAsia" w:ascii="宋体" w:hAnsi="宋体" w:eastAsia="宋体" w:cs="宋体"/>
          <w:color w:val="auto"/>
          <w:kern w:val="0"/>
          <w:szCs w:val="24"/>
          <w:highlight w:val="none"/>
        </w:rPr>
        <w:t>雨季施工随时与气象部门保持联系，在大雨、台风到来之前按有关主管部门规定的防洪防汛应急措施等。</w:t>
      </w:r>
    </w:p>
    <w:p w14:paraId="482A0452">
      <w:pPr>
        <w:pageBreakBefore w:val="0"/>
        <w:kinsoku/>
        <w:overflowPunct/>
        <w:topLinePunct w:val="0"/>
        <w:bidi w:val="0"/>
        <w:spacing w:line="440" w:lineRule="exact"/>
        <w:ind w:firstLine="480" w:firstLineChars="200"/>
        <w:textAlignment w:val="auto"/>
        <w:rPr>
          <w:rFonts w:hint="eastAsia" w:ascii="宋体" w:hAnsi="宋体" w:eastAsia="宋体" w:cs="宋体"/>
          <w:color w:val="auto"/>
          <w:kern w:val="0"/>
          <w:szCs w:val="24"/>
          <w:highlight w:val="none"/>
        </w:rPr>
      </w:pPr>
      <w:r>
        <w:rPr>
          <w:rFonts w:hint="eastAsia" w:ascii="宋体" w:hAnsi="宋体" w:eastAsia="宋体" w:cs="宋体"/>
          <w:color w:val="auto"/>
          <w:kern w:val="0"/>
          <w:szCs w:val="24"/>
          <w:highlight w:val="none"/>
        </w:rPr>
        <w:t>以上有关费用已含在合同价中，结算不作调整。</w:t>
      </w:r>
    </w:p>
    <w:p w14:paraId="63AC8684">
      <w:pPr>
        <w:pageBreakBefore w:val="0"/>
        <w:kinsoku/>
        <w:overflowPunct/>
        <w:topLinePunct w:val="0"/>
        <w:bidi w:val="0"/>
        <w:spacing w:line="440" w:lineRule="exact"/>
        <w:ind w:firstLine="480" w:firstLineChars="200"/>
        <w:textAlignment w:val="auto"/>
        <w:rPr>
          <w:rFonts w:hint="eastAsia" w:ascii="宋体" w:hAnsi="宋体" w:eastAsia="宋体" w:cs="宋体"/>
          <w:color w:val="auto"/>
          <w:szCs w:val="24"/>
          <w:highlight w:val="none"/>
        </w:rPr>
      </w:pPr>
      <w:r>
        <w:rPr>
          <w:rFonts w:hint="eastAsia" w:ascii="宋体" w:hAnsi="宋体" w:eastAsia="宋体" w:cs="宋体"/>
          <w:color w:val="auto"/>
          <w:szCs w:val="24"/>
          <w:highlight w:val="none"/>
        </w:rPr>
        <w:t>5.7.4水土保持</w:t>
      </w:r>
    </w:p>
    <w:p w14:paraId="1A566391">
      <w:pPr>
        <w:pageBreakBefore w:val="0"/>
        <w:kinsoku/>
        <w:overflowPunct/>
        <w:topLinePunct w:val="0"/>
        <w:bidi w:val="0"/>
        <w:spacing w:line="440" w:lineRule="exact"/>
        <w:ind w:firstLine="480" w:firstLineChars="200"/>
        <w:textAlignment w:val="auto"/>
        <w:rPr>
          <w:rFonts w:hint="eastAsia" w:ascii="宋体" w:hAnsi="宋体" w:eastAsia="宋体" w:cs="宋体"/>
          <w:color w:val="auto"/>
          <w:szCs w:val="24"/>
          <w:highlight w:val="none"/>
        </w:rPr>
      </w:pPr>
      <w:r>
        <w:rPr>
          <w:rFonts w:hint="eastAsia" w:ascii="宋体" w:hAnsi="宋体" w:eastAsia="宋体" w:cs="宋体"/>
          <w:color w:val="auto"/>
          <w:szCs w:val="24"/>
          <w:highlight w:val="none"/>
        </w:rPr>
        <w:t>承包人必须按照水土保持方案以及监理和检测单位的要求，采取设置排水沟、排洪沟、沉砂池、</w:t>
      </w:r>
      <w:r>
        <w:rPr>
          <w:rFonts w:hint="eastAsia" w:hAnsi="宋体" w:eastAsia="宋体" w:cs="宋体"/>
          <w:color w:val="auto"/>
          <w:szCs w:val="24"/>
          <w:highlight w:val="none"/>
          <w:lang w:eastAsia="zh-CN"/>
        </w:rPr>
        <w:t>沙袋</w:t>
      </w:r>
      <w:r>
        <w:rPr>
          <w:rFonts w:hint="eastAsia" w:ascii="宋体" w:hAnsi="宋体" w:eastAsia="宋体" w:cs="宋体"/>
          <w:color w:val="auto"/>
          <w:szCs w:val="24"/>
          <w:highlight w:val="none"/>
        </w:rPr>
        <w:t>、植草等水土保持和防洪排涝措施，优化挖方填方，对土石方合理利用；对已完工土石方工程裸露表面，及时采取防护措施、严格控制水土流失，实现水土流失防治目标；及时做好排水导流工作，使地表径流和工程用水经沉砂池沉降后方可排放，沉砂池要定期清理，减轻水流对裸露地表的冲刷，防止</w:t>
      </w:r>
      <w:r>
        <w:rPr>
          <w:rFonts w:hint="eastAsia" w:hAnsi="宋体" w:eastAsia="宋体" w:cs="宋体"/>
          <w:color w:val="auto"/>
          <w:szCs w:val="24"/>
          <w:highlight w:val="none"/>
          <w:lang w:eastAsia="zh-CN"/>
        </w:rPr>
        <w:t>泥沙</w:t>
      </w:r>
      <w:r>
        <w:rPr>
          <w:rFonts w:hint="eastAsia" w:ascii="宋体" w:hAnsi="宋体" w:eastAsia="宋体" w:cs="宋体"/>
          <w:color w:val="auto"/>
          <w:szCs w:val="24"/>
          <w:highlight w:val="none"/>
        </w:rPr>
        <w:t>流出对周边区域造成危害；临时堆土要全面覆盖，减少粉尘及雨水冲刷，堆土清理后或其他裸露地要采取恢复植被或其他防止水土流失措施。</w:t>
      </w:r>
    </w:p>
    <w:p w14:paraId="3D5D1469">
      <w:pPr>
        <w:pageBreakBefore w:val="0"/>
        <w:kinsoku/>
        <w:overflowPunct/>
        <w:topLinePunct w:val="0"/>
        <w:bidi w:val="0"/>
        <w:spacing w:line="440" w:lineRule="exact"/>
        <w:ind w:firstLine="480" w:firstLineChars="200"/>
        <w:textAlignment w:val="auto"/>
        <w:rPr>
          <w:rFonts w:hint="eastAsia" w:ascii="宋体" w:hAnsi="宋体" w:eastAsia="宋体" w:cs="宋体"/>
          <w:color w:val="auto"/>
          <w:szCs w:val="24"/>
          <w:highlight w:val="none"/>
        </w:rPr>
      </w:pPr>
      <w:r>
        <w:rPr>
          <w:rFonts w:hint="eastAsia" w:ascii="宋体" w:hAnsi="宋体" w:eastAsia="宋体" w:cs="宋体"/>
          <w:color w:val="auto"/>
          <w:szCs w:val="24"/>
          <w:highlight w:val="none"/>
        </w:rPr>
        <w:t>5.7.5施工用水、用电等</w:t>
      </w:r>
    </w:p>
    <w:p w14:paraId="0DE37F91">
      <w:pPr>
        <w:pageBreakBefore w:val="0"/>
        <w:kinsoku/>
        <w:overflowPunct/>
        <w:topLinePunct w:val="0"/>
        <w:bidi w:val="0"/>
        <w:spacing w:line="440" w:lineRule="exact"/>
        <w:ind w:firstLine="480" w:firstLineChars="200"/>
        <w:textAlignment w:val="auto"/>
        <w:rPr>
          <w:rFonts w:hint="eastAsia" w:ascii="宋体" w:hAnsi="宋体" w:eastAsia="宋体" w:cs="宋体"/>
          <w:color w:val="auto"/>
          <w:szCs w:val="24"/>
          <w:highlight w:val="none"/>
        </w:rPr>
      </w:pPr>
      <w:r>
        <w:rPr>
          <w:rFonts w:hint="eastAsia" w:ascii="宋体" w:hAnsi="宋体" w:eastAsia="宋体" w:cs="宋体"/>
          <w:color w:val="auto"/>
          <w:szCs w:val="24"/>
          <w:highlight w:val="none"/>
        </w:rPr>
        <w:t>（1）承包人根据现场条件和工程情况，接通生活和生产区场内外的给水、排水、施工用电、通讯等工作，</w:t>
      </w:r>
      <w:r>
        <w:rPr>
          <w:rFonts w:hint="eastAsia" w:ascii="宋体" w:hAnsi="宋体" w:eastAsia="宋体" w:cs="宋体"/>
          <w:snapToGrid w:val="0"/>
          <w:color w:val="auto"/>
          <w:kern w:val="0"/>
          <w:szCs w:val="24"/>
          <w:highlight w:val="none"/>
        </w:rPr>
        <w:t>同时承包人应自备充足的发电机，确保施工过程中的水、电安全稳定供应，结算费用不</w:t>
      </w:r>
      <w:r>
        <w:rPr>
          <w:rFonts w:hint="eastAsia" w:hAnsi="宋体" w:eastAsia="宋体" w:cs="宋体"/>
          <w:snapToGrid w:val="0"/>
          <w:color w:val="auto"/>
          <w:kern w:val="0"/>
          <w:szCs w:val="24"/>
          <w:highlight w:val="none"/>
          <w:lang w:eastAsia="zh-CN"/>
        </w:rPr>
        <w:t>作</w:t>
      </w:r>
      <w:r>
        <w:rPr>
          <w:rFonts w:hint="eastAsia" w:ascii="宋体" w:hAnsi="宋体" w:eastAsia="宋体" w:cs="宋体"/>
          <w:snapToGrid w:val="0"/>
          <w:color w:val="auto"/>
          <w:kern w:val="0"/>
          <w:szCs w:val="24"/>
          <w:highlight w:val="none"/>
        </w:rPr>
        <w:t>调整。</w:t>
      </w:r>
    </w:p>
    <w:p w14:paraId="0E7C1508">
      <w:pPr>
        <w:pageBreakBefore w:val="0"/>
        <w:kinsoku/>
        <w:overflowPunct/>
        <w:topLinePunct w:val="0"/>
        <w:bidi w:val="0"/>
        <w:spacing w:line="440" w:lineRule="exact"/>
        <w:ind w:firstLine="480" w:firstLineChars="200"/>
        <w:textAlignment w:val="auto"/>
        <w:rPr>
          <w:rFonts w:hint="eastAsia" w:ascii="宋体" w:hAnsi="宋体" w:eastAsia="宋体" w:cs="宋体"/>
          <w:color w:val="auto"/>
          <w:szCs w:val="24"/>
          <w:highlight w:val="none"/>
        </w:rPr>
      </w:pPr>
      <w:r>
        <w:rPr>
          <w:rFonts w:hint="eastAsia" w:ascii="宋体" w:hAnsi="宋体" w:eastAsia="宋体" w:cs="宋体"/>
          <w:color w:val="auto"/>
          <w:szCs w:val="24"/>
          <w:highlight w:val="none"/>
        </w:rPr>
        <w:t>（2）所有施工范围内涉及的清理、外运全部拆除物与垃圾，以及场地平整。</w:t>
      </w:r>
    </w:p>
    <w:p w14:paraId="1176D5F6">
      <w:pPr>
        <w:pageBreakBefore w:val="0"/>
        <w:kinsoku/>
        <w:overflowPunct/>
        <w:topLinePunct w:val="0"/>
        <w:bidi w:val="0"/>
        <w:spacing w:line="440" w:lineRule="exact"/>
        <w:ind w:firstLine="480" w:firstLineChars="200"/>
        <w:textAlignment w:val="auto"/>
        <w:rPr>
          <w:rFonts w:hint="eastAsia" w:ascii="宋体" w:hAnsi="宋体" w:eastAsia="宋体" w:cs="宋体"/>
          <w:color w:val="auto"/>
          <w:szCs w:val="24"/>
          <w:highlight w:val="none"/>
        </w:rPr>
      </w:pPr>
      <w:r>
        <w:rPr>
          <w:rFonts w:hint="eastAsia" w:ascii="宋体" w:hAnsi="宋体" w:eastAsia="宋体" w:cs="宋体"/>
          <w:color w:val="auto"/>
          <w:szCs w:val="24"/>
          <w:highlight w:val="none"/>
        </w:rPr>
        <w:t>（3）为建设单位、监理单位提供施工现场临时办公用房和办公</w:t>
      </w:r>
      <w:r>
        <w:rPr>
          <w:rFonts w:hint="eastAsia" w:hAnsi="宋体" w:eastAsia="宋体" w:cs="宋体"/>
          <w:color w:val="auto"/>
          <w:szCs w:val="24"/>
          <w:highlight w:val="none"/>
          <w:lang w:eastAsia="zh-CN"/>
        </w:rPr>
        <w:t>必需品</w:t>
      </w:r>
      <w:r>
        <w:rPr>
          <w:rFonts w:hint="eastAsia" w:ascii="宋体" w:hAnsi="宋体" w:eastAsia="宋体" w:cs="宋体"/>
          <w:color w:val="auto"/>
          <w:szCs w:val="24"/>
          <w:highlight w:val="none"/>
        </w:rPr>
        <w:t>，并开通通讯线路。</w:t>
      </w:r>
    </w:p>
    <w:p w14:paraId="3C3555D1">
      <w:pPr>
        <w:pageBreakBefore w:val="0"/>
        <w:kinsoku/>
        <w:overflowPunct/>
        <w:topLinePunct w:val="0"/>
        <w:bidi w:val="0"/>
        <w:spacing w:line="440" w:lineRule="exact"/>
        <w:ind w:firstLine="480" w:firstLineChars="200"/>
        <w:textAlignment w:val="auto"/>
        <w:rPr>
          <w:rFonts w:hint="eastAsia" w:ascii="宋体" w:hAnsi="宋体" w:eastAsia="宋体" w:cs="宋体"/>
          <w:color w:val="auto"/>
          <w:szCs w:val="24"/>
          <w:highlight w:val="none"/>
        </w:rPr>
      </w:pPr>
      <w:r>
        <w:rPr>
          <w:rFonts w:hint="eastAsia" w:ascii="宋体" w:hAnsi="宋体" w:eastAsia="宋体" w:cs="宋体"/>
          <w:color w:val="auto"/>
          <w:szCs w:val="24"/>
          <w:highlight w:val="none"/>
        </w:rPr>
        <w:t>（4）合同工期和顺延工期内临时用地（含占道）、房屋租赁的手续费和租金。</w:t>
      </w:r>
    </w:p>
    <w:p w14:paraId="3AB1B3E4">
      <w:pPr>
        <w:pageBreakBefore w:val="0"/>
        <w:kinsoku/>
        <w:overflowPunct/>
        <w:topLinePunct w:val="0"/>
        <w:bidi w:val="0"/>
        <w:spacing w:line="440" w:lineRule="exact"/>
        <w:ind w:firstLine="480" w:firstLineChars="200"/>
        <w:textAlignment w:val="auto"/>
        <w:rPr>
          <w:rFonts w:hint="eastAsia" w:ascii="宋体" w:hAnsi="宋体" w:eastAsia="宋体" w:cs="宋体"/>
          <w:color w:val="auto"/>
          <w:szCs w:val="24"/>
          <w:highlight w:val="none"/>
        </w:rPr>
      </w:pPr>
      <w:r>
        <w:rPr>
          <w:rFonts w:hint="eastAsia" w:ascii="宋体" w:hAnsi="宋体" w:eastAsia="宋体" w:cs="宋体"/>
          <w:color w:val="auto"/>
          <w:szCs w:val="24"/>
          <w:highlight w:val="none"/>
        </w:rPr>
        <w:t>承包人在投标报价时应充分考虑施工场地现状与地形图不符的风险，谨慎报价，该部分报价为包干费用，承包人不得以任何理由提出增加费用。</w:t>
      </w:r>
    </w:p>
    <w:p w14:paraId="7600F3E5">
      <w:pPr>
        <w:pageBreakBefore w:val="0"/>
        <w:kinsoku/>
        <w:overflowPunct/>
        <w:topLinePunct w:val="0"/>
        <w:bidi w:val="0"/>
        <w:spacing w:line="440" w:lineRule="exact"/>
        <w:ind w:firstLine="480" w:firstLineChars="200"/>
        <w:textAlignment w:val="auto"/>
        <w:rPr>
          <w:rFonts w:hint="eastAsia" w:ascii="宋体" w:hAnsi="宋体" w:eastAsia="宋体" w:cs="宋体"/>
          <w:color w:val="auto"/>
          <w:szCs w:val="24"/>
          <w:highlight w:val="none"/>
        </w:rPr>
      </w:pPr>
      <w:r>
        <w:rPr>
          <w:rFonts w:hint="eastAsia" w:ascii="宋体" w:hAnsi="宋体" w:eastAsia="宋体" w:cs="宋体"/>
          <w:color w:val="auto"/>
          <w:szCs w:val="24"/>
          <w:highlight w:val="none"/>
        </w:rPr>
        <w:t>5.7.6与其他工程的衔接、管理与配合费</w:t>
      </w:r>
    </w:p>
    <w:p w14:paraId="3971F9C0">
      <w:pPr>
        <w:pageBreakBefore w:val="0"/>
        <w:kinsoku/>
        <w:overflowPunct/>
        <w:topLinePunct w:val="0"/>
        <w:bidi w:val="0"/>
        <w:spacing w:line="440" w:lineRule="exact"/>
        <w:ind w:firstLine="480" w:firstLineChars="200"/>
        <w:textAlignment w:val="auto"/>
        <w:rPr>
          <w:rFonts w:hint="eastAsia" w:ascii="宋体" w:hAnsi="宋体" w:eastAsia="宋体" w:cs="宋体"/>
          <w:color w:val="auto"/>
          <w:szCs w:val="24"/>
          <w:highlight w:val="none"/>
        </w:rPr>
      </w:pPr>
      <w:r>
        <w:rPr>
          <w:rFonts w:hint="eastAsia" w:ascii="宋体" w:hAnsi="宋体" w:eastAsia="宋体" w:cs="宋体"/>
          <w:color w:val="auto"/>
          <w:szCs w:val="24"/>
          <w:highlight w:val="none"/>
        </w:rPr>
        <w:t>由承包人负责工程衔接各专业工程进度安排、施工现场管理协调等工作。对安全、文明、施工、运输、仓储、住宿统筹管理；确定合理的工序和进度计划、安排作业面与通道、提供场地；工程完工后的整体调试、验收和竣工资料整理；按专业设计图纸要求配合做好埋件、预留洞、预埋管等工作；提供脚手架供专业承包人使用；提供照明、临时水电等设施。其费用在对其他工程的衔接、管理和配合费用中报价，结算不</w:t>
      </w:r>
      <w:r>
        <w:rPr>
          <w:rFonts w:hint="eastAsia" w:hAnsi="宋体" w:eastAsia="宋体" w:cs="宋体"/>
          <w:color w:val="auto"/>
          <w:szCs w:val="24"/>
          <w:highlight w:val="none"/>
          <w:lang w:eastAsia="zh-CN"/>
        </w:rPr>
        <w:t>作</w:t>
      </w:r>
      <w:r>
        <w:rPr>
          <w:rFonts w:hint="eastAsia" w:ascii="宋体" w:hAnsi="宋体" w:eastAsia="宋体" w:cs="宋体"/>
          <w:color w:val="auto"/>
          <w:szCs w:val="24"/>
          <w:highlight w:val="none"/>
        </w:rPr>
        <w:t>调整。</w:t>
      </w:r>
    </w:p>
    <w:p w14:paraId="639ABE8E">
      <w:pPr>
        <w:pageBreakBefore w:val="0"/>
        <w:kinsoku/>
        <w:overflowPunct/>
        <w:topLinePunct w:val="0"/>
        <w:bidi w:val="0"/>
        <w:spacing w:line="440" w:lineRule="exact"/>
        <w:ind w:firstLine="480" w:firstLineChars="200"/>
        <w:textAlignment w:val="auto"/>
        <w:rPr>
          <w:rFonts w:hint="eastAsia" w:ascii="宋体" w:hAnsi="宋体" w:eastAsia="宋体" w:cs="宋体"/>
          <w:color w:val="auto"/>
          <w:szCs w:val="24"/>
          <w:highlight w:val="none"/>
        </w:rPr>
      </w:pPr>
      <w:r>
        <w:rPr>
          <w:rFonts w:hint="eastAsia" w:ascii="宋体" w:hAnsi="宋体" w:eastAsia="宋体" w:cs="宋体"/>
          <w:color w:val="auto"/>
          <w:szCs w:val="24"/>
          <w:highlight w:val="none"/>
        </w:rPr>
        <w:t>5.7.7因承包人原因而引起的罚款、索赔和指控等责任由承包人自行承担。</w:t>
      </w:r>
    </w:p>
    <w:p w14:paraId="3EC39EE3">
      <w:pPr>
        <w:pageBreakBefore w:val="0"/>
        <w:kinsoku/>
        <w:overflowPunct/>
        <w:topLinePunct w:val="0"/>
        <w:bidi w:val="0"/>
        <w:spacing w:line="440" w:lineRule="exact"/>
        <w:ind w:firstLine="480" w:firstLineChars="200"/>
        <w:textAlignment w:val="auto"/>
        <w:rPr>
          <w:rFonts w:hint="eastAsia" w:ascii="宋体" w:hAnsi="宋体" w:eastAsia="宋体" w:cs="宋体"/>
          <w:color w:val="auto"/>
          <w:szCs w:val="24"/>
          <w:highlight w:val="none"/>
        </w:rPr>
      </w:pPr>
      <w:r>
        <w:rPr>
          <w:rFonts w:hint="eastAsia" w:ascii="宋体" w:hAnsi="宋体" w:eastAsia="宋体" w:cs="宋体"/>
          <w:color w:val="auto"/>
          <w:szCs w:val="24"/>
          <w:highlight w:val="none"/>
        </w:rPr>
        <w:t>5.7.8工程完工后需要恢复的建筑物、构筑物，承包人必须及时恢复，并使监理工程师和发包人满意，满足政府管理部门的规定和要求。</w:t>
      </w:r>
    </w:p>
    <w:p w14:paraId="0AFE417C">
      <w:pPr>
        <w:pageBreakBefore w:val="0"/>
        <w:kinsoku/>
        <w:overflowPunct/>
        <w:topLinePunct w:val="0"/>
        <w:bidi w:val="0"/>
        <w:spacing w:line="440" w:lineRule="exact"/>
        <w:ind w:firstLine="480" w:firstLineChars="200"/>
        <w:textAlignment w:val="auto"/>
        <w:rPr>
          <w:rFonts w:hint="eastAsia" w:ascii="宋体" w:hAnsi="宋体" w:eastAsia="宋体" w:cs="宋体"/>
          <w:color w:val="auto"/>
          <w:szCs w:val="24"/>
          <w:highlight w:val="none"/>
        </w:rPr>
      </w:pPr>
      <w:r>
        <w:rPr>
          <w:rFonts w:hint="eastAsia" w:ascii="宋体" w:hAnsi="宋体" w:eastAsia="宋体" w:cs="宋体"/>
          <w:color w:val="auto"/>
          <w:szCs w:val="24"/>
          <w:highlight w:val="none"/>
        </w:rPr>
        <w:t>5.7.9承包人必须按有关法规、标准、规定或发包人的合理要求实施有关措施项目，若以上设施或措施达不到要求，工程师发出指令后，承包人应按照要求予以整改，其费用由承包人承担。承包人拒绝整改的，发包人有权要求承包人支付违约金50万元，并将其列入履约考评不良记录，同时发包人有权委托第三方实施，所有费用由承包人承担。由于承包人原因导致的投诉、索赔、指控，由承包人承担全部责任，同时造成工期延误的，发包人将按照合同条款相关约定进行索赔。</w:t>
      </w:r>
    </w:p>
    <w:p w14:paraId="3A1EDD23">
      <w:pPr>
        <w:pageBreakBefore w:val="0"/>
        <w:kinsoku/>
        <w:overflowPunct/>
        <w:topLinePunct w:val="0"/>
        <w:bidi w:val="0"/>
        <w:spacing w:line="440" w:lineRule="exact"/>
        <w:ind w:firstLine="482" w:firstLineChars="200"/>
        <w:textAlignment w:val="auto"/>
        <w:rPr>
          <w:rFonts w:hint="eastAsia" w:ascii="宋体" w:hAnsi="宋体" w:eastAsia="宋体" w:cs="宋体"/>
          <w:b/>
          <w:color w:val="auto"/>
          <w:szCs w:val="24"/>
          <w:highlight w:val="none"/>
        </w:rPr>
      </w:pPr>
      <w:r>
        <w:rPr>
          <w:rFonts w:hint="eastAsia" w:ascii="宋体" w:hAnsi="宋体" w:eastAsia="宋体" w:cs="宋体"/>
          <w:b/>
          <w:color w:val="auto"/>
          <w:szCs w:val="24"/>
          <w:highlight w:val="none"/>
        </w:rPr>
        <w:t>5.7.10承包人必须按照《建设工程安全生产管理条例》和《危险性较大的分部分项工程安全管理办法》进行施工，应按有关规定提供相应的防护措施且在施工前编制危险性较大分部分项工程的专项施工方案，有关费用已含在合同价中。因承包人原因，导致的安全事故，由承包人承担相应责任及发生的费用。</w:t>
      </w:r>
    </w:p>
    <w:p w14:paraId="7F209ACB">
      <w:pPr>
        <w:pageBreakBefore w:val="0"/>
        <w:kinsoku/>
        <w:overflowPunct/>
        <w:topLinePunct w:val="0"/>
        <w:bidi w:val="0"/>
        <w:spacing w:line="440" w:lineRule="exact"/>
        <w:ind w:firstLine="480" w:firstLineChars="200"/>
        <w:textAlignment w:val="auto"/>
        <w:rPr>
          <w:rFonts w:hint="eastAsia" w:ascii="宋体" w:hAnsi="宋体" w:eastAsia="宋体" w:cs="宋体"/>
          <w:b/>
          <w:bCs/>
          <w:color w:val="auto"/>
          <w:szCs w:val="24"/>
          <w:highlight w:val="none"/>
        </w:rPr>
      </w:pPr>
      <w:r>
        <w:rPr>
          <w:rFonts w:hint="eastAsia" w:ascii="宋体" w:hAnsi="宋体" w:eastAsia="宋体" w:cs="宋体"/>
          <w:color w:val="auto"/>
          <w:szCs w:val="24"/>
          <w:highlight w:val="none"/>
        </w:rPr>
        <w:t>5.7.11承包人必须严格按照相关规定和安全规范等，以及设计图纸，结合实际情况对施工作业面进行处理，以保证各施工机械有效支撑，确保其施工安全和正常使用。任何对支护的修改必须经设计单位、发包人和监理工程师同意，方可实施，同时承包人必须对周边建筑物、周边道路管线的沉降和位移进行巡查和跟踪，如因承包人的措施无法满足施工安全、正常施工的要求，有关的责任、损失、补救费用全部由承包人自行承担。</w:t>
      </w:r>
    </w:p>
    <w:p w14:paraId="386EB51E">
      <w:pPr>
        <w:pageBreakBefore w:val="0"/>
        <w:kinsoku/>
        <w:overflowPunct/>
        <w:topLinePunct w:val="0"/>
        <w:bidi w:val="0"/>
        <w:spacing w:line="440" w:lineRule="exact"/>
        <w:ind w:firstLine="480" w:firstLineChars="200"/>
        <w:textAlignment w:val="auto"/>
        <w:rPr>
          <w:rFonts w:hint="eastAsia" w:ascii="宋体" w:hAnsi="宋体" w:eastAsia="宋体" w:cs="宋体"/>
          <w:color w:val="auto"/>
          <w:szCs w:val="24"/>
          <w:highlight w:val="none"/>
        </w:rPr>
      </w:pPr>
      <w:r>
        <w:rPr>
          <w:rFonts w:hint="eastAsia" w:ascii="宋体" w:hAnsi="宋体" w:eastAsia="宋体" w:cs="宋体"/>
          <w:color w:val="auto"/>
          <w:szCs w:val="24"/>
          <w:highlight w:val="none"/>
        </w:rPr>
        <w:t>5.7.12根据广东省、韶关市建设主管部门的相关文件规定，承包人须在工程施工现场安装使用视频监控系统、工人实名制系统并接入至</w:t>
      </w:r>
      <w:r>
        <w:rPr>
          <w:rFonts w:hint="eastAsia" w:hAnsi="宋体" w:eastAsia="宋体" w:cs="宋体"/>
          <w:color w:val="auto"/>
          <w:szCs w:val="24"/>
          <w:highlight w:val="none"/>
          <w:lang w:eastAsia="zh-CN"/>
        </w:rPr>
        <w:t>韶关</w:t>
      </w:r>
      <w:r>
        <w:rPr>
          <w:rFonts w:hint="eastAsia" w:ascii="宋体" w:hAnsi="宋体" w:eastAsia="宋体" w:cs="宋体"/>
          <w:color w:val="auto"/>
          <w:szCs w:val="24"/>
          <w:highlight w:val="none"/>
        </w:rPr>
        <w:t>市住建主管部门建筑工地视频监控专网及发包人视频监控系统。</w:t>
      </w:r>
    </w:p>
    <w:p w14:paraId="290B103D">
      <w:pPr>
        <w:pageBreakBefore w:val="0"/>
        <w:kinsoku/>
        <w:overflowPunct/>
        <w:topLinePunct w:val="0"/>
        <w:bidi w:val="0"/>
        <w:spacing w:line="440" w:lineRule="exact"/>
        <w:ind w:firstLine="480" w:firstLineChars="200"/>
        <w:textAlignment w:val="auto"/>
        <w:rPr>
          <w:rFonts w:hint="eastAsia" w:ascii="宋体" w:hAnsi="宋体" w:eastAsia="宋体" w:cs="宋体"/>
          <w:color w:val="auto"/>
          <w:kern w:val="0"/>
          <w:szCs w:val="24"/>
          <w:highlight w:val="none"/>
        </w:rPr>
      </w:pPr>
      <w:r>
        <w:rPr>
          <w:rFonts w:hint="eastAsia" w:ascii="宋体" w:hAnsi="宋体" w:eastAsia="宋体" w:cs="宋体"/>
          <w:color w:val="auto"/>
          <w:kern w:val="0"/>
          <w:szCs w:val="24"/>
          <w:highlight w:val="none"/>
        </w:rPr>
        <w:t>以上措施项目有关费用已含在合同价中，结算不作调整。</w:t>
      </w:r>
    </w:p>
    <w:p w14:paraId="6E469D33">
      <w:pPr>
        <w:pageBreakBefore w:val="0"/>
        <w:kinsoku/>
        <w:overflowPunct/>
        <w:topLinePunct w:val="0"/>
        <w:bidi w:val="0"/>
        <w:adjustRightInd w:val="0"/>
        <w:snapToGrid w:val="0"/>
        <w:spacing w:line="440" w:lineRule="exact"/>
        <w:ind w:firstLine="482" w:firstLineChars="200"/>
        <w:textAlignment w:val="auto"/>
        <w:rPr>
          <w:rFonts w:hint="eastAsia" w:ascii="宋体" w:hAnsi="宋体" w:eastAsia="宋体" w:cs="宋体"/>
          <w:b/>
          <w:bCs/>
          <w:color w:val="auto"/>
          <w:szCs w:val="24"/>
          <w:highlight w:val="none"/>
        </w:rPr>
      </w:pPr>
      <w:r>
        <w:rPr>
          <w:rFonts w:hint="eastAsia" w:ascii="宋体" w:hAnsi="宋体" w:eastAsia="宋体" w:cs="宋体"/>
          <w:b/>
          <w:bCs/>
          <w:color w:val="auto"/>
          <w:szCs w:val="24"/>
          <w:highlight w:val="none"/>
        </w:rPr>
        <w:t>5.8 解除合同后续工程的补充约定</w:t>
      </w:r>
    </w:p>
    <w:p w14:paraId="43BA2688">
      <w:pPr>
        <w:pageBreakBefore w:val="0"/>
        <w:kinsoku/>
        <w:overflowPunct/>
        <w:topLinePunct w:val="0"/>
        <w:bidi w:val="0"/>
        <w:adjustRightInd w:val="0"/>
        <w:snapToGrid w:val="0"/>
        <w:spacing w:line="440" w:lineRule="exact"/>
        <w:ind w:firstLine="480" w:firstLineChars="200"/>
        <w:textAlignment w:val="auto"/>
        <w:rPr>
          <w:rFonts w:hint="eastAsia" w:ascii="宋体" w:hAnsi="宋体" w:eastAsia="宋体" w:cs="宋体"/>
          <w:color w:val="auto"/>
          <w:szCs w:val="24"/>
          <w:highlight w:val="none"/>
        </w:rPr>
      </w:pPr>
      <w:r>
        <w:rPr>
          <w:rFonts w:hint="eastAsia" w:ascii="宋体" w:hAnsi="宋体" w:eastAsia="宋体" w:cs="宋体"/>
          <w:color w:val="auto"/>
          <w:szCs w:val="24"/>
          <w:highlight w:val="none"/>
        </w:rPr>
        <w:t>5.8.1发包人向承包人发出解除或部分解除合同通知到达后，本合同即解除或部分解除，承包人必须在3日内停止施工，5日内将现场施工材料设备、工程用机具设备和人员等撤出施工场地，完成现场和有关资料的移交，并于完成交接工作当日内离场。承包人应</w:t>
      </w:r>
      <w:r>
        <w:rPr>
          <w:rFonts w:hint="eastAsia" w:hAnsi="宋体" w:eastAsia="宋体" w:cs="宋体"/>
          <w:color w:val="auto"/>
          <w:szCs w:val="24"/>
          <w:highlight w:val="none"/>
          <w:lang w:eastAsia="zh-CN"/>
        </w:rPr>
        <w:t>保护好已完成</w:t>
      </w:r>
      <w:r>
        <w:rPr>
          <w:rFonts w:hint="eastAsia" w:ascii="宋体" w:hAnsi="宋体" w:eastAsia="宋体" w:cs="宋体"/>
          <w:color w:val="auto"/>
          <w:szCs w:val="24"/>
          <w:highlight w:val="none"/>
        </w:rPr>
        <w:t>工程、已购设备材料，保证所移交的资料齐全完整。承包人无特殊原因未在规定期限内移交、离场或移交完整资料，发包人有权处理其留在现场的材料、设备和其他物件，处理费用由承包人承担。</w:t>
      </w:r>
    </w:p>
    <w:p w14:paraId="675AA7D2">
      <w:pPr>
        <w:pageBreakBefore w:val="0"/>
        <w:kinsoku/>
        <w:overflowPunct/>
        <w:topLinePunct w:val="0"/>
        <w:bidi w:val="0"/>
        <w:adjustRightInd w:val="0"/>
        <w:snapToGrid w:val="0"/>
        <w:spacing w:line="440" w:lineRule="exact"/>
        <w:ind w:firstLine="480" w:firstLineChars="200"/>
        <w:textAlignment w:val="auto"/>
        <w:rPr>
          <w:rFonts w:hint="eastAsia" w:ascii="宋体" w:hAnsi="宋体" w:eastAsia="宋体" w:cs="宋体"/>
          <w:color w:val="auto"/>
          <w:szCs w:val="24"/>
          <w:highlight w:val="none"/>
        </w:rPr>
      </w:pPr>
      <w:r>
        <w:rPr>
          <w:rFonts w:hint="eastAsia" w:ascii="宋体" w:hAnsi="宋体" w:eastAsia="宋体" w:cs="宋体"/>
          <w:color w:val="auto"/>
          <w:szCs w:val="24"/>
          <w:highlight w:val="none"/>
        </w:rPr>
        <w:t>对于部分解除合同的情形，承包人拒不履行配合，发包人有权全部解除合同，如果引致发包人工期延误和其他方面的损失，发包人将要求承包人赔偿有关损失。发包人在发出解除合同的通知后，发包人即可清理现场、委托重新招标或委托新的承包人承接该工程。同时，承包人不得影响或阻碍新的承包人办理进场手续和相关工作。</w:t>
      </w:r>
    </w:p>
    <w:p w14:paraId="0DF745BF">
      <w:pPr>
        <w:pageBreakBefore w:val="0"/>
        <w:kinsoku/>
        <w:overflowPunct/>
        <w:topLinePunct w:val="0"/>
        <w:bidi w:val="0"/>
        <w:spacing w:line="440" w:lineRule="exact"/>
        <w:ind w:left="-2" w:leftChars="-1" w:firstLine="424" w:firstLineChars="177"/>
        <w:textAlignment w:val="auto"/>
        <w:rPr>
          <w:rFonts w:hint="eastAsia" w:ascii="宋体" w:hAnsi="宋体" w:eastAsia="宋体" w:cs="宋体"/>
          <w:color w:val="auto"/>
          <w:kern w:val="0"/>
          <w:szCs w:val="24"/>
          <w:highlight w:val="none"/>
        </w:rPr>
      </w:pPr>
      <w:r>
        <w:rPr>
          <w:rFonts w:hint="eastAsia" w:ascii="宋体" w:hAnsi="宋体" w:eastAsia="宋体" w:cs="宋体"/>
          <w:color w:val="auto"/>
          <w:kern w:val="0"/>
          <w:szCs w:val="24"/>
          <w:highlight w:val="none"/>
        </w:rPr>
        <w:t>5.8.2由于承包人原因导致的合同解除或部分合同解除，承包人已经订货的材料、设备，以及已进场尚未安装的材料设备均由承包人负责退货或解除订货合同，不能退还的货款、定金、订金，因退货和解除订货合同发生的费用以及因无法退货造成的损失均由承包人承担，发包人不予补偿。</w:t>
      </w:r>
    </w:p>
    <w:p w14:paraId="199CD757">
      <w:pPr>
        <w:pageBreakBefore w:val="0"/>
        <w:kinsoku/>
        <w:overflowPunct/>
        <w:topLinePunct w:val="0"/>
        <w:bidi w:val="0"/>
        <w:spacing w:line="440" w:lineRule="exact"/>
        <w:ind w:left="-2" w:leftChars="-1" w:firstLine="424" w:firstLineChars="177"/>
        <w:textAlignment w:val="auto"/>
        <w:rPr>
          <w:rFonts w:hint="eastAsia" w:ascii="宋体" w:hAnsi="宋体" w:eastAsia="宋体" w:cs="宋体"/>
          <w:color w:val="auto"/>
          <w:kern w:val="0"/>
          <w:szCs w:val="24"/>
          <w:highlight w:val="none"/>
        </w:rPr>
      </w:pPr>
      <w:r>
        <w:rPr>
          <w:rFonts w:hint="eastAsia" w:ascii="宋体" w:hAnsi="宋体" w:eastAsia="宋体" w:cs="宋体"/>
          <w:color w:val="auto"/>
          <w:szCs w:val="24"/>
          <w:highlight w:val="none"/>
        </w:rPr>
        <w:t>承包人没有正当合理的理由中途退场，除扣除合同价款20％作为履约违约金外，承包人还须</w:t>
      </w:r>
      <w:r>
        <w:rPr>
          <w:rFonts w:hint="eastAsia" w:hAnsi="宋体" w:eastAsia="宋体" w:cs="宋体"/>
          <w:color w:val="auto"/>
          <w:szCs w:val="24"/>
          <w:highlight w:val="none"/>
          <w:lang w:eastAsia="zh-CN"/>
        </w:rPr>
        <w:t>承担</w:t>
      </w:r>
      <w:r>
        <w:rPr>
          <w:rFonts w:hint="eastAsia" w:ascii="宋体" w:hAnsi="宋体" w:eastAsia="宋体" w:cs="宋体"/>
          <w:color w:val="auto"/>
          <w:szCs w:val="24"/>
          <w:highlight w:val="none"/>
        </w:rPr>
        <w:t>因其无故中途退场所造成的全部损失责任。</w:t>
      </w:r>
    </w:p>
    <w:p w14:paraId="32811AC3">
      <w:pPr>
        <w:pageBreakBefore w:val="0"/>
        <w:kinsoku/>
        <w:overflowPunct/>
        <w:topLinePunct w:val="0"/>
        <w:bidi w:val="0"/>
        <w:spacing w:line="440" w:lineRule="exact"/>
        <w:ind w:left="-2" w:leftChars="-1" w:firstLine="424" w:firstLineChars="177"/>
        <w:textAlignment w:val="auto"/>
        <w:rPr>
          <w:rFonts w:hint="eastAsia" w:ascii="宋体" w:hAnsi="宋体" w:eastAsia="宋体" w:cs="宋体"/>
          <w:color w:val="auto"/>
          <w:kern w:val="0"/>
          <w:szCs w:val="24"/>
          <w:highlight w:val="none"/>
        </w:rPr>
      </w:pPr>
      <w:r>
        <w:rPr>
          <w:rFonts w:hint="eastAsia" w:ascii="宋体" w:hAnsi="宋体" w:eastAsia="宋体" w:cs="宋体"/>
          <w:color w:val="auto"/>
          <w:kern w:val="0"/>
          <w:szCs w:val="24"/>
          <w:highlight w:val="none"/>
        </w:rPr>
        <w:t>5.8.3非承包人原因导致的合同解除或部分合同解除，承包人已经签订订货合同，但尚未进场的材料、设备；或虽已进场但发包人或监理工程师验货不合格的，解除订货合同或退货发生的费用以及因无法退货造成的损失均由承包人承担，发包人不予补偿。</w:t>
      </w:r>
    </w:p>
    <w:p w14:paraId="59A09882">
      <w:pPr>
        <w:pageBreakBefore w:val="0"/>
        <w:kinsoku/>
        <w:overflowPunct/>
        <w:topLinePunct w:val="0"/>
        <w:bidi w:val="0"/>
        <w:spacing w:line="440" w:lineRule="exact"/>
        <w:ind w:left="-2" w:leftChars="-1" w:firstLine="424" w:firstLineChars="177"/>
        <w:textAlignment w:val="auto"/>
        <w:rPr>
          <w:rFonts w:hint="eastAsia" w:ascii="宋体" w:hAnsi="宋体" w:eastAsia="宋体" w:cs="宋体"/>
          <w:color w:val="auto"/>
          <w:kern w:val="0"/>
          <w:szCs w:val="24"/>
          <w:highlight w:val="none"/>
        </w:rPr>
      </w:pPr>
      <w:r>
        <w:rPr>
          <w:rFonts w:hint="eastAsia" w:ascii="宋体" w:hAnsi="宋体" w:eastAsia="宋体" w:cs="宋体"/>
          <w:color w:val="auto"/>
          <w:kern w:val="0"/>
          <w:szCs w:val="24"/>
          <w:highlight w:val="none"/>
        </w:rPr>
        <w:t>经发包人或监理工程验货、签收，且已进场的材料设备但尚未安装的材料设备，费用由发包人承担。数量按发包人、监理工程师审核确认的数量；原投标设备材料表中已列明单价，单价按投标报价计算，原投标设备材料表中未列明单价的，按预算审定价中的材料设备价*（1－下浮率）计算。</w:t>
      </w:r>
    </w:p>
    <w:p w14:paraId="6795233D">
      <w:pPr>
        <w:pageBreakBefore w:val="0"/>
        <w:kinsoku/>
        <w:overflowPunct/>
        <w:topLinePunct w:val="0"/>
        <w:bidi w:val="0"/>
        <w:spacing w:line="440" w:lineRule="exact"/>
        <w:ind w:left="-2" w:leftChars="-1" w:firstLine="424" w:firstLineChars="177"/>
        <w:textAlignment w:val="auto"/>
        <w:rPr>
          <w:rFonts w:hint="eastAsia" w:ascii="宋体" w:hAnsi="宋体" w:eastAsia="宋体" w:cs="宋体"/>
          <w:color w:val="auto"/>
          <w:kern w:val="0"/>
          <w:szCs w:val="24"/>
          <w:highlight w:val="none"/>
        </w:rPr>
      </w:pPr>
      <w:r>
        <w:rPr>
          <w:rFonts w:hint="eastAsia" w:ascii="宋体" w:hAnsi="宋体" w:eastAsia="宋体" w:cs="宋体"/>
          <w:color w:val="auto"/>
          <w:kern w:val="0"/>
          <w:szCs w:val="24"/>
          <w:highlight w:val="none"/>
        </w:rPr>
        <w:t>5.8.4承包人的已完工程结算时间由发包人确定。按本合同结算条款约定办理结算，同时必须按合同约定扣除违约金、赔偿金。</w:t>
      </w:r>
    </w:p>
    <w:p w14:paraId="7C84B924">
      <w:pPr>
        <w:pageBreakBefore w:val="0"/>
        <w:kinsoku/>
        <w:overflowPunct/>
        <w:topLinePunct w:val="0"/>
        <w:bidi w:val="0"/>
        <w:spacing w:line="440" w:lineRule="exact"/>
        <w:ind w:left="-2" w:leftChars="-1" w:firstLine="424" w:firstLineChars="177"/>
        <w:textAlignment w:val="auto"/>
        <w:rPr>
          <w:rFonts w:hint="eastAsia" w:ascii="宋体" w:hAnsi="宋体" w:eastAsia="宋体" w:cs="宋体"/>
          <w:color w:val="auto"/>
          <w:szCs w:val="24"/>
          <w:highlight w:val="none"/>
        </w:rPr>
      </w:pPr>
      <w:r>
        <w:rPr>
          <w:rFonts w:hint="eastAsia" w:ascii="宋体" w:hAnsi="宋体" w:eastAsia="宋体" w:cs="宋体"/>
          <w:color w:val="auto"/>
          <w:kern w:val="0"/>
          <w:szCs w:val="24"/>
          <w:highlight w:val="none"/>
        </w:rPr>
        <w:t>5.8.5因承包人原因导致解除合同，发包人所遭受的一切损失，由承包人承担全部赔偿责任。</w:t>
      </w:r>
    </w:p>
    <w:p w14:paraId="52951D22">
      <w:pPr>
        <w:pageBreakBefore w:val="0"/>
        <w:kinsoku/>
        <w:overflowPunct/>
        <w:topLinePunct w:val="0"/>
        <w:bidi w:val="0"/>
        <w:adjustRightInd w:val="0"/>
        <w:snapToGrid w:val="0"/>
        <w:spacing w:line="440" w:lineRule="exact"/>
        <w:ind w:firstLine="482" w:firstLineChars="200"/>
        <w:textAlignment w:val="auto"/>
        <w:rPr>
          <w:rFonts w:hint="eastAsia" w:ascii="宋体" w:hAnsi="宋体" w:eastAsia="宋体" w:cs="宋体"/>
          <w:b/>
          <w:bCs/>
          <w:color w:val="auto"/>
          <w:szCs w:val="24"/>
          <w:highlight w:val="none"/>
        </w:rPr>
      </w:pPr>
      <w:r>
        <w:rPr>
          <w:rFonts w:hint="eastAsia" w:ascii="宋体" w:hAnsi="宋体" w:eastAsia="宋体" w:cs="宋体"/>
          <w:b/>
          <w:bCs/>
          <w:color w:val="auto"/>
          <w:szCs w:val="24"/>
          <w:highlight w:val="none"/>
        </w:rPr>
        <w:t>5.9承包人违约责任追究补充细则</w:t>
      </w:r>
    </w:p>
    <w:p w14:paraId="7D4DFDDD">
      <w:pPr>
        <w:pageBreakBefore w:val="0"/>
        <w:kinsoku/>
        <w:overflowPunct/>
        <w:topLinePunct w:val="0"/>
        <w:bidi w:val="0"/>
        <w:spacing w:line="440" w:lineRule="exact"/>
        <w:ind w:firstLine="480" w:firstLineChars="200"/>
        <w:textAlignment w:val="auto"/>
        <w:rPr>
          <w:rFonts w:hint="eastAsia" w:ascii="宋体" w:hAnsi="宋体" w:eastAsia="宋体" w:cs="宋体"/>
          <w:color w:val="auto"/>
          <w:szCs w:val="24"/>
          <w:highlight w:val="none"/>
        </w:rPr>
      </w:pPr>
      <w:r>
        <w:rPr>
          <w:rFonts w:hint="eastAsia" w:ascii="宋体" w:hAnsi="宋体" w:eastAsia="宋体" w:cs="宋体"/>
          <w:color w:val="auto"/>
          <w:szCs w:val="24"/>
          <w:highlight w:val="none"/>
        </w:rPr>
        <w:t>5.9.1工程质量达不到合同约定的质量标准承包人违约责任：如未达到合格标准，</w:t>
      </w:r>
      <w:r>
        <w:rPr>
          <w:rFonts w:hint="eastAsia" w:hAnsi="宋体" w:eastAsia="宋体" w:cs="宋体"/>
          <w:color w:val="auto"/>
          <w:szCs w:val="24"/>
          <w:highlight w:val="none"/>
          <w:lang w:eastAsia="zh-CN"/>
        </w:rPr>
        <w:t>除</w:t>
      </w:r>
      <w:r>
        <w:rPr>
          <w:rFonts w:hint="eastAsia" w:ascii="宋体" w:hAnsi="宋体" w:eastAsia="宋体" w:cs="宋体"/>
          <w:color w:val="auto"/>
          <w:szCs w:val="24"/>
          <w:highlight w:val="none"/>
        </w:rPr>
        <w:t>按合同价款的</w:t>
      </w:r>
      <w:r>
        <w:rPr>
          <w:rFonts w:hint="eastAsia" w:ascii="宋体" w:hAnsi="宋体" w:eastAsia="宋体" w:cs="宋体"/>
          <w:color w:val="auto"/>
          <w:szCs w:val="24"/>
          <w:highlight w:val="none"/>
          <w:u w:val="single"/>
        </w:rPr>
        <w:t xml:space="preserve"> 1 </w:t>
      </w:r>
      <w:r>
        <w:rPr>
          <w:rFonts w:hint="eastAsia" w:ascii="宋体" w:hAnsi="宋体" w:eastAsia="宋体" w:cs="宋体"/>
          <w:color w:val="auto"/>
          <w:szCs w:val="24"/>
          <w:highlight w:val="none"/>
        </w:rPr>
        <w:t>%向发包人</w:t>
      </w:r>
      <w:r>
        <w:rPr>
          <w:rFonts w:hint="eastAsia" w:hAnsi="宋体" w:eastAsia="宋体" w:cs="宋体"/>
          <w:color w:val="auto"/>
          <w:szCs w:val="24"/>
          <w:highlight w:val="none"/>
          <w:lang w:eastAsia="zh-CN"/>
        </w:rPr>
        <w:t>返还</w:t>
      </w:r>
      <w:r>
        <w:rPr>
          <w:rFonts w:hint="eastAsia" w:ascii="宋体" w:hAnsi="宋体" w:eastAsia="宋体" w:cs="宋体"/>
          <w:color w:val="auto"/>
          <w:szCs w:val="24"/>
          <w:highlight w:val="none"/>
        </w:rPr>
        <w:t>质量违约金外，发包人有权利选择以下方式返工或修复，承包人不得异议：</w:t>
      </w:r>
    </w:p>
    <w:p w14:paraId="16C93157">
      <w:pPr>
        <w:pageBreakBefore w:val="0"/>
        <w:kinsoku/>
        <w:overflowPunct/>
        <w:topLinePunct w:val="0"/>
        <w:bidi w:val="0"/>
        <w:spacing w:line="440" w:lineRule="exact"/>
        <w:ind w:firstLine="480" w:firstLineChars="200"/>
        <w:textAlignment w:val="auto"/>
        <w:rPr>
          <w:rFonts w:hint="eastAsia" w:ascii="宋体" w:hAnsi="宋体" w:eastAsia="宋体" w:cs="宋体"/>
          <w:color w:val="auto"/>
          <w:szCs w:val="24"/>
          <w:highlight w:val="none"/>
        </w:rPr>
      </w:pPr>
      <w:r>
        <w:rPr>
          <w:rFonts w:hint="eastAsia" w:ascii="宋体" w:hAnsi="宋体" w:eastAsia="宋体" w:cs="宋体"/>
          <w:color w:val="auto"/>
          <w:szCs w:val="24"/>
          <w:highlight w:val="none"/>
        </w:rPr>
        <w:t>（1）发包人要求承包人在监理工程师和发包人要求的合理时间内，完成质量不合格工程的返工或修复工作，直至合同约定的质量标准，由此造成的工期延误和所有费用，全部由承包人承担；</w:t>
      </w:r>
    </w:p>
    <w:p w14:paraId="7DB1D314">
      <w:pPr>
        <w:pageBreakBefore w:val="0"/>
        <w:kinsoku/>
        <w:overflowPunct/>
        <w:topLinePunct w:val="0"/>
        <w:bidi w:val="0"/>
        <w:spacing w:line="440" w:lineRule="exact"/>
        <w:ind w:firstLine="480" w:firstLineChars="200"/>
        <w:textAlignment w:val="auto"/>
        <w:rPr>
          <w:rFonts w:hint="eastAsia" w:ascii="宋体" w:hAnsi="宋体" w:eastAsia="宋体" w:cs="宋体"/>
          <w:color w:val="auto"/>
          <w:szCs w:val="24"/>
          <w:highlight w:val="none"/>
        </w:rPr>
      </w:pPr>
      <w:r>
        <w:rPr>
          <w:rFonts w:hint="eastAsia" w:ascii="宋体" w:hAnsi="宋体" w:eastAsia="宋体" w:cs="宋体"/>
          <w:color w:val="auto"/>
          <w:szCs w:val="24"/>
          <w:highlight w:val="none"/>
        </w:rPr>
        <w:t>（2）发包人直接委托</w:t>
      </w:r>
      <w:r>
        <w:rPr>
          <w:rFonts w:hint="eastAsia" w:hAnsi="宋体" w:eastAsia="宋体" w:cs="宋体"/>
          <w:color w:val="auto"/>
          <w:szCs w:val="24"/>
          <w:highlight w:val="none"/>
          <w:lang w:eastAsia="zh-CN"/>
        </w:rPr>
        <w:t>其他</w:t>
      </w:r>
      <w:r>
        <w:rPr>
          <w:rFonts w:hint="eastAsia" w:ascii="宋体" w:hAnsi="宋体" w:eastAsia="宋体" w:cs="宋体"/>
          <w:color w:val="auto"/>
          <w:szCs w:val="24"/>
          <w:highlight w:val="none"/>
        </w:rPr>
        <w:t>承包人完成质量不合格部分工程的返工或修复工作，由此造成的工期延误和所有费用，全部由承包人承担。</w:t>
      </w:r>
    </w:p>
    <w:p w14:paraId="6C2544B6">
      <w:pPr>
        <w:pageBreakBefore w:val="0"/>
        <w:kinsoku/>
        <w:overflowPunct/>
        <w:topLinePunct w:val="0"/>
        <w:bidi w:val="0"/>
        <w:spacing w:line="440" w:lineRule="exact"/>
        <w:ind w:firstLine="480" w:firstLineChars="200"/>
        <w:textAlignment w:val="auto"/>
        <w:rPr>
          <w:rFonts w:hint="eastAsia" w:ascii="宋体" w:hAnsi="宋体" w:eastAsia="宋体" w:cs="宋体"/>
          <w:color w:val="auto"/>
          <w:szCs w:val="24"/>
          <w:highlight w:val="none"/>
        </w:rPr>
      </w:pPr>
      <w:r>
        <w:rPr>
          <w:rFonts w:hint="eastAsia" w:ascii="宋体" w:hAnsi="宋体" w:eastAsia="宋体" w:cs="宋体"/>
          <w:color w:val="auto"/>
          <w:szCs w:val="24"/>
          <w:highlight w:val="none"/>
        </w:rPr>
        <w:t>（3）无论采取以上何种方式返工或修复，发包人均有权提请建设行政主管部门对其作不良行为记录，有权给予承包人履约评价为不合格。</w:t>
      </w:r>
    </w:p>
    <w:p w14:paraId="7D2F1FE6">
      <w:pPr>
        <w:pageBreakBefore w:val="0"/>
        <w:kinsoku/>
        <w:overflowPunct/>
        <w:topLinePunct w:val="0"/>
        <w:bidi w:val="0"/>
        <w:adjustRightInd w:val="0"/>
        <w:snapToGrid w:val="0"/>
        <w:spacing w:line="440" w:lineRule="exact"/>
        <w:ind w:firstLine="480" w:firstLineChars="200"/>
        <w:textAlignment w:val="auto"/>
        <w:rPr>
          <w:rFonts w:hint="eastAsia" w:ascii="宋体" w:hAnsi="宋体" w:eastAsia="宋体" w:cs="宋体"/>
          <w:color w:val="auto"/>
          <w:szCs w:val="24"/>
          <w:highlight w:val="none"/>
        </w:rPr>
      </w:pPr>
      <w:r>
        <w:rPr>
          <w:rFonts w:hint="eastAsia" w:ascii="宋体" w:hAnsi="宋体" w:eastAsia="宋体" w:cs="宋体"/>
          <w:color w:val="auto"/>
          <w:szCs w:val="24"/>
          <w:highlight w:val="none"/>
        </w:rPr>
        <w:t>5.9.2承包人违反本合同的约定，应当按约定向发包人承担相应的违约责任。本合同违约责任形式按以下情况分类：</w:t>
      </w:r>
    </w:p>
    <w:p w14:paraId="04E99ADD">
      <w:pPr>
        <w:pageBreakBefore w:val="0"/>
        <w:kinsoku/>
        <w:overflowPunct/>
        <w:topLinePunct w:val="0"/>
        <w:bidi w:val="0"/>
        <w:adjustRightInd w:val="0"/>
        <w:snapToGrid w:val="0"/>
        <w:spacing w:line="440" w:lineRule="exact"/>
        <w:textAlignment w:val="auto"/>
        <w:rPr>
          <w:rFonts w:hint="eastAsia" w:ascii="宋体" w:hAnsi="宋体" w:eastAsia="宋体" w:cs="宋体"/>
          <w:color w:val="auto"/>
          <w:szCs w:val="24"/>
          <w:highlight w:val="none"/>
        </w:rPr>
      </w:pPr>
      <w:r>
        <w:rPr>
          <w:rFonts w:hint="eastAsia" w:ascii="宋体" w:hAnsi="宋体" w:eastAsia="宋体" w:cs="宋体"/>
          <w:color w:val="auto"/>
          <w:szCs w:val="24"/>
          <w:highlight w:val="none"/>
        </w:rPr>
        <w:t xml:space="preserve">    （1） 限期改正。承包人未履行或未按时履行或未按质履行义务时，发包人有权提出书面警告，承包人必须在发包人限定的时间内履行义务。每一次书面警告扣除违约金人民币壹仟元（￥1000）。</w:t>
      </w:r>
    </w:p>
    <w:p w14:paraId="6C679062">
      <w:pPr>
        <w:pageBreakBefore w:val="0"/>
        <w:kinsoku/>
        <w:overflowPunct/>
        <w:topLinePunct w:val="0"/>
        <w:bidi w:val="0"/>
        <w:adjustRightInd w:val="0"/>
        <w:snapToGrid w:val="0"/>
        <w:spacing w:line="440" w:lineRule="exact"/>
        <w:ind w:firstLine="480" w:firstLineChars="200"/>
        <w:textAlignment w:val="auto"/>
        <w:rPr>
          <w:rFonts w:hint="eastAsia" w:ascii="宋体" w:hAnsi="宋体" w:eastAsia="宋体" w:cs="宋体"/>
          <w:color w:val="auto"/>
          <w:szCs w:val="24"/>
          <w:highlight w:val="none"/>
        </w:rPr>
      </w:pPr>
      <w:r>
        <w:rPr>
          <w:rFonts w:hint="eastAsia" w:ascii="宋体" w:hAnsi="宋体" w:eastAsia="宋体" w:cs="宋体"/>
          <w:color w:val="auto"/>
          <w:szCs w:val="24"/>
          <w:highlight w:val="none"/>
        </w:rPr>
        <w:t>（2）一般违约责任。承包人按本合同约定应当承担一般违约责任时，在发包人提出书面警告或通知后扣除违约金人民币伍仟元（￥5000）/次。合同另有约定的除外。</w:t>
      </w:r>
    </w:p>
    <w:p w14:paraId="694B74D7">
      <w:pPr>
        <w:pageBreakBefore w:val="0"/>
        <w:kinsoku/>
        <w:overflowPunct/>
        <w:topLinePunct w:val="0"/>
        <w:bidi w:val="0"/>
        <w:adjustRightInd w:val="0"/>
        <w:snapToGrid w:val="0"/>
        <w:spacing w:line="440" w:lineRule="exact"/>
        <w:textAlignment w:val="auto"/>
        <w:rPr>
          <w:rFonts w:hint="eastAsia" w:ascii="宋体" w:hAnsi="宋体" w:eastAsia="宋体" w:cs="宋体"/>
          <w:color w:val="auto"/>
          <w:szCs w:val="24"/>
          <w:highlight w:val="none"/>
        </w:rPr>
      </w:pPr>
      <w:r>
        <w:rPr>
          <w:rFonts w:hint="eastAsia" w:ascii="宋体" w:hAnsi="宋体" w:eastAsia="宋体" w:cs="宋体"/>
          <w:color w:val="auto"/>
          <w:szCs w:val="24"/>
          <w:highlight w:val="none"/>
        </w:rPr>
        <w:t xml:space="preserve">    （3）严重违约责任。承包人按本合同约定应当承担严重违约责任时，在发包人提出书面警告或通知后扣除违约金伍万元（￥50000）/次。合同另有约定的除外。</w:t>
      </w:r>
    </w:p>
    <w:p w14:paraId="259BB600">
      <w:pPr>
        <w:pageBreakBefore w:val="0"/>
        <w:kinsoku/>
        <w:overflowPunct/>
        <w:topLinePunct w:val="0"/>
        <w:bidi w:val="0"/>
        <w:adjustRightInd w:val="0"/>
        <w:snapToGrid w:val="0"/>
        <w:spacing w:line="440" w:lineRule="exact"/>
        <w:ind w:firstLine="480" w:firstLineChars="200"/>
        <w:textAlignment w:val="auto"/>
        <w:rPr>
          <w:rFonts w:hint="eastAsia" w:ascii="宋体" w:hAnsi="宋体" w:eastAsia="宋体" w:cs="宋体"/>
          <w:color w:val="auto"/>
          <w:szCs w:val="24"/>
          <w:highlight w:val="none"/>
        </w:rPr>
      </w:pPr>
      <w:r>
        <w:rPr>
          <w:rFonts w:hint="eastAsia" w:ascii="宋体" w:hAnsi="宋体" w:eastAsia="宋体" w:cs="宋体"/>
          <w:color w:val="auto"/>
          <w:szCs w:val="24"/>
          <w:highlight w:val="none"/>
        </w:rPr>
        <w:t>（4）部分解除合同。三次受到发包人书面警告，发包人有权直接解除合同或部分解除合同，按承包人违约解除合同的条款执行。</w:t>
      </w:r>
    </w:p>
    <w:p w14:paraId="3FC83E89">
      <w:pPr>
        <w:pageBreakBefore w:val="0"/>
        <w:kinsoku/>
        <w:overflowPunct/>
        <w:topLinePunct w:val="0"/>
        <w:bidi w:val="0"/>
        <w:adjustRightInd w:val="0"/>
        <w:snapToGrid w:val="0"/>
        <w:spacing w:line="440" w:lineRule="exact"/>
        <w:ind w:firstLine="480" w:firstLineChars="200"/>
        <w:textAlignment w:val="auto"/>
        <w:rPr>
          <w:rFonts w:hint="eastAsia" w:ascii="宋体" w:hAnsi="宋体" w:eastAsia="宋体" w:cs="宋体"/>
          <w:color w:val="auto"/>
          <w:szCs w:val="24"/>
          <w:highlight w:val="none"/>
        </w:rPr>
      </w:pPr>
      <w:r>
        <w:rPr>
          <w:rFonts w:hint="eastAsia" w:ascii="宋体" w:hAnsi="宋体" w:eastAsia="宋体" w:cs="宋体"/>
          <w:color w:val="auto"/>
          <w:szCs w:val="24"/>
          <w:highlight w:val="none"/>
        </w:rPr>
        <w:t>5.9.3三次限期改正责任相当于一次一般违约责任，三次一般违约责任相当于一次严重违约责任；累计三次严重违约责任，发包人有权单方部分解除合同；累计五次严重违约责任，发包人有权全部解除合同。合同另有约定的除外。</w:t>
      </w:r>
    </w:p>
    <w:p w14:paraId="3EDDFA04">
      <w:pPr>
        <w:pageBreakBefore w:val="0"/>
        <w:kinsoku/>
        <w:overflowPunct/>
        <w:topLinePunct w:val="0"/>
        <w:bidi w:val="0"/>
        <w:adjustRightInd w:val="0"/>
        <w:snapToGrid w:val="0"/>
        <w:spacing w:line="440" w:lineRule="exact"/>
        <w:ind w:firstLine="480" w:firstLineChars="200"/>
        <w:textAlignment w:val="auto"/>
        <w:rPr>
          <w:rFonts w:hint="eastAsia" w:ascii="宋体" w:hAnsi="宋体" w:eastAsia="宋体" w:cs="宋体"/>
          <w:color w:val="auto"/>
          <w:szCs w:val="24"/>
          <w:highlight w:val="none"/>
        </w:rPr>
      </w:pPr>
      <w:r>
        <w:rPr>
          <w:rFonts w:hint="eastAsia" w:ascii="宋体" w:hAnsi="宋体" w:eastAsia="宋体" w:cs="宋体"/>
          <w:color w:val="auto"/>
          <w:szCs w:val="24"/>
          <w:highlight w:val="none"/>
        </w:rPr>
        <w:t>5.9.4承包人未按合同要求建立组织架构、派驻项目管理人员和投入设备，承包人必须按发包人要求限期整改，并承担相应违约责任。具体约定为：</w:t>
      </w:r>
    </w:p>
    <w:p w14:paraId="479A7F6B">
      <w:pPr>
        <w:pageBreakBefore w:val="0"/>
        <w:kinsoku/>
        <w:overflowPunct/>
        <w:topLinePunct w:val="0"/>
        <w:bidi w:val="0"/>
        <w:adjustRightInd w:val="0"/>
        <w:snapToGrid w:val="0"/>
        <w:spacing w:line="440" w:lineRule="exact"/>
        <w:textAlignment w:val="auto"/>
        <w:rPr>
          <w:rFonts w:hint="eastAsia" w:ascii="宋体" w:hAnsi="宋体" w:eastAsia="宋体" w:cs="宋体"/>
          <w:color w:val="auto"/>
          <w:szCs w:val="24"/>
          <w:highlight w:val="none"/>
        </w:rPr>
      </w:pPr>
      <w:r>
        <w:rPr>
          <w:rFonts w:hint="eastAsia" w:ascii="宋体" w:hAnsi="宋体" w:eastAsia="宋体" w:cs="宋体"/>
          <w:color w:val="auto"/>
          <w:szCs w:val="24"/>
          <w:highlight w:val="none"/>
        </w:rPr>
        <w:t xml:space="preserve">   （1）在中标通知书发出后3日内，承包人承诺的项目技术负责人（总工）不到位，或到位后又离开，造成该岗位空缺。发包人一旦发现，将要求承包人做出书面解释并保证限期到位，同时将承担一般违约责任1次；若承包人拒不配合，未在发包人提出限期改正的期限内进行整改的，应承担严重违约责任1次，发包人有权单方提出解除合同，并要求承包人承担由此造成的一切损失。</w:t>
      </w:r>
    </w:p>
    <w:p w14:paraId="65FA64CB">
      <w:pPr>
        <w:pageBreakBefore w:val="0"/>
        <w:kinsoku/>
        <w:overflowPunct/>
        <w:topLinePunct w:val="0"/>
        <w:bidi w:val="0"/>
        <w:adjustRightInd w:val="0"/>
        <w:snapToGrid w:val="0"/>
        <w:spacing w:line="440" w:lineRule="exact"/>
        <w:textAlignment w:val="auto"/>
        <w:rPr>
          <w:rFonts w:hint="eastAsia" w:ascii="宋体" w:hAnsi="宋体" w:eastAsia="宋体" w:cs="宋体"/>
          <w:color w:val="auto"/>
          <w:szCs w:val="24"/>
          <w:highlight w:val="none"/>
        </w:rPr>
      </w:pPr>
      <w:r>
        <w:rPr>
          <w:rFonts w:hint="eastAsia" w:ascii="宋体" w:hAnsi="宋体" w:eastAsia="宋体" w:cs="宋体"/>
          <w:color w:val="auto"/>
          <w:szCs w:val="24"/>
          <w:highlight w:val="none"/>
        </w:rPr>
        <w:t xml:space="preserve">    （2）在规定的时间内施工人员和设备进场后3日内，承包人在投标文件中承诺的其他主要管理人员未能足额到位，或到位后又离开，造成该岗位空缺，以及未按承诺依时、足额投入有关设备，发包人一旦发现将要求承包人做出书面解释并保证人员、设备限期到位。上述情况每发生1次，承包人应承担限期改正责任1次。如果承包人拒不配合，未在发包人提出限期改正的期限内进行整改的，承包人应承担一般违约责任1次，连续</w:t>
      </w:r>
      <w:r>
        <w:rPr>
          <w:rFonts w:hint="eastAsia" w:hAnsi="宋体" w:eastAsia="宋体" w:cs="宋体"/>
          <w:color w:val="auto"/>
          <w:szCs w:val="24"/>
          <w:highlight w:val="none"/>
          <w:lang w:eastAsia="zh-CN"/>
        </w:rPr>
        <w:t>两次</w:t>
      </w:r>
      <w:r>
        <w:rPr>
          <w:rFonts w:hint="eastAsia" w:ascii="宋体" w:hAnsi="宋体" w:eastAsia="宋体" w:cs="宋体"/>
          <w:color w:val="auto"/>
          <w:szCs w:val="24"/>
          <w:highlight w:val="none"/>
        </w:rPr>
        <w:t>书面通知整改拒不配合的，承包人应承担严重违约责任1次。</w:t>
      </w:r>
    </w:p>
    <w:p w14:paraId="051E5CBB">
      <w:pPr>
        <w:pageBreakBefore w:val="0"/>
        <w:kinsoku/>
        <w:overflowPunct/>
        <w:topLinePunct w:val="0"/>
        <w:bidi w:val="0"/>
        <w:adjustRightInd w:val="0"/>
        <w:snapToGrid w:val="0"/>
        <w:spacing w:line="440" w:lineRule="exact"/>
        <w:ind w:firstLine="480" w:firstLineChars="200"/>
        <w:textAlignment w:val="auto"/>
        <w:rPr>
          <w:rFonts w:hint="eastAsia" w:ascii="宋体" w:hAnsi="宋体" w:eastAsia="宋体" w:cs="宋体"/>
          <w:color w:val="auto"/>
          <w:szCs w:val="24"/>
          <w:highlight w:val="none"/>
        </w:rPr>
      </w:pPr>
      <w:r>
        <w:rPr>
          <w:rFonts w:hint="eastAsia" w:ascii="宋体" w:hAnsi="宋体" w:eastAsia="宋体" w:cs="宋体"/>
          <w:color w:val="auto"/>
          <w:szCs w:val="24"/>
          <w:highlight w:val="none"/>
        </w:rPr>
        <w:t>5.9.5承包人如需要调换除项目经理外的其他主要管理人员，必须事先征得发包人书面同意。如承包人未经发包人书面同意，擅自调换项目主要管理人员，除必须限期改正外，承包人必须承担严重违约责任，发包人有权暂停支付工程款，并保留索赔的权利。</w:t>
      </w:r>
    </w:p>
    <w:p w14:paraId="12921603">
      <w:pPr>
        <w:pageBreakBefore w:val="0"/>
        <w:kinsoku/>
        <w:overflowPunct/>
        <w:topLinePunct w:val="0"/>
        <w:bidi w:val="0"/>
        <w:adjustRightInd w:val="0"/>
        <w:snapToGrid w:val="0"/>
        <w:spacing w:line="440" w:lineRule="exact"/>
        <w:ind w:firstLine="480" w:firstLineChars="200"/>
        <w:textAlignment w:val="auto"/>
        <w:rPr>
          <w:rFonts w:hint="eastAsia" w:ascii="宋体" w:hAnsi="宋体" w:eastAsia="宋体" w:cs="宋体"/>
          <w:color w:val="auto"/>
          <w:szCs w:val="24"/>
          <w:highlight w:val="none"/>
        </w:rPr>
      </w:pPr>
      <w:r>
        <w:rPr>
          <w:rFonts w:hint="eastAsia" w:ascii="宋体" w:hAnsi="宋体" w:eastAsia="宋体" w:cs="宋体"/>
          <w:color w:val="auto"/>
          <w:szCs w:val="24"/>
          <w:highlight w:val="none"/>
        </w:rPr>
        <w:t>5.9.6除项目经理外的其他主要管理人员需离开施工现场3日以上（含3日）需报发包人批准。在其请假离开的时间段内应书面委托其他驻场管理人员全权代表其行使相应职权。否则，每违约一次，承包人应当承担限期整改责任1次。在国家法定节假日期间，承包人应做好管理人员的轮休，并保证现场管理人员不少于3名。在工程实施期间，承包人应对现场主要管理人员进行考勤，并在每月1日前将前一月考勤表报送甲方审核。现场主要管理人员出勤天数均不得少于22天，若少于22天将按每缺勤一天扣减工程费用叁仟元（￥3000）/每人次处理。</w:t>
      </w:r>
    </w:p>
    <w:p w14:paraId="74825F74">
      <w:pPr>
        <w:pageBreakBefore w:val="0"/>
        <w:kinsoku/>
        <w:overflowPunct/>
        <w:topLinePunct w:val="0"/>
        <w:bidi w:val="0"/>
        <w:adjustRightInd w:val="0"/>
        <w:snapToGrid w:val="0"/>
        <w:spacing w:line="440" w:lineRule="exact"/>
        <w:ind w:firstLine="480" w:firstLineChars="200"/>
        <w:textAlignment w:val="auto"/>
        <w:rPr>
          <w:rFonts w:hint="eastAsia" w:ascii="宋体" w:hAnsi="宋体" w:eastAsia="宋体" w:cs="宋体"/>
          <w:color w:val="auto"/>
          <w:szCs w:val="24"/>
          <w:highlight w:val="none"/>
        </w:rPr>
      </w:pPr>
      <w:r>
        <w:rPr>
          <w:rFonts w:hint="eastAsia" w:ascii="宋体" w:hAnsi="宋体" w:eastAsia="宋体" w:cs="宋体"/>
          <w:color w:val="auto"/>
          <w:szCs w:val="24"/>
          <w:highlight w:val="none"/>
        </w:rPr>
        <w:t>5.9.7承包人项目经理和主要管理人员的考勤实行实名制打卡，承包人项目经理和主要管理人员的考勤若发现有弄虚作假行为，发现一次，承包人应承担一般违约责任1次。</w:t>
      </w:r>
    </w:p>
    <w:p w14:paraId="10E5E25B">
      <w:pPr>
        <w:pageBreakBefore w:val="0"/>
        <w:kinsoku/>
        <w:overflowPunct/>
        <w:topLinePunct w:val="0"/>
        <w:bidi w:val="0"/>
        <w:adjustRightInd w:val="0"/>
        <w:snapToGrid w:val="0"/>
        <w:spacing w:line="440" w:lineRule="exact"/>
        <w:ind w:firstLine="480" w:firstLineChars="200"/>
        <w:textAlignment w:val="auto"/>
        <w:rPr>
          <w:rFonts w:hint="eastAsia" w:ascii="宋体" w:hAnsi="宋体" w:eastAsia="宋体" w:cs="宋体"/>
          <w:color w:val="auto"/>
          <w:szCs w:val="24"/>
          <w:highlight w:val="none"/>
        </w:rPr>
      </w:pPr>
      <w:r>
        <w:rPr>
          <w:rFonts w:hint="eastAsia" w:ascii="宋体" w:hAnsi="宋体" w:eastAsia="宋体" w:cs="宋体"/>
          <w:color w:val="auto"/>
          <w:szCs w:val="24"/>
          <w:highlight w:val="none"/>
        </w:rPr>
        <w:t>5.9.8对于难以胜任工作的承包人管理人员和主要操作技术人员，发包人有权要求承包人进行更换，直至发包人满意为止，且更换人员应在接到书面通知后的3天内到位。</w:t>
      </w:r>
    </w:p>
    <w:p w14:paraId="0972E7EE">
      <w:pPr>
        <w:pageBreakBefore w:val="0"/>
        <w:kinsoku/>
        <w:overflowPunct/>
        <w:topLinePunct w:val="0"/>
        <w:bidi w:val="0"/>
        <w:adjustRightInd w:val="0"/>
        <w:snapToGrid w:val="0"/>
        <w:spacing w:line="440" w:lineRule="exact"/>
        <w:ind w:firstLine="480" w:firstLineChars="200"/>
        <w:textAlignment w:val="auto"/>
        <w:rPr>
          <w:rFonts w:hint="eastAsia" w:ascii="宋体" w:hAnsi="宋体" w:eastAsia="宋体" w:cs="宋体"/>
          <w:color w:val="auto"/>
          <w:szCs w:val="24"/>
          <w:highlight w:val="none"/>
        </w:rPr>
      </w:pPr>
      <w:r>
        <w:rPr>
          <w:rFonts w:hint="eastAsia" w:ascii="宋体" w:hAnsi="宋体" w:eastAsia="宋体" w:cs="宋体"/>
          <w:color w:val="auto"/>
          <w:szCs w:val="24"/>
          <w:highlight w:val="none"/>
        </w:rPr>
        <w:t>5.9.9承包人未按招标文件及合同要求按期提交发包人工程指挥部所需要的各项设施，应承担限期整改责任1次，若限期整改仍不提交，应承担一般违约责任1次，发包人有权自行安排临时设施的建设，所有费用由承包人工程费用中扣减。</w:t>
      </w:r>
    </w:p>
    <w:p w14:paraId="120A17AB">
      <w:pPr>
        <w:pageBreakBefore w:val="0"/>
        <w:kinsoku/>
        <w:overflowPunct/>
        <w:topLinePunct w:val="0"/>
        <w:bidi w:val="0"/>
        <w:adjustRightInd w:val="0"/>
        <w:snapToGrid w:val="0"/>
        <w:spacing w:line="440" w:lineRule="exact"/>
        <w:ind w:firstLine="480" w:firstLineChars="200"/>
        <w:textAlignment w:val="auto"/>
        <w:rPr>
          <w:rFonts w:hint="eastAsia" w:ascii="宋体" w:hAnsi="宋体" w:eastAsia="宋体" w:cs="宋体"/>
          <w:color w:val="auto"/>
          <w:szCs w:val="24"/>
          <w:highlight w:val="none"/>
        </w:rPr>
      </w:pPr>
      <w:r>
        <w:rPr>
          <w:rFonts w:hint="eastAsia" w:ascii="宋体" w:hAnsi="宋体" w:eastAsia="宋体" w:cs="宋体"/>
          <w:color w:val="auto"/>
          <w:szCs w:val="24"/>
          <w:highlight w:val="none"/>
        </w:rPr>
        <w:t>5.9.10承包人未按合同及投标书所作的承诺投入机械、设备、材料等，被监理工程师或发包人发现后，承包人除必须限期改正外，应承担限期改正责任1次。</w:t>
      </w:r>
    </w:p>
    <w:p w14:paraId="60FBEFD5">
      <w:pPr>
        <w:pageBreakBefore w:val="0"/>
        <w:kinsoku/>
        <w:overflowPunct/>
        <w:topLinePunct w:val="0"/>
        <w:bidi w:val="0"/>
        <w:adjustRightInd w:val="0"/>
        <w:snapToGrid w:val="0"/>
        <w:spacing w:line="440" w:lineRule="exact"/>
        <w:ind w:firstLine="480" w:firstLineChars="200"/>
        <w:textAlignment w:val="auto"/>
        <w:rPr>
          <w:rFonts w:hint="eastAsia" w:ascii="宋体" w:hAnsi="宋体" w:eastAsia="宋体" w:cs="宋体"/>
          <w:color w:val="auto"/>
          <w:szCs w:val="24"/>
          <w:highlight w:val="none"/>
        </w:rPr>
      </w:pPr>
      <w:r>
        <w:rPr>
          <w:rFonts w:hint="eastAsia" w:ascii="宋体" w:hAnsi="宋体" w:eastAsia="宋体" w:cs="宋体"/>
          <w:color w:val="auto"/>
          <w:szCs w:val="24"/>
          <w:highlight w:val="none"/>
        </w:rPr>
        <w:t>5.9.11工程承包人每次的进场材料，若出现不合格材料使用于工程上并造成质量缺陷，承包人必须承担一般违约责任1次。若出现质量事故或经济损失一次人民币壹拾万元（￥100,000）以上的，必须承担严重违约责任1次。造成重大质量安全事故（按国家安监部门规定界定），发包人视情况部分或全部解除合同。同时，发包人有权追究当事人和承包人的法律责任。</w:t>
      </w:r>
    </w:p>
    <w:p w14:paraId="1A9758BF">
      <w:pPr>
        <w:pageBreakBefore w:val="0"/>
        <w:kinsoku/>
        <w:overflowPunct/>
        <w:topLinePunct w:val="0"/>
        <w:bidi w:val="0"/>
        <w:adjustRightInd w:val="0"/>
        <w:snapToGrid w:val="0"/>
        <w:spacing w:line="440" w:lineRule="exact"/>
        <w:ind w:firstLine="480" w:firstLineChars="200"/>
        <w:textAlignment w:val="auto"/>
        <w:rPr>
          <w:rFonts w:hint="eastAsia" w:ascii="宋体" w:hAnsi="宋体" w:eastAsia="宋体" w:cs="宋体"/>
          <w:color w:val="auto"/>
          <w:szCs w:val="24"/>
          <w:highlight w:val="none"/>
        </w:rPr>
      </w:pPr>
      <w:r>
        <w:rPr>
          <w:rFonts w:hint="eastAsia" w:ascii="宋体" w:hAnsi="宋体" w:eastAsia="宋体" w:cs="宋体"/>
          <w:color w:val="auto"/>
          <w:szCs w:val="24"/>
          <w:highlight w:val="none"/>
        </w:rPr>
        <w:t>5.9.12承包人的工程质量，经监理工程师、发包人或工程质量监督机构抽查，发现质量有不合格</w:t>
      </w:r>
      <w:r>
        <w:rPr>
          <w:rFonts w:hint="eastAsia" w:hAnsi="宋体" w:eastAsia="宋体" w:cs="宋体"/>
          <w:color w:val="auto"/>
          <w:szCs w:val="24"/>
          <w:highlight w:val="none"/>
          <w:lang w:eastAsia="zh-CN"/>
        </w:rPr>
        <w:t>或</w:t>
      </w:r>
      <w:r>
        <w:rPr>
          <w:rFonts w:hint="eastAsia" w:ascii="宋体" w:hAnsi="宋体" w:eastAsia="宋体" w:cs="宋体"/>
          <w:color w:val="auto"/>
          <w:szCs w:val="24"/>
          <w:highlight w:val="none"/>
        </w:rPr>
        <w:t>未按设计要求和有关规范进行施工的，每发现一处承包人应承担一般违约责任1次；出现大面积质量不合格（占比达30％及以上），每发现一处承包人应承担严重违约责任1次，发包人将情况通报纪检监察和建设行政主管部门，必要时申请调查责任相关人员，且承包人应赔偿发包人的经济损失。</w:t>
      </w:r>
    </w:p>
    <w:p w14:paraId="0BA578E3">
      <w:pPr>
        <w:pageBreakBefore w:val="0"/>
        <w:kinsoku/>
        <w:overflowPunct/>
        <w:topLinePunct w:val="0"/>
        <w:bidi w:val="0"/>
        <w:adjustRightInd w:val="0"/>
        <w:snapToGrid w:val="0"/>
        <w:spacing w:line="440" w:lineRule="exact"/>
        <w:ind w:firstLine="480" w:firstLineChars="200"/>
        <w:textAlignment w:val="auto"/>
        <w:rPr>
          <w:rFonts w:hint="eastAsia" w:ascii="宋体" w:hAnsi="宋体" w:eastAsia="宋体" w:cs="宋体"/>
          <w:color w:val="auto"/>
          <w:szCs w:val="24"/>
          <w:highlight w:val="none"/>
        </w:rPr>
      </w:pPr>
      <w:r>
        <w:rPr>
          <w:rFonts w:hint="eastAsia" w:ascii="宋体" w:hAnsi="宋体" w:eastAsia="宋体" w:cs="宋体"/>
          <w:color w:val="auto"/>
          <w:szCs w:val="24"/>
          <w:highlight w:val="none"/>
        </w:rPr>
        <w:t>5.9.13承包人没有按投标承诺和有关规定做好文明施工措施及安全生产，当发生包括但不限于以下情况：工人不统一着装、施工临时材料如脚手架、泥网等过于陈旧、现场垃圾未安排专人清理、现场排水不畅污水横流、交通组织不力现场交通严重拥挤、材料设备堆放混乱、安全防护不符合要求、既有管线被破坏、野蛮施工造成周边环境破坏及警示安全标志不齐等，被监理工程师、发包人发现后，承包人除必须限期改正外， 每发生一次（或一处），承包人必须承担限期改正责任1次。由此而被上级主管部门通报批评、被新闻媒体曝光的，承包人应承担一般违约责任1次；若由此发生安全生产事故，承包人应承担严重违约责任1次；造成严重安全事故等情节严重的，发包人有权部分或全部解除合同。</w:t>
      </w:r>
    </w:p>
    <w:p w14:paraId="4337A48E">
      <w:pPr>
        <w:pageBreakBefore w:val="0"/>
        <w:kinsoku/>
        <w:overflowPunct/>
        <w:topLinePunct w:val="0"/>
        <w:bidi w:val="0"/>
        <w:adjustRightInd w:val="0"/>
        <w:snapToGrid w:val="0"/>
        <w:spacing w:line="440" w:lineRule="exact"/>
        <w:ind w:firstLine="480" w:firstLineChars="200"/>
        <w:textAlignment w:val="auto"/>
        <w:rPr>
          <w:rFonts w:hint="eastAsia" w:ascii="宋体" w:hAnsi="宋体" w:eastAsia="宋体" w:cs="宋体"/>
          <w:color w:val="auto"/>
          <w:szCs w:val="24"/>
          <w:highlight w:val="none"/>
        </w:rPr>
      </w:pPr>
      <w:r>
        <w:rPr>
          <w:rFonts w:hint="eastAsia" w:ascii="宋体" w:hAnsi="宋体" w:eastAsia="宋体" w:cs="宋体"/>
          <w:color w:val="auto"/>
          <w:szCs w:val="24"/>
          <w:highlight w:val="none"/>
        </w:rPr>
        <w:t>5.9.14因承包人原因造成工程投资增加的，承包人应赔偿发包人由此遭受的实际损失，情况严重时发包人有权单方解除本施工合同。</w:t>
      </w:r>
    </w:p>
    <w:p w14:paraId="68A57778">
      <w:pPr>
        <w:pageBreakBefore w:val="0"/>
        <w:kinsoku/>
        <w:overflowPunct/>
        <w:topLinePunct w:val="0"/>
        <w:bidi w:val="0"/>
        <w:adjustRightInd w:val="0"/>
        <w:snapToGrid w:val="0"/>
        <w:spacing w:line="440" w:lineRule="exact"/>
        <w:ind w:firstLine="480" w:firstLineChars="200"/>
        <w:textAlignment w:val="auto"/>
        <w:rPr>
          <w:rFonts w:hint="eastAsia" w:ascii="宋体" w:hAnsi="宋体" w:eastAsia="宋体" w:cs="宋体"/>
          <w:color w:val="auto"/>
          <w:szCs w:val="24"/>
          <w:highlight w:val="none"/>
        </w:rPr>
      </w:pPr>
      <w:r>
        <w:rPr>
          <w:rFonts w:hint="eastAsia" w:ascii="宋体" w:hAnsi="宋体" w:eastAsia="宋体" w:cs="宋体"/>
          <w:color w:val="auto"/>
          <w:szCs w:val="24"/>
          <w:highlight w:val="none"/>
        </w:rPr>
        <w:t>（1）若因承包人未按设计规定和施工技术规程要求认真做好施工现场的临时降水、排水（尤其是雨季施工期间）工作导致需要进行地基处理、边坡加固等情况时，每发生一处承包人应负严重违约责任1次，由此造成的工程投资增加由承包人承担。</w:t>
      </w:r>
    </w:p>
    <w:p w14:paraId="3D31BFDA">
      <w:pPr>
        <w:pageBreakBefore w:val="0"/>
        <w:kinsoku/>
        <w:overflowPunct/>
        <w:topLinePunct w:val="0"/>
        <w:bidi w:val="0"/>
        <w:adjustRightInd w:val="0"/>
        <w:snapToGrid w:val="0"/>
        <w:spacing w:line="440" w:lineRule="exact"/>
        <w:ind w:firstLine="480" w:firstLineChars="200"/>
        <w:textAlignment w:val="auto"/>
        <w:rPr>
          <w:rFonts w:hint="eastAsia" w:ascii="宋体" w:hAnsi="宋体" w:eastAsia="宋体" w:cs="宋体"/>
          <w:color w:val="auto"/>
          <w:szCs w:val="24"/>
          <w:highlight w:val="none"/>
        </w:rPr>
      </w:pPr>
      <w:r>
        <w:rPr>
          <w:rFonts w:hint="eastAsia" w:ascii="宋体" w:hAnsi="宋体" w:eastAsia="宋体" w:cs="宋体"/>
          <w:color w:val="auto"/>
          <w:szCs w:val="24"/>
          <w:highlight w:val="none"/>
        </w:rPr>
        <w:t>（2）若承包人未严格按施工进度计划要求组织施工造成工期拖延，导致一些工程项目被迫进入雨季施工而引起投资增加的，承包人应承担严重违约责任1次，由此造成的投资增加由承包人负责。</w:t>
      </w:r>
    </w:p>
    <w:p w14:paraId="32BD2C4E">
      <w:pPr>
        <w:pageBreakBefore w:val="0"/>
        <w:kinsoku/>
        <w:overflowPunct/>
        <w:topLinePunct w:val="0"/>
        <w:bidi w:val="0"/>
        <w:adjustRightInd w:val="0"/>
        <w:snapToGrid w:val="0"/>
        <w:spacing w:line="440" w:lineRule="exact"/>
        <w:ind w:firstLine="480" w:firstLineChars="200"/>
        <w:textAlignment w:val="auto"/>
        <w:rPr>
          <w:rFonts w:hint="eastAsia" w:ascii="宋体" w:hAnsi="宋体" w:eastAsia="宋体" w:cs="宋体"/>
          <w:color w:val="auto"/>
          <w:szCs w:val="24"/>
          <w:highlight w:val="none"/>
        </w:rPr>
      </w:pPr>
      <w:r>
        <w:rPr>
          <w:rFonts w:hint="eastAsia" w:ascii="宋体" w:hAnsi="宋体" w:eastAsia="宋体" w:cs="宋体"/>
          <w:color w:val="auto"/>
          <w:szCs w:val="24"/>
          <w:highlight w:val="none"/>
        </w:rPr>
        <w:t>（3）承包人未经监理工程师、发包人同意擅自改变施工技术方案和工艺，造成投资增加的，应承担严重违约责任1次，由此造成的投资增加由承包人负责。</w:t>
      </w:r>
    </w:p>
    <w:p w14:paraId="42ED53E0">
      <w:pPr>
        <w:pageBreakBefore w:val="0"/>
        <w:kinsoku/>
        <w:overflowPunct/>
        <w:topLinePunct w:val="0"/>
        <w:bidi w:val="0"/>
        <w:adjustRightInd w:val="0"/>
        <w:snapToGrid w:val="0"/>
        <w:spacing w:line="440" w:lineRule="exact"/>
        <w:ind w:firstLine="480" w:firstLineChars="200"/>
        <w:textAlignment w:val="auto"/>
        <w:rPr>
          <w:rFonts w:hint="eastAsia" w:ascii="宋体" w:hAnsi="宋体" w:eastAsia="宋体" w:cs="宋体"/>
          <w:color w:val="auto"/>
          <w:szCs w:val="24"/>
          <w:highlight w:val="none"/>
        </w:rPr>
      </w:pPr>
      <w:r>
        <w:rPr>
          <w:rFonts w:hint="eastAsia" w:ascii="宋体" w:hAnsi="宋体" w:eastAsia="宋体" w:cs="宋体"/>
          <w:color w:val="auto"/>
          <w:szCs w:val="24"/>
          <w:highlight w:val="none"/>
        </w:rPr>
        <w:t>（4）承包人未拟定临时设施方案并经监理工程师、发包人审批同意擅自实施临时设施建设，若此临时设施建设经核实无法达到合同规定的要求，承包人应承担限期整改责任1次，若承包人拒绝限期整改应当承担一般违约责任1次，同时发包人有权按实际发生重新核定安全文明施工措施费。</w:t>
      </w:r>
    </w:p>
    <w:p w14:paraId="3A2E65FA">
      <w:pPr>
        <w:pageBreakBefore w:val="0"/>
        <w:kinsoku/>
        <w:overflowPunct/>
        <w:topLinePunct w:val="0"/>
        <w:bidi w:val="0"/>
        <w:adjustRightInd w:val="0"/>
        <w:snapToGrid w:val="0"/>
        <w:spacing w:line="440" w:lineRule="exact"/>
        <w:ind w:firstLine="480" w:firstLineChars="200"/>
        <w:textAlignment w:val="auto"/>
        <w:rPr>
          <w:rFonts w:hint="eastAsia" w:ascii="宋体" w:hAnsi="宋体" w:eastAsia="宋体" w:cs="宋体"/>
          <w:color w:val="auto"/>
          <w:szCs w:val="24"/>
          <w:highlight w:val="none"/>
        </w:rPr>
      </w:pPr>
      <w:r>
        <w:rPr>
          <w:rFonts w:hint="eastAsia" w:ascii="宋体" w:hAnsi="宋体" w:eastAsia="宋体" w:cs="宋体"/>
          <w:color w:val="auto"/>
          <w:szCs w:val="24"/>
          <w:highlight w:val="none"/>
        </w:rPr>
        <w:t xml:space="preserve">（5）承包人提供虚假情况或制造现场假象造成设计变更及投资增加时，经监理公司、发包人发现，承包人应承担严重违约责任1次，造成的投资增加由承包人承担。 </w:t>
      </w:r>
    </w:p>
    <w:p w14:paraId="253DEC5C">
      <w:pPr>
        <w:pageBreakBefore w:val="0"/>
        <w:kinsoku/>
        <w:overflowPunct/>
        <w:topLinePunct w:val="0"/>
        <w:bidi w:val="0"/>
        <w:adjustRightInd w:val="0"/>
        <w:snapToGrid w:val="0"/>
        <w:spacing w:line="440" w:lineRule="exact"/>
        <w:ind w:firstLine="482" w:firstLineChars="200"/>
        <w:textAlignment w:val="auto"/>
        <w:rPr>
          <w:rFonts w:hint="eastAsia" w:ascii="宋体" w:hAnsi="宋体" w:eastAsia="宋体" w:cs="宋体"/>
          <w:color w:val="auto"/>
          <w:szCs w:val="24"/>
          <w:highlight w:val="none"/>
        </w:rPr>
      </w:pPr>
      <w:r>
        <w:rPr>
          <w:rFonts w:hint="eastAsia" w:ascii="宋体" w:hAnsi="宋体" w:eastAsia="宋体" w:cs="宋体"/>
          <w:b/>
          <w:bCs/>
          <w:color w:val="auto"/>
          <w:szCs w:val="24"/>
          <w:highlight w:val="none"/>
        </w:rPr>
        <w:t>5.10、</w:t>
      </w:r>
      <w:r>
        <w:rPr>
          <w:rFonts w:hint="eastAsia" w:ascii="宋体" w:hAnsi="宋体" w:eastAsia="宋体" w:cs="宋体"/>
          <w:color w:val="auto"/>
          <w:szCs w:val="24"/>
          <w:highlight w:val="none"/>
        </w:rPr>
        <w:t>发包人将根据承包人的投标文件，严格考核施工项目管理人员的日常到位情况，并定期按照发包人的合同履约评价管理办法、质量安全评估管理办法对承包人的合同履行情况进行评价和评估，评价和评估内容包含人员到位情况、服务配合程度、工程质量、安全、项目后期服务及信用评价结果、评估结果的运用等。履约评价为不合格的，有权报请建设行政主管部门对其作不良行为记录。</w:t>
      </w:r>
    </w:p>
    <w:p w14:paraId="718F865B">
      <w:pPr>
        <w:pageBreakBefore w:val="0"/>
        <w:kinsoku/>
        <w:overflowPunct/>
        <w:topLinePunct w:val="0"/>
        <w:bidi w:val="0"/>
        <w:spacing w:line="440" w:lineRule="exact"/>
        <w:textAlignment w:val="auto"/>
        <w:rPr>
          <w:rFonts w:hint="eastAsia" w:ascii="宋体" w:hAnsi="宋体" w:eastAsia="宋体" w:cs="宋体"/>
          <w:color w:val="auto"/>
          <w:szCs w:val="24"/>
          <w:highlight w:val="none"/>
        </w:rPr>
      </w:pPr>
      <w:r>
        <w:rPr>
          <w:rFonts w:hint="eastAsia" w:ascii="宋体" w:hAnsi="宋体" w:eastAsia="宋体" w:cs="宋体"/>
          <w:b/>
          <w:bCs/>
          <w:color w:val="auto"/>
          <w:szCs w:val="24"/>
          <w:highlight w:val="none"/>
        </w:rPr>
        <w:t xml:space="preserve"> 5.11 承包人提供竣工资料的约定：</w:t>
      </w:r>
    </w:p>
    <w:p w14:paraId="3745E9E3">
      <w:pPr>
        <w:pageBreakBefore w:val="0"/>
        <w:kinsoku/>
        <w:overflowPunct/>
        <w:topLinePunct w:val="0"/>
        <w:bidi w:val="0"/>
        <w:spacing w:line="440" w:lineRule="exact"/>
        <w:ind w:firstLine="480" w:firstLineChars="200"/>
        <w:textAlignment w:val="auto"/>
        <w:rPr>
          <w:rFonts w:hint="eastAsia" w:ascii="宋体" w:hAnsi="宋体" w:eastAsia="宋体" w:cs="宋体"/>
          <w:color w:val="auto"/>
          <w:szCs w:val="24"/>
          <w:highlight w:val="none"/>
        </w:rPr>
      </w:pPr>
      <w:r>
        <w:rPr>
          <w:rFonts w:hint="eastAsia" w:ascii="宋体" w:hAnsi="宋体" w:eastAsia="宋体" w:cs="宋体"/>
          <w:color w:val="auto"/>
          <w:szCs w:val="24"/>
          <w:highlight w:val="none"/>
        </w:rPr>
        <w:t>本工程具备竣工验收条件后14天内，承包人按国家建设部、广东省及</w:t>
      </w:r>
      <w:r>
        <w:rPr>
          <w:rFonts w:hint="eastAsia" w:hAnsi="宋体" w:eastAsia="宋体" w:cs="宋体"/>
          <w:color w:val="auto"/>
          <w:szCs w:val="24"/>
          <w:highlight w:val="none"/>
          <w:lang w:eastAsia="zh-CN"/>
        </w:rPr>
        <w:t>韶关</w:t>
      </w:r>
      <w:r>
        <w:rPr>
          <w:rFonts w:hint="eastAsia" w:ascii="宋体" w:hAnsi="宋体" w:eastAsia="宋体" w:cs="宋体"/>
          <w:color w:val="auto"/>
          <w:szCs w:val="24"/>
          <w:highlight w:val="none"/>
        </w:rPr>
        <w:t>市的有关规定和发包人的要求编制工程竣工资料（包括施工原始记录、照片等资料），向工程师提供完整竣工验收资料8套、竣工验收报告和相应的声像、电子文件，并由承包人及时向主管部门和监督部门备案。工程师收到竣工验收资料后，应在10天内审核，若不符合要求，工程师可提出整改意见。承包人按要求整改合格后报工程师，工程师在整改验收合格后10天内应组织有关单位进行初步验收，并在10天内对工程质量予以认可或提出再次整改意见。承包人按要求再次整改，并承担由其自身原因造成的整改费用。编制竣工图、竣工资料的费用</w:t>
      </w:r>
      <w:r>
        <w:rPr>
          <w:rFonts w:hint="eastAsia" w:hAnsi="宋体" w:eastAsia="宋体" w:cs="宋体"/>
          <w:color w:val="auto"/>
          <w:szCs w:val="24"/>
          <w:highlight w:val="none"/>
          <w:lang w:eastAsia="zh-CN"/>
        </w:rPr>
        <w:t>已包</w:t>
      </w:r>
      <w:r>
        <w:rPr>
          <w:rFonts w:hint="eastAsia" w:ascii="宋体" w:hAnsi="宋体" w:eastAsia="宋体" w:cs="宋体"/>
          <w:color w:val="auto"/>
          <w:szCs w:val="24"/>
          <w:highlight w:val="none"/>
        </w:rPr>
        <w:t>含在合同价中。</w:t>
      </w:r>
    </w:p>
    <w:p w14:paraId="4DC0A8AE">
      <w:pPr>
        <w:pageBreakBefore w:val="0"/>
        <w:kinsoku/>
        <w:overflowPunct/>
        <w:topLinePunct w:val="0"/>
        <w:bidi w:val="0"/>
        <w:spacing w:line="440" w:lineRule="exact"/>
        <w:ind w:firstLine="480" w:firstLineChars="200"/>
        <w:textAlignment w:val="auto"/>
        <w:rPr>
          <w:rFonts w:hint="eastAsia" w:ascii="宋体" w:hAnsi="宋体" w:eastAsia="宋体" w:cs="宋体"/>
          <w:color w:val="auto"/>
          <w:szCs w:val="24"/>
          <w:highlight w:val="none"/>
        </w:rPr>
      </w:pPr>
      <w:r>
        <w:rPr>
          <w:rFonts w:hint="eastAsia" w:ascii="宋体" w:hAnsi="宋体" w:eastAsia="宋体" w:cs="宋体"/>
          <w:color w:val="auto"/>
          <w:szCs w:val="24"/>
          <w:highlight w:val="none"/>
        </w:rPr>
        <w:t xml:space="preserve">竣工验收资料包括全部工程（包括项目单位发包项目及其他分包工程）的竣工图纸和竣工资料，以及经确认的深化设计图纸和技术资料。各类分包工程的竣工资料均由承包人负责编制、指导、审阅、汇总、整理、归档，费用由本合同承包人自行承担。    </w:t>
      </w:r>
    </w:p>
    <w:p w14:paraId="631851E6">
      <w:pPr>
        <w:pageBreakBefore w:val="0"/>
        <w:kinsoku/>
        <w:overflowPunct/>
        <w:topLinePunct w:val="0"/>
        <w:bidi w:val="0"/>
        <w:spacing w:line="440" w:lineRule="exact"/>
        <w:ind w:firstLine="482" w:firstLineChars="200"/>
        <w:textAlignment w:val="auto"/>
        <w:rPr>
          <w:rFonts w:hint="eastAsia" w:ascii="宋体" w:hAnsi="宋体" w:eastAsia="宋体" w:cs="宋体"/>
          <w:b/>
          <w:bCs/>
          <w:color w:val="auto"/>
          <w:szCs w:val="24"/>
          <w:highlight w:val="none"/>
        </w:rPr>
      </w:pPr>
      <w:r>
        <w:rPr>
          <w:rFonts w:hint="eastAsia" w:ascii="宋体" w:hAnsi="宋体" w:eastAsia="宋体" w:cs="宋体"/>
          <w:b/>
          <w:bCs/>
          <w:color w:val="auto"/>
          <w:szCs w:val="24"/>
          <w:highlight w:val="none"/>
        </w:rPr>
        <w:t>5.12工程移交及档案管理</w:t>
      </w:r>
    </w:p>
    <w:p w14:paraId="36A799EB">
      <w:pPr>
        <w:pageBreakBefore w:val="0"/>
        <w:kinsoku/>
        <w:overflowPunct/>
        <w:topLinePunct w:val="0"/>
        <w:bidi w:val="0"/>
        <w:spacing w:line="440" w:lineRule="exact"/>
        <w:ind w:firstLine="480" w:firstLineChars="200"/>
        <w:textAlignment w:val="auto"/>
        <w:rPr>
          <w:rFonts w:hint="eastAsia" w:ascii="宋体" w:hAnsi="宋体" w:eastAsia="宋体" w:cs="宋体"/>
          <w:color w:val="auto"/>
          <w:szCs w:val="24"/>
          <w:highlight w:val="none"/>
        </w:rPr>
      </w:pPr>
      <w:r>
        <w:rPr>
          <w:rFonts w:hint="eastAsia" w:ascii="宋体" w:hAnsi="宋体" w:eastAsia="宋体" w:cs="宋体"/>
          <w:color w:val="auto"/>
          <w:szCs w:val="24"/>
          <w:highlight w:val="none"/>
        </w:rPr>
        <w:t>5.12.1工程完工后，承包人必须及时按城建相关档案管理规定整理及移交竣工档案，承包人办理工程结算需提交相关工程档案移交签字单，否则结算不予办理。</w:t>
      </w:r>
    </w:p>
    <w:p w14:paraId="221BD557">
      <w:pPr>
        <w:pageBreakBefore w:val="0"/>
        <w:kinsoku/>
        <w:overflowPunct/>
        <w:topLinePunct w:val="0"/>
        <w:bidi w:val="0"/>
        <w:spacing w:line="440" w:lineRule="exact"/>
        <w:ind w:firstLine="480" w:firstLineChars="200"/>
        <w:textAlignment w:val="auto"/>
        <w:rPr>
          <w:rFonts w:hint="eastAsia" w:ascii="宋体" w:hAnsi="宋体" w:eastAsia="宋体" w:cs="宋体"/>
          <w:color w:val="auto"/>
          <w:szCs w:val="24"/>
          <w:highlight w:val="none"/>
        </w:rPr>
      </w:pPr>
      <w:r>
        <w:rPr>
          <w:rFonts w:hint="eastAsia" w:ascii="宋体" w:hAnsi="宋体" w:eastAsia="宋体" w:cs="宋体"/>
          <w:color w:val="auto"/>
          <w:szCs w:val="24"/>
          <w:highlight w:val="none"/>
        </w:rPr>
        <w:t>5.12.2工程竣工验收合格后承包人必须将成品移交给发包人指定的接管单位。在移交工作完成前，现场所有安全及成品保护责任和费用由承包人承担。</w:t>
      </w:r>
    </w:p>
    <w:p w14:paraId="13AAF34E">
      <w:pPr>
        <w:pageBreakBefore w:val="0"/>
        <w:kinsoku/>
        <w:overflowPunct/>
        <w:topLinePunct w:val="0"/>
        <w:bidi w:val="0"/>
        <w:spacing w:line="440" w:lineRule="exact"/>
        <w:ind w:firstLine="480" w:firstLineChars="200"/>
        <w:textAlignment w:val="auto"/>
        <w:rPr>
          <w:rFonts w:hint="eastAsia" w:ascii="宋体" w:hAnsi="宋体" w:eastAsia="宋体" w:cs="宋体"/>
          <w:color w:val="auto"/>
          <w:szCs w:val="24"/>
          <w:highlight w:val="none"/>
        </w:rPr>
      </w:pPr>
      <w:r>
        <w:rPr>
          <w:rFonts w:hint="eastAsia" w:ascii="宋体" w:hAnsi="宋体" w:eastAsia="宋体" w:cs="宋体"/>
          <w:color w:val="auto"/>
          <w:szCs w:val="24"/>
          <w:highlight w:val="none"/>
        </w:rPr>
        <w:t>5.12.3在向发包人指定的接管单位移交钥匙的同时提供下列清单：</w:t>
      </w:r>
    </w:p>
    <w:p w14:paraId="1D449806">
      <w:pPr>
        <w:pageBreakBefore w:val="0"/>
        <w:kinsoku/>
        <w:overflowPunct/>
        <w:topLinePunct w:val="0"/>
        <w:bidi w:val="0"/>
        <w:spacing w:line="440" w:lineRule="exact"/>
        <w:ind w:firstLine="480" w:firstLineChars="200"/>
        <w:textAlignment w:val="auto"/>
        <w:rPr>
          <w:rFonts w:hint="eastAsia" w:ascii="宋体" w:hAnsi="宋体" w:eastAsia="宋体" w:cs="宋体"/>
          <w:color w:val="auto"/>
          <w:szCs w:val="24"/>
          <w:highlight w:val="none"/>
        </w:rPr>
      </w:pPr>
      <w:r>
        <w:rPr>
          <w:rFonts w:hint="eastAsia" w:ascii="宋体" w:hAnsi="宋体" w:eastAsia="宋体" w:cs="宋体"/>
          <w:color w:val="auto"/>
          <w:szCs w:val="24"/>
          <w:highlight w:val="none"/>
        </w:rPr>
        <w:t>①办理钥匙移交清单（如有）；</w:t>
      </w:r>
    </w:p>
    <w:p w14:paraId="00A5746F">
      <w:pPr>
        <w:pageBreakBefore w:val="0"/>
        <w:kinsoku/>
        <w:overflowPunct/>
        <w:topLinePunct w:val="0"/>
        <w:bidi w:val="0"/>
        <w:spacing w:line="440" w:lineRule="exact"/>
        <w:ind w:firstLine="480" w:firstLineChars="200"/>
        <w:textAlignment w:val="auto"/>
        <w:rPr>
          <w:rFonts w:hint="eastAsia" w:ascii="宋体" w:hAnsi="宋体" w:eastAsia="宋体" w:cs="宋体"/>
          <w:color w:val="auto"/>
          <w:szCs w:val="24"/>
          <w:highlight w:val="none"/>
        </w:rPr>
      </w:pPr>
      <w:r>
        <w:rPr>
          <w:rFonts w:hint="eastAsia" w:ascii="宋体" w:hAnsi="宋体" w:eastAsia="宋体" w:cs="宋体"/>
          <w:color w:val="auto"/>
          <w:szCs w:val="24"/>
          <w:highlight w:val="none"/>
        </w:rPr>
        <w:t>②双方抄好水表电表底数；</w:t>
      </w:r>
    </w:p>
    <w:p w14:paraId="753F531A">
      <w:pPr>
        <w:pageBreakBefore w:val="0"/>
        <w:kinsoku/>
        <w:overflowPunct/>
        <w:topLinePunct w:val="0"/>
        <w:bidi w:val="0"/>
        <w:spacing w:line="440" w:lineRule="exact"/>
        <w:ind w:firstLine="480" w:firstLineChars="200"/>
        <w:textAlignment w:val="auto"/>
        <w:rPr>
          <w:rFonts w:hint="eastAsia" w:ascii="宋体" w:hAnsi="宋体" w:eastAsia="宋体" w:cs="宋体"/>
          <w:color w:val="auto"/>
          <w:szCs w:val="24"/>
          <w:highlight w:val="none"/>
        </w:rPr>
      </w:pPr>
      <w:r>
        <w:rPr>
          <w:rFonts w:hint="eastAsia" w:ascii="宋体" w:hAnsi="宋体" w:eastAsia="宋体" w:cs="宋体"/>
          <w:color w:val="auto"/>
          <w:szCs w:val="24"/>
          <w:highlight w:val="none"/>
        </w:rPr>
        <w:t>③列出详细的设备、物件移交清单，标明名称、数量、外观、状态等基本资料</w:t>
      </w:r>
    </w:p>
    <w:p w14:paraId="0B9EAF9C">
      <w:pPr>
        <w:pageBreakBefore w:val="0"/>
        <w:kinsoku/>
        <w:overflowPunct/>
        <w:topLinePunct w:val="0"/>
        <w:bidi w:val="0"/>
        <w:spacing w:line="440" w:lineRule="exact"/>
        <w:ind w:firstLine="480" w:firstLineChars="200"/>
        <w:textAlignment w:val="auto"/>
        <w:rPr>
          <w:rFonts w:hint="eastAsia" w:ascii="宋体" w:hAnsi="宋体" w:eastAsia="宋体" w:cs="宋体"/>
          <w:color w:val="auto"/>
          <w:szCs w:val="24"/>
          <w:highlight w:val="none"/>
        </w:rPr>
      </w:pPr>
      <w:r>
        <w:rPr>
          <w:rFonts w:hint="eastAsia" w:ascii="宋体" w:hAnsi="宋体" w:eastAsia="宋体" w:cs="宋体"/>
          <w:color w:val="auto"/>
          <w:szCs w:val="24"/>
          <w:highlight w:val="none"/>
        </w:rPr>
        <w:t>5.12.4按国家、省市和建设主管部门的相关规定应当移交的其他资料。</w:t>
      </w:r>
    </w:p>
    <w:p w14:paraId="451C0335">
      <w:pPr>
        <w:pageBreakBefore w:val="0"/>
        <w:kinsoku/>
        <w:overflowPunct/>
        <w:topLinePunct w:val="0"/>
        <w:bidi w:val="0"/>
        <w:spacing w:line="440" w:lineRule="exact"/>
        <w:ind w:firstLine="480" w:firstLineChars="200"/>
        <w:textAlignment w:val="auto"/>
        <w:rPr>
          <w:rFonts w:hint="eastAsia" w:ascii="宋体" w:hAnsi="宋体" w:eastAsia="宋体" w:cs="宋体"/>
          <w:color w:val="auto"/>
          <w:szCs w:val="24"/>
          <w:highlight w:val="none"/>
        </w:rPr>
      </w:pPr>
      <w:r>
        <w:rPr>
          <w:rFonts w:hint="eastAsia" w:ascii="宋体" w:hAnsi="宋体" w:eastAsia="宋体" w:cs="宋体"/>
          <w:color w:val="auto"/>
          <w:szCs w:val="24"/>
          <w:highlight w:val="none"/>
        </w:rPr>
        <w:t>5.13在质量缺陷保修期内，承包人必须在接到保修通知之日起7天内无条件派人先行保修，发生涉及结构安全、严重影响使用功能的质量缺陷或给排水、供电、燃气、通信及路灯等特殊工程的紧急抢修事故的，承包人接到保修通知后，必须立即到达现场实施保修。质量保修完成后，由发包人组织承包人和监理人，配合项目使用（管养）单位验收。涉及结构安全的，发包人将报当地相关行政主管部门备案，同时承包人应将其产生的原因、补救措施、完成保修情况以书面形式提交发包人。</w:t>
      </w:r>
    </w:p>
    <w:p w14:paraId="504D730E">
      <w:pPr>
        <w:pageBreakBefore w:val="0"/>
        <w:kinsoku/>
        <w:overflowPunct/>
        <w:topLinePunct w:val="0"/>
        <w:bidi w:val="0"/>
        <w:spacing w:line="440" w:lineRule="exact"/>
        <w:ind w:firstLine="480" w:firstLineChars="200"/>
        <w:textAlignment w:val="auto"/>
        <w:rPr>
          <w:rFonts w:hint="eastAsia" w:ascii="宋体" w:hAnsi="宋体" w:eastAsia="宋体" w:cs="宋体"/>
          <w:color w:val="auto"/>
          <w:szCs w:val="24"/>
          <w:highlight w:val="none"/>
        </w:rPr>
      </w:pPr>
      <w:r>
        <w:rPr>
          <w:rFonts w:hint="eastAsia" w:ascii="宋体" w:hAnsi="宋体" w:eastAsia="宋体" w:cs="宋体"/>
          <w:color w:val="auto"/>
          <w:szCs w:val="24"/>
          <w:highlight w:val="none"/>
        </w:rPr>
        <w:t>5.14在工程质量缺陷保修期内，承包人的违约责任。</w:t>
      </w:r>
    </w:p>
    <w:p w14:paraId="48A08D6B">
      <w:pPr>
        <w:pageBreakBefore w:val="0"/>
        <w:kinsoku/>
        <w:overflowPunct/>
        <w:topLinePunct w:val="0"/>
        <w:bidi w:val="0"/>
        <w:spacing w:line="440" w:lineRule="exact"/>
        <w:ind w:firstLine="480" w:firstLineChars="200"/>
        <w:textAlignment w:val="auto"/>
        <w:rPr>
          <w:rFonts w:hint="eastAsia" w:ascii="宋体" w:hAnsi="宋体" w:eastAsia="宋体" w:cs="宋体"/>
          <w:color w:val="auto"/>
          <w:szCs w:val="24"/>
          <w:highlight w:val="none"/>
        </w:rPr>
      </w:pPr>
      <w:r>
        <w:rPr>
          <w:rFonts w:hint="eastAsia" w:ascii="宋体" w:hAnsi="宋体" w:eastAsia="宋体" w:cs="宋体"/>
          <w:color w:val="auto"/>
          <w:szCs w:val="24"/>
          <w:highlight w:val="none"/>
        </w:rPr>
        <w:t>5.14.1在保修期内发生质量缺陷或紧急抢修事故的时，如发包人无法联系到承包人，或联系到承包人但承包人不能及时履行保修义务时，无论缺陷责任是否属于承包人，承包人必须承担由此产生的一切保修费用、相关损失及违约责任。</w:t>
      </w:r>
    </w:p>
    <w:p w14:paraId="52E11C6B">
      <w:pPr>
        <w:pageBreakBefore w:val="0"/>
        <w:kinsoku/>
        <w:overflowPunct/>
        <w:topLinePunct w:val="0"/>
        <w:bidi w:val="0"/>
        <w:spacing w:line="440" w:lineRule="exact"/>
        <w:ind w:firstLine="480" w:firstLineChars="200"/>
        <w:textAlignment w:val="auto"/>
        <w:rPr>
          <w:rFonts w:hint="eastAsia" w:ascii="宋体" w:hAnsi="宋体" w:eastAsia="宋体" w:cs="宋体"/>
          <w:color w:val="auto"/>
          <w:szCs w:val="24"/>
          <w:highlight w:val="none"/>
        </w:rPr>
      </w:pPr>
      <w:r>
        <w:rPr>
          <w:rFonts w:hint="eastAsia" w:ascii="宋体" w:hAnsi="宋体" w:eastAsia="宋体" w:cs="宋体"/>
          <w:color w:val="auto"/>
          <w:szCs w:val="24"/>
          <w:highlight w:val="none"/>
        </w:rPr>
        <w:t>5.14.2若承包人未及时到达现场实施保修，发包人有权直接委托其他单位或管养单位代承包人组织实施保修，承包人必须承担由此发生的一切保修费用及相关损失。发包人将在缺陷质量保修金中扣除保修费，并处承包人保修费用30%的违约金，如缺陷质量保修金余额不足，发包人将向承包人索赔。发包人还将承包人不履行保修义务的不良行为报送相关行政主管部门。</w:t>
      </w:r>
    </w:p>
    <w:p w14:paraId="6092451B">
      <w:pPr>
        <w:pageBreakBefore w:val="0"/>
        <w:kinsoku/>
        <w:overflowPunct/>
        <w:topLinePunct w:val="0"/>
        <w:bidi w:val="0"/>
        <w:spacing w:line="440" w:lineRule="exact"/>
        <w:ind w:firstLine="480" w:firstLineChars="200"/>
        <w:textAlignment w:val="auto"/>
        <w:rPr>
          <w:rFonts w:hint="eastAsia" w:ascii="宋体" w:hAnsi="宋体" w:eastAsia="宋体" w:cs="宋体"/>
          <w:color w:val="auto"/>
          <w:szCs w:val="24"/>
          <w:highlight w:val="none"/>
        </w:rPr>
      </w:pPr>
      <w:r>
        <w:rPr>
          <w:rFonts w:hint="eastAsia" w:ascii="宋体" w:hAnsi="宋体" w:eastAsia="宋体" w:cs="宋体"/>
          <w:color w:val="auto"/>
          <w:szCs w:val="24"/>
          <w:highlight w:val="none"/>
        </w:rPr>
        <w:t>5.14.3若承包人及时到达现场，但认为自行无法按时完成保修义务，可与发包人协商，直接委托管养单位或发包人确认的其他单位实施保修。若承包人未及时与发包人完成协商事宜，又未能在规定时限内完成保修的，发包人有权通知管养单位或其他单位进行保修，承包人必须承担由此发生的一切保修费用及相关损失。发包人将在缺陷质量保修金中扣除保修费，并处承包人保修费用30%的违约金，如缺陷质量保修金余额不足，发包人将向承包人索赔。发包人还将承包人不履行保修义务的不良行为报送相关行政主管部门。</w:t>
      </w:r>
    </w:p>
    <w:p w14:paraId="22131998">
      <w:pPr>
        <w:pageBreakBefore w:val="0"/>
        <w:kinsoku/>
        <w:overflowPunct/>
        <w:topLinePunct w:val="0"/>
        <w:bidi w:val="0"/>
        <w:spacing w:line="440" w:lineRule="exact"/>
        <w:ind w:firstLine="480" w:firstLineChars="200"/>
        <w:textAlignment w:val="auto"/>
        <w:rPr>
          <w:rFonts w:hint="eastAsia" w:ascii="宋体" w:hAnsi="宋体" w:eastAsia="宋体" w:cs="宋体"/>
          <w:color w:val="auto"/>
          <w:szCs w:val="24"/>
          <w:highlight w:val="none"/>
        </w:rPr>
      </w:pPr>
      <w:r>
        <w:rPr>
          <w:rFonts w:hint="eastAsia" w:ascii="宋体" w:hAnsi="宋体" w:eastAsia="宋体" w:cs="宋体"/>
          <w:color w:val="auto"/>
          <w:szCs w:val="24"/>
          <w:highlight w:val="none"/>
        </w:rPr>
        <w:t>5.14.4若承包人及时到达现场，并与发包人完成协商，同意直接委托管养单位或发包人确认的其他单位实施保修。承包人在收到支付工程保修费用的通知7天内，应将保修费用支付给代其实施保修的单位。如在规定时间内未支付有关费用的，发包人可直接从工程质量缺陷保修金中扣除该保修费用，并支付给保修单位，并处承包人保修费用30%的违约金，如缺陷质量保修金余额不足，发包人将向承包人索赔。发包人还将承包人不履行保修义务的不良行为报送相关行政主管部门。</w:t>
      </w:r>
    </w:p>
    <w:p w14:paraId="26D3F22F">
      <w:pPr>
        <w:pageBreakBefore w:val="0"/>
        <w:kinsoku/>
        <w:overflowPunct/>
        <w:topLinePunct w:val="0"/>
        <w:bidi w:val="0"/>
        <w:spacing w:line="440" w:lineRule="exact"/>
        <w:ind w:firstLine="480" w:firstLineChars="200"/>
        <w:textAlignment w:val="auto"/>
        <w:rPr>
          <w:rFonts w:hint="eastAsia" w:ascii="宋体" w:hAnsi="宋体" w:eastAsia="宋体" w:cs="宋体"/>
          <w:color w:val="auto"/>
          <w:szCs w:val="24"/>
          <w:highlight w:val="none"/>
        </w:rPr>
      </w:pPr>
      <w:r>
        <w:rPr>
          <w:rFonts w:hint="eastAsia" w:ascii="宋体" w:hAnsi="宋体" w:eastAsia="宋体" w:cs="宋体"/>
          <w:color w:val="auto"/>
          <w:szCs w:val="24"/>
          <w:highlight w:val="none"/>
        </w:rPr>
        <w:t>5.14.5若承包人按照发包人的要求及时履行了保修义务，并能提供证据说明质量缺陷非承包人的责任，保修费用及相关损失由缺陷责任方承担。</w:t>
      </w:r>
    </w:p>
    <w:p w14:paraId="78F65906">
      <w:pPr>
        <w:pStyle w:val="58"/>
        <w:pageBreakBefore w:val="0"/>
        <w:kinsoku/>
        <w:overflowPunct/>
        <w:topLinePunct w:val="0"/>
        <w:bidi w:val="0"/>
        <w:adjustRightInd w:val="0"/>
        <w:snapToGrid w:val="0"/>
        <w:spacing w:line="440" w:lineRule="exact"/>
        <w:ind w:firstLine="480" w:firstLineChars="200"/>
        <w:textAlignment w:val="auto"/>
        <w:rPr>
          <w:rFonts w:hint="eastAsia" w:ascii="宋体" w:hAnsi="宋体" w:eastAsia="宋体" w:cs="宋体"/>
          <w:color w:val="auto"/>
          <w:highlight w:val="none"/>
        </w:rPr>
      </w:pPr>
      <w:r>
        <w:rPr>
          <w:rFonts w:hint="eastAsia" w:ascii="宋体" w:hAnsi="宋体" w:eastAsia="宋体" w:cs="宋体"/>
          <w:color w:val="auto"/>
          <w:highlight w:val="none"/>
        </w:rPr>
        <w:t>5.14.6对于涉及结构安全的工程质量问题，无论何时，在所有人、使用人或者第三方向当地建设行政主管部门报告并通知承包人后，承包人应立即采取安全防范措施，同时发包人将委托原设计单位或者具有相应资质等级的设计单位提出保修方案后，承包人应立即实施保修。承包人立即实施了有效的防范措施和保修的，保修费用、人身和财产损害赔偿，由经过法定程序确认的缺陷责任方承担。承包人拖延安全防范措施或者拖延保修，所造成的一切人身、财产损害责任和赔偿均由承包人承担，同时发包人将提请相关行政主管部门按相关</w:t>
      </w:r>
      <w:r>
        <w:rPr>
          <w:rFonts w:hint="eastAsia" w:hAnsi="宋体" w:cs="宋体"/>
          <w:color w:val="auto"/>
          <w:highlight w:val="none"/>
          <w:lang w:eastAsia="zh-CN"/>
        </w:rPr>
        <w:t>法律法规</w:t>
      </w:r>
      <w:r>
        <w:rPr>
          <w:rFonts w:hint="eastAsia" w:ascii="宋体" w:hAnsi="宋体" w:eastAsia="宋体" w:cs="宋体"/>
          <w:color w:val="auto"/>
          <w:highlight w:val="none"/>
        </w:rPr>
        <w:t>对承包人予以处罚。</w:t>
      </w:r>
    </w:p>
    <w:p w14:paraId="73310997">
      <w:pPr>
        <w:pageBreakBefore w:val="0"/>
        <w:kinsoku/>
        <w:overflowPunct/>
        <w:topLinePunct w:val="0"/>
        <w:bidi w:val="0"/>
        <w:spacing w:line="440" w:lineRule="exact"/>
        <w:ind w:firstLine="482" w:firstLineChars="200"/>
        <w:textAlignment w:val="auto"/>
        <w:rPr>
          <w:rFonts w:hint="eastAsia" w:ascii="宋体" w:hAnsi="宋体" w:eastAsia="宋体" w:cs="宋体"/>
          <w:b/>
          <w:bCs/>
          <w:color w:val="auto"/>
          <w:szCs w:val="24"/>
          <w:highlight w:val="none"/>
        </w:rPr>
      </w:pPr>
      <w:r>
        <w:rPr>
          <w:rFonts w:hint="eastAsia" w:ascii="宋体" w:hAnsi="宋体" w:eastAsia="宋体" w:cs="宋体"/>
          <w:b/>
          <w:bCs/>
          <w:color w:val="auto"/>
          <w:szCs w:val="24"/>
          <w:highlight w:val="none"/>
        </w:rPr>
        <w:t>5.15发包人有权根据有关管理制度对承包人的履约情况纳入履约信用评价和</w:t>
      </w:r>
      <w:r>
        <w:rPr>
          <w:rFonts w:hint="eastAsia" w:ascii="宋体" w:hAnsi="宋体" w:eastAsia="宋体" w:cs="宋体"/>
          <w:b/>
          <w:color w:val="auto"/>
          <w:szCs w:val="24"/>
          <w:highlight w:val="none"/>
        </w:rPr>
        <w:t>第三方质量安全评估</w:t>
      </w:r>
      <w:r>
        <w:rPr>
          <w:rFonts w:hint="eastAsia" w:ascii="宋体" w:hAnsi="宋体" w:eastAsia="宋体" w:cs="宋体"/>
          <w:b/>
          <w:bCs/>
          <w:color w:val="auto"/>
          <w:szCs w:val="24"/>
          <w:highlight w:val="none"/>
        </w:rPr>
        <w:t>体系进行履约信用评价和</w:t>
      </w:r>
      <w:r>
        <w:rPr>
          <w:rFonts w:hint="eastAsia" w:ascii="宋体" w:hAnsi="宋体" w:eastAsia="宋体" w:cs="宋体"/>
          <w:b/>
          <w:color w:val="auto"/>
          <w:szCs w:val="24"/>
          <w:highlight w:val="none"/>
        </w:rPr>
        <w:t>质量安全</w:t>
      </w:r>
      <w:r>
        <w:rPr>
          <w:rFonts w:hint="eastAsia" w:ascii="宋体" w:hAnsi="宋体" w:eastAsia="宋体" w:cs="宋体"/>
          <w:b/>
          <w:bCs/>
          <w:color w:val="auto"/>
          <w:szCs w:val="24"/>
          <w:highlight w:val="none"/>
        </w:rPr>
        <w:t>评估，并将评价结果和评估结果报送给有关监管部门。</w:t>
      </w:r>
    </w:p>
    <w:p w14:paraId="092E6EB7">
      <w:pPr>
        <w:pageBreakBefore w:val="0"/>
        <w:kinsoku/>
        <w:overflowPunct/>
        <w:topLinePunct w:val="0"/>
        <w:bidi w:val="0"/>
        <w:spacing w:line="440" w:lineRule="exact"/>
        <w:ind w:firstLine="480" w:firstLineChars="200"/>
        <w:textAlignment w:val="auto"/>
        <w:rPr>
          <w:rFonts w:hint="eastAsia" w:ascii="宋体" w:hAnsi="宋体" w:eastAsia="宋体" w:cs="宋体"/>
          <w:color w:val="auto"/>
          <w:highlight w:val="none"/>
        </w:rPr>
      </w:pPr>
      <w:r>
        <w:rPr>
          <w:rFonts w:hint="eastAsia" w:ascii="宋体" w:hAnsi="宋体" w:eastAsia="宋体" w:cs="宋体"/>
          <w:color w:val="auto"/>
          <w:szCs w:val="24"/>
          <w:highlight w:val="none"/>
        </w:rPr>
        <w:t>履约信用评价</w:t>
      </w:r>
      <w:r>
        <w:rPr>
          <w:rFonts w:hint="eastAsia" w:ascii="宋体" w:hAnsi="宋体" w:eastAsia="宋体" w:cs="宋体"/>
          <w:bCs/>
          <w:color w:val="auto"/>
          <w:szCs w:val="24"/>
          <w:highlight w:val="none"/>
        </w:rPr>
        <w:t>和</w:t>
      </w:r>
      <w:r>
        <w:rPr>
          <w:rFonts w:hint="eastAsia" w:ascii="宋体" w:hAnsi="宋体" w:eastAsia="宋体" w:cs="宋体"/>
          <w:color w:val="auto"/>
          <w:szCs w:val="24"/>
          <w:highlight w:val="none"/>
        </w:rPr>
        <w:t>第三方质量安全评估按发包人履约信用评价</w:t>
      </w:r>
      <w:r>
        <w:rPr>
          <w:rFonts w:hint="eastAsia" w:ascii="宋体" w:hAnsi="宋体" w:eastAsia="宋体" w:cs="宋体"/>
          <w:bCs/>
          <w:color w:val="auto"/>
          <w:szCs w:val="24"/>
          <w:highlight w:val="none"/>
        </w:rPr>
        <w:t>、</w:t>
      </w:r>
      <w:r>
        <w:rPr>
          <w:rFonts w:hint="eastAsia" w:ascii="宋体" w:hAnsi="宋体" w:eastAsia="宋体" w:cs="宋体"/>
          <w:color w:val="auto"/>
          <w:szCs w:val="24"/>
          <w:highlight w:val="none"/>
        </w:rPr>
        <w:t>质量安全</w:t>
      </w:r>
      <w:r>
        <w:rPr>
          <w:rFonts w:hint="eastAsia" w:ascii="宋体" w:hAnsi="宋体" w:eastAsia="宋体" w:cs="宋体"/>
          <w:bCs/>
          <w:color w:val="auto"/>
          <w:szCs w:val="24"/>
          <w:highlight w:val="none"/>
        </w:rPr>
        <w:t>评估</w:t>
      </w:r>
      <w:r>
        <w:rPr>
          <w:rFonts w:hint="eastAsia" w:ascii="宋体" w:hAnsi="宋体" w:eastAsia="宋体" w:cs="宋体"/>
          <w:color w:val="auto"/>
          <w:szCs w:val="24"/>
          <w:highlight w:val="none"/>
        </w:rPr>
        <w:t>管理规定执行，评价内容包含人员到位情况、服务配合程度、工程质量、安全、项目后期服务及信用评价结果、评估结果的运用等。</w:t>
      </w:r>
    </w:p>
    <w:p w14:paraId="5F8D9F98">
      <w:pPr>
        <w:pageBreakBefore w:val="0"/>
        <w:tabs>
          <w:tab w:val="left" w:pos="1260"/>
        </w:tabs>
        <w:kinsoku/>
        <w:overflowPunct/>
        <w:topLinePunct w:val="0"/>
        <w:bidi w:val="0"/>
        <w:snapToGrid w:val="0"/>
        <w:spacing w:line="440" w:lineRule="exact"/>
        <w:ind w:firstLine="442" w:firstLineChars="200"/>
        <w:textAlignment w:val="auto"/>
        <w:rPr>
          <w:rFonts w:hint="eastAsia" w:ascii="宋体" w:hAnsi="宋体" w:eastAsia="宋体" w:cs="宋体"/>
          <w:b/>
          <w:bCs/>
          <w:color w:val="auto"/>
          <w:spacing w:val="-10"/>
          <w:szCs w:val="24"/>
          <w:highlight w:val="none"/>
        </w:rPr>
      </w:pPr>
      <w:r>
        <w:rPr>
          <w:rFonts w:hint="eastAsia" w:ascii="宋体" w:hAnsi="宋体" w:eastAsia="宋体" w:cs="宋体"/>
          <w:b/>
          <w:bCs/>
          <w:color w:val="auto"/>
          <w:spacing w:val="-10"/>
          <w:szCs w:val="24"/>
          <w:highlight w:val="none"/>
        </w:rPr>
        <w:t>6.设计部分：</w:t>
      </w:r>
    </w:p>
    <w:p w14:paraId="3881F216">
      <w:pPr>
        <w:pageBreakBefore w:val="0"/>
        <w:tabs>
          <w:tab w:val="left" w:pos="1260"/>
        </w:tabs>
        <w:kinsoku/>
        <w:overflowPunct/>
        <w:topLinePunct w:val="0"/>
        <w:bidi w:val="0"/>
        <w:snapToGrid w:val="0"/>
        <w:spacing w:line="440" w:lineRule="exact"/>
        <w:ind w:firstLine="440" w:firstLineChars="200"/>
        <w:textAlignment w:val="auto"/>
        <w:rPr>
          <w:rFonts w:hint="eastAsia" w:ascii="宋体" w:hAnsi="宋体" w:eastAsia="宋体" w:cs="宋体"/>
          <w:color w:val="auto"/>
          <w:spacing w:val="-10"/>
          <w:szCs w:val="24"/>
          <w:highlight w:val="none"/>
        </w:rPr>
      </w:pPr>
      <w:r>
        <w:rPr>
          <w:rFonts w:hint="eastAsia" w:ascii="宋体" w:hAnsi="宋体" w:eastAsia="宋体" w:cs="宋体"/>
          <w:color w:val="auto"/>
          <w:spacing w:val="-10"/>
          <w:szCs w:val="24"/>
          <w:highlight w:val="none"/>
        </w:rPr>
        <w:t>6.1 本合同设计总价包括所有设计事务工作收费、技术工作收费、税金和完成合同约定的所有与工程设计有关的全部费用。</w:t>
      </w:r>
    </w:p>
    <w:p w14:paraId="444C7763">
      <w:pPr>
        <w:pageBreakBefore w:val="0"/>
        <w:tabs>
          <w:tab w:val="left" w:pos="1260"/>
        </w:tabs>
        <w:kinsoku/>
        <w:overflowPunct/>
        <w:topLinePunct w:val="0"/>
        <w:bidi w:val="0"/>
        <w:snapToGrid w:val="0"/>
        <w:spacing w:line="440" w:lineRule="exact"/>
        <w:ind w:firstLine="440" w:firstLineChars="200"/>
        <w:textAlignment w:val="auto"/>
        <w:rPr>
          <w:rFonts w:hint="eastAsia" w:ascii="宋体" w:hAnsi="宋体" w:eastAsia="宋体" w:cs="宋体"/>
          <w:color w:val="auto"/>
          <w:szCs w:val="24"/>
          <w:highlight w:val="none"/>
        </w:rPr>
      </w:pPr>
      <w:r>
        <w:rPr>
          <w:rFonts w:hint="eastAsia" w:ascii="宋体" w:hAnsi="宋体" w:eastAsia="宋体" w:cs="宋体"/>
          <w:color w:val="auto"/>
          <w:spacing w:val="-10"/>
          <w:szCs w:val="24"/>
          <w:highlight w:val="none"/>
        </w:rPr>
        <w:t>6.2 承包人</w:t>
      </w:r>
      <w:r>
        <w:rPr>
          <w:rFonts w:hint="eastAsia" w:hAnsi="宋体" w:eastAsia="宋体" w:cs="宋体"/>
          <w:color w:val="auto"/>
          <w:spacing w:val="-10"/>
          <w:szCs w:val="24"/>
          <w:highlight w:val="none"/>
          <w:lang w:eastAsia="zh-CN"/>
        </w:rPr>
        <w:t>必须严格按照</w:t>
      </w:r>
      <w:r>
        <w:rPr>
          <w:rFonts w:hint="eastAsia" w:ascii="宋体" w:hAnsi="宋体" w:eastAsia="宋体" w:cs="宋体"/>
          <w:color w:val="auto"/>
          <w:spacing w:val="-10"/>
          <w:szCs w:val="24"/>
          <w:highlight w:val="none"/>
        </w:rPr>
        <w:t>有关设计规范设</w:t>
      </w:r>
      <w:r>
        <w:rPr>
          <w:rFonts w:hint="eastAsia" w:ascii="宋体" w:hAnsi="宋体" w:eastAsia="宋体" w:cs="宋体"/>
          <w:color w:val="auto"/>
          <w:szCs w:val="24"/>
          <w:highlight w:val="none"/>
        </w:rPr>
        <w:t>计图纸，承包人必须秉承合理、经济、环保、适用等原则进行施工图设计，发包人有权委托第三方对承包人每阶段的设计成果（含节能、结构计算模型等）进行精细化审图、各专业优化工作，承包人需无条件根据经发包人确认的精细化审图、结构优化报告进行设计文件修改，费用不另计。</w:t>
      </w:r>
    </w:p>
    <w:p w14:paraId="61BBB4D2">
      <w:pPr>
        <w:pageBreakBefore w:val="0"/>
        <w:tabs>
          <w:tab w:val="left" w:pos="1260"/>
        </w:tabs>
        <w:kinsoku/>
        <w:overflowPunct/>
        <w:topLinePunct w:val="0"/>
        <w:bidi w:val="0"/>
        <w:snapToGrid w:val="0"/>
        <w:spacing w:line="440" w:lineRule="exact"/>
        <w:ind w:firstLine="480" w:firstLineChars="200"/>
        <w:textAlignment w:val="auto"/>
        <w:rPr>
          <w:rFonts w:hint="eastAsia" w:ascii="宋体" w:hAnsi="宋体" w:eastAsia="宋体" w:cs="宋体"/>
          <w:color w:val="auto"/>
          <w:szCs w:val="24"/>
          <w:highlight w:val="none"/>
        </w:rPr>
      </w:pPr>
      <w:r>
        <w:rPr>
          <w:rFonts w:hint="eastAsia" w:ascii="宋体" w:hAnsi="宋体" w:eastAsia="宋体" w:cs="宋体"/>
          <w:color w:val="auto"/>
          <w:kern w:val="0"/>
          <w:szCs w:val="24"/>
          <w:highlight w:val="none"/>
        </w:rPr>
        <w:t xml:space="preserve">6.3 </w:t>
      </w:r>
      <w:r>
        <w:rPr>
          <w:rFonts w:hint="eastAsia" w:ascii="宋体" w:hAnsi="宋体" w:eastAsia="宋体" w:cs="宋体"/>
          <w:color w:val="auto"/>
          <w:szCs w:val="24"/>
          <w:highlight w:val="none"/>
        </w:rPr>
        <w:t>承包人未经发包人同意擅自对工程设计进行分包的，发包人有权收回未经发包人同意的设计分包内容，已支付该部分分包内容设计费用的在下次支付设计费时扣除，未支付的将不予支付该部分分包内容设计费 。如需其他专业分包，需提前向发包人报备，并提供相应专业资质文件</w:t>
      </w:r>
      <w:r>
        <w:rPr>
          <w:rFonts w:hint="eastAsia" w:hAnsi="宋体" w:eastAsia="宋体" w:cs="宋体"/>
          <w:color w:val="auto"/>
          <w:szCs w:val="24"/>
          <w:highlight w:val="none"/>
          <w:lang w:eastAsia="zh-CN"/>
        </w:rPr>
        <w:t>，经</w:t>
      </w:r>
      <w:r>
        <w:rPr>
          <w:rFonts w:hint="eastAsia" w:ascii="宋体" w:hAnsi="宋体" w:eastAsia="宋体" w:cs="宋体"/>
          <w:color w:val="auto"/>
          <w:szCs w:val="24"/>
          <w:highlight w:val="none"/>
        </w:rPr>
        <w:t>发包人同意后方可进行分包。</w:t>
      </w:r>
    </w:p>
    <w:p w14:paraId="28E36D5A">
      <w:pPr>
        <w:pageBreakBefore w:val="0"/>
        <w:tabs>
          <w:tab w:val="left" w:pos="1260"/>
        </w:tabs>
        <w:kinsoku/>
        <w:overflowPunct/>
        <w:topLinePunct w:val="0"/>
        <w:bidi w:val="0"/>
        <w:snapToGrid w:val="0"/>
        <w:spacing w:line="440" w:lineRule="exact"/>
        <w:ind w:firstLine="480" w:firstLineChars="200"/>
        <w:textAlignment w:val="auto"/>
        <w:rPr>
          <w:rFonts w:hint="eastAsia" w:ascii="宋体" w:hAnsi="宋体" w:eastAsia="宋体" w:cs="宋体"/>
          <w:color w:val="auto"/>
          <w:szCs w:val="24"/>
          <w:highlight w:val="none"/>
        </w:rPr>
      </w:pPr>
      <w:bookmarkStart w:id="360" w:name="_Toc390613831"/>
      <w:r>
        <w:rPr>
          <w:rFonts w:hint="eastAsia" w:ascii="宋体" w:hAnsi="宋体" w:eastAsia="宋体" w:cs="宋体"/>
          <w:color w:val="auto"/>
          <w:szCs w:val="24"/>
          <w:highlight w:val="none"/>
        </w:rPr>
        <w:t>6.4.知识产权和专利权</w:t>
      </w:r>
      <w:bookmarkEnd w:id="360"/>
    </w:p>
    <w:p w14:paraId="609E00CB">
      <w:pPr>
        <w:pageBreakBefore w:val="0"/>
        <w:tabs>
          <w:tab w:val="left" w:pos="1260"/>
        </w:tabs>
        <w:kinsoku/>
        <w:overflowPunct/>
        <w:topLinePunct w:val="0"/>
        <w:bidi w:val="0"/>
        <w:snapToGrid w:val="0"/>
        <w:spacing w:line="440" w:lineRule="exact"/>
        <w:ind w:firstLine="480" w:firstLineChars="200"/>
        <w:textAlignment w:val="auto"/>
        <w:rPr>
          <w:rFonts w:hint="eastAsia" w:ascii="宋体" w:hAnsi="宋体" w:eastAsia="宋体" w:cs="宋体"/>
          <w:color w:val="auto"/>
          <w:szCs w:val="24"/>
          <w:highlight w:val="none"/>
        </w:rPr>
      </w:pPr>
      <w:r>
        <w:rPr>
          <w:rFonts w:hint="eastAsia" w:ascii="宋体" w:hAnsi="宋体" w:eastAsia="宋体" w:cs="宋体"/>
          <w:color w:val="auto"/>
          <w:szCs w:val="24"/>
          <w:highlight w:val="none"/>
        </w:rPr>
        <w:t>6.4.1承包人保证投标文件及资料均未侵犯他人的知识产权，否则必须承担全部责任。若承包人使用了他人的专利、专有技术，涉及的费用由承包人负责。合同价包括所有应支付的对专利权和版权、设计和其他知识产权而需要向其他方支付的版税。</w:t>
      </w:r>
    </w:p>
    <w:p w14:paraId="320110A4">
      <w:pPr>
        <w:pageBreakBefore w:val="0"/>
        <w:kinsoku/>
        <w:overflowPunct/>
        <w:topLinePunct w:val="0"/>
        <w:bidi w:val="0"/>
        <w:spacing w:line="440" w:lineRule="exact"/>
        <w:ind w:firstLine="480" w:firstLineChars="200"/>
        <w:textAlignment w:val="auto"/>
        <w:rPr>
          <w:rFonts w:hint="eastAsia" w:ascii="宋体" w:hAnsi="宋体" w:eastAsia="宋体" w:cs="宋体"/>
          <w:color w:val="auto"/>
          <w:szCs w:val="24"/>
          <w:highlight w:val="none"/>
        </w:rPr>
      </w:pPr>
      <w:r>
        <w:rPr>
          <w:rFonts w:hint="eastAsia" w:ascii="宋体" w:hAnsi="宋体" w:eastAsia="宋体" w:cs="宋体"/>
          <w:color w:val="auto"/>
          <w:szCs w:val="24"/>
          <w:highlight w:val="none"/>
        </w:rPr>
        <w:t>6.4.2承包人应保护发包人的知识产权，不得向第三人泄露、转让发包人提交的产品图纸等技术经济资料。未经发包人同意，承包人不得将设计成果转让给第三方。如发生以上情况并给发包人造成经济损失，发包人有权向承包人索赔。</w:t>
      </w:r>
    </w:p>
    <w:p w14:paraId="6AA92596">
      <w:pPr>
        <w:pageBreakBefore w:val="0"/>
        <w:kinsoku/>
        <w:overflowPunct/>
        <w:topLinePunct w:val="0"/>
        <w:bidi w:val="0"/>
        <w:spacing w:beforeLines="50" w:line="440" w:lineRule="exact"/>
        <w:ind w:firstLine="472" w:firstLineChars="197"/>
        <w:textAlignment w:val="auto"/>
        <w:rPr>
          <w:rFonts w:hint="eastAsia" w:ascii="宋体" w:hAnsi="宋体" w:eastAsia="宋体" w:cs="宋体"/>
          <w:color w:val="auto"/>
          <w:szCs w:val="24"/>
          <w:highlight w:val="none"/>
        </w:rPr>
      </w:pPr>
      <w:r>
        <w:rPr>
          <w:rFonts w:hint="eastAsia" w:ascii="宋体" w:hAnsi="宋体" w:eastAsia="宋体" w:cs="宋体"/>
          <w:color w:val="auto"/>
          <w:szCs w:val="24"/>
          <w:highlight w:val="none"/>
        </w:rPr>
        <w:t>6.4.3承包人应保证发包人在本项目建设过程中使用其设计文件和设计文件的任何一部分时，发包人免受第三方提出侵犯其专利权、商标权或其他知识产权的起诉。</w:t>
      </w:r>
    </w:p>
    <w:p w14:paraId="4C24E9AC">
      <w:pPr>
        <w:pageBreakBefore w:val="0"/>
        <w:kinsoku/>
        <w:overflowPunct/>
        <w:topLinePunct w:val="0"/>
        <w:bidi w:val="0"/>
        <w:spacing w:line="440" w:lineRule="exact"/>
        <w:ind w:firstLine="480" w:firstLineChars="200"/>
        <w:textAlignment w:val="auto"/>
        <w:rPr>
          <w:rFonts w:hint="eastAsia" w:ascii="宋体" w:hAnsi="宋体" w:eastAsia="宋体" w:cs="宋体"/>
          <w:color w:val="auto"/>
          <w:szCs w:val="24"/>
          <w:highlight w:val="none"/>
        </w:rPr>
      </w:pPr>
      <w:r>
        <w:rPr>
          <w:rFonts w:hint="eastAsia" w:ascii="宋体" w:hAnsi="宋体" w:eastAsia="宋体" w:cs="宋体"/>
          <w:color w:val="auto"/>
          <w:szCs w:val="24"/>
          <w:highlight w:val="none"/>
        </w:rPr>
        <w:t>承包人保证发包人使用承包人设计成果将不会对任何第三方构成侵权，如因此引起任何第三方向发包人提出侵权之诉讼或索赔，均由承包人承担处理、应诉和赔偿责任。</w:t>
      </w:r>
    </w:p>
    <w:p w14:paraId="6D2EABA9">
      <w:pPr>
        <w:pageBreakBefore w:val="0"/>
        <w:kinsoku/>
        <w:overflowPunct/>
        <w:topLinePunct w:val="0"/>
        <w:bidi w:val="0"/>
        <w:spacing w:line="440" w:lineRule="exact"/>
        <w:ind w:firstLine="480" w:firstLineChars="200"/>
        <w:textAlignment w:val="auto"/>
        <w:rPr>
          <w:rFonts w:hint="eastAsia" w:ascii="宋体" w:hAnsi="宋体" w:eastAsia="宋体" w:cs="宋体"/>
          <w:color w:val="auto"/>
          <w:szCs w:val="24"/>
          <w:highlight w:val="none"/>
        </w:rPr>
      </w:pPr>
      <w:r>
        <w:rPr>
          <w:rFonts w:hint="eastAsia" w:ascii="宋体" w:hAnsi="宋体" w:eastAsia="宋体" w:cs="宋体"/>
          <w:color w:val="auto"/>
          <w:szCs w:val="24"/>
          <w:highlight w:val="none"/>
        </w:rPr>
        <w:t xml:space="preserve">6.4.4承包人提交给发包人的设计文件，其著作权、版权、专利权和使用权归发包人所有（署名权除外）。   </w:t>
      </w:r>
    </w:p>
    <w:p w14:paraId="0C0AAF04">
      <w:pPr>
        <w:pageBreakBefore w:val="0"/>
        <w:kinsoku/>
        <w:overflowPunct/>
        <w:topLinePunct w:val="0"/>
        <w:bidi w:val="0"/>
        <w:spacing w:line="440" w:lineRule="exact"/>
        <w:ind w:firstLine="482" w:firstLineChars="200"/>
        <w:textAlignment w:val="auto"/>
        <w:rPr>
          <w:rFonts w:hint="eastAsia" w:ascii="宋体" w:hAnsi="宋体" w:eastAsia="宋体" w:cs="宋体"/>
          <w:color w:val="auto"/>
          <w:szCs w:val="24"/>
          <w:highlight w:val="none"/>
        </w:rPr>
      </w:pPr>
      <w:r>
        <w:rPr>
          <w:rFonts w:hint="eastAsia" w:ascii="宋体" w:hAnsi="宋体" w:eastAsia="宋体" w:cs="宋体"/>
          <w:b/>
          <w:bCs/>
          <w:color w:val="auto"/>
          <w:szCs w:val="24"/>
          <w:highlight w:val="none"/>
        </w:rPr>
        <w:t>6.5.</w:t>
      </w:r>
      <w:r>
        <w:rPr>
          <w:rFonts w:hint="eastAsia" w:ascii="宋体" w:hAnsi="宋体" w:eastAsia="宋体" w:cs="宋体"/>
          <w:color w:val="auto"/>
          <w:szCs w:val="24"/>
          <w:highlight w:val="none"/>
        </w:rPr>
        <w:t xml:space="preserve"> 承包人在合同有效期内，应当履行合同约定的义务，如因承包人的原因产生设计质量事故、工期延误或设计缺陷，造成损失的应承担赔偿责任。</w:t>
      </w:r>
    </w:p>
    <w:p w14:paraId="5FCCB275">
      <w:pPr>
        <w:pageBreakBefore w:val="0"/>
        <w:kinsoku/>
        <w:overflowPunct/>
        <w:topLinePunct w:val="0"/>
        <w:bidi w:val="0"/>
        <w:spacing w:line="440" w:lineRule="exact"/>
        <w:ind w:firstLine="480" w:firstLineChars="200"/>
        <w:textAlignment w:val="auto"/>
        <w:rPr>
          <w:rFonts w:hint="eastAsia" w:ascii="宋体" w:hAnsi="宋体" w:eastAsia="宋体" w:cs="宋体"/>
          <w:color w:val="auto"/>
          <w:szCs w:val="24"/>
          <w:highlight w:val="none"/>
        </w:rPr>
      </w:pPr>
      <w:r>
        <w:rPr>
          <w:rFonts w:hint="eastAsia" w:ascii="宋体" w:hAnsi="宋体" w:eastAsia="宋体" w:cs="宋体"/>
          <w:color w:val="auto"/>
          <w:szCs w:val="24"/>
          <w:highlight w:val="none"/>
        </w:rPr>
        <w:t>（1）因设计错误而造成一般质量事故的，承包人除应免收受损失部分的设计费外，还应无偿修改和完善设计，并承担给发包人造成的直接损失。</w:t>
      </w:r>
    </w:p>
    <w:p w14:paraId="2DBFBC25">
      <w:pPr>
        <w:pageBreakBefore w:val="0"/>
        <w:kinsoku/>
        <w:overflowPunct/>
        <w:topLinePunct w:val="0"/>
        <w:bidi w:val="0"/>
        <w:spacing w:line="440" w:lineRule="exact"/>
        <w:ind w:firstLine="480" w:firstLineChars="200"/>
        <w:textAlignment w:val="auto"/>
        <w:rPr>
          <w:rFonts w:hint="eastAsia" w:ascii="宋体" w:hAnsi="宋体" w:eastAsia="宋体" w:cs="宋体"/>
          <w:color w:val="auto"/>
          <w:szCs w:val="24"/>
          <w:highlight w:val="none"/>
        </w:rPr>
      </w:pPr>
      <w:r>
        <w:rPr>
          <w:rFonts w:hint="eastAsia" w:ascii="宋体" w:hAnsi="宋体" w:eastAsia="宋体" w:cs="宋体"/>
          <w:color w:val="auto"/>
          <w:szCs w:val="24"/>
          <w:highlight w:val="none"/>
        </w:rPr>
        <w:t>（2）因设计错误而造成重大质量事故的，承包人承担给发包人造成的直接损失，发包人有权解除设计合同，并报请有关主管部门视事故造成的损失情况给予其他处罚。</w:t>
      </w:r>
    </w:p>
    <w:p w14:paraId="143F6EB0">
      <w:pPr>
        <w:pageBreakBefore w:val="0"/>
        <w:kinsoku/>
        <w:overflowPunct/>
        <w:topLinePunct w:val="0"/>
        <w:bidi w:val="0"/>
        <w:spacing w:line="440" w:lineRule="exact"/>
        <w:ind w:firstLine="482" w:firstLineChars="200"/>
        <w:textAlignment w:val="auto"/>
        <w:rPr>
          <w:rFonts w:hint="eastAsia" w:ascii="宋体" w:hAnsi="宋体" w:eastAsia="宋体" w:cs="宋体"/>
          <w:color w:val="auto"/>
          <w:szCs w:val="24"/>
          <w:highlight w:val="none"/>
        </w:rPr>
      </w:pPr>
      <w:r>
        <w:rPr>
          <w:rFonts w:hint="eastAsia" w:ascii="宋体" w:hAnsi="宋体" w:eastAsia="宋体" w:cs="宋体"/>
          <w:b/>
          <w:bCs/>
          <w:color w:val="auto"/>
          <w:szCs w:val="24"/>
          <w:highlight w:val="none"/>
        </w:rPr>
        <w:t>6.6.</w:t>
      </w:r>
      <w:r>
        <w:rPr>
          <w:rFonts w:hint="eastAsia" w:ascii="宋体" w:hAnsi="宋体" w:eastAsia="宋体" w:cs="宋体"/>
          <w:color w:val="auto"/>
          <w:szCs w:val="24"/>
          <w:highlight w:val="none"/>
        </w:rPr>
        <w:t xml:space="preserve"> 若因承包人原因导致提交的设计成果文件无法通过发包人组织的设计审查，发包人有权发出如下任何指令，承包人必须遵照执行。</w:t>
      </w:r>
    </w:p>
    <w:p w14:paraId="0AAF712A">
      <w:pPr>
        <w:pageBreakBefore w:val="0"/>
        <w:kinsoku/>
        <w:overflowPunct/>
        <w:topLinePunct w:val="0"/>
        <w:bidi w:val="0"/>
        <w:spacing w:line="440" w:lineRule="exact"/>
        <w:ind w:firstLine="480" w:firstLineChars="200"/>
        <w:textAlignment w:val="auto"/>
        <w:rPr>
          <w:rFonts w:hint="eastAsia" w:ascii="宋体" w:hAnsi="宋体" w:eastAsia="宋体" w:cs="宋体"/>
          <w:color w:val="auto"/>
          <w:szCs w:val="24"/>
          <w:highlight w:val="none"/>
        </w:rPr>
      </w:pPr>
      <w:r>
        <w:rPr>
          <w:rFonts w:hint="eastAsia" w:ascii="宋体" w:hAnsi="宋体" w:eastAsia="宋体" w:cs="宋体"/>
          <w:color w:val="auto"/>
          <w:szCs w:val="24"/>
          <w:highlight w:val="none"/>
        </w:rPr>
        <w:t>（1）对不合格部分进行重新设计或修改，由此引起的费用增加和工期延误由承包人负全部责任，发包人还可视造成的时间延误和费用损失，承包人按合同价的5%～10%向甲方支付违约金；同时发包人有权解除设计合同。</w:t>
      </w:r>
    </w:p>
    <w:p w14:paraId="7EEE81D9">
      <w:pPr>
        <w:pageBreakBefore w:val="0"/>
        <w:kinsoku/>
        <w:overflowPunct/>
        <w:topLinePunct w:val="0"/>
        <w:bidi w:val="0"/>
        <w:spacing w:line="440" w:lineRule="exact"/>
        <w:ind w:firstLine="480" w:firstLineChars="200"/>
        <w:textAlignment w:val="auto"/>
        <w:rPr>
          <w:rFonts w:hint="eastAsia" w:ascii="宋体" w:hAnsi="宋体" w:eastAsia="宋体" w:cs="宋体"/>
          <w:color w:val="auto"/>
          <w:szCs w:val="24"/>
          <w:highlight w:val="none"/>
        </w:rPr>
      </w:pPr>
      <w:r>
        <w:rPr>
          <w:rFonts w:hint="eastAsia" w:ascii="宋体" w:hAnsi="宋体" w:eastAsia="宋体" w:cs="宋体"/>
          <w:color w:val="auto"/>
          <w:szCs w:val="24"/>
          <w:highlight w:val="none"/>
        </w:rPr>
        <w:t>（2）如果重新设计或修改后的设计成果仍不能通过设计审查，或承包人没有能力完成该部分设计，发包人解除该不合格部分的合同，发包人将该不合格部分指定分包给其他设计单位，并扣除设计单位合同总价中此部分的设计费用；</w:t>
      </w:r>
    </w:p>
    <w:p w14:paraId="0009C20C">
      <w:pPr>
        <w:pageBreakBefore w:val="0"/>
        <w:kinsoku/>
        <w:overflowPunct/>
        <w:topLinePunct w:val="0"/>
        <w:bidi w:val="0"/>
        <w:spacing w:line="440" w:lineRule="exact"/>
        <w:ind w:firstLine="480" w:firstLineChars="200"/>
        <w:textAlignment w:val="auto"/>
        <w:rPr>
          <w:rFonts w:hint="eastAsia" w:ascii="宋体" w:hAnsi="宋体" w:eastAsia="宋体" w:cs="宋体"/>
          <w:color w:val="auto"/>
          <w:szCs w:val="24"/>
          <w:highlight w:val="none"/>
        </w:rPr>
      </w:pPr>
      <w:r>
        <w:rPr>
          <w:rFonts w:hint="eastAsia" w:ascii="宋体" w:hAnsi="宋体" w:eastAsia="宋体" w:cs="宋体"/>
          <w:color w:val="auto"/>
          <w:szCs w:val="24"/>
          <w:highlight w:val="none"/>
        </w:rPr>
        <w:t>（3）承包人须在发包人书面同意后，将该部分内容另行委托给其他具有相应资质等级的单位设计，直至通过设计审查，该部分设计费用已包含在合同价中，不另行计算，造成损失的依法承担赔偿责任。</w:t>
      </w:r>
    </w:p>
    <w:p w14:paraId="0510243B">
      <w:pPr>
        <w:pageBreakBefore w:val="0"/>
        <w:kinsoku/>
        <w:overflowPunct/>
        <w:topLinePunct w:val="0"/>
        <w:bidi w:val="0"/>
        <w:spacing w:line="440" w:lineRule="exact"/>
        <w:ind w:firstLine="482" w:firstLineChars="200"/>
        <w:textAlignment w:val="auto"/>
        <w:rPr>
          <w:rFonts w:hint="eastAsia" w:ascii="宋体" w:hAnsi="宋体" w:eastAsia="宋体" w:cs="宋体"/>
          <w:color w:val="auto"/>
          <w:szCs w:val="24"/>
          <w:highlight w:val="none"/>
        </w:rPr>
      </w:pPr>
      <w:r>
        <w:rPr>
          <w:rFonts w:hint="eastAsia" w:ascii="宋体" w:hAnsi="宋体" w:eastAsia="宋体" w:cs="宋体"/>
          <w:b/>
          <w:bCs/>
          <w:color w:val="auto"/>
          <w:szCs w:val="24"/>
          <w:highlight w:val="none"/>
        </w:rPr>
        <w:t xml:space="preserve">6.7. </w:t>
      </w:r>
      <w:r>
        <w:rPr>
          <w:rFonts w:hint="eastAsia" w:ascii="宋体" w:hAnsi="宋体" w:eastAsia="宋体" w:cs="宋体"/>
          <w:color w:val="auto"/>
          <w:szCs w:val="24"/>
          <w:highlight w:val="none"/>
        </w:rPr>
        <w:t>承包人应赔偿因设计质量或设计图纸不完善带来的设计变更所引发的工程费增加、施工返工费、误工费等，处理原则如下：</w:t>
      </w:r>
    </w:p>
    <w:p w14:paraId="6DF8DF16">
      <w:pPr>
        <w:pageBreakBefore w:val="0"/>
        <w:kinsoku/>
        <w:overflowPunct/>
        <w:topLinePunct w:val="0"/>
        <w:bidi w:val="0"/>
        <w:spacing w:line="440" w:lineRule="exact"/>
        <w:ind w:firstLine="480" w:firstLineChars="200"/>
        <w:textAlignment w:val="auto"/>
        <w:rPr>
          <w:rFonts w:hint="eastAsia" w:ascii="宋体" w:hAnsi="宋体" w:eastAsia="宋体" w:cs="宋体"/>
          <w:color w:val="auto"/>
          <w:szCs w:val="24"/>
          <w:highlight w:val="none"/>
        </w:rPr>
      </w:pPr>
      <w:r>
        <w:rPr>
          <w:rFonts w:hint="eastAsia" w:ascii="宋体" w:hAnsi="宋体" w:eastAsia="宋体" w:cs="宋体"/>
          <w:color w:val="auto"/>
          <w:szCs w:val="24"/>
          <w:highlight w:val="none"/>
        </w:rPr>
        <w:t>（1）由于设计质量或设计图纸不完善引起的施工返工，承包人应及时处理，并每次扣减设计合同价的2%作为违约金。</w:t>
      </w:r>
    </w:p>
    <w:p w14:paraId="33B286D1">
      <w:pPr>
        <w:pageBreakBefore w:val="0"/>
        <w:kinsoku/>
        <w:overflowPunct/>
        <w:topLinePunct w:val="0"/>
        <w:bidi w:val="0"/>
        <w:spacing w:line="440" w:lineRule="exact"/>
        <w:ind w:firstLine="480" w:firstLineChars="200"/>
        <w:textAlignment w:val="auto"/>
        <w:rPr>
          <w:rFonts w:hint="eastAsia" w:ascii="宋体" w:hAnsi="宋体" w:eastAsia="宋体" w:cs="宋体"/>
          <w:color w:val="auto"/>
          <w:szCs w:val="24"/>
          <w:highlight w:val="none"/>
        </w:rPr>
      </w:pPr>
      <w:r>
        <w:rPr>
          <w:rFonts w:hint="eastAsia" w:ascii="宋体" w:hAnsi="宋体" w:eastAsia="宋体" w:cs="宋体"/>
          <w:color w:val="auto"/>
          <w:szCs w:val="24"/>
          <w:highlight w:val="none"/>
        </w:rPr>
        <w:t>（2）由于设计质量或设计图纸不完善引起的施工返工、停工，承包人未能及时处理，每次扣减设计合同价的2%作为违约金，对施工工期造成较大影响，还</w:t>
      </w:r>
      <w:r>
        <w:rPr>
          <w:rFonts w:hint="eastAsia" w:hAnsi="宋体" w:eastAsia="宋体" w:cs="宋体"/>
          <w:color w:val="auto"/>
          <w:szCs w:val="24"/>
          <w:highlight w:val="none"/>
          <w:lang w:eastAsia="zh-CN"/>
        </w:rPr>
        <w:t>需</w:t>
      </w:r>
      <w:r>
        <w:rPr>
          <w:rFonts w:hint="eastAsia" w:ascii="宋体" w:hAnsi="宋体" w:eastAsia="宋体" w:cs="宋体"/>
          <w:color w:val="auto"/>
          <w:szCs w:val="24"/>
          <w:highlight w:val="none"/>
        </w:rPr>
        <w:t>按设计合同价的15%赔偿，经监理单位和发包人确认后，承包人在申请当期设计费之前支付给发包人。</w:t>
      </w:r>
    </w:p>
    <w:p w14:paraId="1AA195BE">
      <w:pPr>
        <w:pageBreakBefore w:val="0"/>
        <w:kinsoku/>
        <w:overflowPunct/>
        <w:topLinePunct w:val="0"/>
        <w:bidi w:val="0"/>
        <w:spacing w:line="440" w:lineRule="exact"/>
        <w:ind w:firstLine="480" w:firstLineChars="200"/>
        <w:textAlignment w:val="auto"/>
        <w:rPr>
          <w:rFonts w:hint="eastAsia" w:ascii="宋体" w:hAnsi="宋体" w:eastAsia="宋体" w:cs="宋体"/>
          <w:color w:val="auto"/>
          <w:szCs w:val="24"/>
          <w:highlight w:val="none"/>
        </w:rPr>
      </w:pPr>
      <w:r>
        <w:rPr>
          <w:rFonts w:hint="eastAsia" w:ascii="宋体" w:hAnsi="宋体" w:eastAsia="宋体" w:cs="宋体"/>
          <w:color w:val="auto"/>
          <w:szCs w:val="24"/>
          <w:highlight w:val="none"/>
        </w:rPr>
        <w:t>（3）由于设计质量或设计图纸不完善导致的设计变更引起工程造价增加，</w:t>
      </w:r>
      <w:r>
        <w:rPr>
          <w:rFonts w:hint="eastAsia" w:hAnsi="宋体" w:eastAsia="宋体" w:cs="宋体"/>
          <w:color w:val="auto"/>
          <w:szCs w:val="24"/>
          <w:highlight w:val="none"/>
          <w:lang w:eastAsia="zh-CN"/>
        </w:rPr>
        <w:t>以致</w:t>
      </w:r>
      <w:r>
        <w:rPr>
          <w:rFonts w:hint="eastAsia" w:ascii="宋体" w:hAnsi="宋体" w:eastAsia="宋体" w:cs="宋体"/>
          <w:color w:val="auto"/>
          <w:szCs w:val="24"/>
          <w:highlight w:val="none"/>
        </w:rPr>
        <w:t>超出审批的概算投资额，如设计变更未对施工工期造成影响，承包人按超额部分的5%赔偿发包人；如设计变更对施工工期造成影响，承包人按超额部分的10%赔偿发包人。承包人还应对设计进行修改或调整，以保证工程总费用控制在总投资计划内或限额设计指标内。</w:t>
      </w:r>
    </w:p>
    <w:p w14:paraId="1AA58CFF">
      <w:pPr>
        <w:pageBreakBefore w:val="0"/>
        <w:kinsoku/>
        <w:overflowPunct/>
        <w:topLinePunct w:val="0"/>
        <w:bidi w:val="0"/>
        <w:spacing w:line="440" w:lineRule="exact"/>
        <w:ind w:firstLine="480" w:firstLineChars="200"/>
        <w:textAlignment w:val="auto"/>
        <w:rPr>
          <w:rFonts w:hint="eastAsia" w:ascii="宋体" w:hAnsi="宋体" w:eastAsia="宋体" w:cs="宋体"/>
          <w:color w:val="auto"/>
          <w:szCs w:val="24"/>
          <w:highlight w:val="none"/>
        </w:rPr>
      </w:pPr>
      <w:r>
        <w:rPr>
          <w:rFonts w:hint="eastAsia" w:ascii="宋体" w:hAnsi="宋体" w:eastAsia="宋体" w:cs="宋体"/>
          <w:color w:val="auto"/>
          <w:szCs w:val="24"/>
          <w:highlight w:val="none"/>
        </w:rPr>
        <w:t>（4）由于设计质量设计图纸不完善所引起的工程费增加，超出审批的概算投资额，承包人无法调整到限额内，发包人有权不支付设计费，已支付的设计费承包人应返还发包人，发包人有权拒绝承包人参加发包人的任何设计项目的投标，并将承包人的不良行为上报行业主管部门。</w:t>
      </w:r>
    </w:p>
    <w:p w14:paraId="2C65A7C6">
      <w:pPr>
        <w:pageBreakBefore w:val="0"/>
        <w:kinsoku/>
        <w:overflowPunct/>
        <w:topLinePunct w:val="0"/>
        <w:bidi w:val="0"/>
        <w:spacing w:line="440" w:lineRule="exact"/>
        <w:ind w:firstLine="482" w:firstLineChars="200"/>
        <w:textAlignment w:val="auto"/>
        <w:rPr>
          <w:rFonts w:hint="eastAsia" w:ascii="宋体" w:hAnsi="宋体" w:eastAsia="宋体" w:cs="宋体"/>
          <w:color w:val="auto"/>
          <w:szCs w:val="24"/>
          <w:highlight w:val="none"/>
        </w:rPr>
      </w:pPr>
      <w:r>
        <w:rPr>
          <w:rFonts w:hint="eastAsia" w:ascii="宋体" w:hAnsi="宋体" w:eastAsia="宋体" w:cs="宋体"/>
          <w:b/>
          <w:bCs/>
          <w:color w:val="auto"/>
          <w:szCs w:val="24"/>
          <w:highlight w:val="none"/>
        </w:rPr>
        <w:t>6.8</w:t>
      </w:r>
      <w:r>
        <w:rPr>
          <w:rFonts w:hint="eastAsia" w:ascii="宋体" w:hAnsi="宋体" w:eastAsia="宋体" w:cs="宋体"/>
          <w:color w:val="auto"/>
          <w:szCs w:val="24"/>
          <w:highlight w:val="none"/>
        </w:rPr>
        <w:t xml:space="preserve"> 承包人未按照国家及建设部现行的强制性技术标准、规范和规程进行设计，或承包人在设计成果中未经发包人认可擅自指定或变相指定材料或设备生产厂商、供应商的，承包人按合同价的5%～10%向发包人支付违约金。</w:t>
      </w:r>
    </w:p>
    <w:p w14:paraId="6B6C3BE3">
      <w:pPr>
        <w:pageBreakBefore w:val="0"/>
        <w:kinsoku/>
        <w:overflowPunct/>
        <w:topLinePunct w:val="0"/>
        <w:bidi w:val="0"/>
        <w:spacing w:line="440" w:lineRule="exact"/>
        <w:ind w:firstLine="482" w:firstLineChars="200"/>
        <w:textAlignment w:val="auto"/>
        <w:rPr>
          <w:rFonts w:hint="eastAsia" w:ascii="宋体" w:hAnsi="宋体" w:eastAsia="宋体" w:cs="宋体"/>
          <w:color w:val="auto"/>
          <w:szCs w:val="24"/>
          <w:highlight w:val="none"/>
        </w:rPr>
      </w:pPr>
      <w:r>
        <w:rPr>
          <w:rFonts w:hint="eastAsia" w:ascii="宋体" w:hAnsi="宋体" w:eastAsia="宋体" w:cs="宋体"/>
          <w:b/>
          <w:bCs/>
          <w:color w:val="auto"/>
          <w:szCs w:val="24"/>
          <w:highlight w:val="none"/>
        </w:rPr>
        <w:t>6.9</w:t>
      </w:r>
      <w:r>
        <w:rPr>
          <w:rFonts w:hint="eastAsia" w:ascii="宋体" w:hAnsi="宋体" w:eastAsia="宋体" w:cs="宋体"/>
          <w:color w:val="auto"/>
          <w:szCs w:val="24"/>
          <w:highlight w:val="none"/>
        </w:rPr>
        <w:t xml:space="preserve"> 承包人保证，未经发包人书面同意，不得将本合同项下的任何工作任务委托第三人履行，对于工程设计内容中超出承包人资质条件的分部、分项工程，承包人不得超越自身资质条件进行设计或自行将设计任务转包、分包，否则，发包人可以立即解除本合同，并且不需要向承包人支付任何费用。发包人将有权终止合同，承包人按合同价的5%～10%向发包人支付违约金。</w:t>
      </w:r>
    </w:p>
    <w:p w14:paraId="07FF4E56">
      <w:pPr>
        <w:pStyle w:val="8"/>
        <w:pageBreakBefore w:val="0"/>
        <w:kinsoku/>
        <w:overflowPunct/>
        <w:topLinePunct w:val="0"/>
        <w:bidi w:val="0"/>
        <w:snapToGrid w:val="0"/>
        <w:spacing w:line="440" w:lineRule="exact"/>
        <w:ind w:left="63" w:right="63" w:firstLine="482" w:firstLineChars="200"/>
        <w:jc w:val="left"/>
        <w:textAlignment w:val="auto"/>
        <w:rPr>
          <w:rFonts w:hint="eastAsia" w:ascii="宋体" w:hAnsi="宋体" w:eastAsia="宋体" w:cs="宋体"/>
          <w:b/>
          <w:color w:val="auto"/>
          <w:kern w:val="0"/>
          <w:szCs w:val="24"/>
          <w:highlight w:val="none"/>
        </w:rPr>
      </w:pPr>
      <w:r>
        <w:rPr>
          <w:rFonts w:hint="eastAsia" w:ascii="宋体" w:hAnsi="宋体" w:eastAsia="宋体" w:cs="宋体"/>
          <w:b/>
          <w:color w:val="auto"/>
          <w:kern w:val="0"/>
          <w:szCs w:val="24"/>
          <w:highlight w:val="none"/>
        </w:rPr>
        <w:t>6.10 除招标文件规定的服务内容外，承包人还</w:t>
      </w:r>
      <w:r>
        <w:rPr>
          <w:rFonts w:hint="eastAsia" w:hAnsi="宋体" w:eastAsia="宋体" w:cs="宋体"/>
          <w:b/>
          <w:color w:val="auto"/>
          <w:kern w:val="0"/>
          <w:szCs w:val="24"/>
          <w:highlight w:val="none"/>
          <w:lang w:eastAsia="zh-CN"/>
        </w:rPr>
        <w:t>需</w:t>
      </w:r>
      <w:r>
        <w:rPr>
          <w:rFonts w:hint="eastAsia" w:ascii="宋体" w:hAnsi="宋体" w:eastAsia="宋体" w:cs="宋体"/>
          <w:b/>
          <w:color w:val="auto"/>
          <w:kern w:val="0"/>
          <w:szCs w:val="24"/>
          <w:highlight w:val="none"/>
        </w:rPr>
        <w:t>完成以下各阶段服务内容：</w:t>
      </w:r>
    </w:p>
    <w:p w14:paraId="1387941E">
      <w:pPr>
        <w:pageBreakBefore w:val="0"/>
        <w:kinsoku/>
        <w:overflowPunct/>
        <w:topLinePunct w:val="0"/>
        <w:bidi w:val="0"/>
        <w:spacing w:line="440" w:lineRule="exact"/>
        <w:ind w:firstLine="482" w:firstLineChars="200"/>
        <w:textAlignment w:val="auto"/>
        <w:rPr>
          <w:rFonts w:hint="eastAsia" w:ascii="宋体" w:hAnsi="宋体" w:eastAsia="宋体" w:cs="宋体"/>
          <w:b/>
          <w:color w:val="auto"/>
          <w:szCs w:val="24"/>
          <w:highlight w:val="none"/>
        </w:rPr>
      </w:pPr>
      <w:r>
        <w:rPr>
          <w:rFonts w:hint="eastAsia" w:ascii="宋体" w:hAnsi="宋体" w:eastAsia="宋体" w:cs="宋体"/>
          <w:b/>
          <w:color w:val="auto"/>
          <w:szCs w:val="24"/>
          <w:highlight w:val="none"/>
        </w:rPr>
        <w:t>6.10.1 施工图设计阶段</w:t>
      </w:r>
    </w:p>
    <w:p w14:paraId="6D176E61">
      <w:pPr>
        <w:pStyle w:val="37"/>
        <w:pageBreakBefore w:val="0"/>
        <w:kinsoku/>
        <w:overflowPunct/>
        <w:topLinePunct w:val="0"/>
        <w:bidi w:val="0"/>
        <w:spacing w:line="440" w:lineRule="exact"/>
        <w:ind w:firstLine="480" w:firstLineChars="200"/>
        <w:jc w:val="left"/>
        <w:textAlignment w:val="auto"/>
        <w:rPr>
          <w:rFonts w:hint="eastAsia" w:ascii="宋体" w:hAnsi="宋体" w:eastAsia="宋体" w:cs="宋体"/>
          <w:snapToGrid w:val="0"/>
          <w:color w:val="auto"/>
          <w:kern w:val="0"/>
          <w:highlight w:val="none"/>
        </w:rPr>
      </w:pPr>
      <w:r>
        <w:rPr>
          <w:rFonts w:hint="eastAsia" w:ascii="宋体" w:hAnsi="宋体" w:eastAsia="宋体" w:cs="宋体"/>
          <w:color w:val="auto"/>
          <w:szCs w:val="24"/>
          <w:highlight w:val="none"/>
        </w:rPr>
        <w:t>（1）负责完成并制作总图及设计说明书、主要设备及材料以及建筑、结构、建筑装饰装修、给排水、电气、照明、</w:t>
      </w:r>
      <w:r>
        <w:rPr>
          <w:rFonts w:hint="eastAsia" w:ascii="宋体" w:hAnsi="宋体" w:eastAsia="宋体" w:cs="宋体"/>
          <w:color w:val="auto"/>
          <w:szCs w:val="24"/>
          <w:highlight w:val="none"/>
          <w:lang w:eastAsia="zh-CN"/>
        </w:rPr>
        <w:t>消防、节能、无障碍设计、安防及智能系统</w:t>
      </w:r>
      <w:r>
        <w:rPr>
          <w:rFonts w:hint="eastAsia" w:ascii="宋体" w:hAnsi="宋体" w:eastAsia="宋体" w:cs="宋体"/>
          <w:color w:val="auto"/>
          <w:szCs w:val="24"/>
          <w:highlight w:val="none"/>
        </w:rPr>
        <w:t>等所有专项设计及红线范围内的所有工程及相关附属工程、设施等本项目涉及的所有建安工程的施工图设计文件</w:t>
      </w:r>
      <w:r>
        <w:rPr>
          <w:rFonts w:hint="eastAsia" w:ascii="宋体" w:hAnsi="宋体" w:eastAsia="宋体" w:cs="宋体"/>
          <w:snapToGrid w:val="0"/>
          <w:color w:val="auto"/>
          <w:kern w:val="0"/>
          <w:highlight w:val="none"/>
        </w:rPr>
        <w:t>；</w:t>
      </w:r>
    </w:p>
    <w:p w14:paraId="51DFE3FF">
      <w:pPr>
        <w:pageBreakBefore w:val="0"/>
        <w:kinsoku/>
        <w:overflowPunct/>
        <w:topLinePunct w:val="0"/>
        <w:bidi w:val="0"/>
        <w:spacing w:line="440" w:lineRule="exact"/>
        <w:ind w:firstLine="480" w:firstLineChars="200"/>
        <w:textAlignment w:val="auto"/>
        <w:rPr>
          <w:rFonts w:hint="eastAsia" w:ascii="宋体" w:hAnsi="宋体" w:eastAsia="宋体" w:cs="宋体"/>
          <w:color w:val="auto"/>
          <w:szCs w:val="24"/>
          <w:highlight w:val="none"/>
        </w:rPr>
      </w:pPr>
      <w:r>
        <w:rPr>
          <w:rFonts w:hint="eastAsia" w:ascii="宋体" w:hAnsi="宋体" w:eastAsia="宋体" w:cs="宋体"/>
          <w:color w:val="auto"/>
          <w:szCs w:val="24"/>
          <w:highlight w:val="none"/>
        </w:rPr>
        <w:t xml:space="preserve">（2）对发包人的审核修改意见进行修改、完善，保证其设计意图的最终实现； </w:t>
      </w:r>
    </w:p>
    <w:p w14:paraId="5D8FE21E">
      <w:pPr>
        <w:pageBreakBefore w:val="0"/>
        <w:kinsoku/>
        <w:overflowPunct/>
        <w:topLinePunct w:val="0"/>
        <w:bidi w:val="0"/>
        <w:spacing w:line="440" w:lineRule="exact"/>
        <w:ind w:firstLine="480" w:firstLineChars="200"/>
        <w:textAlignment w:val="auto"/>
        <w:rPr>
          <w:rFonts w:hint="eastAsia" w:ascii="宋体" w:hAnsi="宋体" w:eastAsia="宋体" w:cs="宋体"/>
          <w:color w:val="auto"/>
          <w:szCs w:val="24"/>
          <w:highlight w:val="none"/>
        </w:rPr>
      </w:pPr>
      <w:r>
        <w:rPr>
          <w:rFonts w:hint="eastAsia" w:ascii="宋体" w:hAnsi="宋体" w:eastAsia="宋体" w:cs="宋体"/>
          <w:color w:val="auto"/>
          <w:szCs w:val="24"/>
          <w:highlight w:val="none"/>
        </w:rPr>
        <w:t xml:space="preserve">（3）根据项目开发进度要求及时提供各阶段报审图纸，协助发包人进行报审工作，根据审查结果在本合同约定的范围内进行修改调整，直至审查通过，并最终向发包人提交正式的施工图设计文件； </w:t>
      </w:r>
    </w:p>
    <w:p w14:paraId="501214EB">
      <w:pPr>
        <w:pageBreakBefore w:val="0"/>
        <w:kinsoku/>
        <w:overflowPunct/>
        <w:topLinePunct w:val="0"/>
        <w:bidi w:val="0"/>
        <w:spacing w:line="440" w:lineRule="exact"/>
        <w:ind w:firstLine="480" w:firstLineChars="200"/>
        <w:textAlignment w:val="auto"/>
        <w:rPr>
          <w:rFonts w:hint="eastAsia" w:ascii="宋体" w:hAnsi="宋体" w:eastAsia="宋体" w:cs="宋体"/>
          <w:color w:val="auto"/>
          <w:szCs w:val="24"/>
          <w:highlight w:val="none"/>
        </w:rPr>
      </w:pPr>
      <w:r>
        <w:rPr>
          <w:rFonts w:hint="eastAsia" w:ascii="宋体" w:hAnsi="宋体" w:eastAsia="宋体" w:cs="宋体"/>
          <w:color w:val="auto"/>
          <w:szCs w:val="24"/>
          <w:highlight w:val="none"/>
        </w:rPr>
        <w:t>（4）协助发包人进行工程招标答疑。</w:t>
      </w:r>
    </w:p>
    <w:p w14:paraId="54B4089D">
      <w:pPr>
        <w:pageBreakBefore w:val="0"/>
        <w:kinsoku/>
        <w:overflowPunct/>
        <w:topLinePunct w:val="0"/>
        <w:bidi w:val="0"/>
        <w:spacing w:line="440" w:lineRule="exact"/>
        <w:ind w:firstLine="482" w:firstLineChars="200"/>
        <w:textAlignment w:val="auto"/>
        <w:rPr>
          <w:rFonts w:hint="eastAsia" w:ascii="宋体" w:hAnsi="宋体" w:eastAsia="宋体" w:cs="宋体"/>
          <w:b/>
          <w:color w:val="auto"/>
          <w:szCs w:val="24"/>
          <w:highlight w:val="none"/>
        </w:rPr>
      </w:pPr>
      <w:r>
        <w:rPr>
          <w:rFonts w:hint="eastAsia" w:ascii="宋体" w:hAnsi="宋体" w:eastAsia="宋体" w:cs="宋体"/>
          <w:b/>
          <w:color w:val="auto"/>
          <w:szCs w:val="24"/>
          <w:highlight w:val="none"/>
        </w:rPr>
        <w:t>6.10.2 施工配合阶段</w:t>
      </w:r>
    </w:p>
    <w:p w14:paraId="21696D7E">
      <w:pPr>
        <w:pageBreakBefore w:val="0"/>
        <w:kinsoku/>
        <w:overflowPunct/>
        <w:topLinePunct w:val="0"/>
        <w:bidi w:val="0"/>
        <w:spacing w:line="440" w:lineRule="exact"/>
        <w:ind w:firstLine="480" w:firstLineChars="200"/>
        <w:textAlignment w:val="auto"/>
        <w:rPr>
          <w:rFonts w:hint="eastAsia" w:ascii="宋体" w:hAnsi="宋体" w:eastAsia="宋体" w:cs="宋体"/>
          <w:color w:val="auto"/>
          <w:szCs w:val="24"/>
          <w:highlight w:val="none"/>
        </w:rPr>
      </w:pPr>
      <w:r>
        <w:rPr>
          <w:rFonts w:hint="eastAsia" w:ascii="宋体" w:hAnsi="宋体" w:eastAsia="宋体" w:cs="宋体"/>
          <w:color w:val="auto"/>
          <w:szCs w:val="24"/>
          <w:highlight w:val="none"/>
        </w:rPr>
        <w:t xml:space="preserve">（1）负责工程设计交底，解答施工过程中施工承包人有关施工图的问题，项目负责人及各专业设计负责人，及时对施工中与设计有关的问题做出回应，保证设计满足施工要求； </w:t>
      </w:r>
    </w:p>
    <w:p w14:paraId="3679817C">
      <w:pPr>
        <w:pageBreakBefore w:val="0"/>
        <w:kinsoku/>
        <w:overflowPunct/>
        <w:topLinePunct w:val="0"/>
        <w:bidi w:val="0"/>
        <w:spacing w:line="440" w:lineRule="exact"/>
        <w:ind w:firstLine="480" w:firstLineChars="200"/>
        <w:textAlignment w:val="auto"/>
        <w:rPr>
          <w:rFonts w:hint="eastAsia" w:ascii="宋体" w:hAnsi="宋体" w:eastAsia="宋体" w:cs="宋体"/>
          <w:color w:val="auto"/>
          <w:szCs w:val="24"/>
          <w:highlight w:val="none"/>
        </w:rPr>
      </w:pPr>
      <w:r>
        <w:rPr>
          <w:rFonts w:hint="eastAsia" w:ascii="宋体" w:hAnsi="宋体" w:eastAsia="宋体" w:cs="宋体"/>
          <w:color w:val="auto"/>
          <w:szCs w:val="24"/>
          <w:highlight w:val="none"/>
        </w:rPr>
        <w:t xml:space="preserve">（2）根据发包人要求，及时参加与设计有关的专题会，现场解决技术问题； </w:t>
      </w:r>
    </w:p>
    <w:p w14:paraId="1A79A77D">
      <w:pPr>
        <w:pageBreakBefore w:val="0"/>
        <w:kinsoku/>
        <w:overflowPunct/>
        <w:topLinePunct w:val="0"/>
        <w:bidi w:val="0"/>
        <w:spacing w:line="440" w:lineRule="exact"/>
        <w:ind w:firstLine="480" w:firstLineChars="200"/>
        <w:textAlignment w:val="auto"/>
        <w:rPr>
          <w:rFonts w:hint="eastAsia" w:ascii="宋体" w:hAnsi="宋体" w:eastAsia="宋体" w:cs="宋体"/>
          <w:color w:val="auto"/>
          <w:szCs w:val="24"/>
          <w:highlight w:val="none"/>
        </w:rPr>
      </w:pPr>
      <w:r>
        <w:rPr>
          <w:rFonts w:hint="eastAsia" w:ascii="宋体" w:hAnsi="宋体" w:eastAsia="宋体" w:cs="宋体"/>
          <w:color w:val="auto"/>
          <w:szCs w:val="24"/>
          <w:highlight w:val="none"/>
        </w:rPr>
        <w:t xml:space="preserve">（3）协助发包人处理工程洽商和设计变更，负责有关设计修改，及时办理相关手续； </w:t>
      </w:r>
    </w:p>
    <w:p w14:paraId="0697C9EC">
      <w:pPr>
        <w:pageBreakBefore w:val="0"/>
        <w:kinsoku/>
        <w:overflowPunct/>
        <w:topLinePunct w:val="0"/>
        <w:bidi w:val="0"/>
        <w:spacing w:line="440" w:lineRule="exact"/>
        <w:ind w:firstLine="480" w:firstLineChars="200"/>
        <w:textAlignment w:val="auto"/>
        <w:rPr>
          <w:rFonts w:hint="eastAsia" w:ascii="宋体" w:hAnsi="宋体" w:eastAsia="宋体" w:cs="宋体"/>
          <w:color w:val="auto"/>
          <w:szCs w:val="24"/>
          <w:highlight w:val="none"/>
        </w:rPr>
      </w:pPr>
      <w:r>
        <w:rPr>
          <w:rFonts w:hint="eastAsia" w:ascii="宋体" w:hAnsi="宋体" w:eastAsia="宋体" w:cs="宋体"/>
          <w:color w:val="auto"/>
          <w:szCs w:val="24"/>
          <w:highlight w:val="none"/>
        </w:rPr>
        <w:t xml:space="preserve">（4）参与与承包人相关的必要的验收以及项目竣工验收工作，并及时办理相关手续； </w:t>
      </w:r>
    </w:p>
    <w:p w14:paraId="2273C86C">
      <w:pPr>
        <w:pageBreakBefore w:val="0"/>
        <w:kinsoku/>
        <w:overflowPunct/>
        <w:topLinePunct w:val="0"/>
        <w:bidi w:val="0"/>
        <w:spacing w:line="440" w:lineRule="exact"/>
        <w:ind w:firstLine="480" w:firstLineChars="200"/>
        <w:textAlignment w:val="auto"/>
        <w:rPr>
          <w:rFonts w:hint="eastAsia" w:ascii="宋体" w:hAnsi="宋体" w:eastAsia="宋体" w:cs="宋体"/>
          <w:color w:val="auto"/>
          <w:szCs w:val="24"/>
          <w:highlight w:val="none"/>
        </w:rPr>
      </w:pPr>
      <w:r>
        <w:rPr>
          <w:rFonts w:hint="eastAsia" w:ascii="宋体" w:hAnsi="宋体" w:eastAsia="宋体" w:cs="宋体"/>
          <w:color w:val="auto"/>
          <w:szCs w:val="24"/>
          <w:highlight w:val="none"/>
        </w:rPr>
        <w:t xml:space="preserve">（5）提供产品选型、设备加工订货、建筑材料选择以及分包商考察等技术咨询工作； </w:t>
      </w:r>
    </w:p>
    <w:p w14:paraId="01035964">
      <w:pPr>
        <w:pageBreakBefore w:val="0"/>
        <w:kinsoku/>
        <w:overflowPunct/>
        <w:topLinePunct w:val="0"/>
        <w:bidi w:val="0"/>
        <w:spacing w:line="440" w:lineRule="exact"/>
        <w:ind w:firstLine="480" w:firstLineChars="200"/>
        <w:textAlignment w:val="auto"/>
        <w:rPr>
          <w:rFonts w:hint="eastAsia" w:ascii="宋体" w:hAnsi="宋体" w:eastAsia="宋体" w:cs="宋体"/>
          <w:color w:val="auto"/>
          <w:szCs w:val="24"/>
          <w:highlight w:val="none"/>
        </w:rPr>
      </w:pPr>
      <w:r>
        <w:rPr>
          <w:rFonts w:hint="eastAsia" w:ascii="宋体" w:hAnsi="宋体" w:eastAsia="宋体" w:cs="宋体"/>
          <w:color w:val="auto"/>
          <w:szCs w:val="24"/>
          <w:highlight w:val="none"/>
        </w:rPr>
        <w:t>（6）应发包人要求协助审核各分包商的设计文件是否满足接口条件并签署意见，以保证其与总体设计协调一致，并满足工程要求。</w:t>
      </w:r>
    </w:p>
    <w:p w14:paraId="69ABE668">
      <w:pPr>
        <w:pageBreakBefore w:val="0"/>
        <w:kinsoku/>
        <w:overflowPunct/>
        <w:topLinePunct w:val="0"/>
        <w:bidi w:val="0"/>
        <w:spacing w:line="440" w:lineRule="exact"/>
        <w:ind w:firstLine="482" w:firstLineChars="200"/>
        <w:textAlignment w:val="auto"/>
        <w:rPr>
          <w:rFonts w:hint="eastAsia" w:ascii="宋体" w:hAnsi="宋体" w:eastAsia="宋体" w:cs="宋体"/>
          <w:b/>
          <w:color w:val="auto"/>
          <w:szCs w:val="24"/>
          <w:highlight w:val="none"/>
        </w:rPr>
      </w:pPr>
      <w:r>
        <w:rPr>
          <w:rFonts w:hint="eastAsia" w:ascii="宋体" w:hAnsi="宋体" w:eastAsia="宋体" w:cs="宋体"/>
          <w:b/>
          <w:bCs/>
          <w:color w:val="auto"/>
          <w:szCs w:val="24"/>
          <w:highlight w:val="none"/>
        </w:rPr>
        <w:t xml:space="preserve">6.11 </w:t>
      </w:r>
      <w:r>
        <w:rPr>
          <w:rFonts w:hint="eastAsia" w:ascii="宋体" w:hAnsi="宋体" w:eastAsia="宋体" w:cs="宋体"/>
          <w:b/>
          <w:color w:val="auto"/>
          <w:szCs w:val="24"/>
          <w:highlight w:val="none"/>
        </w:rPr>
        <w:t>承包人义务及违约责任</w:t>
      </w:r>
    </w:p>
    <w:p w14:paraId="4180BCF5">
      <w:pPr>
        <w:pageBreakBefore w:val="0"/>
        <w:kinsoku/>
        <w:overflowPunct/>
        <w:topLinePunct w:val="0"/>
        <w:bidi w:val="0"/>
        <w:spacing w:line="440" w:lineRule="exact"/>
        <w:ind w:firstLine="482" w:firstLineChars="200"/>
        <w:textAlignment w:val="auto"/>
        <w:rPr>
          <w:rFonts w:hint="eastAsia" w:ascii="宋体" w:hAnsi="宋体" w:eastAsia="宋体" w:cs="宋体"/>
          <w:b/>
          <w:bCs/>
          <w:color w:val="auto"/>
          <w:szCs w:val="24"/>
          <w:highlight w:val="none"/>
        </w:rPr>
      </w:pPr>
      <w:r>
        <w:rPr>
          <w:rFonts w:hint="eastAsia" w:ascii="宋体" w:hAnsi="宋体" w:eastAsia="宋体" w:cs="宋体"/>
          <w:b/>
          <w:bCs/>
          <w:color w:val="auto"/>
          <w:szCs w:val="24"/>
          <w:highlight w:val="none"/>
        </w:rPr>
        <w:t>6.11.1 承包人义务</w:t>
      </w:r>
    </w:p>
    <w:p w14:paraId="2ED332B2">
      <w:pPr>
        <w:pageBreakBefore w:val="0"/>
        <w:kinsoku/>
        <w:overflowPunct/>
        <w:topLinePunct w:val="0"/>
        <w:bidi w:val="0"/>
        <w:adjustRightInd w:val="0"/>
        <w:snapToGrid w:val="0"/>
        <w:spacing w:line="440" w:lineRule="exact"/>
        <w:ind w:firstLine="360" w:firstLineChars="150"/>
        <w:textAlignment w:val="auto"/>
        <w:rPr>
          <w:rFonts w:hint="eastAsia" w:ascii="宋体" w:hAnsi="宋体" w:eastAsia="宋体" w:cs="宋体"/>
          <w:b/>
          <w:bCs/>
          <w:snapToGrid w:val="0"/>
          <w:color w:val="auto"/>
          <w:kern w:val="0"/>
          <w:szCs w:val="24"/>
          <w:highlight w:val="none"/>
        </w:rPr>
      </w:pPr>
      <w:r>
        <w:rPr>
          <w:rFonts w:hint="eastAsia" w:ascii="宋体" w:hAnsi="宋体" w:eastAsia="宋体" w:cs="宋体"/>
          <w:snapToGrid w:val="0"/>
          <w:color w:val="auto"/>
          <w:kern w:val="0"/>
          <w:szCs w:val="24"/>
          <w:highlight w:val="none"/>
        </w:rPr>
        <w:t>（1）中标通知书发出后30天内第一中标候选人不按招标文件约定条款签订设计合同的，视为自动放弃中标资格，没收投标保证金，并确定第二中标候选人为承包人，以此类推。并上报建设行政主管部门。</w:t>
      </w:r>
    </w:p>
    <w:p w14:paraId="643690E9">
      <w:pPr>
        <w:pageBreakBefore w:val="0"/>
        <w:kinsoku/>
        <w:overflowPunct/>
        <w:topLinePunct w:val="0"/>
        <w:bidi w:val="0"/>
        <w:adjustRightInd w:val="0"/>
        <w:snapToGrid w:val="0"/>
        <w:spacing w:line="440" w:lineRule="exact"/>
        <w:ind w:firstLine="360" w:firstLineChars="150"/>
        <w:textAlignment w:val="auto"/>
        <w:rPr>
          <w:rFonts w:hint="eastAsia" w:ascii="宋体" w:hAnsi="宋体" w:eastAsia="宋体" w:cs="宋体"/>
          <w:b/>
          <w:bCs/>
          <w:snapToGrid w:val="0"/>
          <w:color w:val="auto"/>
          <w:kern w:val="0"/>
          <w:szCs w:val="24"/>
          <w:highlight w:val="none"/>
        </w:rPr>
      </w:pPr>
      <w:r>
        <w:rPr>
          <w:rFonts w:hint="eastAsia" w:ascii="宋体" w:hAnsi="宋体" w:eastAsia="宋体" w:cs="宋体"/>
          <w:snapToGrid w:val="0"/>
          <w:color w:val="auto"/>
          <w:kern w:val="0"/>
          <w:szCs w:val="24"/>
          <w:highlight w:val="none"/>
        </w:rPr>
        <w:t>（2）合同生效后，承包人要求终止或解除合同视为承包人违约。</w:t>
      </w:r>
    </w:p>
    <w:p w14:paraId="49428776">
      <w:pPr>
        <w:pageBreakBefore w:val="0"/>
        <w:kinsoku/>
        <w:overflowPunct/>
        <w:topLinePunct w:val="0"/>
        <w:bidi w:val="0"/>
        <w:adjustRightInd w:val="0"/>
        <w:snapToGrid w:val="0"/>
        <w:spacing w:line="440" w:lineRule="exact"/>
        <w:ind w:firstLine="360" w:firstLineChars="150"/>
        <w:textAlignment w:val="auto"/>
        <w:rPr>
          <w:rFonts w:hint="eastAsia" w:ascii="宋体" w:hAnsi="宋体" w:eastAsia="宋体" w:cs="宋体"/>
          <w:b/>
          <w:bCs/>
          <w:snapToGrid w:val="0"/>
          <w:color w:val="auto"/>
          <w:kern w:val="0"/>
          <w:szCs w:val="24"/>
          <w:highlight w:val="none"/>
        </w:rPr>
      </w:pPr>
      <w:r>
        <w:rPr>
          <w:rFonts w:hint="eastAsia" w:ascii="宋体" w:hAnsi="宋体" w:eastAsia="宋体" w:cs="宋体"/>
          <w:snapToGrid w:val="0"/>
          <w:color w:val="auto"/>
          <w:kern w:val="0"/>
          <w:szCs w:val="24"/>
          <w:highlight w:val="none"/>
        </w:rPr>
        <w:t>（3）承包人负责按照合同规定承包范围、内容和方式，在规定时间内提交满足规定质量要求的设计成果，并完成约定的服务内容。承包人交付设计文件后，按规定参加有关的设计审查，并根据审查结论负责不超出原定范围的内容做必要调</w:t>
      </w:r>
      <w:r>
        <w:rPr>
          <w:rFonts w:hint="eastAsia" w:hAnsi="宋体" w:eastAsia="宋体" w:cs="宋体"/>
          <w:snapToGrid w:val="0"/>
          <w:color w:val="auto"/>
          <w:kern w:val="0"/>
          <w:szCs w:val="24"/>
          <w:highlight w:val="none"/>
          <w:lang w:eastAsia="zh-CN"/>
        </w:rPr>
        <w:t>整和</w:t>
      </w:r>
      <w:r>
        <w:rPr>
          <w:rFonts w:hint="eastAsia" w:ascii="宋体" w:hAnsi="宋体" w:eastAsia="宋体" w:cs="宋体"/>
          <w:snapToGrid w:val="0"/>
          <w:color w:val="auto"/>
          <w:kern w:val="0"/>
          <w:szCs w:val="24"/>
          <w:highlight w:val="none"/>
        </w:rPr>
        <w:t>补充。承包人按合同规定时限交付设计文件，负责向发包人及施工单位进行设计交底、处理有关设计问题和参加竣工验收。施工过程中负责有关工程变更的变更设计和变更预算编制。</w:t>
      </w:r>
    </w:p>
    <w:p w14:paraId="567A6E59">
      <w:pPr>
        <w:pageBreakBefore w:val="0"/>
        <w:kinsoku/>
        <w:overflowPunct/>
        <w:topLinePunct w:val="0"/>
        <w:bidi w:val="0"/>
        <w:adjustRightInd w:val="0"/>
        <w:snapToGrid w:val="0"/>
        <w:spacing w:line="440" w:lineRule="exact"/>
        <w:ind w:firstLine="360" w:firstLineChars="150"/>
        <w:textAlignment w:val="auto"/>
        <w:rPr>
          <w:rFonts w:hint="eastAsia" w:ascii="宋体" w:hAnsi="宋体" w:eastAsia="宋体" w:cs="宋体"/>
          <w:snapToGrid w:val="0"/>
          <w:color w:val="auto"/>
          <w:kern w:val="0"/>
          <w:szCs w:val="24"/>
          <w:highlight w:val="none"/>
        </w:rPr>
      </w:pPr>
      <w:r>
        <w:rPr>
          <w:rFonts w:hint="eastAsia" w:ascii="宋体" w:hAnsi="宋体" w:eastAsia="宋体" w:cs="宋体"/>
          <w:snapToGrid w:val="0"/>
          <w:color w:val="auto"/>
          <w:kern w:val="0"/>
          <w:szCs w:val="24"/>
          <w:highlight w:val="none"/>
        </w:rPr>
        <w:t>（4）承包人应对发包人提供的文件、资料进行认真研究，对本项目的特点和不确定因素进行认真考虑，并提出合理建议和评价，对影响设计稳定的重大问题要进行多方案比较选择。</w:t>
      </w:r>
    </w:p>
    <w:p w14:paraId="4C80D9ED">
      <w:pPr>
        <w:pageBreakBefore w:val="0"/>
        <w:kinsoku/>
        <w:overflowPunct/>
        <w:topLinePunct w:val="0"/>
        <w:bidi w:val="0"/>
        <w:adjustRightInd w:val="0"/>
        <w:snapToGrid w:val="0"/>
        <w:spacing w:line="440" w:lineRule="exact"/>
        <w:ind w:firstLine="360" w:firstLineChars="150"/>
        <w:textAlignment w:val="auto"/>
        <w:rPr>
          <w:rFonts w:hint="eastAsia" w:ascii="宋体" w:hAnsi="宋体" w:eastAsia="宋体" w:cs="宋体"/>
          <w:snapToGrid w:val="0"/>
          <w:color w:val="auto"/>
          <w:kern w:val="0"/>
          <w:szCs w:val="24"/>
          <w:highlight w:val="none"/>
        </w:rPr>
      </w:pPr>
      <w:r>
        <w:rPr>
          <w:rFonts w:hint="eastAsia" w:ascii="宋体" w:hAnsi="宋体" w:eastAsia="宋体" w:cs="宋体"/>
          <w:snapToGrid w:val="0"/>
          <w:color w:val="auto"/>
          <w:kern w:val="0"/>
          <w:szCs w:val="24"/>
          <w:highlight w:val="none"/>
        </w:rPr>
        <w:t>（5）设计应尽可能减少施工难度，为施工创造方便合理的施工条件；应尽量减少施工对城市交通、市民生活以及水利、通航的干扰，并尽可能减少对施工期的影响。</w:t>
      </w:r>
    </w:p>
    <w:p w14:paraId="5C30EA9A">
      <w:pPr>
        <w:pageBreakBefore w:val="0"/>
        <w:kinsoku/>
        <w:overflowPunct/>
        <w:topLinePunct w:val="0"/>
        <w:bidi w:val="0"/>
        <w:adjustRightInd w:val="0"/>
        <w:snapToGrid w:val="0"/>
        <w:spacing w:line="440" w:lineRule="exact"/>
        <w:ind w:firstLine="240" w:firstLineChars="100"/>
        <w:textAlignment w:val="auto"/>
        <w:rPr>
          <w:rFonts w:hint="eastAsia" w:ascii="宋体" w:hAnsi="宋体" w:eastAsia="宋体" w:cs="宋体"/>
          <w:snapToGrid w:val="0"/>
          <w:color w:val="auto"/>
          <w:kern w:val="0"/>
          <w:szCs w:val="24"/>
          <w:highlight w:val="none"/>
        </w:rPr>
      </w:pPr>
      <w:r>
        <w:rPr>
          <w:rFonts w:hint="eastAsia" w:ascii="宋体" w:hAnsi="宋体" w:eastAsia="宋体" w:cs="宋体"/>
          <w:snapToGrid w:val="0"/>
          <w:color w:val="auto"/>
          <w:kern w:val="0"/>
          <w:szCs w:val="24"/>
          <w:highlight w:val="none"/>
        </w:rPr>
        <w:t xml:space="preserve"> （6）未经发包人书面同意，承包人不得对已批准的设计和勘探点布置方案作重大修改、增减或删除。</w:t>
      </w:r>
    </w:p>
    <w:p w14:paraId="3E7FF651">
      <w:pPr>
        <w:pageBreakBefore w:val="0"/>
        <w:kinsoku/>
        <w:overflowPunct/>
        <w:topLinePunct w:val="0"/>
        <w:bidi w:val="0"/>
        <w:adjustRightInd w:val="0"/>
        <w:snapToGrid w:val="0"/>
        <w:spacing w:line="440" w:lineRule="exact"/>
        <w:ind w:firstLine="240" w:firstLineChars="100"/>
        <w:textAlignment w:val="auto"/>
        <w:rPr>
          <w:rFonts w:hint="eastAsia" w:ascii="宋体" w:hAnsi="宋体" w:eastAsia="宋体" w:cs="宋体"/>
          <w:snapToGrid w:val="0"/>
          <w:color w:val="auto"/>
          <w:kern w:val="0"/>
          <w:szCs w:val="24"/>
          <w:highlight w:val="none"/>
        </w:rPr>
      </w:pPr>
      <w:r>
        <w:rPr>
          <w:rFonts w:hint="eastAsia" w:ascii="宋体" w:hAnsi="宋体" w:eastAsia="宋体" w:cs="宋体"/>
          <w:snapToGrid w:val="0"/>
          <w:color w:val="auto"/>
          <w:kern w:val="0"/>
          <w:szCs w:val="24"/>
          <w:highlight w:val="none"/>
        </w:rPr>
        <w:t xml:space="preserve"> （7）承包人提交的全部设计文件应考虑地质因素、正常施工中可能出现的各种因素，对设计文件出现的遗漏或错误负责修改或补充。</w:t>
      </w:r>
    </w:p>
    <w:p w14:paraId="3B607D7D">
      <w:pPr>
        <w:pageBreakBefore w:val="0"/>
        <w:kinsoku/>
        <w:overflowPunct/>
        <w:topLinePunct w:val="0"/>
        <w:bidi w:val="0"/>
        <w:adjustRightInd w:val="0"/>
        <w:snapToGrid w:val="0"/>
        <w:spacing w:line="440" w:lineRule="exact"/>
        <w:ind w:firstLine="240" w:firstLineChars="100"/>
        <w:textAlignment w:val="auto"/>
        <w:rPr>
          <w:rFonts w:hint="eastAsia" w:ascii="宋体" w:hAnsi="宋体" w:eastAsia="宋体" w:cs="宋体"/>
          <w:snapToGrid w:val="0"/>
          <w:color w:val="auto"/>
          <w:kern w:val="0"/>
          <w:szCs w:val="24"/>
          <w:highlight w:val="none"/>
        </w:rPr>
      </w:pPr>
      <w:r>
        <w:rPr>
          <w:rFonts w:hint="eastAsia" w:ascii="宋体" w:hAnsi="宋体" w:eastAsia="宋体" w:cs="宋体"/>
          <w:snapToGrid w:val="0"/>
          <w:color w:val="auto"/>
          <w:kern w:val="0"/>
          <w:szCs w:val="24"/>
          <w:highlight w:val="none"/>
        </w:rPr>
        <w:t xml:space="preserve"> （8）承包人承诺在交付项目的部分或全部设计文件后，如有更好的新工艺、新技术、新材料、新设备等适用于本项目，应及时向发包人推荐并提供科学的评估和来源证明。</w:t>
      </w:r>
    </w:p>
    <w:p w14:paraId="4B8DCC4C">
      <w:pPr>
        <w:pageBreakBefore w:val="0"/>
        <w:kinsoku/>
        <w:overflowPunct/>
        <w:topLinePunct w:val="0"/>
        <w:bidi w:val="0"/>
        <w:adjustRightInd w:val="0"/>
        <w:snapToGrid w:val="0"/>
        <w:spacing w:line="440" w:lineRule="exact"/>
        <w:ind w:firstLine="240" w:firstLineChars="100"/>
        <w:textAlignment w:val="auto"/>
        <w:rPr>
          <w:rFonts w:hint="eastAsia" w:ascii="宋体" w:hAnsi="宋体" w:eastAsia="宋体" w:cs="宋体"/>
          <w:snapToGrid w:val="0"/>
          <w:color w:val="auto"/>
          <w:kern w:val="0"/>
          <w:szCs w:val="24"/>
          <w:highlight w:val="none"/>
        </w:rPr>
      </w:pPr>
      <w:r>
        <w:rPr>
          <w:rFonts w:hint="eastAsia" w:ascii="宋体" w:hAnsi="宋体" w:eastAsia="宋体" w:cs="宋体"/>
          <w:snapToGrid w:val="0"/>
          <w:color w:val="auto"/>
          <w:kern w:val="0"/>
          <w:szCs w:val="24"/>
          <w:highlight w:val="none"/>
        </w:rPr>
        <w:t xml:space="preserve"> （9）承包人驻</w:t>
      </w:r>
      <w:r>
        <w:rPr>
          <w:rFonts w:hint="eastAsia" w:hAnsi="宋体" w:eastAsia="宋体" w:cs="宋体"/>
          <w:snapToGrid w:val="0"/>
          <w:color w:val="auto"/>
          <w:kern w:val="0"/>
          <w:szCs w:val="24"/>
          <w:highlight w:val="none"/>
          <w:lang w:eastAsia="zh-CN"/>
        </w:rPr>
        <w:t>场</w:t>
      </w:r>
      <w:r>
        <w:rPr>
          <w:rFonts w:hint="eastAsia" w:ascii="宋体" w:hAnsi="宋体" w:eastAsia="宋体" w:cs="宋体"/>
          <w:snapToGrid w:val="0"/>
          <w:color w:val="auto"/>
          <w:kern w:val="0"/>
          <w:szCs w:val="24"/>
          <w:highlight w:val="none"/>
        </w:rPr>
        <w:t>办公的项目负责人（即投标文件所拟派的项目负责人）必须负责本项目设计全过程（包括施工图设计审查、施工图设计修编、图纸会审和技术交底）。</w:t>
      </w:r>
    </w:p>
    <w:p w14:paraId="2E6589A6">
      <w:pPr>
        <w:pageBreakBefore w:val="0"/>
        <w:kinsoku/>
        <w:overflowPunct/>
        <w:topLinePunct w:val="0"/>
        <w:bidi w:val="0"/>
        <w:adjustRightInd w:val="0"/>
        <w:snapToGrid w:val="0"/>
        <w:spacing w:line="440" w:lineRule="exact"/>
        <w:ind w:firstLine="240" w:firstLineChars="100"/>
        <w:textAlignment w:val="auto"/>
        <w:rPr>
          <w:rFonts w:hint="eastAsia" w:ascii="宋体" w:hAnsi="宋体" w:eastAsia="宋体" w:cs="宋体"/>
          <w:snapToGrid w:val="0"/>
          <w:color w:val="auto"/>
          <w:kern w:val="0"/>
          <w:szCs w:val="24"/>
          <w:highlight w:val="none"/>
        </w:rPr>
      </w:pPr>
      <w:r>
        <w:rPr>
          <w:rFonts w:hint="eastAsia" w:ascii="宋体" w:hAnsi="宋体" w:eastAsia="宋体" w:cs="宋体"/>
          <w:snapToGrid w:val="0"/>
          <w:color w:val="auto"/>
          <w:kern w:val="0"/>
          <w:szCs w:val="24"/>
          <w:highlight w:val="none"/>
        </w:rPr>
        <w:t xml:space="preserve"> （10）承包人应委派1名参与并熟悉本项目设计任务</w:t>
      </w:r>
      <w:r>
        <w:rPr>
          <w:rFonts w:hint="eastAsia" w:hAnsi="宋体" w:eastAsia="宋体" w:cs="宋体"/>
          <w:snapToGrid w:val="0"/>
          <w:color w:val="auto"/>
          <w:kern w:val="0"/>
          <w:szCs w:val="24"/>
          <w:highlight w:val="none"/>
          <w:lang w:eastAsia="zh-CN"/>
        </w:rPr>
        <w:t>，具</w:t>
      </w:r>
      <w:r>
        <w:rPr>
          <w:rFonts w:hint="eastAsia" w:ascii="宋体" w:hAnsi="宋体" w:eastAsia="宋体" w:cs="宋体"/>
          <w:snapToGrid w:val="0"/>
          <w:color w:val="auto"/>
          <w:kern w:val="0"/>
          <w:szCs w:val="24"/>
          <w:highlight w:val="none"/>
        </w:rPr>
        <w:t>有现场处理经验的设计代表常驻项目现场。承包人应为派驻现场的设计工作人员提供工作、生活及交通等方面的便利条件及准备必要的劳动保护装备。</w:t>
      </w:r>
    </w:p>
    <w:p w14:paraId="7323E66D">
      <w:pPr>
        <w:pageBreakBefore w:val="0"/>
        <w:kinsoku/>
        <w:overflowPunct/>
        <w:topLinePunct w:val="0"/>
        <w:bidi w:val="0"/>
        <w:adjustRightInd w:val="0"/>
        <w:snapToGrid w:val="0"/>
        <w:spacing w:line="440" w:lineRule="exact"/>
        <w:ind w:firstLine="240" w:firstLineChars="100"/>
        <w:textAlignment w:val="auto"/>
        <w:rPr>
          <w:rFonts w:hint="eastAsia" w:ascii="宋体" w:hAnsi="宋体" w:eastAsia="宋体" w:cs="宋体"/>
          <w:snapToGrid w:val="0"/>
          <w:color w:val="auto"/>
          <w:kern w:val="0"/>
          <w:szCs w:val="24"/>
          <w:highlight w:val="none"/>
        </w:rPr>
      </w:pPr>
      <w:r>
        <w:rPr>
          <w:rFonts w:hint="eastAsia" w:ascii="宋体" w:hAnsi="宋体" w:eastAsia="宋体" w:cs="宋体"/>
          <w:snapToGrid w:val="0"/>
          <w:color w:val="auto"/>
          <w:kern w:val="0"/>
          <w:szCs w:val="24"/>
          <w:highlight w:val="none"/>
        </w:rPr>
        <w:t xml:space="preserve"> （11）承包人要按照批准的设计任务书，按照批准的总概算控制施工图设计，即限额设计。承包人要无条件对设计文件出现的遗漏或错误负责修改或补充，直到满足要求。</w:t>
      </w:r>
    </w:p>
    <w:p w14:paraId="2ABF1D93">
      <w:pPr>
        <w:pageBreakBefore w:val="0"/>
        <w:kinsoku/>
        <w:overflowPunct/>
        <w:topLinePunct w:val="0"/>
        <w:bidi w:val="0"/>
        <w:adjustRightInd w:val="0"/>
        <w:snapToGrid w:val="0"/>
        <w:spacing w:line="440" w:lineRule="exact"/>
        <w:ind w:firstLine="244" w:firstLineChars="100"/>
        <w:textAlignment w:val="auto"/>
        <w:rPr>
          <w:rFonts w:hint="eastAsia" w:ascii="宋体" w:hAnsi="宋体" w:eastAsia="宋体" w:cs="宋体"/>
          <w:color w:val="auto"/>
          <w:szCs w:val="24"/>
          <w:highlight w:val="none"/>
        </w:rPr>
      </w:pPr>
      <w:r>
        <w:rPr>
          <w:rFonts w:hint="eastAsia" w:ascii="宋体" w:hAnsi="宋体" w:eastAsia="宋体" w:cs="宋体"/>
          <w:color w:val="auto"/>
          <w:spacing w:val="2"/>
          <w:szCs w:val="24"/>
          <w:highlight w:val="none"/>
        </w:rPr>
        <w:t xml:space="preserve"> （12）发包人及咨询</w:t>
      </w:r>
      <w:r>
        <w:rPr>
          <w:rFonts w:hint="eastAsia" w:ascii="宋体" w:hAnsi="宋体" w:eastAsia="宋体" w:cs="宋体"/>
          <w:color w:val="auto"/>
          <w:spacing w:val="1"/>
          <w:szCs w:val="24"/>
          <w:highlight w:val="none"/>
        </w:rPr>
        <w:t>单</w:t>
      </w:r>
      <w:r>
        <w:rPr>
          <w:rFonts w:hint="eastAsia" w:ascii="宋体" w:hAnsi="宋体" w:eastAsia="宋体" w:cs="宋体"/>
          <w:color w:val="auto"/>
          <w:spacing w:val="2"/>
          <w:szCs w:val="24"/>
          <w:highlight w:val="none"/>
        </w:rPr>
        <w:t>位、上级</w:t>
      </w:r>
      <w:r>
        <w:rPr>
          <w:rFonts w:hint="eastAsia" w:ascii="宋体" w:hAnsi="宋体" w:eastAsia="宋体" w:cs="宋体"/>
          <w:color w:val="auto"/>
          <w:spacing w:val="1"/>
          <w:szCs w:val="24"/>
          <w:highlight w:val="none"/>
        </w:rPr>
        <w:t>主</w:t>
      </w:r>
      <w:r>
        <w:rPr>
          <w:rFonts w:hint="eastAsia" w:ascii="宋体" w:hAnsi="宋体" w:eastAsia="宋体" w:cs="宋体"/>
          <w:color w:val="auto"/>
          <w:spacing w:val="2"/>
          <w:szCs w:val="24"/>
          <w:highlight w:val="none"/>
        </w:rPr>
        <w:t>管部门对设计</w:t>
      </w:r>
      <w:r>
        <w:rPr>
          <w:rFonts w:hint="eastAsia" w:ascii="宋体" w:hAnsi="宋体" w:eastAsia="宋体" w:cs="宋体"/>
          <w:color w:val="auto"/>
          <w:szCs w:val="24"/>
          <w:highlight w:val="none"/>
        </w:rPr>
        <w:t>文件的审查并不免除承包人的责任。</w:t>
      </w:r>
    </w:p>
    <w:p w14:paraId="7409A39F">
      <w:pPr>
        <w:pageBreakBefore w:val="0"/>
        <w:kinsoku/>
        <w:overflowPunct/>
        <w:topLinePunct w:val="0"/>
        <w:bidi w:val="0"/>
        <w:adjustRightInd w:val="0"/>
        <w:snapToGrid w:val="0"/>
        <w:spacing w:line="440" w:lineRule="exact"/>
        <w:ind w:firstLine="360" w:firstLineChars="150"/>
        <w:textAlignment w:val="auto"/>
        <w:rPr>
          <w:rFonts w:hint="eastAsia" w:ascii="宋体" w:hAnsi="宋体" w:eastAsia="宋体" w:cs="宋体"/>
          <w:snapToGrid w:val="0"/>
          <w:color w:val="auto"/>
          <w:kern w:val="0"/>
          <w:szCs w:val="24"/>
          <w:highlight w:val="none"/>
        </w:rPr>
      </w:pPr>
      <w:r>
        <w:rPr>
          <w:rFonts w:hint="eastAsia" w:ascii="宋体" w:hAnsi="宋体" w:eastAsia="宋体" w:cs="宋体"/>
          <w:color w:val="auto"/>
          <w:szCs w:val="24"/>
          <w:highlight w:val="none"/>
        </w:rPr>
        <w:t>（13）中标通知书发出后三天内，中标单位法定代表人及主要负责人、项目经理、设计负责人应积极主动与发包人接洽工作，迅速有效推动工程前期工作顺利开展，逾期未履行，作违约处理。</w:t>
      </w:r>
    </w:p>
    <w:p w14:paraId="3F25E372">
      <w:pPr>
        <w:pageBreakBefore w:val="0"/>
        <w:kinsoku/>
        <w:overflowPunct/>
        <w:topLinePunct w:val="0"/>
        <w:bidi w:val="0"/>
        <w:adjustRightInd w:val="0"/>
        <w:snapToGrid w:val="0"/>
        <w:spacing w:line="440" w:lineRule="exact"/>
        <w:ind w:firstLine="120" w:firstLineChars="50"/>
        <w:textAlignment w:val="auto"/>
        <w:rPr>
          <w:rFonts w:hint="eastAsia" w:ascii="宋体" w:hAnsi="宋体" w:eastAsia="宋体" w:cs="宋体"/>
          <w:b/>
          <w:snapToGrid w:val="0"/>
          <w:color w:val="auto"/>
          <w:kern w:val="0"/>
          <w:szCs w:val="24"/>
          <w:highlight w:val="none"/>
        </w:rPr>
      </w:pPr>
      <w:r>
        <w:rPr>
          <w:rFonts w:hint="eastAsia" w:ascii="宋体" w:hAnsi="宋体" w:eastAsia="宋体" w:cs="宋体"/>
          <w:b/>
          <w:bCs/>
          <w:color w:val="auto"/>
          <w:szCs w:val="24"/>
          <w:highlight w:val="none"/>
        </w:rPr>
        <w:t xml:space="preserve">   6.11.2 </w:t>
      </w:r>
      <w:r>
        <w:rPr>
          <w:rFonts w:hint="eastAsia" w:ascii="宋体" w:hAnsi="宋体" w:eastAsia="宋体" w:cs="宋体"/>
          <w:b/>
          <w:snapToGrid w:val="0"/>
          <w:color w:val="auto"/>
          <w:kern w:val="0"/>
          <w:szCs w:val="24"/>
          <w:highlight w:val="none"/>
        </w:rPr>
        <w:t>承包人违约的处理</w:t>
      </w:r>
    </w:p>
    <w:p w14:paraId="5F1B6B7C">
      <w:pPr>
        <w:pageBreakBefore w:val="0"/>
        <w:kinsoku/>
        <w:overflowPunct/>
        <w:topLinePunct w:val="0"/>
        <w:bidi w:val="0"/>
        <w:spacing w:line="440" w:lineRule="exact"/>
        <w:ind w:firstLine="360" w:firstLineChars="150"/>
        <w:textAlignment w:val="auto"/>
        <w:rPr>
          <w:rFonts w:hint="eastAsia" w:ascii="宋体" w:hAnsi="宋体" w:eastAsia="宋体" w:cs="宋体"/>
          <w:color w:val="auto"/>
          <w:szCs w:val="24"/>
          <w:highlight w:val="none"/>
        </w:rPr>
      </w:pPr>
      <w:r>
        <w:rPr>
          <w:rFonts w:hint="eastAsia" w:ascii="宋体" w:hAnsi="宋体" w:eastAsia="宋体" w:cs="宋体"/>
          <w:color w:val="auto"/>
          <w:szCs w:val="24"/>
          <w:highlight w:val="none"/>
        </w:rPr>
        <w:t>（1）承包人发生合同约定的违约情况时，无论发包人是否解除合同，发包人均有权按相关规定</w:t>
      </w:r>
      <w:r>
        <w:rPr>
          <w:rFonts w:hint="eastAsia" w:ascii="宋体" w:hAnsi="宋体" w:eastAsia="宋体" w:cs="宋体"/>
          <w:strike w:val="0"/>
          <w:dstrike w:val="0"/>
          <w:color w:val="auto"/>
          <w:szCs w:val="24"/>
          <w:highlight w:val="none"/>
          <w:lang w:eastAsia="zh-CN"/>
        </w:rPr>
        <w:t>要求承包人支付违约金</w:t>
      </w:r>
      <w:r>
        <w:rPr>
          <w:rFonts w:hint="eastAsia" w:ascii="宋体" w:hAnsi="宋体" w:eastAsia="宋体" w:cs="宋体"/>
          <w:color w:val="auto"/>
          <w:szCs w:val="24"/>
          <w:highlight w:val="none"/>
        </w:rPr>
        <w:t>，并由发包人将其违约行为记录在合同履约评价报告中，作为合同履约综合评价的依据。同时，发包人将</w:t>
      </w:r>
      <w:r>
        <w:rPr>
          <w:rFonts w:hint="eastAsia" w:ascii="宋体" w:hAnsi="宋体" w:eastAsia="宋体" w:cs="宋体"/>
          <w:snapToGrid w:val="0"/>
          <w:color w:val="auto"/>
          <w:kern w:val="0"/>
          <w:szCs w:val="24"/>
          <w:highlight w:val="none"/>
        </w:rPr>
        <w:t>承包人</w:t>
      </w:r>
      <w:r>
        <w:rPr>
          <w:rFonts w:hint="eastAsia" w:ascii="宋体" w:hAnsi="宋体" w:eastAsia="宋体" w:cs="宋体"/>
          <w:color w:val="auto"/>
          <w:szCs w:val="24"/>
          <w:highlight w:val="none"/>
        </w:rPr>
        <w:t>的违约行为</w:t>
      </w:r>
      <w:r>
        <w:rPr>
          <w:rFonts w:hint="eastAsia" w:ascii="宋体" w:hAnsi="宋体" w:eastAsia="宋体" w:cs="宋体"/>
          <w:snapToGrid w:val="0"/>
          <w:color w:val="auto"/>
          <w:kern w:val="0"/>
          <w:szCs w:val="24"/>
          <w:highlight w:val="none"/>
        </w:rPr>
        <w:t>上报建设行政主管部门。</w:t>
      </w:r>
    </w:p>
    <w:p w14:paraId="2039F887">
      <w:pPr>
        <w:pageBreakBefore w:val="0"/>
        <w:kinsoku/>
        <w:overflowPunct/>
        <w:topLinePunct w:val="0"/>
        <w:bidi w:val="0"/>
        <w:spacing w:line="440" w:lineRule="exact"/>
        <w:ind w:firstLine="360" w:firstLineChars="150"/>
        <w:textAlignment w:val="auto"/>
        <w:rPr>
          <w:rFonts w:hint="eastAsia" w:ascii="宋体" w:hAnsi="宋体" w:eastAsia="宋体" w:cs="宋体"/>
          <w:color w:val="auto"/>
          <w:szCs w:val="24"/>
          <w:highlight w:val="none"/>
        </w:rPr>
      </w:pPr>
      <w:r>
        <w:rPr>
          <w:rFonts w:hint="eastAsia" w:ascii="宋体" w:hAnsi="宋体" w:eastAsia="宋体" w:cs="宋体"/>
          <w:color w:val="auto"/>
          <w:szCs w:val="24"/>
          <w:highlight w:val="none"/>
        </w:rPr>
        <w:t>（2）发包人按合同规定向</w:t>
      </w:r>
      <w:r>
        <w:rPr>
          <w:rFonts w:hint="eastAsia" w:ascii="宋体" w:hAnsi="宋体" w:eastAsia="宋体" w:cs="宋体"/>
          <w:snapToGrid w:val="0"/>
          <w:color w:val="auto"/>
          <w:kern w:val="0"/>
          <w:szCs w:val="24"/>
          <w:highlight w:val="none"/>
        </w:rPr>
        <w:t>承包人</w:t>
      </w:r>
      <w:r>
        <w:rPr>
          <w:rFonts w:hint="eastAsia" w:ascii="宋体" w:hAnsi="宋体" w:eastAsia="宋体" w:cs="宋体"/>
          <w:color w:val="auto"/>
          <w:szCs w:val="24"/>
          <w:highlight w:val="none"/>
        </w:rPr>
        <w:t>开出的任何违约金，除合同另有规定外，均从发包人应向</w:t>
      </w:r>
      <w:r>
        <w:rPr>
          <w:rFonts w:hint="eastAsia" w:ascii="宋体" w:hAnsi="宋体" w:eastAsia="宋体" w:cs="宋体"/>
          <w:snapToGrid w:val="0"/>
          <w:color w:val="auto"/>
          <w:kern w:val="0"/>
          <w:szCs w:val="24"/>
          <w:highlight w:val="none"/>
        </w:rPr>
        <w:t>承包人</w:t>
      </w:r>
      <w:r>
        <w:rPr>
          <w:rFonts w:hint="eastAsia" w:ascii="宋体" w:hAnsi="宋体" w:eastAsia="宋体" w:cs="宋体"/>
          <w:color w:val="auto"/>
          <w:szCs w:val="24"/>
          <w:highlight w:val="none"/>
        </w:rPr>
        <w:t>支付的</w:t>
      </w:r>
      <w:r>
        <w:rPr>
          <w:rFonts w:hint="eastAsia" w:ascii="宋体" w:hAnsi="宋体" w:eastAsia="宋体" w:cs="宋体"/>
          <w:strike w:val="0"/>
          <w:dstrike w:val="0"/>
          <w:color w:val="auto"/>
          <w:highlight w:val="none"/>
          <w:lang w:eastAsia="zh-CN"/>
        </w:rPr>
        <w:t>款项</w:t>
      </w:r>
      <w:r>
        <w:rPr>
          <w:rFonts w:hint="eastAsia" w:ascii="宋体" w:hAnsi="宋体" w:eastAsia="宋体" w:cs="宋体"/>
          <w:color w:val="auto"/>
          <w:szCs w:val="24"/>
          <w:highlight w:val="none"/>
        </w:rPr>
        <w:t>中直接扣除。除非合同另有规定，发包人向</w:t>
      </w:r>
      <w:r>
        <w:rPr>
          <w:rFonts w:hint="eastAsia" w:ascii="宋体" w:hAnsi="宋体" w:eastAsia="宋体" w:cs="宋体"/>
          <w:snapToGrid w:val="0"/>
          <w:color w:val="auto"/>
          <w:kern w:val="0"/>
          <w:szCs w:val="24"/>
          <w:highlight w:val="none"/>
        </w:rPr>
        <w:t>承包人</w:t>
      </w:r>
      <w:r>
        <w:rPr>
          <w:rFonts w:hint="eastAsia" w:ascii="宋体" w:hAnsi="宋体" w:eastAsia="宋体" w:cs="宋体"/>
          <w:color w:val="auto"/>
          <w:szCs w:val="24"/>
          <w:highlight w:val="none"/>
        </w:rPr>
        <w:t>开出的任何违约金将导致承包人最终的应得结算价款相应地减少。</w:t>
      </w:r>
      <w:r>
        <w:rPr>
          <w:rFonts w:hint="eastAsia" w:ascii="宋体" w:hAnsi="宋体" w:eastAsia="宋体" w:cs="宋体"/>
          <w:snapToGrid w:val="0"/>
          <w:color w:val="auto"/>
          <w:kern w:val="0"/>
          <w:szCs w:val="24"/>
          <w:highlight w:val="none"/>
        </w:rPr>
        <w:t>承包人</w:t>
      </w:r>
      <w:r>
        <w:rPr>
          <w:rFonts w:hint="eastAsia" w:ascii="宋体" w:hAnsi="宋体" w:eastAsia="宋体" w:cs="宋体"/>
          <w:color w:val="auto"/>
          <w:szCs w:val="24"/>
          <w:highlight w:val="none"/>
        </w:rPr>
        <w:t>必须完全接受上述条款。</w:t>
      </w:r>
    </w:p>
    <w:p w14:paraId="6C659EB0">
      <w:pPr>
        <w:pageBreakBefore w:val="0"/>
        <w:kinsoku/>
        <w:overflowPunct/>
        <w:topLinePunct w:val="0"/>
        <w:bidi w:val="0"/>
        <w:spacing w:line="440" w:lineRule="exact"/>
        <w:ind w:firstLine="360" w:firstLineChars="150"/>
        <w:textAlignment w:val="auto"/>
        <w:rPr>
          <w:rFonts w:hint="eastAsia" w:ascii="宋体" w:hAnsi="宋体" w:eastAsia="宋体" w:cs="宋体"/>
          <w:color w:val="auto"/>
          <w:szCs w:val="24"/>
          <w:highlight w:val="none"/>
        </w:rPr>
      </w:pPr>
      <w:r>
        <w:rPr>
          <w:rFonts w:hint="eastAsia" w:ascii="宋体" w:hAnsi="宋体" w:eastAsia="宋体" w:cs="宋体"/>
          <w:color w:val="auto"/>
          <w:szCs w:val="24"/>
          <w:highlight w:val="none"/>
        </w:rPr>
        <w:t>（3）发包人按合同规定向</w:t>
      </w:r>
      <w:r>
        <w:rPr>
          <w:rFonts w:hint="eastAsia" w:ascii="宋体" w:hAnsi="宋体" w:eastAsia="宋体" w:cs="宋体"/>
          <w:snapToGrid w:val="0"/>
          <w:color w:val="auto"/>
          <w:kern w:val="0"/>
          <w:szCs w:val="24"/>
          <w:highlight w:val="none"/>
        </w:rPr>
        <w:t>承包人</w:t>
      </w:r>
      <w:r>
        <w:rPr>
          <w:rFonts w:hint="eastAsia" w:ascii="宋体" w:hAnsi="宋体" w:eastAsia="宋体" w:cs="宋体"/>
          <w:color w:val="auto"/>
          <w:szCs w:val="24"/>
          <w:highlight w:val="none"/>
        </w:rPr>
        <w:t>开出的任何违约金的扣除时间，可以在发包人认为合适的任何一个期中支付月份中扣除。发包人扣除违约金时间的延迟或滞后并不代表对</w:t>
      </w:r>
      <w:r>
        <w:rPr>
          <w:rFonts w:hint="eastAsia" w:ascii="宋体" w:hAnsi="宋体" w:eastAsia="宋体" w:cs="宋体"/>
          <w:snapToGrid w:val="0"/>
          <w:color w:val="auto"/>
          <w:kern w:val="0"/>
          <w:szCs w:val="24"/>
          <w:highlight w:val="none"/>
        </w:rPr>
        <w:t>承包人</w:t>
      </w:r>
      <w:r>
        <w:rPr>
          <w:rFonts w:hint="eastAsia" w:ascii="宋体" w:hAnsi="宋体" w:eastAsia="宋体" w:cs="宋体"/>
          <w:color w:val="auto"/>
          <w:szCs w:val="24"/>
          <w:highlight w:val="none"/>
        </w:rPr>
        <w:t>当时各种行为的认可或默认。</w:t>
      </w:r>
    </w:p>
    <w:p w14:paraId="79C3532D">
      <w:pPr>
        <w:pageBreakBefore w:val="0"/>
        <w:kinsoku/>
        <w:overflowPunct/>
        <w:topLinePunct w:val="0"/>
        <w:bidi w:val="0"/>
        <w:spacing w:line="440" w:lineRule="exact"/>
        <w:ind w:firstLine="360" w:firstLineChars="150"/>
        <w:textAlignment w:val="auto"/>
        <w:rPr>
          <w:rFonts w:hint="eastAsia" w:ascii="宋体" w:hAnsi="宋体" w:eastAsia="宋体" w:cs="宋体"/>
          <w:color w:val="auto"/>
          <w:highlight w:val="none"/>
        </w:rPr>
      </w:pPr>
      <w:r>
        <w:rPr>
          <w:rFonts w:hint="eastAsia" w:ascii="宋体" w:hAnsi="宋体" w:eastAsia="宋体" w:cs="宋体"/>
          <w:color w:val="auto"/>
          <w:szCs w:val="24"/>
          <w:highlight w:val="none"/>
        </w:rPr>
        <w:t>（4）</w:t>
      </w:r>
      <w:r>
        <w:rPr>
          <w:rFonts w:hint="eastAsia" w:ascii="宋体" w:hAnsi="宋体" w:eastAsia="宋体" w:cs="宋体"/>
          <w:snapToGrid w:val="0"/>
          <w:color w:val="auto"/>
          <w:kern w:val="0"/>
          <w:szCs w:val="24"/>
          <w:highlight w:val="none"/>
        </w:rPr>
        <w:t>承包人</w:t>
      </w:r>
      <w:r>
        <w:rPr>
          <w:rFonts w:hint="eastAsia" w:ascii="宋体" w:hAnsi="宋体" w:eastAsia="宋体" w:cs="宋体"/>
          <w:color w:val="auto"/>
          <w:szCs w:val="24"/>
          <w:highlight w:val="none"/>
        </w:rPr>
        <w:t>的违约金由发包人掌握使用。</w:t>
      </w:r>
    </w:p>
    <w:p w14:paraId="32B1142B">
      <w:pPr>
        <w:pageBreakBefore w:val="0"/>
        <w:kinsoku/>
        <w:overflowPunct/>
        <w:topLinePunct w:val="0"/>
        <w:bidi w:val="0"/>
        <w:spacing w:line="440" w:lineRule="exact"/>
        <w:ind w:firstLine="480" w:firstLineChars="200"/>
        <w:textAlignment w:val="auto"/>
        <w:rPr>
          <w:rFonts w:hint="eastAsia" w:ascii="宋体" w:hAnsi="宋体" w:eastAsia="宋体" w:cs="宋体"/>
          <w:b/>
          <w:bCs/>
          <w:color w:val="auto"/>
          <w:szCs w:val="24"/>
          <w:highlight w:val="none"/>
        </w:rPr>
      </w:pPr>
      <w:r>
        <w:rPr>
          <w:rFonts w:hint="eastAsia" w:ascii="宋体" w:hAnsi="宋体" w:eastAsia="宋体" w:cs="宋体"/>
          <w:color w:val="auto"/>
          <w:szCs w:val="24"/>
          <w:highlight w:val="none"/>
        </w:rPr>
        <w:t>6.12</w:t>
      </w:r>
      <w:r>
        <w:rPr>
          <w:rFonts w:hint="eastAsia" w:ascii="宋体" w:hAnsi="宋体" w:eastAsia="宋体" w:cs="宋体"/>
          <w:b/>
          <w:bCs/>
          <w:color w:val="auto"/>
          <w:szCs w:val="24"/>
          <w:highlight w:val="none"/>
        </w:rPr>
        <w:t>发包人有权根据有关管理制度对承包人的履约情况纳入履约信用评价体系进行履约信用评价，并将评价结果报送给有关监管部门。</w:t>
      </w:r>
    </w:p>
    <w:p w14:paraId="21B82D06">
      <w:pPr>
        <w:pStyle w:val="7"/>
        <w:pageBreakBefore w:val="0"/>
        <w:kinsoku/>
        <w:overflowPunct/>
        <w:topLinePunct w:val="0"/>
        <w:bidi w:val="0"/>
        <w:spacing w:line="440" w:lineRule="exact"/>
        <w:ind w:firstLine="480" w:firstLineChars="200"/>
        <w:textAlignment w:val="auto"/>
        <w:rPr>
          <w:rFonts w:asciiTheme="minorEastAsia" w:hAnsiTheme="minorEastAsia" w:eastAsiaTheme="minorEastAsia" w:cstheme="minorEastAsia"/>
          <w:color w:val="auto"/>
          <w:highlight w:val="none"/>
        </w:rPr>
      </w:pPr>
      <w:r>
        <w:rPr>
          <w:rFonts w:hint="eastAsia" w:ascii="宋体" w:hAnsi="宋体" w:eastAsia="宋体" w:cs="宋体"/>
          <w:color w:val="auto"/>
          <w:sz w:val="24"/>
          <w:szCs w:val="24"/>
          <w:highlight w:val="none"/>
        </w:rPr>
        <w:t>履约信用评价按发包人履约信用评价管理规定执行，评价内容包含人员到位情况、服务配合程度、服务成果质量、项目后期服务及履约信用评价结果的运用等。</w:t>
      </w:r>
    </w:p>
    <w:p w14:paraId="72C87B12">
      <w:pPr>
        <w:pStyle w:val="38"/>
        <w:keepNext/>
        <w:keepLines/>
        <w:tabs>
          <w:tab w:val="left" w:pos="885"/>
        </w:tabs>
        <w:spacing w:line="400" w:lineRule="exact"/>
        <w:jc w:val="center"/>
        <w:rPr>
          <w:rFonts w:asciiTheme="minorEastAsia" w:hAnsiTheme="minorEastAsia" w:eastAsiaTheme="minorEastAsia" w:cstheme="minorEastAsia"/>
          <w:b/>
          <w:color w:val="auto"/>
          <w:kern w:val="44"/>
          <w:sz w:val="24"/>
          <w:highlight w:val="none"/>
        </w:rPr>
      </w:pPr>
      <w:bookmarkStart w:id="361" w:name="_Toc11306"/>
      <w:r>
        <w:rPr>
          <w:rFonts w:hint="eastAsia" w:asciiTheme="minorEastAsia" w:hAnsiTheme="minorEastAsia" w:eastAsiaTheme="minorEastAsia" w:cstheme="minorEastAsia"/>
          <w:b/>
          <w:color w:val="auto"/>
          <w:kern w:val="44"/>
          <w:sz w:val="24"/>
          <w:highlight w:val="none"/>
        </w:rPr>
        <w:br w:type="page"/>
      </w:r>
      <w:bookmarkStart w:id="362" w:name="_Toc18208"/>
      <w:bookmarkStart w:id="363" w:name="_Toc10003"/>
      <w:bookmarkStart w:id="364" w:name="_Toc16036"/>
      <w:bookmarkStart w:id="365" w:name="_Toc31905"/>
      <w:bookmarkStart w:id="366" w:name="_Toc4074"/>
      <w:bookmarkStart w:id="367" w:name="_Toc15865"/>
      <w:bookmarkStart w:id="368" w:name="_Toc28950"/>
      <w:bookmarkStart w:id="369" w:name="_Toc5081"/>
      <w:r>
        <w:rPr>
          <w:rFonts w:hint="eastAsia" w:asciiTheme="minorEastAsia" w:hAnsiTheme="minorEastAsia" w:eastAsiaTheme="minorEastAsia" w:cstheme="minorEastAsia"/>
          <w:b/>
          <w:color w:val="auto"/>
          <w:kern w:val="44"/>
          <w:sz w:val="36"/>
          <w:szCs w:val="36"/>
          <w:highlight w:val="none"/>
        </w:rPr>
        <w:t>第三</w:t>
      </w:r>
      <w:bookmarkStart w:id="370" w:name="_Hlt69669171"/>
      <w:bookmarkEnd w:id="370"/>
      <w:r>
        <w:rPr>
          <w:rFonts w:hint="eastAsia" w:asciiTheme="minorEastAsia" w:hAnsiTheme="minorEastAsia" w:eastAsiaTheme="minorEastAsia" w:cstheme="minorEastAsia"/>
          <w:b/>
          <w:color w:val="auto"/>
          <w:kern w:val="44"/>
          <w:sz w:val="36"/>
          <w:szCs w:val="36"/>
          <w:highlight w:val="none"/>
        </w:rPr>
        <w:t>章</w:t>
      </w:r>
      <w:bookmarkStart w:id="371" w:name="_Hlt87793839"/>
      <w:bookmarkEnd w:id="371"/>
      <w:r>
        <w:rPr>
          <w:rFonts w:hint="eastAsia" w:asciiTheme="minorEastAsia" w:hAnsiTheme="minorEastAsia" w:eastAsiaTheme="minorEastAsia" w:cstheme="minorEastAsia"/>
          <w:b/>
          <w:color w:val="auto"/>
          <w:kern w:val="44"/>
          <w:sz w:val="36"/>
          <w:szCs w:val="36"/>
          <w:highlight w:val="none"/>
        </w:rPr>
        <w:t xml:space="preserve"> 中标人须知</w:t>
      </w:r>
      <w:bookmarkEnd w:id="361"/>
      <w:bookmarkEnd w:id="362"/>
      <w:bookmarkEnd w:id="363"/>
      <w:bookmarkEnd w:id="364"/>
      <w:bookmarkEnd w:id="365"/>
      <w:bookmarkEnd w:id="366"/>
      <w:bookmarkEnd w:id="367"/>
      <w:bookmarkEnd w:id="368"/>
      <w:bookmarkEnd w:id="369"/>
    </w:p>
    <w:p w14:paraId="343286DF">
      <w:pPr>
        <w:pStyle w:val="37"/>
        <w:rPr>
          <w:rFonts w:asciiTheme="minorEastAsia" w:hAnsiTheme="minorEastAsia" w:eastAsiaTheme="minorEastAsia" w:cstheme="minorEastAsia"/>
          <w:color w:val="auto"/>
          <w:highlight w:val="none"/>
        </w:rPr>
      </w:pPr>
    </w:p>
    <w:bookmarkEnd w:id="308"/>
    <w:bookmarkEnd w:id="309"/>
    <w:bookmarkEnd w:id="310"/>
    <w:p w14:paraId="7BB21366">
      <w:pPr>
        <w:keepNext w:val="0"/>
        <w:keepLines w:val="0"/>
        <w:pageBreakBefore w:val="0"/>
        <w:kinsoku/>
        <w:overflowPunct/>
        <w:topLinePunct w:val="0"/>
        <w:autoSpaceDE/>
        <w:autoSpaceDN/>
        <w:bidi w:val="0"/>
        <w:spacing w:line="440" w:lineRule="exact"/>
        <w:textAlignment w:val="auto"/>
        <w:rPr>
          <w:rFonts w:hint="eastAsia" w:ascii="宋体" w:hAnsi="宋体" w:eastAsia="宋体" w:cs="宋体"/>
          <w:color w:val="auto"/>
          <w:szCs w:val="24"/>
          <w:highlight w:val="none"/>
        </w:rPr>
      </w:pPr>
      <w:r>
        <w:rPr>
          <w:rFonts w:asciiTheme="minorEastAsia" w:hAnsiTheme="minorEastAsia" w:eastAsiaTheme="minorEastAsia" w:cstheme="minorEastAsia"/>
          <w:b/>
          <w:color w:val="auto"/>
          <w:szCs w:val="24"/>
          <w:highlight w:val="none"/>
        </w:rPr>
        <w:t xml:space="preserve">  </w:t>
      </w:r>
      <w:r>
        <w:rPr>
          <w:rFonts w:ascii="宋体" w:hAnsi="宋体" w:eastAsia="宋体" w:cs="宋体"/>
          <w:b/>
          <w:color w:val="auto"/>
          <w:szCs w:val="24"/>
          <w:highlight w:val="none"/>
        </w:rPr>
        <w:t xml:space="preserve">  3.1  </w:t>
      </w:r>
      <w:r>
        <w:rPr>
          <w:rFonts w:ascii="宋体" w:hAnsi="宋体" w:eastAsia="宋体" w:cs="宋体"/>
          <w:color w:val="auto"/>
          <w:szCs w:val="24"/>
          <w:highlight w:val="none"/>
        </w:rPr>
        <w:t>招标人向中标人发出的《中标通知书》对招标人和中标人均具有法律约束力。中标通知书发出后，招标人改变中标结果和中标人放弃中标的，应当承担法律责任。</w:t>
      </w:r>
    </w:p>
    <w:p w14:paraId="4614819D">
      <w:pPr>
        <w:keepNext w:val="0"/>
        <w:keepLines w:val="0"/>
        <w:pageBreakBefore w:val="0"/>
        <w:kinsoku/>
        <w:overflowPunct/>
        <w:topLinePunct w:val="0"/>
        <w:autoSpaceDE/>
        <w:autoSpaceDN/>
        <w:bidi w:val="0"/>
        <w:spacing w:line="440" w:lineRule="exact"/>
        <w:textAlignment w:val="auto"/>
        <w:rPr>
          <w:rFonts w:hint="eastAsia" w:ascii="宋体" w:hAnsi="宋体" w:eastAsia="宋体" w:cs="宋体"/>
          <w:color w:val="auto"/>
          <w:szCs w:val="24"/>
          <w:highlight w:val="none"/>
        </w:rPr>
      </w:pPr>
      <w:r>
        <w:rPr>
          <w:rFonts w:ascii="宋体" w:hAnsi="宋体" w:eastAsia="宋体" w:cs="宋体"/>
          <w:b/>
          <w:color w:val="auto"/>
          <w:szCs w:val="24"/>
          <w:highlight w:val="none"/>
        </w:rPr>
        <w:t xml:space="preserve">    3.2  </w:t>
      </w:r>
      <w:r>
        <w:rPr>
          <w:rFonts w:ascii="宋体" w:hAnsi="宋体" w:eastAsia="宋体" w:cs="宋体"/>
          <w:color w:val="auto"/>
          <w:szCs w:val="24"/>
          <w:highlight w:val="none"/>
        </w:rPr>
        <w:t>中标人不与招标人签订合同，招标人可以取消其中标人资格。给招标人造成经济损失的，招标人可以向中标人索赔。</w:t>
      </w:r>
    </w:p>
    <w:p w14:paraId="017C39A8">
      <w:pPr>
        <w:keepNext w:val="0"/>
        <w:keepLines w:val="0"/>
        <w:pageBreakBefore w:val="0"/>
        <w:kinsoku/>
        <w:overflowPunct/>
        <w:topLinePunct w:val="0"/>
        <w:autoSpaceDE/>
        <w:autoSpaceDN/>
        <w:bidi w:val="0"/>
        <w:spacing w:line="440" w:lineRule="exact"/>
        <w:ind w:firstLine="480"/>
        <w:textAlignment w:val="auto"/>
        <w:rPr>
          <w:rFonts w:hint="eastAsia" w:ascii="宋体" w:hAnsi="宋体" w:eastAsia="宋体" w:cs="宋体"/>
          <w:color w:val="auto"/>
          <w:szCs w:val="24"/>
          <w:highlight w:val="none"/>
        </w:rPr>
      </w:pPr>
      <w:r>
        <w:rPr>
          <w:rFonts w:ascii="宋体" w:hAnsi="宋体" w:eastAsia="宋体" w:cs="宋体"/>
          <w:b/>
          <w:color w:val="auto"/>
          <w:szCs w:val="24"/>
          <w:highlight w:val="none"/>
        </w:rPr>
        <w:t xml:space="preserve">3.3  </w:t>
      </w:r>
      <w:r>
        <w:rPr>
          <w:rFonts w:ascii="宋体" w:hAnsi="宋体" w:eastAsia="宋体" w:cs="宋体"/>
          <w:color w:val="auto"/>
          <w:szCs w:val="24"/>
          <w:highlight w:val="none"/>
        </w:rPr>
        <w:t>中标人在施工期间应严格遵守国家、省、市有关防火、爆破和施工安全以及文明施工、深夜施工、环卫城管等规定，建立规章制度和防护措施。否则，由此造成的经济损失和法律责任，均由中标人负责。</w:t>
      </w:r>
    </w:p>
    <w:p w14:paraId="5953A9ED">
      <w:pPr>
        <w:keepNext w:val="0"/>
        <w:keepLines w:val="0"/>
        <w:pageBreakBefore w:val="0"/>
        <w:kinsoku/>
        <w:overflowPunct/>
        <w:topLinePunct w:val="0"/>
        <w:autoSpaceDE/>
        <w:autoSpaceDN/>
        <w:bidi w:val="0"/>
        <w:spacing w:line="440" w:lineRule="exact"/>
        <w:ind w:firstLine="480"/>
        <w:textAlignment w:val="auto"/>
        <w:rPr>
          <w:rFonts w:hint="eastAsia" w:ascii="宋体" w:hAnsi="宋体" w:eastAsia="宋体" w:cs="宋体"/>
          <w:color w:val="auto"/>
          <w:szCs w:val="24"/>
          <w:highlight w:val="none"/>
        </w:rPr>
      </w:pPr>
      <w:r>
        <w:rPr>
          <w:rFonts w:ascii="宋体" w:hAnsi="宋体" w:eastAsia="宋体" w:cs="宋体"/>
          <w:color w:val="auto"/>
          <w:szCs w:val="24"/>
          <w:highlight w:val="none"/>
        </w:rPr>
        <w:t>中标人必须做好施工场地地下地上管线和邻近建筑物、构筑物（包括文物保护建筑）、名树名木（如有）的保护工作。</w:t>
      </w:r>
    </w:p>
    <w:p w14:paraId="4995D0DA">
      <w:pPr>
        <w:keepNext w:val="0"/>
        <w:keepLines w:val="0"/>
        <w:pageBreakBefore w:val="0"/>
        <w:kinsoku/>
        <w:overflowPunct/>
        <w:topLinePunct w:val="0"/>
        <w:autoSpaceDE/>
        <w:autoSpaceDN/>
        <w:bidi w:val="0"/>
        <w:spacing w:line="440" w:lineRule="exact"/>
        <w:textAlignment w:val="auto"/>
        <w:rPr>
          <w:rFonts w:hint="eastAsia" w:ascii="宋体" w:hAnsi="宋体" w:eastAsia="宋体" w:cs="宋体"/>
          <w:color w:val="auto"/>
          <w:szCs w:val="24"/>
          <w:highlight w:val="none"/>
        </w:rPr>
      </w:pPr>
      <w:r>
        <w:rPr>
          <w:rFonts w:ascii="宋体" w:hAnsi="宋体" w:eastAsia="宋体" w:cs="宋体"/>
          <w:b/>
          <w:color w:val="auto"/>
          <w:szCs w:val="24"/>
          <w:highlight w:val="none"/>
        </w:rPr>
        <w:t xml:space="preserve">    3.4  </w:t>
      </w:r>
      <w:r>
        <w:rPr>
          <w:rFonts w:ascii="宋体" w:hAnsi="宋体" w:eastAsia="宋体" w:cs="宋体"/>
          <w:color w:val="auto"/>
          <w:szCs w:val="24"/>
          <w:highlight w:val="none"/>
        </w:rPr>
        <w:t>中标人应按安全施工的要求，采取严格科学的安全措施，确保施工安全和第三者的安全，</w:t>
      </w:r>
      <w:r>
        <w:rPr>
          <w:rFonts w:hint="eastAsia" w:hAnsi="宋体" w:eastAsia="宋体" w:cs="宋体"/>
          <w:color w:val="auto"/>
          <w:szCs w:val="24"/>
          <w:highlight w:val="none"/>
          <w:lang w:eastAsia="zh-CN"/>
        </w:rPr>
        <w:t>承担由于自身</w:t>
      </w:r>
      <w:r>
        <w:rPr>
          <w:rFonts w:ascii="宋体" w:hAnsi="宋体" w:eastAsia="宋体" w:cs="宋体"/>
          <w:color w:val="auto"/>
          <w:szCs w:val="24"/>
          <w:highlight w:val="none"/>
        </w:rPr>
        <w:t>安全措施不力所造成的事故责任和发生的费用。</w:t>
      </w:r>
    </w:p>
    <w:p w14:paraId="5C44C59F">
      <w:pPr>
        <w:keepNext w:val="0"/>
        <w:keepLines w:val="0"/>
        <w:pageBreakBefore w:val="0"/>
        <w:kinsoku/>
        <w:overflowPunct/>
        <w:topLinePunct w:val="0"/>
        <w:autoSpaceDE/>
        <w:autoSpaceDN/>
        <w:bidi w:val="0"/>
        <w:spacing w:line="440" w:lineRule="exact"/>
        <w:textAlignment w:val="auto"/>
        <w:rPr>
          <w:rFonts w:hint="eastAsia" w:ascii="宋体" w:hAnsi="宋体" w:eastAsia="宋体" w:cs="宋体"/>
          <w:color w:val="auto"/>
          <w:szCs w:val="24"/>
          <w:highlight w:val="none"/>
        </w:rPr>
      </w:pPr>
      <w:bookmarkStart w:id="372" w:name="_Hlt93117969"/>
      <w:r>
        <w:rPr>
          <w:rFonts w:ascii="宋体" w:hAnsi="宋体" w:eastAsia="宋体" w:cs="宋体"/>
          <w:b/>
          <w:color w:val="auto"/>
          <w:szCs w:val="24"/>
          <w:highlight w:val="none"/>
        </w:rPr>
        <w:t xml:space="preserve">    3.5  </w:t>
      </w:r>
      <w:r>
        <w:rPr>
          <w:rFonts w:ascii="宋体" w:hAnsi="宋体" w:eastAsia="宋体" w:cs="宋体"/>
          <w:color w:val="auto"/>
          <w:szCs w:val="24"/>
          <w:highlight w:val="none"/>
        </w:rPr>
        <w:t>为保证施工现场的环境卫生，中标人在本项目施工过程中，所有的车辆必须按招标人规定的行车路线行驶。</w:t>
      </w:r>
    </w:p>
    <w:bookmarkEnd w:id="372"/>
    <w:p w14:paraId="03C7F29A">
      <w:pPr>
        <w:keepNext w:val="0"/>
        <w:keepLines w:val="0"/>
        <w:pageBreakBefore w:val="0"/>
        <w:kinsoku/>
        <w:overflowPunct/>
        <w:topLinePunct w:val="0"/>
        <w:autoSpaceDE/>
        <w:autoSpaceDN/>
        <w:bidi w:val="0"/>
        <w:spacing w:line="440" w:lineRule="exact"/>
        <w:ind w:firstLine="480"/>
        <w:textAlignment w:val="auto"/>
        <w:rPr>
          <w:rFonts w:hint="eastAsia" w:ascii="宋体" w:hAnsi="宋体" w:eastAsia="宋体" w:cs="宋体"/>
          <w:color w:val="auto"/>
          <w:szCs w:val="24"/>
          <w:highlight w:val="none"/>
        </w:rPr>
      </w:pPr>
      <w:r>
        <w:rPr>
          <w:rFonts w:ascii="宋体" w:hAnsi="宋体" w:eastAsia="宋体" w:cs="宋体"/>
          <w:b/>
          <w:color w:val="auto"/>
          <w:szCs w:val="24"/>
          <w:highlight w:val="none"/>
        </w:rPr>
        <w:t xml:space="preserve">3.6  </w:t>
      </w:r>
      <w:r>
        <w:rPr>
          <w:rFonts w:ascii="宋体" w:hAnsi="宋体" w:eastAsia="宋体" w:cs="宋体"/>
          <w:color w:val="auto"/>
          <w:szCs w:val="24"/>
          <w:highlight w:val="none"/>
        </w:rPr>
        <w:t>中标人的投标书所报的项目管理班子人员（项目经理、技术负责人、施工员、质量员、安全员等）必须是</w:t>
      </w:r>
      <w:bookmarkStart w:id="373" w:name="_Hlt66261069"/>
      <w:bookmarkEnd w:id="373"/>
      <w:r>
        <w:rPr>
          <w:rFonts w:ascii="宋体" w:hAnsi="宋体" w:eastAsia="宋体" w:cs="宋体"/>
          <w:color w:val="auto"/>
          <w:szCs w:val="24"/>
          <w:highlight w:val="none"/>
        </w:rPr>
        <w:t>中标后实际的项目管理班子人员，否则招标人有权终止合同。</w:t>
      </w:r>
    </w:p>
    <w:p w14:paraId="19A12A82">
      <w:pPr>
        <w:pStyle w:val="7"/>
        <w:keepNext w:val="0"/>
        <w:keepLines w:val="0"/>
        <w:pageBreakBefore w:val="0"/>
        <w:kinsoku/>
        <w:overflowPunct/>
        <w:topLinePunct w:val="0"/>
        <w:autoSpaceDE/>
        <w:autoSpaceDN/>
        <w:bidi w:val="0"/>
        <w:spacing w:line="440" w:lineRule="exact"/>
        <w:ind w:firstLine="480"/>
        <w:textAlignment w:val="auto"/>
        <w:rPr>
          <w:rFonts w:hint="eastAsia" w:ascii="宋体" w:hAnsi="宋体" w:eastAsia="宋体" w:cs="宋体"/>
          <w:color w:val="auto"/>
          <w:sz w:val="24"/>
          <w:szCs w:val="24"/>
          <w:highlight w:val="none"/>
        </w:rPr>
      </w:pPr>
      <w:r>
        <w:rPr>
          <w:rFonts w:hint="eastAsia" w:ascii="宋体" w:hAnsi="宋体" w:eastAsia="宋体" w:cs="宋体"/>
          <w:b/>
          <w:bCs/>
          <w:snapToGrid w:val="0"/>
          <w:color w:val="auto"/>
          <w:kern w:val="0"/>
          <w:sz w:val="24"/>
          <w:szCs w:val="24"/>
          <w:highlight w:val="none"/>
        </w:rPr>
        <w:t>根据项目实施进度情况，招标人有权要求中标人增派项目管理人员，以满足项目的现场管理工作要求。</w:t>
      </w:r>
    </w:p>
    <w:p w14:paraId="00FF67D0">
      <w:pPr>
        <w:keepNext w:val="0"/>
        <w:keepLines w:val="0"/>
        <w:pageBreakBefore w:val="0"/>
        <w:kinsoku/>
        <w:overflowPunct/>
        <w:topLinePunct w:val="0"/>
        <w:autoSpaceDE/>
        <w:autoSpaceDN/>
        <w:bidi w:val="0"/>
        <w:spacing w:line="440" w:lineRule="exact"/>
        <w:textAlignment w:val="auto"/>
        <w:rPr>
          <w:rFonts w:hint="eastAsia" w:ascii="宋体" w:hAnsi="宋体" w:eastAsia="宋体" w:cs="宋体"/>
          <w:color w:val="auto"/>
          <w:szCs w:val="24"/>
          <w:highlight w:val="none"/>
        </w:rPr>
      </w:pPr>
      <w:r>
        <w:rPr>
          <w:rFonts w:ascii="宋体" w:hAnsi="宋体" w:eastAsia="宋体" w:cs="宋体"/>
          <w:b/>
          <w:color w:val="auto"/>
          <w:szCs w:val="24"/>
          <w:highlight w:val="none"/>
        </w:rPr>
        <w:t xml:space="preserve">    3.7  </w:t>
      </w:r>
      <w:r>
        <w:rPr>
          <w:rFonts w:ascii="宋体" w:hAnsi="宋体" w:eastAsia="宋体" w:cs="宋体"/>
          <w:color w:val="auto"/>
          <w:szCs w:val="24"/>
          <w:highlight w:val="none"/>
        </w:rPr>
        <w:t>项目竣工验收合格后三十个工作日内必须向招标人提供一式八份符合韶关市城市建设档案馆要求的工程竣工档案（含纸质、声像及电子等形式的档案），声像及电子档案的制作费用由中标人承担。</w:t>
      </w:r>
    </w:p>
    <w:p w14:paraId="2553BE9E">
      <w:pPr>
        <w:keepNext w:val="0"/>
        <w:keepLines w:val="0"/>
        <w:pageBreakBefore w:val="0"/>
        <w:kinsoku/>
        <w:overflowPunct/>
        <w:topLinePunct w:val="0"/>
        <w:autoSpaceDE/>
        <w:autoSpaceDN/>
        <w:bidi w:val="0"/>
        <w:spacing w:line="440" w:lineRule="exact"/>
        <w:textAlignment w:val="auto"/>
        <w:rPr>
          <w:rFonts w:hint="eastAsia" w:ascii="宋体" w:hAnsi="宋体" w:eastAsia="宋体" w:cs="宋体"/>
          <w:color w:val="auto"/>
          <w:szCs w:val="24"/>
          <w:highlight w:val="none"/>
        </w:rPr>
      </w:pPr>
      <w:r>
        <w:rPr>
          <w:rFonts w:ascii="宋体" w:hAnsi="宋体" w:eastAsia="宋体" w:cs="宋体"/>
          <w:b/>
          <w:color w:val="auto"/>
          <w:szCs w:val="24"/>
          <w:highlight w:val="none"/>
        </w:rPr>
        <w:t xml:space="preserve">    3.8  </w:t>
      </w:r>
      <w:r>
        <w:rPr>
          <w:rFonts w:ascii="宋体" w:hAnsi="宋体" w:eastAsia="宋体" w:cs="宋体"/>
          <w:color w:val="auto"/>
          <w:szCs w:val="24"/>
          <w:highlight w:val="none"/>
        </w:rPr>
        <w:t>合同范围内的工程项目未经招标人同意一律不得分包，一经发现，取消中标人的承包资格，中标人承担由此引起的一切责任和经济损失。</w:t>
      </w:r>
    </w:p>
    <w:p w14:paraId="7917C1ED">
      <w:pPr>
        <w:keepNext w:val="0"/>
        <w:keepLines w:val="0"/>
        <w:pageBreakBefore w:val="0"/>
        <w:kinsoku/>
        <w:overflowPunct/>
        <w:topLinePunct w:val="0"/>
        <w:autoSpaceDE/>
        <w:autoSpaceDN/>
        <w:bidi w:val="0"/>
        <w:spacing w:line="440" w:lineRule="exact"/>
        <w:textAlignment w:val="auto"/>
        <w:rPr>
          <w:rFonts w:hint="eastAsia" w:ascii="宋体" w:hAnsi="宋体" w:eastAsia="宋体" w:cs="宋体"/>
          <w:color w:val="auto"/>
          <w:szCs w:val="24"/>
          <w:highlight w:val="none"/>
        </w:rPr>
      </w:pPr>
      <w:r>
        <w:rPr>
          <w:rFonts w:ascii="宋体" w:hAnsi="宋体" w:eastAsia="宋体" w:cs="宋体"/>
          <w:b/>
          <w:color w:val="auto"/>
          <w:szCs w:val="24"/>
          <w:highlight w:val="none"/>
        </w:rPr>
        <w:t xml:space="preserve">    3.9  </w:t>
      </w:r>
      <w:r>
        <w:rPr>
          <w:rFonts w:ascii="宋体" w:hAnsi="宋体" w:eastAsia="宋体" w:cs="宋体"/>
          <w:color w:val="auto"/>
          <w:szCs w:val="24"/>
          <w:highlight w:val="none"/>
        </w:rPr>
        <w:t>现场应自设检验实验室，用于对建筑材料、构件和建筑物进行一般性鉴定、检查等。</w:t>
      </w:r>
    </w:p>
    <w:p w14:paraId="4DA87F4C">
      <w:pPr>
        <w:keepNext w:val="0"/>
        <w:keepLines w:val="0"/>
        <w:pageBreakBefore w:val="0"/>
        <w:kinsoku/>
        <w:overflowPunct/>
        <w:topLinePunct w:val="0"/>
        <w:autoSpaceDE/>
        <w:autoSpaceDN/>
        <w:bidi w:val="0"/>
        <w:spacing w:line="440" w:lineRule="exact"/>
        <w:textAlignment w:val="auto"/>
        <w:rPr>
          <w:rFonts w:hint="eastAsia" w:ascii="宋体" w:hAnsi="宋体" w:eastAsia="宋体" w:cs="宋体"/>
          <w:color w:val="auto"/>
          <w:szCs w:val="24"/>
          <w:highlight w:val="none"/>
        </w:rPr>
      </w:pPr>
      <w:r>
        <w:rPr>
          <w:rFonts w:ascii="宋体" w:hAnsi="宋体" w:eastAsia="宋体" w:cs="宋体"/>
          <w:b/>
          <w:color w:val="auto"/>
          <w:szCs w:val="24"/>
          <w:highlight w:val="none"/>
        </w:rPr>
        <w:t xml:space="preserve">    3.10  </w:t>
      </w:r>
      <w:r>
        <w:rPr>
          <w:rFonts w:ascii="宋体" w:hAnsi="宋体" w:eastAsia="宋体" w:cs="宋体"/>
          <w:color w:val="auto"/>
          <w:szCs w:val="24"/>
          <w:highlight w:val="none"/>
        </w:rPr>
        <w:t>中标人须服从工程监理单位对工程质量全方位的监理，施工中的年度计划、季度计划、月度计划、施工方案等应报送监理单位审批和招标人备案。施工中的质量保证等资料均应及时报送监理单位和招标人备案。</w:t>
      </w:r>
    </w:p>
    <w:p w14:paraId="3E653231">
      <w:pPr>
        <w:keepNext w:val="0"/>
        <w:keepLines w:val="0"/>
        <w:pageBreakBefore w:val="0"/>
        <w:kinsoku/>
        <w:overflowPunct/>
        <w:topLinePunct w:val="0"/>
        <w:autoSpaceDE/>
        <w:autoSpaceDN/>
        <w:bidi w:val="0"/>
        <w:spacing w:line="440" w:lineRule="exact"/>
        <w:textAlignment w:val="auto"/>
        <w:rPr>
          <w:rFonts w:hint="eastAsia" w:ascii="宋体" w:hAnsi="宋体" w:eastAsia="宋体" w:cs="宋体"/>
          <w:color w:val="auto"/>
          <w:szCs w:val="24"/>
          <w:highlight w:val="none"/>
        </w:rPr>
      </w:pPr>
      <w:r>
        <w:rPr>
          <w:rFonts w:ascii="宋体" w:hAnsi="宋体" w:eastAsia="宋体" w:cs="宋体"/>
          <w:b/>
          <w:color w:val="auto"/>
          <w:szCs w:val="24"/>
          <w:highlight w:val="none"/>
        </w:rPr>
        <w:t xml:space="preserve">    3.11  </w:t>
      </w:r>
      <w:r>
        <w:rPr>
          <w:rFonts w:ascii="宋体" w:hAnsi="宋体" w:eastAsia="宋体" w:cs="宋体"/>
          <w:color w:val="auto"/>
          <w:szCs w:val="24"/>
          <w:highlight w:val="none"/>
        </w:rPr>
        <w:t>招标文件、招标答疑书、投标文件和中标通知书是招标人与中标人双方签订的施工合同的主要组成部分，并与合同一样，具有相同的法律效力。</w:t>
      </w:r>
      <w:bookmarkStart w:id="374" w:name="_Hlt66508904"/>
      <w:bookmarkEnd w:id="374"/>
      <w:r>
        <w:rPr>
          <w:rFonts w:ascii="宋体" w:hAnsi="宋体" w:eastAsia="宋体" w:cs="宋体"/>
          <w:color w:val="auto"/>
          <w:szCs w:val="24"/>
          <w:highlight w:val="none"/>
        </w:rPr>
        <w:t>如中标通知书发出后，发现中标人的投标文件中有与招标文件所述内容及要求不符的，按招标文件执行。</w:t>
      </w:r>
    </w:p>
    <w:p w14:paraId="69BF16F8">
      <w:pPr>
        <w:keepNext w:val="0"/>
        <w:keepLines w:val="0"/>
        <w:pageBreakBefore w:val="0"/>
        <w:kinsoku/>
        <w:overflowPunct/>
        <w:topLinePunct w:val="0"/>
        <w:autoSpaceDE/>
        <w:autoSpaceDN/>
        <w:bidi w:val="0"/>
        <w:spacing w:line="440" w:lineRule="exact"/>
        <w:textAlignment w:val="auto"/>
        <w:rPr>
          <w:rFonts w:hint="eastAsia" w:ascii="宋体" w:hAnsi="宋体" w:eastAsia="宋体" w:cs="宋体"/>
          <w:color w:val="auto"/>
          <w:szCs w:val="24"/>
          <w:highlight w:val="none"/>
        </w:rPr>
      </w:pPr>
      <w:r>
        <w:rPr>
          <w:rFonts w:ascii="宋体" w:hAnsi="宋体" w:eastAsia="宋体" w:cs="宋体"/>
          <w:b/>
          <w:color w:val="auto"/>
          <w:szCs w:val="24"/>
          <w:highlight w:val="none"/>
        </w:rPr>
        <w:t xml:space="preserve">    3.12  </w:t>
      </w:r>
      <w:r>
        <w:rPr>
          <w:rFonts w:ascii="宋体" w:hAnsi="宋体" w:eastAsia="宋体" w:cs="宋体"/>
          <w:color w:val="auto"/>
          <w:szCs w:val="24"/>
          <w:highlight w:val="none"/>
        </w:rPr>
        <w:t>中标人中标之后，若招标范围内有专业工程必须分包的，招标人不另行支付总包服务费；其分包合同由中标人与分包人双方签订，招标人不参与中标人与分包人之间的结算，该部分工程的造价仍按中标人与招标人签订的合同的有关结算条款进行结算。</w:t>
      </w:r>
    </w:p>
    <w:p w14:paraId="7F8209CD">
      <w:pPr>
        <w:keepNext w:val="0"/>
        <w:keepLines w:val="0"/>
        <w:pageBreakBefore w:val="0"/>
        <w:kinsoku/>
        <w:overflowPunct/>
        <w:topLinePunct w:val="0"/>
        <w:autoSpaceDE/>
        <w:autoSpaceDN/>
        <w:bidi w:val="0"/>
        <w:spacing w:line="440" w:lineRule="exact"/>
        <w:ind w:firstLine="354" w:firstLineChars="147"/>
        <w:textAlignment w:val="auto"/>
        <w:rPr>
          <w:rFonts w:hint="eastAsia" w:ascii="宋体" w:hAnsi="宋体" w:eastAsia="宋体" w:cs="宋体"/>
          <w:color w:val="auto"/>
          <w:szCs w:val="24"/>
          <w:highlight w:val="none"/>
        </w:rPr>
      </w:pPr>
      <w:r>
        <w:rPr>
          <w:rFonts w:ascii="宋体" w:hAnsi="宋体" w:eastAsia="宋体" w:cs="宋体"/>
          <w:b/>
          <w:color w:val="auto"/>
          <w:szCs w:val="24"/>
          <w:highlight w:val="none"/>
        </w:rPr>
        <w:t xml:space="preserve"> 3.13  </w:t>
      </w:r>
      <w:r>
        <w:rPr>
          <w:rFonts w:ascii="宋体" w:hAnsi="宋体" w:eastAsia="宋体" w:cs="宋体"/>
          <w:color w:val="auto"/>
          <w:szCs w:val="24"/>
          <w:highlight w:val="none"/>
        </w:rPr>
        <w:t>若设计超过了限额标准，中标人必须无条件优化，直至达到限额要求为止，设计及施工工期不</w:t>
      </w:r>
      <w:r>
        <w:rPr>
          <w:rFonts w:hint="eastAsia" w:hAnsi="宋体" w:eastAsia="宋体" w:cs="宋体"/>
          <w:color w:val="auto"/>
          <w:szCs w:val="24"/>
          <w:highlight w:val="none"/>
          <w:lang w:eastAsia="zh-CN"/>
        </w:rPr>
        <w:t>予</w:t>
      </w:r>
      <w:r>
        <w:rPr>
          <w:rFonts w:ascii="宋体" w:hAnsi="宋体" w:eastAsia="宋体" w:cs="宋体"/>
          <w:color w:val="auto"/>
          <w:szCs w:val="24"/>
          <w:highlight w:val="none"/>
        </w:rPr>
        <w:t>顺延，招标人不再支付由此而增加的设计费。</w:t>
      </w:r>
    </w:p>
    <w:p w14:paraId="5D929AB9">
      <w:pPr>
        <w:keepNext w:val="0"/>
        <w:keepLines w:val="0"/>
        <w:pageBreakBefore w:val="0"/>
        <w:kinsoku/>
        <w:overflowPunct/>
        <w:topLinePunct w:val="0"/>
        <w:autoSpaceDE/>
        <w:autoSpaceDN/>
        <w:bidi w:val="0"/>
        <w:spacing w:line="440" w:lineRule="exact"/>
        <w:textAlignment w:val="auto"/>
        <w:rPr>
          <w:rFonts w:hint="eastAsia" w:ascii="宋体" w:hAnsi="宋体" w:eastAsia="宋体" w:cs="宋体"/>
          <w:color w:val="auto"/>
          <w:szCs w:val="24"/>
          <w:highlight w:val="none"/>
        </w:rPr>
      </w:pPr>
      <w:r>
        <w:rPr>
          <w:rFonts w:ascii="宋体" w:hAnsi="宋体" w:eastAsia="宋体" w:cs="宋体"/>
          <w:b/>
          <w:color w:val="auto"/>
          <w:szCs w:val="24"/>
          <w:highlight w:val="none"/>
        </w:rPr>
        <w:t xml:space="preserve">    3.14  </w:t>
      </w:r>
      <w:r>
        <w:rPr>
          <w:rFonts w:ascii="宋体" w:hAnsi="宋体" w:eastAsia="宋体" w:cs="宋体"/>
          <w:color w:val="auto"/>
          <w:szCs w:val="24"/>
          <w:highlight w:val="none"/>
        </w:rPr>
        <w:t>中标人提交的施工图阶段的设计成果必须经招标人组织的专家委员会评审确认后，再送有资质的审图单位的进行审查，若由于专家委员会和审图单位在审查过程中提出的设计修改或变更，中标人必须无条件进行修改或优化设计，招标人不再支付由此而增加的设计费用。</w:t>
      </w:r>
    </w:p>
    <w:p w14:paraId="579FDEB7">
      <w:pPr>
        <w:keepNext w:val="0"/>
        <w:keepLines w:val="0"/>
        <w:pageBreakBefore w:val="0"/>
        <w:kinsoku/>
        <w:overflowPunct/>
        <w:topLinePunct w:val="0"/>
        <w:autoSpaceDE/>
        <w:autoSpaceDN/>
        <w:bidi w:val="0"/>
        <w:spacing w:line="440" w:lineRule="exact"/>
        <w:textAlignment w:val="auto"/>
        <w:rPr>
          <w:rFonts w:hint="eastAsia" w:ascii="宋体" w:hAnsi="宋体" w:eastAsia="宋体" w:cs="宋体"/>
          <w:color w:val="auto"/>
          <w:szCs w:val="24"/>
          <w:highlight w:val="none"/>
        </w:rPr>
      </w:pPr>
      <w:r>
        <w:rPr>
          <w:rFonts w:ascii="宋体" w:hAnsi="宋体" w:eastAsia="宋体" w:cs="宋体"/>
          <w:b/>
          <w:color w:val="auto"/>
          <w:szCs w:val="24"/>
          <w:highlight w:val="none"/>
        </w:rPr>
        <w:t xml:space="preserve">    3.15 </w:t>
      </w:r>
      <w:r>
        <w:rPr>
          <w:rFonts w:ascii="宋体" w:hAnsi="宋体" w:eastAsia="宋体" w:cs="宋体"/>
          <w:color w:val="auto"/>
          <w:szCs w:val="24"/>
          <w:highlight w:val="none"/>
        </w:rPr>
        <w:t>增加工程造价在施工14天前中标人必须提供详细的报价书（含工程项目名称、变更部位、理由、预计造价等）给监理单位核实并报招标人或有关审核部门核定后，方可施工。</w:t>
      </w:r>
    </w:p>
    <w:p w14:paraId="5AB7E0F7">
      <w:pPr>
        <w:keepNext w:val="0"/>
        <w:keepLines w:val="0"/>
        <w:pageBreakBefore w:val="0"/>
        <w:kinsoku/>
        <w:overflowPunct/>
        <w:topLinePunct w:val="0"/>
        <w:autoSpaceDE/>
        <w:autoSpaceDN/>
        <w:bidi w:val="0"/>
        <w:spacing w:line="440" w:lineRule="exact"/>
        <w:ind w:firstLine="354" w:firstLineChars="147"/>
        <w:textAlignment w:val="auto"/>
        <w:rPr>
          <w:rFonts w:hint="eastAsia" w:ascii="宋体" w:hAnsi="宋体" w:eastAsia="宋体" w:cs="宋体"/>
          <w:color w:val="auto"/>
          <w:szCs w:val="24"/>
          <w:highlight w:val="none"/>
        </w:rPr>
      </w:pPr>
      <w:r>
        <w:rPr>
          <w:rFonts w:ascii="宋体" w:hAnsi="宋体" w:eastAsia="宋体" w:cs="宋体"/>
          <w:b/>
          <w:color w:val="auto"/>
          <w:szCs w:val="24"/>
          <w:highlight w:val="none"/>
        </w:rPr>
        <w:t xml:space="preserve"> 3.16 </w:t>
      </w:r>
      <w:r>
        <w:rPr>
          <w:rFonts w:ascii="宋体" w:hAnsi="宋体" w:eastAsia="宋体" w:cs="宋体"/>
          <w:color w:val="auto"/>
          <w:szCs w:val="24"/>
          <w:highlight w:val="none"/>
        </w:rPr>
        <w:t xml:space="preserve"> 中标人中标后，必须按规定到韶关市公共资源交易中心办理相关手续方可领取中标通知书。</w:t>
      </w:r>
    </w:p>
    <w:p w14:paraId="36A1842A">
      <w:pPr>
        <w:keepNext w:val="0"/>
        <w:keepLines w:val="0"/>
        <w:pageBreakBefore w:val="0"/>
        <w:kinsoku/>
        <w:overflowPunct/>
        <w:topLinePunct w:val="0"/>
        <w:autoSpaceDE/>
        <w:autoSpaceDN/>
        <w:bidi w:val="0"/>
        <w:spacing w:line="440" w:lineRule="exact"/>
        <w:ind w:firstLine="354" w:firstLineChars="147"/>
        <w:textAlignment w:val="auto"/>
        <w:rPr>
          <w:rFonts w:hint="eastAsia" w:ascii="宋体" w:hAnsi="宋体" w:eastAsia="宋体" w:cs="宋体"/>
          <w:color w:val="auto"/>
          <w:szCs w:val="24"/>
          <w:highlight w:val="none"/>
        </w:rPr>
      </w:pPr>
      <w:r>
        <w:rPr>
          <w:rFonts w:ascii="宋体" w:hAnsi="宋体" w:eastAsia="宋体" w:cs="宋体"/>
          <w:b/>
          <w:color w:val="auto"/>
          <w:szCs w:val="24"/>
          <w:highlight w:val="none"/>
        </w:rPr>
        <w:t xml:space="preserve"> 3.17 </w:t>
      </w:r>
      <w:r>
        <w:rPr>
          <w:rFonts w:ascii="宋体" w:hAnsi="宋体" w:eastAsia="宋体" w:cs="宋体"/>
          <w:color w:val="auto"/>
          <w:szCs w:val="24"/>
          <w:highlight w:val="none"/>
        </w:rPr>
        <w:t>中标人中标后必须按招标人的要求采购材料及设备。</w:t>
      </w:r>
    </w:p>
    <w:p w14:paraId="06BFB41E">
      <w:pPr>
        <w:keepNext w:val="0"/>
        <w:keepLines w:val="0"/>
        <w:pageBreakBefore w:val="0"/>
        <w:kinsoku/>
        <w:overflowPunct/>
        <w:topLinePunct w:val="0"/>
        <w:autoSpaceDE/>
        <w:autoSpaceDN/>
        <w:bidi w:val="0"/>
        <w:spacing w:line="440" w:lineRule="exact"/>
        <w:ind w:firstLine="354" w:firstLineChars="147"/>
        <w:textAlignment w:val="auto"/>
        <w:rPr>
          <w:rFonts w:hint="eastAsia" w:ascii="宋体" w:hAnsi="宋体" w:eastAsia="宋体" w:cs="宋体"/>
          <w:b w:val="0"/>
          <w:bCs/>
          <w:color w:val="auto"/>
          <w:szCs w:val="24"/>
          <w:highlight w:val="none"/>
        </w:rPr>
      </w:pPr>
      <w:r>
        <w:rPr>
          <w:rFonts w:ascii="宋体" w:hAnsi="宋体" w:eastAsia="宋体" w:cs="宋体"/>
          <w:b/>
          <w:color w:val="auto"/>
          <w:szCs w:val="24"/>
          <w:highlight w:val="none"/>
        </w:rPr>
        <w:t xml:space="preserve"> 3.18</w:t>
      </w:r>
      <w:r>
        <w:rPr>
          <w:rFonts w:ascii="宋体" w:hAnsi="宋体" w:eastAsia="宋体" w:cs="宋体"/>
          <w:b w:val="0"/>
          <w:bCs/>
          <w:color w:val="auto"/>
          <w:szCs w:val="24"/>
          <w:highlight w:val="none"/>
        </w:rPr>
        <w:t xml:space="preserve"> 中标通知书发出后，中标方应在30个日历天内</w:t>
      </w:r>
      <w:r>
        <w:rPr>
          <w:rFonts w:hint="eastAsia" w:hAnsi="宋体" w:eastAsia="宋体" w:cs="宋体"/>
          <w:b w:val="0"/>
          <w:bCs/>
          <w:color w:val="auto"/>
          <w:szCs w:val="24"/>
          <w:highlight w:val="none"/>
          <w:lang w:eastAsia="zh-CN"/>
        </w:rPr>
        <w:t>缴纳</w:t>
      </w:r>
      <w:r>
        <w:rPr>
          <w:rFonts w:ascii="宋体" w:hAnsi="宋体" w:eastAsia="宋体" w:cs="宋体"/>
          <w:b w:val="0"/>
          <w:bCs/>
          <w:color w:val="auto"/>
          <w:szCs w:val="24"/>
          <w:highlight w:val="none"/>
        </w:rPr>
        <w:t>工人工资保证金、意外伤</w:t>
      </w:r>
      <w:r>
        <w:rPr>
          <w:rFonts w:hint="eastAsia" w:hAnsi="宋体" w:eastAsia="宋体" w:cs="宋体"/>
          <w:b w:val="0"/>
          <w:bCs/>
          <w:color w:val="auto"/>
          <w:szCs w:val="24"/>
          <w:highlight w:val="none"/>
          <w:lang w:eastAsia="zh-CN"/>
        </w:rPr>
        <w:t>害保</w:t>
      </w:r>
      <w:r>
        <w:rPr>
          <w:rFonts w:ascii="宋体" w:hAnsi="宋体" w:eastAsia="宋体" w:cs="宋体"/>
          <w:b w:val="0"/>
          <w:bCs/>
          <w:color w:val="auto"/>
          <w:szCs w:val="24"/>
          <w:highlight w:val="none"/>
        </w:rPr>
        <w:t>险等。</w:t>
      </w:r>
    </w:p>
    <w:p w14:paraId="20523741">
      <w:pPr>
        <w:keepNext w:val="0"/>
        <w:keepLines w:val="0"/>
        <w:pageBreakBefore w:val="0"/>
        <w:kinsoku/>
        <w:wordWrap w:val="0"/>
        <w:overflowPunct/>
        <w:topLinePunct w:val="0"/>
        <w:autoSpaceDE/>
        <w:autoSpaceDN/>
        <w:bidi w:val="0"/>
        <w:adjustRightInd w:val="0"/>
        <w:snapToGrid w:val="0"/>
        <w:spacing w:line="440" w:lineRule="exact"/>
        <w:ind w:firstLine="480" w:firstLineChars="200"/>
        <w:textAlignment w:val="auto"/>
        <w:rPr>
          <w:rFonts w:hint="eastAsia" w:ascii="宋体" w:hAnsi="宋体" w:eastAsia="宋体" w:cs="宋体"/>
          <w:b w:val="0"/>
          <w:bCs/>
          <w:snapToGrid w:val="0"/>
          <w:color w:val="auto"/>
          <w:kern w:val="0"/>
          <w:szCs w:val="24"/>
          <w:highlight w:val="none"/>
        </w:rPr>
      </w:pPr>
      <w:r>
        <w:rPr>
          <w:rFonts w:ascii="宋体" w:hAnsi="宋体" w:eastAsia="宋体" w:cs="宋体"/>
          <w:b w:val="0"/>
          <w:bCs/>
          <w:snapToGrid w:val="0"/>
          <w:color w:val="auto"/>
          <w:kern w:val="0"/>
          <w:szCs w:val="24"/>
          <w:highlight w:val="none"/>
        </w:rPr>
        <w:t>中标人必须在项目开工前，在项目所在地银行</w:t>
      </w:r>
      <w:r>
        <w:rPr>
          <w:rFonts w:ascii="宋体" w:hAnsi="宋体" w:eastAsia="宋体" w:cs="宋体"/>
          <w:b w:val="0"/>
          <w:bCs/>
          <w:color w:val="auto"/>
          <w:szCs w:val="24"/>
          <w:highlight w:val="none"/>
        </w:rPr>
        <w:t>设立工人工资支付专用账户和安全文明施工措施费</w:t>
      </w:r>
      <w:r>
        <w:rPr>
          <w:rFonts w:hint="eastAsia" w:hAnsi="宋体" w:eastAsia="宋体" w:cs="宋体"/>
          <w:b w:val="0"/>
          <w:bCs/>
          <w:color w:val="auto"/>
          <w:szCs w:val="24"/>
          <w:highlight w:val="none"/>
          <w:lang w:eastAsia="zh-CN"/>
        </w:rPr>
        <w:t>专用账户</w:t>
      </w:r>
      <w:r>
        <w:rPr>
          <w:rFonts w:ascii="宋体" w:hAnsi="宋体" w:eastAsia="宋体" w:cs="宋体"/>
          <w:b w:val="0"/>
          <w:bCs/>
          <w:snapToGrid w:val="0"/>
          <w:color w:val="auto"/>
          <w:kern w:val="0"/>
          <w:szCs w:val="24"/>
          <w:highlight w:val="none"/>
        </w:rPr>
        <w:t>，中标人应在工资专户开立后2个工作日内，将开户银行及其账号、开户协议等资料提交给招标人。</w:t>
      </w:r>
    </w:p>
    <w:p w14:paraId="574159B7">
      <w:pPr>
        <w:keepNext w:val="0"/>
        <w:keepLines w:val="0"/>
        <w:pageBreakBefore w:val="0"/>
        <w:kinsoku/>
        <w:overflowPunct/>
        <w:topLinePunct w:val="0"/>
        <w:autoSpaceDE/>
        <w:autoSpaceDN/>
        <w:bidi w:val="0"/>
        <w:spacing w:line="440" w:lineRule="exact"/>
        <w:ind w:firstLine="352" w:firstLineChars="147"/>
        <w:textAlignment w:val="auto"/>
        <w:rPr>
          <w:rFonts w:hint="eastAsia" w:ascii="宋体" w:hAnsi="宋体" w:eastAsia="宋体" w:cs="宋体"/>
          <w:b w:val="0"/>
          <w:bCs/>
          <w:color w:val="auto"/>
          <w:szCs w:val="24"/>
          <w:highlight w:val="none"/>
        </w:rPr>
      </w:pPr>
      <w:r>
        <w:rPr>
          <w:rFonts w:ascii="宋体" w:hAnsi="宋体" w:eastAsia="宋体" w:cs="宋体"/>
          <w:b w:val="0"/>
          <w:bCs/>
          <w:color w:val="auto"/>
          <w:szCs w:val="24"/>
          <w:highlight w:val="none"/>
        </w:rPr>
        <w:t>中标人应建立劳动用工管理台账，并按月将工人工资支付明细表报招标人备案。若中标人拖延按工期延误处理，拖延一天，则计算工期延误一天。</w:t>
      </w:r>
    </w:p>
    <w:p w14:paraId="583571CD">
      <w:pPr>
        <w:keepNext w:val="0"/>
        <w:keepLines w:val="0"/>
        <w:pageBreakBefore w:val="0"/>
        <w:kinsoku/>
        <w:wordWrap w:val="0"/>
        <w:overflowPunct/>
        <w:topLinePunct w:val="0"/>
        <w:autoSpaceDE/>
        <w:autoSpaceDN/>
        <w:bidi w:val="0"/>
        <w:adjustRightInd w:val="0"/>
        <w:snapToGrid w:val="0"/>
        <w:spacing w:line="440" w:lineRule="exact"/>
        <w:ind w:firstLine="480" w:firstLineChars="200"/>
        <w:textAlignment w:val="auto"/>
        <w:rPr>
          <w:rFonts w:hint="eastAsia" w:ascii="宋体" w:hAnsi="宋体" w:eastAsia="宋体" w:cs="宋体"/>
          <w:b w:val="0"/>
          <w:bCs/>
          <w:snapToGrid w:val="0"/>
          <w:color w:val="auto"/>
          <w:kern w:val="0"/>
          <w:szCs w:val="24"/>
          <w:highlight w:val="none"/>
        </w:rPr>
      </w:pPr>
      <w:r>
        <w:rPr>
          <w:rFonts w:ascii="宋体" w:hAnsi="宋体" w:eastAsia="宋体" w:cs="宋体"/>
          <w:b w:val="0"/>
          <w:bCs/>
          <w:snapToGrid w:val="0"/>
          <w:color w:val="auto"/>
          <w:kern w:val="0"/>
          <w:szCs w:val="24"/>
          <w:highlight w:val="none"/>
        </w:rPr>
        <w:t>中标人必须按相关规定做好用工实名制管理，建立考勤机制，并实施实名信息化管理。</w:t>
      </w:r>
    </w:p>
    <w:p w14:paraId="7AE462CF">
      <w:pPr>
        <w:keepNext w:val="0"/>
        <w:keepLines w:val="0"/>
        <w:pageBreakBefore w:val="0"/>
        <w:kinsoku/>
        <w:overflowPunct/>
        <w:topLinePunct w:val="0"/>
        <w:autoSpaceDE/>
        <w:autoSpaceDN/>
        <w:bidi w:val="0"/>
        <w:spacing w:line="440" w:lineRule="exact"/>
        <w:ind w:firstLine="354" w:firstLineChars="147"/>
        <w:textAlignment w:val="auto"/>
        <w:rPr>
          <w:rFonts w:hint="eastAsia" w:ascii="宋体" w:hAnsi="宋体" w:eastAsia="宋体" w:cs="宋体"/>
          <w:color w:val="auto"/>
          <w:szCs w:val="24"/>
          <w:highlight w:val="none"/>
        </w:rPr>
      </w:pPr>
      <w:r>
        <w:rPr>
          <w:rFonts w:ascii="宋体" w:hAnsi="宋体" w:eastAsia="宋体" w:cs="宋体"/>
          <w:b/>
          <w:color w:val="auto"/>
          <w:szCs w:val="24"/>
          <w:highlight w:val="none"/>
        </w:rPr>
        <w:t xml:space="preserve">3.19 </w:t>
      </w:r>
      <w:r>
        <w:rPr>
          <w:rFonts w:ascii="宋体" w:hAnsi="宋体" w:eastAsia="宋体" w:cs="宋体"/>
          <w:color w:val="auto"/>
          <w:szCs w:val="24"/>
          <w:highlight w:val="none"/>
        </w:rPr>
        <w:t>本项目各个阶段的设计成果必须经招标人及有关审批部门同意后方可进行下</w:t>
      </w:r>
      <w:r>
        <w:rPr>
          <w:rFonts w:hint="eastAsia" w:hAnsi="宋体" w:eastAsia="宋体" w:cs="宋体"/>
          <w:color w:val="auto"/>
          <w:szCs w:val="24"/>
          <w:highlight w:val="none"/>
          <w:lang w:eastAsia="zh-CN"/>
        </w:rPr>
        <w:t>一道</w:t>
      </w:r>
      <w:r>
        <w:rPr>
          <w:rFonts w:ascii="宋体" w:hAnsi="宋体" w:eastAsia="宋体" w:cs="宋体"/>
          <w:color w:val="auto"/>
          <w:szCs w:val="24"/>
          <w:highlight w:val="none"/>
        </w:rPr>
        <w:t>工序的设计工作，若招标人或有关审批部门在审批过程中提出的设计修改或变更，中标人必须无条件进行修改或变更，招标人不再支付由此而增加的设计费用。</w:t>
      </w:r>
    </w:p>
    <w:p w14:paraId="292B86B1">
      <w:pPr>
        <w:keepNext w:val="0"/>
        <w:keepLines w:val="0"/>
        <w:pageBreakBefore w:val="0"/>
        <w:kinsoku/>
        <w:overflowPunct/>
        <w:topLinePunct w:val="0"/>
        <w:autoSpaceDE/>
        <w:autoSpaceDN/>
        <w:bidi w:val="0"/>
        <w:spacing w:line="440" w:lineRule="exact"/>
        <w:ind w:firstLine="482" w:firstLineChars="200"/>
        <w:textAlignment w:val="auto"/>
        <w:rPr>
          <w:rFonts w:hint="eastAsia" w:ascii="宋体" w:hAnsi="宋体" w:eastAsia="宋体" w:cs="宋体"/>
          <w:b w:val="0"/>
          <w:bCs w:val="0"/>
          <w:color w:val="auto"/>
          <w:szCs w:val="24"/>
          <w:highlight w:val="none"/>
        </w:rPr>
      </w:pPr>
      <w:r>
        <w:rPr>
          <w:rFonts w:ascii="宋体" w:hAnsi="宋体" w:eastAsia="宋体" w:cs="宋体"/>
          <w:b/>
          <w:color w:val="auto"/>
          <w:szCs w:val="24"/>
          <w:highlight w:val="none"/>
        </w:rPr>
        <w:t xml:space="preserve">3.20 </w:t>
      </w:r>
      <w:r>
        <w:rPr>
          <w:rFonts w:ascii="宋体" w:hAnsi="宋体" w:eastAsia="宋体" w:cs="宋体"/>
          <w:b w:val="0"/>
          <w:bCs w:val="0"/>
          <w:color w:val="auto"/>
          <w:szCs w:val="24"/>
          <w:highlight w:val="none"/>
        </w:rPr>
        <w:t>若中标人自中标通知书发出之日起20个工作日内仍未提供履约担保的，视同中标单位自动放弃中标资格，招标人通报建设行政主管部门后有权另行选择中标人。</w:t>
      </w:r>
    </w:p>
    <w:p w14:paraId="0088F627">
      <w:pPr>
        <w:keepNext w:val="0"/>
        <w:keepLines w:val="0"/>
        <w:pageBreakBefore w:val="0"/>
        <w:kinsoku/>
        <w:overflowPunct/>
        <w:topLinePunct w:val="0"/>
        <w:autoSpaceDE/>
        <w:autoSpaceDN/>
        <w:bidi w:val="0"/>
        <w:spacing w:line="440" w:lineRule="exact"/>
        <w:ind w:firstLine="482" w:firstLineChars="200"/>
        <w:textAlignment w:val="auto"/>
        <w:rPr>
          <w:rFonts w:hint="eastAsia" w:ascii="宋体" w:hAnsi="宋体" w:eastAsia="宋体" w:cs="宋体"/>
          <w:b w:val="0"/>
          <w:bCs w:val="0"/>
          <w:color w:val="auto"/>
          <w:szCs w:val="24"/>
          <w:highlight w:val="none"/>
        </w:rPr>
      </w:pPr>
      <w:r>
        <w:rPr>
          <w:rFonts w:ascii="宋体" w:hAnsi="宋体" w:eastAsia="宋体" w:cs="宋体"/>
          <w:b/>
          <w:color w:val="auto"/>
          <w:szCs w:val="24"/>
          <w:highlight w:val="none"/>
        </w:rPr>
        <w:t>3.21</w:t>
      </w:r>
      <w:r>
        <w:rPr>
          <w:rFonts w:ascii="宋体" w:hAnsi="宋体" w:eastAsia="宋体" w:cs="宋体"/>
          <w:b w:val="0"/>
          <w:bCs w:val="0"/>
          <w:color w:val="auto"/>
          <w:szCs w:val="24"/>
          <w:highlight w:val="none"/>
        </w:rPr>
        <w:t xml:space="preserve"> 若中标人自中标通知书发出之日起30天内仍未签订合同，视同中标人自动放弃中标权利，招标人通报建设行政主管部门后有权另行选择中标人。</w:t>
      </w:r>
    </w:p>
    <w:p w14:paraId="151AC081">
      <w:pPr>
        <w:pStyle w:val="37"/>
        <w:keepNext w:val="0"/>
        <w:keepLines w:val="0"/>
        <w:pageBreakBefore w:val="0"/>
        <w:kinsoku/>
        <w:overflowPunct/>
        <w:topLinePunct w:val="0"/>
        <w:autoSpaceDE/>
        <w:autoSpaceDN/>
        <w:bidi w:val="0"/>
        <w:spacing w:line="440" w:lineRule="exact"/>
        <w:ind w:firstLine="482" w:firstLineChars="200"/>
        <w:textAlignment w:val="auto"/>
        <w:rPr>
          <w:rFonts w:hint="eastAsia" w:ascii="宋体" w:hAnsi="宋体" w:eastAsia="宋体" w:cs="宋体"/>
          <w:b w:val="0"/>
          <w:bCs/>
          <w:color w:val="auto"/>
          <w:szCs w:val="24"/>
          <w:highlight w:val="none"/>
        </w:rPr>
      </w:pPr>
      <w:r>
        <w:rPr>
          <w:rFonts w:hint="eastAsia" w:ascii="宋体" w:hAnsi="宋体" w:eastAsia="宋体" w:cs="宋体"/>
          <w:b/>
          <w:color w:val="auto"/>
          <w:kern w:val="2"/>
          <w:sz w:val="24"/>
          <w:szCs w:val="24"/>
          <w:highlight w:val="none"/>
          <w:lang w:val="en-US" w:eastAsia="zh-CN" w:bidi="ar-SA"/>
        </w:rPr>
        <w:t xml:space="preserve">3.22 </w:t>
      </w:r>
      <w:r>
        <w:rPr>
          <w:rFonts w:hint="eastAsia" w:ascii="宋体" w:hAnsi="宋体" w:eastAsia="宋体" w:cs="宋体"/>
          <w:b w:val="0"/>
          <w:bCs/>
          <w:color w:val="auto"/>
          <w:szCs w:val="24"/>
          <w:highlight w:val="none"/>
        </w:rPr>
        <w:t>中标人应按招标人确认后的主要材料的规格、颜色要求采购。如变更规格或颜色，必须经招标人、业主同意，并报有关审核部门重新核定单价后方可采购，并相应调整工程造价。主要材料必须先提供样板或有关资料给招标人、业主确定其规格、颜色、等级等，然后方可使用。</w:t>
      </w:r>
    </w:p>
    <w:p w14:paraId="43AB04AE">
      <w:pPr>
        <w:keepNext w:val="0"/>
        <w:keepLines w:val="0"/>
        <w:pageBreakBefore w:val="0"/>
        <w:kinsoku/>
        <w:overflowPunct/>
        <w:topLinePunct w:val="0"/>
        <w:autoSpaceDE/>
        <w:autoSpaceDN/>
        <w:bidi w:val="0"/>
        <w:spacing w:line="440" w:lineRule="exact"/>
        <w:ind w:firstLine="354" w:firstLineChars="147"/>
        <w:textAlignment w:val="auto"/>
        <w:rPr>
          <w:rFonts w:hint="eastAsia" w:ascii="宋体" w:hAnsi="宋体" w:eastAsia="宋体" w:cs="宋体"/>
          <w:color w:val="auto"/>
          <w:szCs w:val="24"/>
          <w:highlight w:val="none"/>
        </w:rPr>
      </w:pPr>
      <w:r>
        <w:rPr>
          <w:rFonts w:ascii="宋体" w:hAnsi="宋体" w:eastAsia="宋体" w:cs="宋体"/>
          <w:b/>
          <w:color w:val="auto"/>
          <w:szCs w:val="24"/>
          <w:highlight w:val="none"/>
        </w:rPr>
        <w:t>3.2</w:t>
      </w:r>
      <w:r>
        <w:rPr>
          <w:rFonts w:hint="eastAsia" w:ascii="宋体" w:hAnsi="宋体" w:eastAsia="宋体" w:cs="宋体"/>
          <w:b/>
          <w:color w:val="auto"/>
          <w:szCs w:val="24"/>
          <w:highlight w:val="none"/>
          <w:lang w:val="en-US" w:eastAsia="zh-CN"/>
        </w:rPr>
        <w:t>3</w:t>
      </w:r>
      <w:r>
        <w:rPr>
          <w:rFonts w:ascii="宋体" w:hAnsi="宋体" w:eastAsia="宋体" w:cs="宋体"/>
          <w:color w:val="auto"/>
          <w:szCs w:val="24"/>
          <w:highlight w:val="none"/>
        </w:rPr>
        <w:t>中标人须按韶关市关于建筑垃圾运输、建筑渣土管理和扬尘治理等有关规定执行。</w:t>
      </w:r>
      <w:r>
        <w:rPr>
          <w:rFonts w:hint="eastAsia" w:ascii="宋体" w:hAnsi="宋体" w:eastAsia="宋体" w:cs="宋体"/>
          <w:bCs/>
          <w:snapToGrid w:val="0"/>
          <w:color w:val="auto"/>
          <w:kern w:val="0"/>
          <w:sz w:val="24"/>
          <w:szCs w:val="24"/>
          <w:highlight w:val="none"/>
          <w:lang w:val="en-US" w:eastAsia="zh-CN"/>
        </w:rPr>
        <w:t>须按照《韶关市建筑垃圾管理条例》（2021年5月1日起施行），将弃土运至发包人指定的场所，否则发包人有权要求承包人无条件将弃土从违约弃土点运至发包人指定的场所并扣除违约金人民币</w:t>
      </w:r>
      <w:r>
        <w:rPr>
          <w:rFonts w:hint="eastAsia" w:ascii="宋体" w:hAnsi="宋体" w:eastAsia="宋体" w:cs="宋体"/>
          <w:color w:val="auto"/>
          <w:kern w:val="2"/>
          <w:sz w:val="24"/>
          <w:szCs w:val="24"/>
          <w:highlight w:val="none"/>
          <w:u w:val="none"/>
          <w:shd w:val="clear" w:color="auto" w:fill="FFFFFF"/>
          <w:lang w:val="en-US" w:eastAsia="zh-CN" w:bidi="ar-SA"/>
        </w:rPr>
        <w:t>1</w:t>
      </w:r>
      <w:r>
        <w:rPr>
          <w:rFonts w:hint="eastAsia" w:ascii="宋体" w:hAnsi="宋体" w:eastAsia="宋体" w:cs="宋体"/>
          <w:bCs/>
          <w:snapToGrid w:val="0"/>
          <w:color w:val="auto"/>
          <w:kern w:val="0"/>
          <w:sz w:val="24"/>
          <w:szCs w:val="24"/>
          <w:highlight w:val="none"/>
          <w:lang w:val="en-US" w:eastAsia="zh-CN"/>
        </w:rPr>
        <w:t>万元/次。承包人对建筑垃圾须按《韶关市建筑垃圾管理条例》（2021年5月1日起施行）的相关规定进行排放和运输，投标人在投标报价时综合考虑在报价内。承包人应在施工现场建立洗车槽和临时排水系统等确保外运车辆（土方运输车辆应符合韶关市相关规定）不带泥上路，投标人在投标报价时综合考虑在报价内，发包人不另行支付该部分费用）。建设单位、施工单位应当在施工工地出入口显著位置公示建筑垃圾处理方案主要信息，包括建设工程垃圾种类、产生量、外运处置去向等信息及各相关单位名称、联系人及联系电话等。</w:t>
      </w:r>
    </w:p>
    <w:p w14:paraId="09E142BA">
      <w:pPr>
        <w:keepNext w:val="0"/>
        <w:keepLines w:val="0"/>
        <w:pageBreakBefore w:val="0"/>
        <w:kinsoku/>
        <w:overflowPunct/>
        <w:topLinePunct w:val="0"/>
        <w:autoSpaceDE/>
        <w:autoSpaceDN/>
        <w:bidi w:val="0"/>
        <w:spacing w:line="440" w:lineRule="exact"/>
        <w:ind w:firstLine="354" w:firstLineChars="147"/>
        <w:textAlignment w:val="auto"/>
        <w:rPr>
          <w:rFonts w:hint="eastAsia" w:ascii="宋体" w:hAnsi="宋体" w:eastAsia="宋体" w:cs="宋体"/>
          <w:color w:val="auto"/>
          <w:szCs w:val="24"/>
          <w:highlight w:val="none"/>
        </w:rPr>
      </w:pPr>
      <w:r>
        <w:rPr>
          <w:rFonts w:ascii="宋体" w:hAnsi="宋体" w:eastAsia="宋体" w:cs="宋体"/>
          <w:b/>
          <w:color w:val="auto"/>
          <w:szCs w:val="24"/>
          <w:highlight w:val="none"/>
        </w:rPr>
        <w:t>3.2</w:t>
      </w:r>
      <w:r>
        <w:rPr>
          <w:rFonts w:hint="eastAsia" w:ascii="宋体" w:hAnsi="宋体" w:eastAsia="宋体" w:cs="宋体"/>
          <w:b/>
          <w:color w:val="auto"/>
          <w:szCs w:val="24"/>
          <w:highlight w:val="none"/>
          <w:lang w:val="en-US" w:eastAsia="zh-CN"/>
        </w:rPr>
        <w:t>4</w:t>
      </w:r>
      <w:r>
        <w:rPr>
          <w:rFonts w:ascii="宋体" w:hAnsi="宋体" w:eastAsia="宋体" w:cs="宋体"/>
          <w:color w:val="auto"/>
          <w:szCs w:val="24"/>
          <w:highlight w:val="none"/>
        </w:rPr>
        <w:t>中标人须按相关规定要求，设置本工程符合相关要求的永久性标牌及规划公示牌，投标人在投标报价时综合考虑在报价内，招标人不另行支付该部分费用。</w:t>
      </w:r>
    </w:p>
    <w:p w14:paraId="47DBC2ED">
      <w:pPr>
        <w:keepNext w:val="0"/>
        <w:keepLines w:val="0"/>
        <w:pageBreakBefore w:val="0"/>
        <w:kinsoku/>
        <w:overflowPunct/>
        <w:topLinePunct w:val="0"/>
        <w:autoSpaceDE/>
        <w:autoSpaceDN/>
        <w:bidi w:val="0"/>
        <w:spacing w:line="440" w:lineRule="exact"/>
        <w:ind w:firstLine="354" w:firstLineChars="147"/>
        <w:textAlignment w:val="auto"/>
        <w:rPr>
          <w:rFonts w:hint="eastAsia" w:ascii="宋体" w:hAnsi="宋体" w:eastAsia="宋体" w:cs="宋体"/>
          <w:color w:val="auto"/>
          <w:szCs w:val="24"/>
          <w:highlight w:val="none"/>
        </w:rPr>
      </w:pPr>
      <w:r>
        <w:rPr>
          <w:rFonts w:ascii="宋体" w:hAnsi="宋体" w:eastAsia="宋体" w:cs="宋体"/>
          <w:b/>
          <w:color w:val="auto"/>
          <w:szCs w:val="24"/>
          <w:highlight w:val="none"/>
        </w:rPr>
        <w:t>3.2</w:t>
      </w:r>
      <w:r>
        <w:rPr>
          <w:rFonts w:hint="eastAsia" w:ascii="宋体" w:hAnsi="宋体" w:eastAsia="宋体" w:cs="宋体"/>
          <w:b/>
          <w:color w:val="auto"/>
          <w:szCs w:val="24"/>
          <w:highlight w:val="none"/>
          <w:lang w:val="en-US" w:eastAsia="zh-CN"/>
        </w:rPr>
        <w:t>5</w:t>
      </w:r>
      <w:r>
        <w:rPr>
          <w:rFonts w:ascii="宋体" w:hAnsi="宋体" w:eastAsia="宋体" w:cs="宋体"/>
          <w:color w:val="auto"/>
          <w:szCs w:val="24"/>
          <w:highlight w:val="none"/>
        </w:rPr>
        <w:t>中标人须服从招标人的项目管理方式；中标人须无条件组织施工班组按招标人提供的管理软件（如有）及管理流程进行施工管理。</w:t>
      </w:r>
    </w:p>
    <w:p w14:paraId="4E5BB4A8">
      <w:pPr>
        <w:pStyle w:val="7"/>
        <w:keepNext w:val="0"/>
        <w:keepLines w:val="0"/>
        <w:pageBreakBefore w:val="0"/>
        <w:kinsoku/>
        <w:overflowPunct/>
        <w:topLinePunct w:val="0"/>
        <w:autoSpaceDE/>
        <w:autoSpaceDN/>
        <w:bidi w:val="0"/>
        <w:spacing w:line="440" w:lineRule="exact"/>
        <w:ind w:firstLine="480" w:firstLineChars="200"/>
        <w:textAlignment w:val="auto"/>
        <w:rPr>
          <w:rFonts w:hint="eastAsia" w:ascii="宋体" w:hAnsi="宋体" w:eastAsia="宋体" w:cs="宋体"/>
          <w:b w:val="0"/>
          <w:bCs/>
          <w:color w:val="auto"/>
          <w:sz w:val="24"/>
          <w:szCs w:val="24"/>
          <w:highlight w:val="none"/>
        </w:rPr>
      </w:pPr>
      <w:r>
        <w:rPr>
          <w:rFonts w:hint="eastAsia" w:ascii="宋体" w:hAnsi="宋体" w:eastAsia="宋体" w:cs="宋体"/>
          <w:b w:val="0"/>
          <w:bCs/>
          <w:color w:val="auto"/>
          <w:sz w:val="24"/>
          <w:szCs w:val="24"/>
          <w:highlight w:val="none"/>
        </w:rPr>
        <w:t>中标</w:t>
      </w:r>
      <w:r>
        <w:rPr>
          <w:rFonts w:hint="eastAsia" w:ascii="宋体" w:hAnsi="宋体" w:eastAsia="宋体" w:cs="宋体"/>
          <w:b w:val="0"/>
          <w:bCs/>
          <w:snapToGrid w:val="0"/>
          <w:color w:val="auto"/>
          <w:sz w:val="24"/>
          <w:szCs w:val="24"/>
          <w:highlight w:val="none"/>
        </w:rPr>
        <w:t>人应根据施工任务做好工期分析工作，按工期节点要求进行人料机的安排，及时根据计划的实施情况调整人料机的投入。</w:t>
      </w:r>
      <w:r>
        <w:rPr>
          <w:rFonts w:hint="eastAsia" w:ascii="宋体" w:hAnsi="宋体" w:eastAsia="宋体" w:cs="宋体"/>
          <w:b w:val="0"/>
          <w:bCs/>
          <w:color w:val="auto"/>
          <w:sz w:val="24"/>
          <w:szCs w:val="24"/>
          <w:highlight w:val="none"/>
        </w:rPr>
        <w:t>中标</w:t>
      </w:r>
      <w:r>
        <w:rPr>
          <w:rFonts w:hint="eastAsia" w:ascii="宋体" w:hAnsi="宋体" w:eastAsia="宋体" w:cs="宋体"/>
          <w:b w:val="0"/>
          <w:bCs/>
          <w:snapToGrid w:val="0"/>
          <w:color w:val="auto"/>
          <w:sz w:val="24"/>
          <w:szCs w:val="24"/>
          <w:highlight w:val="none"/>
        </w:rPr>
        <w:t>人作为总承包单位，应合理安排施工工作，统筹各专业单位（如有）的工作界面，不得影响施工进度。</w:t>
      </w:r>
      <w:r>
        <w:rPr>
          <w:rFonts w:hint="eastAsia" w:ascii="宋体" w:hAnsi="宋体" w:eastAsia="宋体" w:cs="宋体"/>
          <w:b w:val="0"/>
          <w:bCs/>
          <w:color w:val="auto"/>
          <w:sz w:val="24"/>
          <w:szCs w:val="24"/>
          <w:highlight w:val="none"/>
        </w:rPr>
        <w:t>中标</w:t>
      </w:r>
      <w:r>
        <w:rPr>
          <w:rFonts w:hint="eastAsia" w:ascii="宋体" w:hAnsi="宋体" w:eastAsia="宋体" w:cs="宋体"/>
          <w:b w:val="0"/>
          <w:bCs/>
          <w:snapToGrid w:val="0"/>
          <w:color w:val="auto"/>
          <w:sz w:val="24"/>
          <w:szCs w:val="24"/>
          <w:highlight w:val="none"/>
        </w:rPr>
        <w:t>人应根据工作面的变化情况及工程进度要求，合理增配人员及施工机械设备。</w:t>
      </w:r>
    </w:p>
    <w:p w14:paraId="6C2C5441">
      <w:pPr>
        <w:keepNext w:val="0"/>
        <w:keepLines w:val="0"/>
        <w:pageBreakBefore w:val="0"/>
        <w:kinsoku/>
        <w:overflowPunct/>
        <w:topLinePunct w:val="0"/>
        <w:autoSpaceDE/>
        <w:autoSpaceDN/>
        <w:bidi w:val="0"/>
        <w:spacing w:line="440" w:lineRule="exact"/>
        <w:ind w:firstLine="354" w:firstLineChars="147"/>
        <w:textAlignment w:val="auto"/>
        <w:rPr>
          <w:rFonts w:hint="eastAsia" w:ascii="宋体" w:hAnsi="宋体" w:eastAsia="宋体" w:cs="宋体"/>
          <w:color w:val="auto"/>
          <w:szCs w:val="24"/>
          <w:highlight w:val="none"/>
        </w:rPr>
      </w:pPr>
      <w:r>
        <w:rPr>
          <w:rFonts w:ascii="宋体" w:hAnsi="宋体" w:eastAsia="宋体" w:cs="宋体"/>
          <w:b/>
          <w:color w:val="auto"/>
          <w:szCs w:val="24"/>
          <w:highlight w:val="none"/>
        </w:rPr>
        <w:t>3.2</w:t>
      </w:r>
      <w:r>
        <w:rPr>
          <w:rFonts w:hint="eastAsia" w:ascii="宋体" w:hAnsi="宋体" w:eastAsia="宋体" w:cs="宋体"/>
          <w:b/>
          <w:color w:val="auto"/>
          <w:szCs w:val="24"/>
          <w:highlight w:val="none"/>
          <w:lang w:val="en-US" w:eastAsia="zh-CN"/>
        </w:rPr>
        <w:t>6</w:t>
      </w:r>
      <w:r>
        <w:rPr>
          <w:rFonts w:ascii="宋体" w:hAnsi="宋体" w:eastAsia="宋体" w:cs="宋体"/>
          <w:color w:val="auto"/>
          <w:szCs w:val="24"/>
          <w:highlight w:val="none"/>
        </w:rPr>
        <w:t>施工视频监控系统必须符合韶市建字〔2014〕163号文件规定，并在投标报价中综合考虑，招标人及项目业主不再另行支付该部分费用。</w:t>
      </w:r>
    </w:p>
    <w:p w14:paraId="228C5AA0">
      <w:pPr>
        <w:keepNext w:val="0"/>
        <w:keepLines w:val="0"/>
        <w:pageBreakBefore w:val="0"/>
        <w:kinsoku/>
        <w:overflowPunct/>
        <w:topLinePunct w:val="0"/>
        <w:autoSpaceDE/>
        <w:autoSpaceDN/>
        <w:bidi w:val="0"/>
        <w:spacing w:line="440" w:lineRule="exact"/>
        <w:ind w:firstLine="354" w:firstLineChars="147"/>
        <w:textAlignment w:val="auto"/>
        <w:rPr>
          <w:rFonts w:hint="eastAsia" w:ascii="宋体" w:hAnsi="宋体" w:eastAsia="宋体" w:cs="宋体"/>
          <w:color w:val="auto"/>
          <w:szCs w:val="24"/>
          <w:highlight w:val="none"/>
        </w:rPr>
      </w:pPr>
      <w:r>
        <w:rPr>
          <w:rFonts w:ascii="宋体" w:hAnsi="宋体" w:eastAsia="宋体" w:cs="宋体"/>
          <w:b/>
          <w:color w:val="auto"/>
          <w:szCs w:val="24"/>
          <w:highlight w:val="none"/>
        </w:rPr>
        <w:t>3.2</w:t>
      </w:r>
      <w:r>
        <w:rPr>
          <w:rFonts w:hint="eastAsia" w:hAnsi="宋体" w:eastAsia="宋体" w:cs="宋体"/>
          <w:b/>
          <w:color w:val="auto"/>
          <w:szCs w:val="24"/>
          <w:highlight w:val="none"/>
          <w:lang w:val="en-US" w:eastAsia="zh-CN"/>
        </w:rPr>
        <w:t>7</w:t>
      </w:r>
      <w:r>
        <w:rPr>
          <w:rFonts w:ascii="宋体" w:hAnsi="宋体" w:eastAsia="宋体" w:cs="宋体"/>
          <w:color w:val="auto"/>
          <w:szCs w:val="24"/>
          <w:highlight w:val="none"/>
        </w:rPr>
        <w:t>中标人应已详细了解本项目的前期工作（包括征地拆迁），同时也应已勘察施工现场、周围环境、地形、地貌、水文、交通等情况。中标人投标报价应已充分考虑在施工中由于招标人原因造成停工或工期延误等因素所产生的相关费用，招标人不予另计费；中标人不得以不完全了解项目的前期工作（包括征地拆迁）及现场情况为理由，提出因外界因素造成停工或工期延误的额外付款要求；对此类要求，招标人不作任何考虑及答复。</w:t>
      </w:r>
    </w:p>
    <w:p w14:paraId="3621A228">
      <w:pPr>
        <w:keepNext w:val="0"/>
        <w:keepLines w:val="0"/>
        <w:pageBreakBefore w:val="0"/>
        <w:kinsoku/>
        <w:overflowPunct/>
        <w:topLinePunct w:val="0"/>
        <w:autoSpaceDE/>
        <w:autoSpaceDN/>
        <w:bidi w:val="0"/>
        <w:spacing w:line="440" w:lineRule="exact"/>
        <w:ind w:firstLine="352" w:firstLineChars="147"/>
        <w:textAlignment w:val="auto"/>
        <w:rPr>
          <w:rFonts w:hint="eastAsia" w:ascii="宋体" w:hAnsi="宋体" w:eastAsia="宋体" w:cs="宋体"/>
          <w:color w:val="auto"/>
          <w:szCs w:val="24"/>
          <w:highlight w:val="none"/>
        </w:rPr>
      </w:pPr>
      <w:r>
        <w:rPr>
          <w:rFonts w:ascii="宋体" w:hAnsi="宋体" w:eastAsia="宋体" w:cs="宋体"/>
          <w:color w:val="auto"/>
          <w:szCs w:val="24"/>
          <w:highlight w:val="none"/>
        </w:rPr>
        <w:t>如因招标人原因（自然灾害等不可抗力因素除外），工程不能按期开工，或开工后全部停滞，工期按相关规定予以顺延。停工发生后，若可复工时，中标人应在收到招标人发出的复工通知书后3日内开始复工。</w:t>
      </w:r>
    </w:p>
    <w:p w14:paraId="0CE5B748">
      <w:pPr>
        <w:keepNext w:val="0"/>
        <w:keepLines w:val="0"/>
        <w:pageBreakBefore w:val="0"/>
        <w:kinsoku/>
        <w:overflowPunct/>
        <w:topLinePunct w:val="0"/>
        <w:autoSpaceDE/>
        <w:autoSpaceDN/>
        <w:bidi w:val="0"/>
        <w:spacing w:line="440" w:lineRule="exact"/>
        <w:ind w:firstLine="560"/>
        <w:textAlignment w:val="auto"/>
        <w:rPr>
          <w:rFonts w:hint="eastAsia" w:ascii="宋体" w:hAnsi="宋体" w:eastAsia="宋体" w:cs="宋体"/>
          <w:b w:val="0"/>
          <w:bCs w:val="0"/>
          <w:color w:val="auto"/>
          <w:szCs w:val="24"/>
          <w:highlight w:val="none"/>
        </w:rPr>
      </w:pPr>
      <w:r>
        <w:rPr>
          <w:rFonts w:ascii="宋体" w:hAnsi="宋体" w:eastAsia="宋体" w:cs="宋体"/>
          <w:b/>
          <w:color w:val="auto"/>
          <w:szCs w:val="24"/>
          <w:highlight w:val="none"/>
        </w:rPr>
        <w:t>3.2</w:t>
      </w:r>
      <w:r>
        <w:rPr>
          <w:rFonts w:hint="eastAsia" w:ascii="宋体" w:hAnsi="宋体" w:eastAsia="宋体" w:cs="宋体"/>
          <w:b/>
          <w:color w:val="auto"/>
          <w:szCs w:val="24"/>
          <w:highlight w:val="none"/>
          <w:lang w:val="en-US" w:eastAsia="zh-CN"/>
        </w:rPr>
        <w:t>8</w:t>
      </w:r>
      <w:r>
        <w:rPr>
          <w:rFonts w:ascii="宋体" w:hAnsi="宋体" w:eastAsia="宋体" w:cs="宋体"/>
          <w:b w:val="0"/>
          <w:bCs w:val="0"/>
          <w:color w:val="auto"/>
          <w:szCs w:val="24"/>
          <w:highlight w:val="none"/>
        </w:rPr>
        <w:t>中标人</w:t>
      </w:r>
      <w:r>
        <w:rPr>
          <w:rFonts w:hint="eastAsia" w:hAnsi="宋体" w:eastAsia="宋体" w:cs="宋体"/>
          <w:b w:val="0"/>
          <w:bCs w:val="0"/>
          <w:color w:val="auto"/>
          <w:szCs w:val="24"/>
          <w:highlight w:val="none"/>
          <w:lang w:eastAsia="zh-CN"/>
        </w:rPr>
        <w:t>必须严格按照</w:t>
      </w:r>
      <w:r>
        <w:rPr>
          <w:rFonts w:ascii="宋体" w:hAnsi="宋体" w:eastAsia="宋体" w:cs="宋体"/>
          <w:b w:val="0"/>
          <w:bCs w:val="0"/>
          <w:color w:val="auto"/>
          <w:szCs w:val="24"/>
          <w:highlight w:val="none"/>
        </w:rPr>
        <w:t>有关设计规范设计图纸，中标人须秉承合理、经济、环保、适用等原则进行施工图设计，招标人有权委托第三方对中标人每阶段的设计成果文件（含节能、结构计算模型等）进行精细化审图、各专业优化工作，招标人将根据第三方出具的有关报告及优化金额对中标人进行考核。若中标人成果的建安投资与优化金额（各分项工程进行对比）误差率在3%范围内则不作违约处理（含3%），否则以优化金额的10%从设计费用中扣取违约金（违约金总额以设计费为限，扣取的违约金作为第三方的咨询费），中标人需无条件根据经招标人确认的精细化审图、结构优化报告进行设计文件修改，费用不另计。</w:t>
      </w:r>
    </w:p>
    <w:p w14:paraId="2527E677">
      <w:pPr>
        <w:keepNext w:val="0"/>
        <w:keepLines w:val="0"/>
        <w:pageBreakBefore w:val="0"/>
        <w:kinsoku/>
        <w:overflowPunct/>
        <w:topLinePunct w:val="0"/>
        <w:autoSpaceDE/>
        <w:autoSpaceDN/>
        <w:bidi w:val="0"/>
        <w:spacing w:line="440" w:lineRule="exact"/>
        <w:textAlignment w:val="auto"/>
        <w:rPr>
          <w:rFonts w:hint="eastAsia" w:ascii="宋体" w:hAnsi="宋体" w:eastAsia="宋体" w:cs="宋体"/>
          <w:b w:val="0"/>
          <w:bCs/>
          <w:color w:val="auto"/>
          <w:szCs w:val="24"/>
          <w:highlight w:val="none"/>
        </w:rPr>
      </w:pPr>
      <w:r>
        <w:rPr>
          <w:rFonts w:ascii="宋体" w:hAnsi="宋体" w:eastAsia="宋体" w:cs="宋体"/>
          <w:b/>
          <w:color w:val="auto"/>
          <w:szCs w:val="24"/>
          <w:highlight w:val="none"/>
        </w:rPr>
        <w:t xml:space="preserve">    3.</w:t>
      </w:r>
      <w:r>
        <w:rPr>
          <w:rFonts w:hint="eastAsia" w:ascii="宋体" w:hAnsi="宋体" w:eastAsia="宋体" w:cs="宋体"/>
          <w:b/>
          <w:color w:val="auto"/>
          <w:szCs w:val="24"/>
          <w:highlight w:val="none"/>
          <w:lang w:val="en-US" w:eastAsia="zh-CN"/>
        </w:rPr>
        <w:t>29</w:t>
      </w:r>
      <w:r>
        <w:rPr>
          <w:rFonts w:ascii="宋体" w:hAnsi="宋体" w:eastAsia="宋体" w:cs="宋体"/>
          <w:b w:val="0"/>
          <w:bCs/>
          <w:color w:val="auto"/>
          <w:szCs w:val="24"/>
          <w:highlight w:val="none"/>
        </w:rPr>
        <w:t>中标人须在收到初步设计文件之日起三天内无条件对初步设计文件进行审核，如发现遗漏或错误，须向招标人提出书面报告。</w:t>
      </w:r>
    </w:p>
    <w:p w14:paraId="6688389C">
      <w:pPr>
        <w:keepNext w:val="0"/>
        <w:keepLines w:val="0"/>
        <w:pageBreakBefore w:val="0"/>
        <w:kinsoku/>
        <w:overflowPunct/>
        <w:topLinePunct w:val="0"/>
        <w:autoSpaceDE/>
        <w:autoSpaceDN/>
        <w:bidi w:val="0"/>
        <w:spacing w:line="440" w:lineRule="exact"/>
        <w:textAlignment w:val="auto"/>
        <w:rPr>
          <w:rFonts w:hint="eastAsia" w:ascii="宋体" w:hAnsi="宋体" w:eastAsia="宋体" w:cs="宋体"/>
          <w:b w:val="0"/>
          <w:bCs/>
          <w:color w:val="auto"/>
          <w:szCs w:val="24"/>
          <w:highlight w:val="none"/>
        </w:rPr>
      </w:pPr>
      <w:r>
        <w:rPr>
          <w:rFonts w:ascii="宋体" w:hAnsi="宋体" w:eastAsia="宋体" w:cs="宋体"/>
          <w:b/>
          <w:color w:val="auto"/>
          <w:szCs w:val="24"/>
          <w:highlight w:val="none"/>
        </w:rPr>
        <w:t xml:space="preserve">    3.3</w:t>
      </w:r>
      <w:r>
        <w:rPr>
          <w:rFonts w:hint="eastAsia" w:ascii="宋体" w:hAnsi="宋体" w:eastAsia="宋体" w:cs="宋体"/>
          <w:b/>
          <w:color w:val="auto"/>
          <w:szCs w:val="24"/>
          <w:highlight w:val="none"/>
          <w:lang w:val="en-US" w:eastAsia="zh-CN"/>
        </w:rPr>
        <w:t>0</w:t>
      </w:r>
      <w:r>
        <w:rPr>
          <w:rFonts w:ascii="宋体" w:hAnsi="宋体" w:eastAsia="宋体" w:cs="宋体"/>
          <w:b w:val="0"/>
          <w:bCs/>
          <w:color w:val="auto"/>
          <w:szCs w:val="24"/>
          <w:highlight w:val="none"/>
        </w:rPr>
        <w:t>中标人须在收到中标通知书之</w:t>
      </w:r>
      <w:r>
        <w:rPr>
          <w:rFonts w:hint="eastAsia" w:hAnsi="宋体" w:eastAsia="宋体" w:cs="宋体"/>
          <w:b w:val="0"/>
          <w:bCs/>
          <w:color w:val="auto"/>
          <w:szCs w:val="24"/>
          <w:highlight w:val="none"/>
          <w:lang w:eastAsia="zh-CN"/>
        </w:rPr>
        <w:t>日起</w:t>
      </w:r>
      <w:r>
        <w:rPr>
          <w:rFonts w:ascii="宋体" w:hAnsi="宋体" w:eastAsia="宋体" w:cs="宋体"/>
          <w:b w:val="0"/>
          <w:bCs/>
          <w:color w:val="auto"/>
          <w:szCs w:val="24"/>
          <w:highlight w:val="none"/>
        </w:rPr>
        <w:t>十天内向招标人提交各阶段详细的工期计划承诺书。</w:t>
      </w:r>
    </w:p>
    <w:p w14:paraId="2859DC27">
      <w:pPr>
        <w:pStyle w:val="56"/>
        <w:keepNext w:val="0"/>
        <w:keepLines w:val="0"/>
        <w:pageBreakBefore w:val="0"/>
        <w:widowControl/>
        <w:kinsoku/>
        <w:overflowPunct/>
        <w:topLinePunct w:val="0"/>
        <w:autoSpaceDE/>
        <w:autoSpaceDN/>
        <w:bidi w:val="0"/>
        <w:spacing w:line="440" w:lineRule="exact"/>
        <w:jc w:val="left"/>
        <w:textAlignment w:val="auto"/>
        <w:rPr>
          <w:rFonts w:hint="eastAsia" w:ascii="宋体" w:hAnsi="宋体" w:eastAsia="宋体" w:cs="宋体"/>
          <w:color w:val="auto"/>
          <w:szCs w:val="24"/>
          <w:highlight w:val="none"/>
        </w:rPr>
      </w:pPr>
      <w:r>
        <w:rPr>
          <w:rFonts w:hint="eastAsia" w:ascii="宋体" w:hAnsi="宋体" w:eastAsia="宋体" w:cs="宋体"/>
          <w:b/>
          <w:color w:val="auto"/>
          <w:kern w:val="2"/>
          <w:sz w:val="24"/>
          <w:szCs w:val="24"/>
          <w:highlight w:val="none"/>
          <w:lang w:val="en-US" w:eastAsia="zh-CN" w:bidi="ar-SA"/>
        </w:rPr>
        <w:t xml:space="preserve">    3.31</w:t>
      </w:r>
      <w:r>
        <w:rPr>
          <w:rFonts w:hint="eastAsia" w:ascii="宋体" w:hAnsi="宋体" w:eastAsia="宋体" w:cs="宋体"/>
          <w:color w:val="auto"/>
          <w:szCs w:val="24"/>
          <w:highlight w:val="none"/>
        </w:rPr>
        <w:t>按照《广东省住房和城乡建设厅关于建设工程项目招标中标后监督检查的办法》（粤建市〔2009〕8号）和《韶关市住房和城乡建设局关于加强房屋建筑和市政基础设施工程项目招标中标后监督检查的通知》（韶市建字〔2014〕145号）等相关法律法规。中标人中标之后，工程施工项目负责人和项目管理班子其他成员必须是该工程中标时所承诺的项目管理班子成员。</w:t>
      </w:r>
    </w:p>
    <w:p w14:paraId="29630E46">
      <w:pPr>
        <w:pStyle w:val="56"/>
        <w:keepNext w:val="0"/>
        <w:keepLines w:val="0"/>
        <w:pageBreakBefore w:val="0"/>
        <w:widowControl/>
        <w:kinsoku/>
        <w:overflowPunct/>
        <w:topLinePunct w:val="0"/>
        <w:autoSpaceDE/>
        <w:autoSpaceDN/>
        <w:bidi w:val="0"/>
        <w:spacing w:line="440" w:lineRule="exact"/>
        <w:jc w:val="left"/>
        <w:textAlignment w:val="auto"/>
        <w:rPr>
          <w:rFonts w:hint="eastAsia" w:ascii="宋体" w:hAnsi="宋体" w:eastAsia="宋体" w:cs="宋体"/>
          <w:color w:val="auto"/>
          <w:szCs w:val="24"/>
          <w:highlight w:val="none"/>
        </w:rPr>
      </w:pPr>
      <w:r>
        <w:rPr>
          <w:rFonts w:hint="eastAsia" w:ascii="宋体" w:hAnsi="宋体" w:eastAsia="宋体" w:cs="宋体"/>
          <w:color w:val="auto"/>
          <w:szCs w:val="24"/>
          <w:highlight w:val="none"/>
        </w:rPr>
        <w:t xml:space="preserve">    项目管理班子成员不得擅自变更，项目管理班子成员因有粤建市〔2009〕8号第九条所述情形之一确属不能履行职责需要变更的，中标单位应向建设行政主管部门填报《建设工程项目管理班子变更情况报告表》并附上有关证明文件，经建设行政主管部门审核同意方可变更。更换后的项目经理与中标单位的投标文件所确定的项目负责人或总监理工程师的主要条件一致。</w:t>
      </w:r>
    </w:p>
    <w:p w14:paraId="7A3E91C8">
      <w:pPr>
        <w:pStyle w:val="56"/>
        <w:keepNext w:val="0"/>
        <w:keepLines w:val="0"/>
        <w:pageBreakBefore w:val="0"/>
        <w:widowControl/>
        <w:kinsoku/>
        <w:overflowPunct/>
        <w:topLinePunct w:val="0"/>
        <w:autoSpaceDE/>
        <w:autoSpaceDN/>
        <w:bidi w:val="0"/>
        <w:spacing w:line="440" w:lineRule="exact"/>
        <w:jc w:val="left"/>
        <w:textAlignment w:val="auto"/>
        <w:rPr>
          <w:rFonts w:hint="eastAsia" w:ascii="宋体" w:hAnsi="宋体" w:eastAsia="宋体" w:cs="宋体"/>
          <w:color w:val="auto"/>
          <w:szCs w:val="24"/>
          <w:highlight w:val="none"/>
        </w:rPr>
      </w:pPr>
      <w:r>
        <w:rPr>
          <w:rFonts w:hint="eastAsia" w:ascii="宋体" w:hAnsi="宋体" w:eastAsia="宋体" w:cs="宋体"/>
          <w:color w:val="auto"/>
          <w:szCs w:val="24"/>
          <w:highlight w:val="none"/>
        </w:rPr>
        <w:t xml:space="preserve">    若中标单位有下列行为之一的，除依照有关</w:t>
      </w:r>
      <w:r>
        <w:rPr>
          <w:rFonts w:hint="eastAsia" w:ascii="宋体" w:hAnsi="宋体" w:cs="宋体"/>
          <w:color w:val="auto"/>
          <w:szCs w:val="24"/>
          <w:highlight w:val="none"/>
          <w:lang w:eastAsia="zh-CN"/>
        </w:rPr>
        <w:t>法律法规</w:t>
      </w:r>
      <w:r>
        <w:rPr>
          <w:rFonts w:hint="eastAsia" w:ascii="宋体" w:hAnsi="宋体" w:eastAsia="宋体" w:cs="宋体"/>
          <w:color w:val="auto"/>
          <w:szCs w:val="24"/>
          <w:highlight w:val="none"/>
        </w:rPr>
        <w:t>进行处罚外，将通过市建设与房地产信息网站予以及时曝光，并作为今后该单位参与投标的评分扣分依据直至取消投标资格。</w:t>
      </w:r>
    </w:p>
    <w:p w14:paraId="59F0C64E">
      <w:pPr>
        <w:pStyle w:val="56"/>
        <w:keepNext w:val="0"/>
        <w:keepLines w:val="0"/>
        <w:pageBreakBefore w:val="0"/>
        <w:widowControl/>
        <w:kinsoku/>
        <w:overflowPunct/>
        <w:topLinePunct w:val="0"/>
        <w:autoSpaceDE/>
        <w:autoSpaceDN/>
        <w:bidi w:val="0"/>
        <w:spacing w:line="440" w:lineRule="exact"/>
        <w:jc w:val="left"/>
        <w:textAlignment w:val="auto"/>
        <w:rPr>
          <w:rFonts w:hint="eastAsia" w:ascii="宋体" w:hAnsi="宋体" w:eastAsia="宋体" w:cs="宋体"/>
          <w:color w:val="auto"/>
          <w:szCs w:val="24"/>
          <w:highlight w:val="none"/>
        </w:rPr>
      </w:pPr>
      <w:r>
        <w:rPr>
          <w:rFonts w:hint="eastAsia" w:ascii="宋体" w:hAnsi="宋体" w:eastAsia="宋体" w:cs="宋体"/>
          <w:color w:val="auto"/>
          <w:szCs w:val="24"/>
          <w:highlight w:val="none"/>
        </w:rPr>
        <w:t xml:space="preserve">    1.建设单位违反规定指定分包单位的；</w:t>
      </w:r>
    </w:p>
    <w:p w14:paraId="020086FD">
      <w:pPr>
        <w:pStyle w:val="56"/>
        <w:keepNext w:val="0"/>
        <w:keepLines w:val="0"/>
        <w:pageBreakBefore w:val="0"/>
        <w:widowControl/>
        <w:kinsoku/>
        <w:overflowPunct/>
        <w:topLinePunct w:val="0"/>
        <w:autoSpaceDE/>
        <w:autoSpaceDN/>
        <w:bidi w:val="0"/>
        <w:spacing w:line="440" w:lineRule="exact"/>
        <w:jc w:val="left"/>
        <w:textAlignment w:val="auto"/>
        <w:rPr>
          <w:rFonts w:hint="eastAsia" w:ascii="宋体" w:hAnsi="宋体" w:eastAsia="宋体" w:cs="宋体"/>
          <w:color w:val="auto"/>
          <w:szCs w:val="24"/>
          <w:highlight w:val="none"/>
        </w:rPr>
      </w:pPr>
      <w:r>
        <w:rPr>
          <w:rFonts w:hint="eastAsia" w:ascii="宋体" w:hAnsi="宋体" w:eastAsia="宋体" w:cs="宋体"/>
          <w:color w:val="auto"/>
          <w:szCs w:val="24"/>
          <w:highlight w:val="none"/>
        </w:rPr>
        <w:t xml:space="preserve">    2.施工单位转包、违法分包或违反投标承诺分包工程的；   </w:t>
      </w:r>
    </w:p>
    <w:p w14:paraId="768546BA">
      <w:pPr>
        <w:pStyle w:val="56"/>
        <w:keepNext w:val="0"/>
        <w:keepLines w:val="0"/>
        <w:pageBreakBefore w:val="0"/>
        <w:widowControl/>
        <w:kinsoku/>
        <w:overflowPunct/>
        <w:topLinePunct w:val="0"/>
        <w:autoSpaceDE/>
        <w:autoSpaceDN/>
        <w:bidi w:val="0"/>
        <w:spacing w:line="440" w:lineRule="exact"/>
        <w:jc w:val="left"/>
        <w:textAlignment w:val="auto"/>
        <w:rPr>
          <w:rFonts w:hint="eastAsia" w:ascii="宋体" w:hAnsi="宋体" w:eastAsia="宋体" w:cs="宋体"/>
          <w:color w:val="auto"/>
          <w:szCs w:val="24"/>
          <w:highlight w:val="none"/>
        </w:rPr>
      </w:pPr>
      <w:r>
        <w:rPr>
          <w:rFonts w:hint="eastAsia" w:ascii="宋体" w:hAnsi="宋体" w:eastAsia="宋体" w:cs="宋体"/>
          <w:color w:val="auto"/>
          <w:szCs w:val="24"/>
          <w:highlight w:val="none"/>
        </w:rPr>
        <w:t xml:space="preserve">    3.非原参加投标中标的项目经理负责组织施工或在实施过</w:t>
      </w:r>
      <w:r>
        <w:rPr>
          <w:rFonts w:hint="eastAsia" w:ascii="宋体" w:hAnsi="宋体" w:cs="宋体"/>
          <w:color w:val="auto"/>
          <w:szCs w:val="24"/>
          <w:highlight w:val="none"/>
          <w:lang w:eastAsia="zh-CN"/>
        </w:rPr>
        <w:t>程中</w:t>
      </w:r>
      <w:r>
        <w:rPr>
          <w:rFonts w:hint="eastAsia" w:ascii="宋体" w:hAnsi="宋体" w:eastAsia="宋体" w:cs="宋体"/>
          <w:color w:val="auto"/>
          <w:szCs w:val="24"/>
          <w:highlight w:val="none"/>
        </w:rPr>
        <w:t>违反粤建市〔2009〕8号第九条规定更换项目经理的、项目的其他主要管理人员与中标文件确定的人员不相符的；</w:t>
      </w:r>
    </w:p>
    <w:p w14:paraId="067872E3">
      <w:pPr>
        <w:pStyle w:val="56"/>
        <w:keepNext w:val="0"/>
        <w:keepLines w:val="0"/>
        <w:pageBreakBefore w:val="0"/>
        <w:widowControl/>
        <w:kinsoku/>
        <w:overflowPunct/>
        <w:topLinePunct w:val="0"/>
        <w:autoSpaceDE/>
        <w:autoSpaceDN/>
        <w:bidi w:val="0"/>
        <w:spacing w:line="440" w:lineRule="exact"/>
        <w:jc w:val="left"/>
        <w:textAlignment w:val="auto"/>
        <w:rPr>
          <w:rFonts w:hint="eastAsia" w:ascii="宋体" w:hAnsi="宋体" w:eastAsia="宋体" w:cs="宋体"/>
          <w:color w:val="auto"/>
          <w:szCs w:val="24"/>
          <w:highlight w:val="none"/>
        </w:rPr>
      </w:pPr>
      <w:r>
        <w:rPr>
          <w:rFonts w:hint="eastAsia" w:ascii="宋体" w:hAnsi="宋体" w:eastAsia="宋体" w:cs="宋体"/>
          <w:color w:val="auto"/>
          <w:szCs w:val="24"/>
          <w:highlight w:val="none"/>
        </w:rPr>
        <w:t xml:space="preserve">    4.投标文件确定的大型机械设备没有进入施工现场的；</w:t>
      </w:r>
    </w:p>
    <w:p w14:paraId="7EFC4D03">
      <w:pPr>
        <w:pStyle w:val="56"/>
        <w:keepNext w:val="0"/>
        <w:keepLines w:val="0"/>
        <w:pageBreakBefore w:val="0"/>
        <w:widowControl/>
        <w:kinsoku/>
        <w:overflowPunct/>
        <w:topLinePunct w:val="0"/>
        <w:autoSpaceDE/>
        <w:autoSpaceDN/>
        <w:bidi w:val="0"/>
        <w:spacing w:line="440" w:lineRule="exact"/>
        <w:jc w:val="left"/>
        <w:textAlignment w:val="auto"/>
        <w:rPr>
          <w:rFonts w:hint="eastAsia" w:ascii="宋体" w:hAnsi="宋体" w:eastAsia="宋体" w:cs="宋体"/>
          <w:color w:val="auto"/>
          <w:szCs w:val="24"/>
          <w:highlight w:val="none"/>
        </w:rPr>
      </w:pPr>
      <w:r>
        <w:rPr>
          <w:rFonts w:hint="eastAsia" w:ascii="宋体" w:hAnsi="宋体" w:eastAsia="宋体" w:cs="宋体"/>
          <w:color w:val="auto"/>
          <w:szCs w:val="24"/>
          <w:highlight w:val="none"/>
        </w:rPr>
        <w:t xml:space="preserve">    5.建设、监理、施工等单位串通，签认虚假工程量或工程造价的；</w:t>
      </w:r>
    </w:p>
    <w:p w14:paraId="5CCE316E">
      <w:pPr>
        <w:pStyle w:val="56"/>
        <w:keepNext w:val="0"/>
        <w:keepLines w:val="0"/>
        <w:pageBreakBefore w:val="0"/>
        <w:widowControl/>
        <w:kinsoku/>
        <w:overflowPunct/>
        <w:topLinePunct w:val="0"/>
        <w:autoSpaceDE/>
        <w:autoSpaceDN/>
        <w:bidi w:val="0"/>
        <w:spacing w:line="440" w:lineRule="exact"/>
        <w:jc w:val="left"/>
        <w:textAlignment w:val="auto"/>
        <w:rPr>
          <w:rFonts w:hint="eastAsia" w:ascii="宋体" w:hAnsi="宋体" w:eastAsia="宋体" w:cs="宋体"/>
          <w:color w:val="auto"/>
          <w:szCs w:val="24"/>
          <w:highlight w:val="none"/>
        </w:rPr>
      </w:pPr>
      <w:r>
        <w:rPr>
          <w:rFonts w:hint="eastAsia" w:ascii="宋体" w:hAnsi="宋体" w:eastAsia="宋体" w:cs="宋体"/>
          <w:color w:val="auto"/>
          <w:szCs w:val="24"/>
          <w:highlight w:val="none"/>
        </w:rPr>
        <w:t xml:space="preserve">    6.施工现场管理不到位的；</w:t>
      </w:r>
    </w:p>
    <w:p w14:paraId="0B46FCF9">
      <w:pPr>
        <w:pStyle w:val="56"/>
        <w:keepNext w:val="0"/>
        <w:keepLines w:val="0"/>
        <w:pageBreakBefore w:val="0"/>
        <w:widowControl/>
        <w:kinsoku/>
        <w:overflowPunct/>
        <w:topLinePunct w:val="0"/>
        <w:autoSpaceDE/>
        <w:autoSpaceDN/>
        <w:bidi w:val="0"/>
        <w:spacing w:line="440" w:lineRule="exact"/>
        <w:jc w:val="left"/>
        <w:textAlignment w:val="auto"/>
        <w:rPr>
          <w:rFonts w:hint="eastAsia" w:ascii="宋体" w:hAnsi="宋体" w:eastAsia="宋体" w:cs="宋体"/>
          <w:color w:val="auto"/>
          <w:szCs w:val="24"/>
          <w:highlight w:val="none"/>
        </w:rPr>
      </w:pPr>
      <w:r>
        <w:rPr>
          <w:rFonts w:hint="eastAsia" w:ascii="宋体" w:hAnsi="宋体" w:eastAsia="宋体" w:cs="宋体"/>
          <w:color w:val="auto"/>
          <w:szCs w:val="24"/>
          <w:highlight w:val="none"/>
        </w:rPr>
        <w:t xml:space="preserve">    7.非本人资格证书登记所在的单位从事工程项目施工管理的；</w:t>
      </w:r>
    </w:p>
    <w:p w14:paraId="4B00B203">
      <w:pPr>
        <w:pStyle w:val="56"/>
        <w:keepNext w:val="0"/>
        <w:keepLines w:val="0"/>
        <w:pageBreakBefore w:val="0"/>
        <w:widowControl/>
        <w:kinsoku/>
        <w:overflowPunct/>
        <w:topLinePunct w:val="0"/>
        <w:autoSpaceDE/>
        <w:autoSpaceDN/>
        <w:bidi w:val="0"/>
        <w:spacing w:line="440" w:lineRule="exact"/>
        <w:jc w:val="left"/>
        <w:textAlignment w:val="auto"/>
        <w:rPr>
          <w:rFonts w:hint="eastAsia" w:ascii="宋体" w:hAnsi="宋体" w:eastAsia="宋体" w:cs="宋体"/>
          <w:color w:val="auto"/>
          <w:szCs w:val="24"/>
          <w:highlight w:val="none"/>
        </w:rPr>
      </w:pPr>
      <w:r>
        <w:rPr>
          <w:rFonts w:hint="eastAsia" w:ascii="宋体" w:hAnsi="宋体" w:eastAsia="宋体" w:cs="宋体"/>
          <w:color w:val="auto"/>
          <w:szCs w:val="24"/>
          <w:highlight w:val="none"/>
        </w:rPr>
        <w:t xml:space="preserve">    8.项目经理同时承担超过一项工程项目的；</w:t>
      </w:r>
    </w:p>
    <w:p w14:paraId="77D9442F">
      <w:pPr>
        <w:pStyle w:val="56"/>
        <w:keepNext w:val="0"/>
        <w:keepLines w:val="0"/>
        <w:pageBreakBefore w:val="0"/>
        <w:widowControl/>
        <w:kinsoku/>
        <w:overflowPunct/>
        <w:topLinePunct w:val="0"/>
        <w:autoSpaceDE/>
        <w:autoSpaceDN/>
        <w:bidi w:val="0"/>
        <w:spacing w:line="440" w:lineRule="exact"/>
        <w:ind w:firstLine="480"/>
        <w:jc w:val="left"/>
        <w:textAlignment w:val="auto"/>
        <w:rPr>
          <w:rFonts w:hint="eastAsia" w:ascii="宋体" w:hAnsi="宋体" w:eastAsia="宋体" w:cs="宋体"/>
          <w:color w:val="auto"/>
          <w:szCs w:val="24"/>
          <w:highlight w:val="none"/>
        </w:rPr>
      </w:pPr>
      <w:r>
        <w:rPr>
          <w:rFonts w:hint="eastAsia" w:ascii="宋体" w:hAnsi="宋体" w:eastAsia="宋体" w:cs="宋体"/>
          <w:color w:val="auto"/>
          <w:szCs w:val="24"/>
          <w:highlight w:val="none"/>
        </w:rPr>
        <w:t>9.违反有关</w:t>
      </w:r>
      <w:r>
        <w:rPr>
          <w:rFonts w:hint="eastAsia" w:ascii="宋体" w:hAnsi="宋体" w:cs="宋体"/>
          <w:color w:val="auto"/>
          <w:szCs w:val="24"/>
          <w:highlight w:val="none"/>
          <w:lang w:eastAsia="zh-CN"/>
        </w:rPr>
        <w:t>法律法规</w:t>
      </w:r>
      <w:r>
        <w:rPr>
          <w:rFonts w:hint="eastAsia" w:ascii="宋体" w:hAnsi="宋体" w:eastAsia="宋体" w:cs="宋体"/>
          <w:color w:val="auto"/>
          <w:szCs w:val="24"/>
          <w:highlight w:val="none"/>
        </w:rPr>
        <w:t>、规章规定的其它行为。</w:t>
      </w:r>
    </w:p>
    <w:p w14:paraId="796F7B60">
      <w:pPr>
        <w:pStyle w:val="56"/>
        <w:keepNext w:val="0"/>
        <w:keepLines w:val="0"/>
        <w:pageBreakBefore w:val="0"/>
        <w:widowControl/>
        <w:kinsoku/>
        <w:overflowPunct/>
        <w:topLinePunct w:val="0"/>
        <w:autoSpaceDE/>
        <w:autoSpaceDN/>
        <w:bidi w:val="0"/>
        <w:spacing w:line="440" w:lineRule="exact"/>
        <w:ind w:firstLine="480"/>
        <w:jc w:val="left"/>
        <w:textAlignment w:val="auto"/>
        <w:rPr>
          <w:rFonts w:hint="eastAsia" w:ascii="宋体" w:hAnsi="宋体" w:eastAsia="宋体" w:cs="宋体"/>
          <w:b/>
          <w:color w:val="auto"/>
          <w:szCs w:val="24"/>
          <w:highlight w:val="none"/>
        </w:rPr>
      </w:pPr>
      <w:r>
        <w:rPr>
          <w:rFonts w:hint="eastAsia" w:ascii="宋体" w:hAnsi="宋体" w:eastAsia="宋体" w:cs="宋体"/>
          <w:b/>
          <w:bCs/>
          <w:color w:val="auto"/>
          <w:szCs w:val="24"/>
          <w:highlight w:val="none"/>
        </w:rPr>
        <w:t>3.3</w:t>
      </w:r>
      <w:r>
        <w:rPr>
          <w:rFonts w:hint="eastAsia" w:ascii="宋体" w:hAnsi="宋体" w:cs="宋体"/>
          <w:b/>
          <w:bCs/>
          <w:color w:val="auto"/>
          <w:szCs w:val="24"/>
          <w:highlight w:val="none"/>
          <w:lang w:val="en-US" w:eastAsia="zh-CN"/>
        </w:rPr>
        <w:t>2</w:t>
      </w:r>
      <w:r>
        <w:rPr>
          <w:rFonts w:hint="eastAsia" w:ascii="宋体" w:hAnsi="宋体" w:eastAsia="宋体" w:cs="宋体"/>
          <w:bCs/>
          <w:snapToGrid w:val="0"/>
          <w:color w:val="auto"/>
          <w:kern w:val="0"/>
          <w:sz w:val="24"/>
          <w:szCs w:val="24"/>
          <w:highlight w:val="none"/>
          <w:lang w:val="en-US" w:eastAsia="zh-CN"/>
        </w:rPr>
        <w:t>依据人力资源社会保障部等十部门印发的《工程建设领域农民工工资专用账户管理暂行办法》（人社部发〔2021〕53号）文件规定，承包人中标后，须到银行设立工人工资支付专用账户，用于支付工人工资。发包人支付工程款时，将按工程款（不含工人工资）和工人工资两部分分开支付，工人工资支付至专用账户。承包人应建立劳动用工管理台账，并按月将工人工资支付明细表等资料报发包人备案。备案内容包括但不限于以下内容（以相关部门的要求为准）：（1）工资发放表、付款凭证（有总包单位项目负责人签名或盖章确认）；（2）施工许可证（或开工报告）、工程项目总承包、专业分包、劳务分包合同；（3）建设单位支付工程款凭证；（4）花名册及身份证复印件；（5）劳动合同：（6）委托书（写明委托代发工资情况）；（7）缴纳保证金的凭证；（8）总包企业或承包企业设立工资专用账户的凭证；（9）维权信息告示牌情况</w:t>
      </w:r>
      <w:r>
        <w:rPr>
          <w:rFonts w:hint="eastAsia" w:ascii="宋体" w:hAnsi="宋体" w:eastAsia="宋体" w:cs="宋体"/>
          <w:b/>
          <w:bCs/>
          <w:color w:val="auto"/>
          <w:szCs w:val="24"/>
          <w:highlight w:val="none"/>
        </w:rPr>
        <w:t>。</w:t>
      </w:r>
      <w:bookmarkStart w:id="375" w:name="_Hlt69698776"/>
    </w:p>
    <w:p w14:paraId="6B382D6F">
      <w:pPr>
        <w:pStyle w:val="37"/>
        <w:keepNext w:val="0"/>
        <w:keepLines w:val="0"/>
        <w:pageBreakBefore w:val="0"/>
        <w:kinsoku/>
        <w:overflowPunct/>
        <w:topLinePunct w:val="0"/>
        <w:autoSpaceDE/>
        <w:autoSpaceDN/>
        <w:bidi w:val="0"/>
        <w:spacing w:line="440" w:lineRule="exact"/>
        <w:ind w:firstLine="480" w:firstLineChars="200"/>
        <w:textAlignment w:val="auto"/>
        <w:rPr>
          <w:rFonts w:hint="eastAsia" w:ascii="宋体" w:hAnsi="宋体" w:eastAsia="宋体" w:cs="宋体"/>
          <w:bCs/>
          <w:color w:val="auto"/>
          <w:szCs w:val="24"/>
          <w:highlight w:val="none"/>
        </w:rPr>
      </w:pPr>
      <w:r>
        <w:rPr>
          <w:rFonts w:hint="eastAsia" w:ascii="宋体" w:hAnsi="宋体" w:eastAsia="宋体" w:cs="宋体"/>
          <w:bCs/>
          <w:color w:val="auto"/>
          <w:szCs w:val="24"/>
          <w:highlight w:val="none"/>
        </w:rPr>
        <w:t>按韶关市人力资源和社会保障局　韶关市住房和城乡建设管理局 韶关市交通运输局 韶关市水务局 韶关市金融工作局 国家金融监督管理总局韶关监管分局关于印发《韶关市工程建设领域农民工工资保证金管理实施细则》的通知</w:t>
      </w:r>
      <w:r>
        <w:rPr>
          <w:rFonts w:hint="eastAsia" w:hAnsi="宋体" w:cs="宋体"/>
          <w:bCs/>
          <w:color w:val="auto"/>
          <w:szCs w:val="24"/>
          <w:highlight w:val="none"/>
          <w:lang w:eastAsia="zh-CN"/>
        </w:rPr>
        <w:t>（</w:t>
      </w:r>
      <w:r>
        <w:rPr>
          <w:rFonts w:hint="eastAsia" w:ascii="宋体" w:hAnsi="宋体" w:eastAsia="宋体" w:cs="宋体"/>
          <w:bCs/>
          <w:color w:val="auto"/>
          <w:szCs w:val="24"/>
          <w:highlight w:val="none"/>
        </w:rPr>
        <w:t>韶人社规〔2023〕2 号</w:t>
      </w:r>
      <w:r>
        <w:rPr>
          <w:rFonts w:hint="eastAsia" w:hAnsi="宋体" w:cs="宋体"/>
          <w:bCs/>
          <w:color w:val="auto"/>
          <w:szCs w:val="24"/>
          <w:highlight w:val="none"/>
          <w:lang w:eastAsia="zh-CN"/>
        </w:rPr>
        <w:t>）</w:t>
      </w:r>
      <w:r>
        <w:rPr>
          <w:rFonts w:hint="eastAsia" w:ascii="宋体" w:hAnsi="宋体" w:eastAsia="宋体" w:cs="宋体"/>
          <w:bCs/>
          <w:color w:val="auto"/>
          <w:szCs w:val="24"/>
          <w:highlight w:val="none"/>
        </w:rPr>
        <w:t>及《韶关市工程建设领域农民工工资保证金管理实施细则》（韶法审〔2023〕19 号）规定执行。中标人在签订工程施工承包合同后一个月内必须办妥该事项，并将办妥回执交发包人。</w:t>
      </w:r>
    </w:p>
    <w:p w14:paraId="34A2E6EF">
      <w:pPr>
        <w:pStyle w:val="37"/>
        <w:keepNext w:val="0"/>
        <w:keepLines w:val="0"/>
        <w:pageBreakBefore w:val="0"/>
        <w:kinsoku/>
        <w:overflowPunct/>
        <w:topLinePunct w:val="0"/>
        <w:autoSpaceDE/>
        <w:autoSpaceDN/>
        <w:bidi w:val="0"/>
        <w:spacing w:line="440" w:lineRule="exact"/>
        <w:ind w:firstLine="480" w:firstLineChars="200"/>
        <w:textAlignment w:val="auto"/>
        <w:rPr>
          <w:rFonts w:hint="eastAsia" w:ascii="宋体" w:hAnsi="宋体" w:eastAsia="宋体" w:cs="宋体"/>
          <w:b/>
          <w:color w:val="auto"/>
          <w:szCs w:val="24"/>
          <w:highlight w:val="none"/>
        </w:rPr>
      </w:pPr>
      <w:r>
        <w:rPr>
          <w:rFonts w:hint="eastAsia" w:ascii="宋体" w:hAnsi="宋体" w:eastAsia="宋体" w:cs="宋体"/>
          <w:bCs/>
          <w:color w:val="auto"/>
          <w:szCs w:val="24"/>
          <w:highlight w:val="none"/>
        </w:rPr>
        <w:t>逾期未交纳的，招标人将扣留与本项目工人工资保证金等额的工程款（工人工资除外），直至中标人按《韶关市建设领域施工企业工人工资支付保证金管理办法</w:t>
      </w:r>
      <w:r>
        <w:rPr>
          <w:rFonts w:hint="eastAsia" w:hAnsi="宋体" w:cs="宋体"/>
          <w:bCs/>
          <w:color w:val="auto"/>
          <w:szCs w:val="24"/>
          <w:highlight w:val="none"/>
          <w:lang w:eastAsia="zh-CN"/>
        </w:rPr>
        <w:t>》等</w:t>
      </w:r>
      <w:r>
        <w:rPr>
          <w:rFonts w:hint="eastAsia" w:ascii="宋体" w:hAnsi="宋体" w:eastAsia="宋体" w:cs="宋体"/>
          <w:bCs/>
          <w:color w:val="auto"/>
          <w:szCs w:val="24"/>
          <w:highlight w:val="none"/>
        </w:rPr>
        <w:t>相关文件要求缴纳工人工资保证金。在中标人未按要求缴纳工人工资保证金期间，招标人扣留的工程款将作为工人工资保证金的预备资金，招标人有权将该部分资金用于处理该项目工人工资拖欠等情况的问题。</w:t>
      </w:r>
    </w:p>
    <w:p w14:paraId="21FB3D00">
      <w:pPr>
        <w:pStyle w:val="37"/>
        <w:keepNext w:val="0"/>
        <w:keepLines w:val="0"/>
        <w:pageBreakBefore w:val="0"/>
        <w:kinsoku/>
        <w:overflowPunct/>
        <w:topLinePunct w:val="0"/>
        <w:autoSpaceDE/>
        <w:autoSpaceDN/>
        <w:bidi w:val="0"/>
        <w:spacing w:line="440" w:lineRule="exact"/>
        <w:ind w:firstLine="482" w:firstLineChars="200"/>
        <w:textAlignment w:val="auto"/>
        <w:rPr>
          <w:rFonts w:hint="eastAsia" w:ascii="宋体" w:hAnsi="宋体" w:eastAsia="宋体" w:cs="宋体"/>
          <w:color w:val="auto"/>
          <w:szCs w:val="24"/>
          <w:highlight w:val="none"/>
        </w:rPr>
      </w:pPr>
      <w:r>
        <w:rPr>
          <w:rFonts w:hint="eastAsia" w:ascii="宋体" w:hAnsi="宋体" w:eastAsia="宋体" w:cs="宋体"/>
          <w:b/>
          <w:color w:val="auto"/>
          <w:szCs w:val="24"/>
          <w:highlight w:val="none"/>
        </w:rPr>
        <w:t>3.3</w:t>
      </w:r>
      <w:r>
        <w:rPr>
          <w:rFonts w:hint="eastAsia" w:hAnsi="宋体" w:cs="宋体"/>
          <w:b/>
          <w:color w:val="auto"/>
          <w:szCs w:val="24"/>
          <w:highlight w:val="none"/>
          <w:lang w:val="en-US" w:eastAsia="zh-CN"/>
        </w:rPr>
        <w:t>3</w:t>
      </w:r>
      <w:r>
        <w:rPr>
          <w:rFonts w:hint="eastAsia" w:ascii="宋体" w:hAnsi="宋体" w:eastAsia="宋体" w:cs="宋体"/>
          <w:color w:val="auto"/>
          <w:szCs w:val="24"/>
          <w:highlight w:val="none"/>
        </w:rPr>
        <w:t>中标人在施工图设计前，要充分进行市场调查，主要材料、设备在满足设计规范及建设标准的情况下，尽量采用造价管理机构发布的信息价中有相应型号、规格的标准材料，若必须采用非标准材料的</w:t>
      </w:r>
      <w:r>
        <w:rPr>
          <w:rFonts w:hint="eastAsia" w:ascii="宋体" w:hAnsi="宋体" w:eastAsia="宋体" w:cs="宋体"/>
          <w:color w:val="auto"/>
          <w:sz w:val="24"/>
          <w:szCs w:val="24"/>
          <w:highlight w:val="none"/>
        </w:rPr>
        <w:t>，</w:t>
      </w:r>
      <w:r>
        <w:rPr>
          <w:rFonts w:hint="eastAsia" w:ascii="宋体" w:hAnsi="宋体" w:eastAsia="宋体" w:cs="宋体"/>
          <w:color w:val="auto"/>
          <w:szCs w:val="24"/>
          <w:highlight w:val="none"/>
        </w:rPr>
        <w:t>必须经招标人同意，否则参照信息价中相近且低于其标准的材料信息价作为该项材料的结算价。</w:t>
      </w:r>
    </w:p>
    <w:p w14:paraId="46EFA395">
      <w:pPr>
        <w:pStyle w:val="37"/>
        <w:keepNext w:val="0"/>
        <w:keepLines w:val="0"/>
        <w:pageBreakBefore w:val="0"/>
        <w:kinsoku/>
        <w:overflowPunct/>
        <w:topLinePunct w:val="0"/>
        <w:autoSpaceDE/>
        <w:autoSpaceDN/>
        <w:bidi w:val="0"/>
        <w:spacing w:line="440" w:lineRule="exact"/>
        <w:ind w:firstLine="482" w:firstLineChars="200"/>
        <w:textAlignment w:val="auto"/>
        <w:rPr>
          <w:rFonts w:hint="eastAsia" w:ascii="宋体" w:hAnsi="宋体" w:eastAsia="宋体" w:cs="宋体"/>
          <w:color w:val="auto"/>
          <w:szCs w:val="24"/>
          <w:highlight w:val="none"/>
        </w:rPr>
      </w:pPr>
      <w:r>
        <w:rPr>
          <w:rFonts w:hint="eastAsia" w:ascii="宋体" w:hAnsi="宋体" w:eastAsia="宋体" w:cs="宋体"/>
          <w:b/>
          <w:bCs/>
          <w:color w:val="auto"/>
          <w:szCs w:val="24"/>
          <w:highlight w:val="none"/>
        </w:rPr>
        <w:t>3.3</w:t>
      </w:r>
      <w:r>
        <w:rPr>
          <w:rFonts w:hint="eastAsia" w:hAnsi="宋体" w:cs="宋体"/>
          <w:b/>
          <w:bCs/>
          <w:color w:val="auto"/>
          <w:szCs w:val="24"/>
          <w:highlight w:val="none"/>
          <w:lang w:val="en-US" w:eastAsia="zh-CN"/>
        </w:rPr>
        <w:t>4</w:t>
      </w:r>
      <w:r>
        <w:rPr>
          <w:rFonts w:hint="eastAsia" w:ascii="宋体" w:hAnsi="宋体" w:eastAsia="宋体" w:cs="宋体"/>
          <w:color w:val="auto"/>
          <w:szCs w:val="24"/>
          <w:highlight w:val="none"/>
        </w:rPr>
        <w:t>中标人应按招标人提供的场地出平图先行进行场地平整。</w:t>
      </w:r>
    </w:p>
    <w:p w14:paraId="6EB346EB">
      <w:pPr>
        <w:pStyle w:val="37"/>
        <w:keepNext w:val="0"/>
        <w:keepLines w:val="0"/>
        <w:pageBreakBefore w:val="0"/>
        <w:kinsoku/>
        <w:overflowPunct/>
        <w:topLinePunct w:val="0"/>
        <w:autoSpaceDE/>
        <w:autoSpaceDN/>
        <w:bidi w:val="0"/>
        <w:spacing w:line="440" w:lineRule="exact"/>
        <w:ind w:firstLine="482" w:firstLineChars="200"/>
        <w:textAlignment w:val="auto"/>
        <w:rPr>
          <w:rFonts w:hint="eastAsia" w:ascii="宋体" w:hAnsi="宋体" w:eastAsia="宋体" w:cs="宋体"/>
          <w:color w:val="auto"/>
          <w:szCs w:val="24"/>
          <w:highlight w:val="none"/>
        </w:rPr>
      </w:pPr>
      <w:r>
        <w:rPr>
          <w:rFonts w:hint="eastAsia" w:ascii="宋体" w:hAnsi="宋体" w:eastAsia="宋体" w:cs="宋体"/>
          <w:b/>
          <w:bCs/>
          <w:color w:val="auto"/>
          <w:szCs w:val="24"/>
          <w:highlight w:val="none"/>
        </w:rPr>
        <w:t>3.3</w:t>
      </w:r>
      <w:r>
        <w:rPr>
          <w:rFonts w:hint="eastAsia" w:hAnsi="宋体" w:cs="宋体"/>
          <w:b/>
          <w:bCs/>
          <w:color w:val="auto"/>
          <w:szCs w:val="24"/>
          <w:highlight w:val="none"/>
          <w:lang w:val="en-US" w:eastAsia="zh-CN"/>
        </w:rPr>
        <w:t>5</w:t>
      </w:r>
      <w:r>
        <w:rPr>
          <w:rFonts w:hint="eastAsia" w:ascii="宋体" w:hAnsi="宋体" w:eastAsia="宋体" w:cs="宋体"/>
          <w:color w:val="auto"/>
          <w:szCs w:val="24"/>
          <w:highlight w:val="none"/>
        </w:rPr>
        <w:t>中标人必须根据设计施工图及现场编制施工组织设计及专项施工方案报有关部门审批。</w:t>
      </w:r>
    </w:p>
    <w:p w14:paraId="1E1ADC16">
      <w:pPr>
        <w:pStyle w:val="58"/>
        <w:keepNext w:val="0"/>
        <w:keepLines w:val="0"/>
        <w:pageBreakBefore w:val="0"/>
        <w:kinsoku/>
        <w:overflowPunct/>
        <w:topLinePunct w:val="0"/>
        <w:autoSpaceDE/>
        <w:autoSpaceDN/>
        <w:bidi w:val="0"/>
        <w:snapToGrid w:val="0"/>
        <w:spacing w:line="440" w:lineRule="exact"/>
        <w:ind w:firstLine="480" w:firstLineChars="200"/>
        <w:textAlignment w:val="auto"/>
        <w:rPr>
          <w:rFonts w:hint="eastAsia" w:ascii="宋体" w:hAnsi="宋体" w:eastAsia="宋体" w:cs="宋体"/>
          <w:b w:val="0"/>
          <w:bCs/>
          <w:color w:val="auto"/>
          <w:highlight w:val="none"/>
          <w:shd w:val="clear" w:color="auto" w:fill="FFFFFF"/>
        </w:rPr>
      </w:pPr>
      <w:r>
        <w:rPr>
          <w:rFonts w:hint="eastAsia" w:ascii="宋体" w:hAnsi="宋体" w:eastAsia="宋体" w:cs="宋体"/>
          <w:b w:val="0"/>
          <w:bCs/>
          <w:color w:val="auto"/>
          <w:highlight w:val="none"/>
          <w:shd w:val="clear" w:color="auto" w:fill="FFFFFF"/>
        </w:rPr>
        <w:t>3.3</w:t>
      </w:r>
      <w:r>
        <w:rPr>
          <w:rFonts w:hint="eastAsia" w:hAnsi="宋体" w:cs="宋体"/>
          <w:b w:val="0"/>
          <w:bCs/>
          <w:color w:val="auto"/>
          <w:highlight w:val="none"/>
          <w:shd w:val="clear" w:color="auto" w:fill="FFFFFF"/>
          <w:lang w:val="en-US" w:eastAsia="zh-CN"/>
        </w:rPr>
        <w:t>6</w:t>
      </w:r>
      <w:r>
        <w:rPr>
          <w:rFonts w:hint="eastAsia" w:ascii="宋体" w:hAnsi="宋体" w:eastAsia="宋体" w:cs="宋体"/>
          <w:b w:val="0"/>
          <w:bCs/>
          <w:color w:val="auto"/>
          <w:highlight w:val="none"/>
          <w:shd w:val="clear" w:color="auto" w:fill="FFFFFF"/>
        </w:rPr>
        <w:t>危险性较大的分部分项工程安全管理约定</w:t>
      </w:r>
    </w:p>
    <w:p w14:paraId="2E5C88B9">
      <w:pPr>
        <w:pStyle w:val="58"/>
        <w:keepNext w:val="0"/>
        <w:keepLines w:val="0"/>
        <w:pageBreakBefore w:val="0"/>
        <w:kinsoku/>
        <w:wordWrap w:val="0"/>
        <w:overflowPunct/>
        <w:topLinePunct w:val="0"/>
        <w:autoSpaceDE/>
        <w:autoSpaceDN/>
        <w:bidi w:val="0"/>
        <w:adjustRightInd w:val="0"/>
        <w:snapToGrid w:val="0"/>
        <w:spacing w:line="440" w:lineRule="exact"/>
        <w:ind w:firstLine="480" w:firstLineChars="200"/>
        <w:textAlignment w:val="auto"/>
        <w:rPr>
          <w:rFonts w:hint="eastAsia" w:ascii="宋体" w:hAnsi="宋体" w:eastAsia="宋体" w:cs="宋体"/>
          <w:b w:val="0"/>
          <w:bCs/>
          <w:color w:val="auto"/>
          <w:highlight w:val="none"/>
          <w:shd w:val="clear" w:color="auto" w:fill="FFFFFF"/>
        </w:rPr>
      </w:pPr>
      <w:r>
        <w:rPr>
          <w:rFonts w:hint="eastAsia" w:ascii="宋体" w:hAnsi="宋体" w:eastAsia="宋体" w:cs="宋体"/>
          <w:b w:val="0"/>
          <w:bCs/>
          <w:color w:val="auto"/>
          <w:highlight w:val="none"/>
          <w:shd w:val="clear" w:color="auto" w:fill="FFFFFF"/>
        </w:rPr>
        <w:t>中标人对危险性较大的工程必须按《危险性较大的分部分项工程安全管理规定》（中华人民共和国住房和城乡建设部令第37号）的规定编制专项施工方案。同时，中标人必须按照《危险性较大的分部分项工程安全管理规定》的规定和经审批的专项施工方案履行安全职责，严格执行国家、地方政府有关施工安全管理方面的</w:t>
      </w:r>
      <w:r>
        <w:rPr>
          <w:rFonts w:hint="eastAsia" w:hAnsi="宋体" w:cs="宋体"/>
          <w:b w:val="0"/>
          <w:bCs/>
          <w:color w:val="auto"/>
          <w:highlight w:val="none"/>
          <w:shd w:val="clear" w:color="auto" w:fill="FFFFFF"/>
          <w:lang w:eastAsia="zh-CN"/>
        </w:rPr>
        <w:t>法律法规</w:t>
      </w:r>
      <w:r>
        <w:rPr>
          <w:rFonts w:hint="eastAsia" w:ascii="宋体" w:hAnsi="宋体" w:eastAsia="宋体" w:cs="宋体"/>
          <w:b w:val="0"/>
          <w:bCs/>
          <w:color w:val="auto"/>
          <w:highlight w:val="none"/>
          <w:shd w:val="clear" w:color="auto" w:fill="FFFFFF"/>
        </w:rPr>
        <w:t>及规章制度，同时严格执行招标人</w:t>
      </w:r>
      <w:r>
        <w:rPr>
          <w:rFonts w:hint="eastAsia" w:hAnsi="宋体" w:cs="宋体"/>
          <w:b w:val="0"/>
          <w:bCs/>
          <w:color w:val="auto"/>
          <w:highlight w:val="none"/>
          <w:shd w:val="clear" w:color="auto" w:fill="FFFFFF"/>
          <w:lang w:eastAsia="zh-CN"/>
        </w:rPr>
        <w:t>制定</w:t>
      </w:r>
      <w:r>
        <w:rPr>
          <w:rFonts w:hint="eastAsia" w:ascii="宋体" w:hAnsi="宋体" w:eastAsia="宋体" w:cs="宋体"/>
          <w:b w:val="0"/>
          <w:bCs/>
          <w:color w:val="auto"/>
          <w:highlight w:val="none"/>
          <w:shd w:val="clear" w:color="auto" w:fill="FFFFFF"/>
        </w:rPr>
        <w:t>的本项目安全生产管理方面的规章制度、安全检查程序及施工安全管理要求，以及监理人有关安全工作的指令。</w:t>
      </w:r>
    </w:p>
    <w:p w14:paraId="6EACF44C">
      <w:pPr>
        <w:pStyle w:val="37"/>
        <w:keepNext w:val="0"/>
        <w:keepLines w:val="0"/>
        <w:pageBreakBefore w:val="0"/>
        <w:kinsoku/>
        <w:overflowPunct/>
        <w:topLinePunct w:val="0"/>
        <w:autoSpaceDE/>
        <w:autoSpaceDN/>
        <w:bidi w:val="0"/>
        <w:spacing w:line="440" w:lineRule="exact"/>
        <w:ind w:firstLine="480" w:firstLineChars="200"/>
        <w:textAlignment w:val="auto"/>
        <w:rPr>
          <w:rFonts w:hint="eastAsia" w:ascii="宋体" w:hAnsi="宋体" w:eastAsia="宋体" w:cs="宋体"/>
          <w:b w:val="0"/>
          <w:bCs/>
          <w:color w:val="auto"/>
          <w:szCs w:val="24"/>
          <w:highlight w:val="none"/>
          <w:shd w:val="clear" w:color="auto" w:fill="FFFFFF"/>
        </w:rPr>
      </w:pPr>
      <w:r>
        <w:rPr>
          <w:rFonts w:hint="eastAsia" w:ascii="宋体" w:hAnsi="宋体" w:eastAsia="宋体" w:cs="宋体"/>
          <w:b w:val="0"/>
          <w:bCs/>
          <w:color w:val="auto"/>
          <w:szCs w:val="24"/>
          <w:highlight w:val="none"/>
          <w:shd w:val="clear" w:color="auto" w:fill="FFFFFF"/>
        </w:rPr>
        <w:t>中标人应根据《危险性较大的分部分项工程安全管理规定》（</w:t>
      </w:r>
      <w:r>
        <w:rPr>
          <w:rFonts w:hint="eastAsia" w:hAnsi="宋体" w:cs="宋体"/>
          <w:b w:val="0"/>
          <w:bCs/>
          <w:color w:val="auto"/>
          <w:szCs w:val="24"/>
          <w:highlight w:val="none"/>
          <w:shd w:val="clear" w:color="auto" w:fill="FFFFFF"/>
          <w:lang w:eastAsia="zh-CN"/>
        </w:rPr>
        <w:t>住房和城乡建设部令第</w:t>
      </w:r>
      <w:r>
        <w:rPr>
          <w:rFonts w:hint="eastAsia" w:ascii="宋体" w:hAnsi="宋体" w:eastAsia="宋体" w:cs="宋体"/>
          <w:b w:val="0"/>
          <w:bCs/>
          <w:color w:val="auto"/>
          <w:szCs w:val="24"/>
          <w:highlight w:val="none"/>
          <w:shd w:val="clear" w:color="auto" w:fill="FFFFFF"/>
        </w:rPr>
        <w:t>37号）、《住</w:t>
      </w:r>
      <w:r>
        <w:rPr>
          <w:rFonts w:hint="eastAsia" w:hAnsi="宋体" w:cs="宋体"/>
          <w:b w:val="0"/>
          <w:bCs/>
          <w:color w:val="auto"/>
          <w:szCs w:val="24"/>
          <w:highlight w:val="none"/>
          <w:shd w:val="clear" w:color="auto" w:fill="FFFFFF"/>
          <w:lang w:eastAsia="zh-CN"/>
        </w:rPr>
        <w:t>房和</w:t>
      </w:r>
      <w:r>
        <w:rPr>
          <w:rFonts w:hint="eastAsia" w:ascii="宋体" w:hAnsi="宋体" w:eastAsia="宋体" w:cs="宋体"/>
          <w:b w:val="0"/>
          <w:bCs/>
          <w:color w:val="auto"/>
          <w:szCs w:val="24"/>
          <w:highlight w:val="none"/>
          <w:shd w:val="clear" w:color="auto" w:fill="FFFFFF"/>
        </w:rPr>
        <w:t>城乡建设部办公厅关于实施</w:t>
      </w:r>
      <w:r>
        <w:rPr>
          <w:rFonts w:hint="eastAsia" w:hAnsi="宋体" w:cs="宋体"/>
          <w:b w:val="0"/>
          <w:bCs/>
          <w:color w:val="auto"/>
          <w:szCs w:val="24"/>
          <w:highlight w:val="none"/>
          <w:shd w:val="clear" w:color="auto" w:fill="FFFFFF"/>
          <w:lang w:eastAsia="zh-CN"/>
        </w:rPr>
        <w:t>〈</w:t>
      </w:r>
      <w:r>
        <w:rPr>
          <w:rFonts w:hint="eastAsia" w:ascii="宋体" w:hAnsi="宋体" w:eastAsia="宋体" w:cs="宋体"/>
          <w:b w:val="0"/>
          <w:bCs/>
          <w:color w:val="auto"/>
          <w:szCs w:val="24"/>
          <w:highlight w:val="none"/>
          <w:shd w:val="clear" w:color="auto" w:fill="FFFFFF"/>
        </w:rPr>
        <w:t>危险性较大的分部分项工程安全管理规定</w:t>
      </w:r>
      <w:r>
        <w:rPr>
          <w:rFonts w:hint="eastAsia" w:hAnsi="宋体" w:cs="宋体"/>
          <w:b w:val="0"/>
          <w:bCs/>
          <w:color w:val="auto"/>
          <w:szCs w:val="24"/>
          <w:highlight w:val="none"/>
          <w:shd w:val="clear" w:color="auto" w:fill="FFFFFF"/>
          <w:lang w:eastAsia="zh-CN"/>
        </w:rPr>
        <w:t>〉</w:t>
      </w:r>
      <w:r>
        <w:rPr>
          <w:rFonts w:hint="eastAsia" w:ascii="宋体" w:hAnsi="宋体" w:eastAsia="宋体" w:cs="宋体"/>
          <w:b w:val="0"/>
          <w:bCs/>
          <w:color w:val="auto"/>
          <w:szCs w:val="24"/>
          <w:highlight w:val="none"/>
          <w:shd w:val="clear" w:color="auto" w:fill="FFFFFF"/>
        </w:rPr>
        <w:t>有关问题的通知》（建办质〔2018〕31号）、《广东省住房和城乡建设厅关于房屋市政工程危险性较大的分部分项工程安全管理的实施细则的通知》（粤建规范〔2019〕2号） 和《广东省安全生产委员会办公室 广东省住房和城乡建设厅关于</w:t>
      </w:r>
      <w:r>
        <w:rPr>
          <w:rFonts w:hint="eastAsia" w:hAnsi="宋体" w:cs="宋体"/>
          <w:b w:val="0"/>
          <w:bCs/>
          <w:color w:val="auto"/>
          <w:szCs w:val="24"/>
          <w:highlight w:val="none"/>
          <w:shd w:val="clear" w:color="auto" w:fill="FFFFFF"/>
          <w:lang w:eastAsia="zh-CN"/>
        </w:rPr>
        <w:t>〈</w:t>
      </w:r>
      <w:r>
        <w:rPr>
          <w:rFonts w:hint="eastAsia" w:ascii="宋体" w:hAnsi="宋体" w:eastAsia="宋体" w:cs="宋体"/>
          <w:b w:val="0"/>
          <w:bCs/>
          <w:color w:val="auto"/>
          <w:szCs w:val="24"/>
          <w:highlight w:val="none"/>
          <w:shd w:val="clear" w:color="auto" w:fill="FFFFFF"/>
        </w:rPr>
        <w:t>严格落实危险性较大的分部分项工程“六不施工”要求的通知</w:t>
      </w:r>
      <w:r>
        <w:rPr>
          <w:rFonts w:hint="eastAsia" w:hAnsi="宋体" w:cs="宋体"/>
          <w:b w:val="0"/>
          <w:bCs/>
          <w:color w:val="auto"/>
          <w:szCs w:val="24"/>
          <w:highlight w:val="none"/>
          <w:shd w:val="clear" w:color="auto" w:fill="FFFFFF"/>
          <w:lang w:eastAsia="zh-CN"/>
        </w:rPr>
        <w:t>》</w:t>
      </w:r>
      <w:r>
        <w:rPr>
          <w:rFonts w:hint="eastAsia" w:ascii="宋体" w:hAnsi="宋体" w:eastAsia="宋体" w:cs="宋体"/>
          <w:b w:val="0"/>
          <w:bCs/>
          <w:color w:val="auto"/>
          <w:szCs w:val="24"/>
          <w:highlight w:val="none"/>
          <w:shd w:val="clear" w:color="auto" w:fill="FFFFFF"/>
        </w:rPr>
        <w:t>（粤安办〔2020〕151 号）等有关危险性较大的分部分项工程的法规规定通知，履行建设工程安全生产管理职责。</w:t>
      </w:r>
    </w:p>
    <w:p w14:paraId="1CBCD626">
      <w:pPr>
        <w:pStyle w:val="37"/>
        <w:keepNext w:val="0"/>
        <w:keepLines w:val="0"/>
        <w:pageBreakBefore w:val="0"/>
        <w:kinsoku/>
        <w:overflowPunct/>
        <w:topLinePunct w:val="0"/>
        <w:autoSpaceDE/>
        <w:autoSpaceDN/>
        <w:bidi w:val="0"/>
        <w:spacing w:line="440" w:lineRule="exact"/>
        <w:ind w:firstLine="482" w:firstLineChars="200"/>
        <w:textAlignment w:val="auto"/>
        <w:rPr>
          <w:rFonts w:hint="eastAsia" w:ascii="宋体" w:hAnsi="宋体" w:eastAsia="宋体" w:cs="宋体"/>
          <w:b/>
          <w:bCs/>
          <w:color w:val="auto"/>
          <w:szCs w:val="24"/>
          <w:highlight w:val="none"/>
        </w:rPr>
      </w:pPr>
      <w:r>
        <w:rPr>
          <w:rFonts w:hint="eastAsia" w:ascii="宋体" w:hAnsi="宋体" w:eastAsia="宋体" w:cs="宋体"/>
          <w:b/>
          <w:color w:val="auto"/>
          <w:szCs w:val="24"/>
          <w:highlight w:val="none"/>
          <w:shd w:val="clear" w:color="auto" w:fill="FFFFFF"/>
        </w:rPr>
        <w:t>3.3</w:t>
      </w:r>
      <w:r>
        <w:rPr>
          <w:rFonts w:hint="eastAsia" w:hAnsi="宋体" w:cs="宋体"/>
          <w:b/>
          <w:color w:val="auto"/>
          <w:szCs w:val="24"/>
          <w:highlight w:val="none"/>
          <w:shd w:val="clear" w:color="auto" w:fill="FFFFFF"/>
          <w:lang w:val="en-US" w:eastAsia="zh-CN"/>
        </w:rPr>
        <w:t>7</w:t>
      </w:r>
      <w:r>
        <w:rPr>
          <w:rFonts w:hint="eastAsia" w:ascii="宋体" w:hAnsi="宋体" w:eastAsia="宋体" w:cs="宋体"/>
          <w:color w:val="auto"/>
          <w:szCs w:val="24"/>
          <w:highlight w:val="none"/>
        </w:rPr>
        <w:t>中标人项目经理和主要管理人员的考勤实行实名制打卡，中标人项目经理和主要管理人员的考勤若发现有弄虚作假行为，发现一次，中标人应承担一般违约责任1次。</w:t>
      </w:r>
    </w:p>
    <w:p w14:paraId="3EDFF5D1">
      <w:pPr>
        <w:pStyle w:val="37"/>
        <w:keepNext w:val="0"/>
        <w:keepLines w:val="0"/>
        <w:pageBreakBefore w:val="0"/>
        <w:kinsoku/>
        <w:overflowPunct/>
        <w:topLinePunct w:val="0"/>
        <w:autoSpaceDE/>
        <w:autoSpaceDN/>
        <w:bidi w:val="0"/>
        <w:spacing w:line="440" w:lineRule="exact"/>
        <w:ind w:firstLine="482" w:firstLineChars="200"/>
        <w:textAlignment w:val="auto"/>
        <w:rPr>
          <w:rFonts w:hint="eastAsia" w:ascii="宋体" w:hAnsi="宋体" w:eastAsia="宋体" w:cs="宋体"/>
          <w:b w:val="0"/>
          <w:bCs w:val="0"/>
          <w:color w:val="auto"/>
          <w:szCs w:val="24"/>
          <w:highlight w:val="none"/>
        </w:rPr>
      </w:pPr>
      <w:r>
        <w:rPr>
          <w:rFonts w:hint="eastAsia" w:ascii="宋体" w:hAnsi="宋体" w:eastAsia="宋体" w:cs="宋体"/>
          <w:b/>
          <w:color w:val="auto"/>
          <w:szCs w:val="24"/>
          <w:highlight w:val="none"/>
          <w:shd w:val="clear" w:color="auto" w:fill="FFFFFF"/>
        </w:rPr>
        <w:t>3.3</w:t>
      </w:r>
      <w:r>
        <w:rPr>
          <w:rFonts w:hint="eastAsia" w:hAnsi="宋体" w:cs="宋体"/>
          <w:b/>
          <w:color w:val="auto"/>
          <w:szCs w:val="24"/>
          <w:highlight w:val="none"/>
          <w:shd w:val="clear" w:color="auto" w:fill="FFFFFF"/>
          <w:lang w:val="en-US" w:eastAsia="zh-CN"/>
        </w:rPr>
        <w:t>8</w:t>
      </w:r>
      <w:r>
        <w:rPr>
          <w:rFonts w:hint="eastAsia" w:ascii="宋体" w:hAnsi="宋体" w:eastAsia="宋体" w:cs="宋体"/>
          <w:b w:val="0"/>
          <w:bCs w:val="0"/>
          <w:color w:val="auto"/>
          <w:szCs w:val="24"/>
          <w:highlight w:val="none"/>
        </w:rPr>
        <w:t>本项目在建设过程中，中标人的设计及施工的质量安全等相关实施内容要按照业主单位、发包单位的相关管理规定和质量安全考核要求，随时接受业主单位、发包单位自行或委托的第三方的监督检查及考核，中标人必须无条件配合，如中标人不配合或未通过相关的监督检查及考核，中标人须接受业主单位、发包单位的相关管理规定和处罚，并承担相应的责任。</w:t>
      </w:r>
    </w:p>
    <w:p w14:paraId="4C5325CE">
      <w:pPr>
        <w:keepNext w:val="0"/>
        <w:keepLines w:val="0"/>
        <w:pageBreakBefore w:val="0"/>
        <w:kinsoku/>
        <w:overflowPunct/>
        <w:topLinePunct w:val="0"/>
        <w:autoSpaceDE/>
        <w:autoSpaceDN/>
        <w:bidi w:val="0"/>
        <w:spacing w:line="440" w:lineRule="exact"/>
        <w:ind w:firstLine="540" w:firstLineChars="225"/>
        <w:textAlignment w:val="auto"/>
        <w:rPr>
          <w:rFonts w:hint="eastAsia" w:ascii="宋体" w:hAnsi="宋体" w:eastAsia="宋体" w:cs="宋体"/>
          <w:snapToGrid w:val="0"/>
          <w:color w:val="auto"/>
          <w:kern w:val="0"/>
          <w:szCs w:val="24"/>
          <w:highlight w:val="none"/>
        </w:rPr>
      </w:pPr>
    </w:p>
    <w:p w14:paraId="7B1A54BE">
      <w:pPr>
        <w:pStyle w:val="38"/>
        <w:keepNext/>
        <w:keepLines/>
        <w:tabs>
          <w:tab w:val="left" w:pos="885"/>
        </w:tabs>
        <w:jc w:val="center"/>
        <w:rPr>
          <w:rFonts w:asciiTheme="minorEastAsia" w:hAnsiTheme="minorEastAsia" w:eastAsiaTheme="minorEastAsia" w:cstheme="minorEastAsia"/>
          <w:b/>
          <w:color w:val="auto"/>
          <w:kern w:val="44"/>
          <w:sz w:val="36"/>
          <w:szCs w:val="36"/>
          <w:highlight w:val="none"/>
        </w:rPr>
      </w:pPr>
      <w:r>
        <w:rPr>
          <w:rFonts w:hint="eastAsia" w:asciiTheme="minorEastAsia" w:hAnsiTheme="minorEastAsia" w:eastAsiaTheme="minorEastAsia" w:cstheme="minorEastAsia"/>
          <w:b/>
          <w:color w:val="auto"/>
          <w:kern w:val="44"/>
          <w:sz w:val="24"/>
          <w:highlight w:val="none"/>
        </w:rPr>
        <w:br w:type="page"/>
      </w:r>
      <w:bookmarkStart w:id="376" w:name="_Toc6394"/>
      <w:bookmarkStart w:id="377" w:name="_Toc29153"/>
      <w:bookmarkStart w:id="378" w:name="_Toc24187"/>
      <w:bookmarkStart w:id="379" w:name="_Toc25756"/>
      <w:bookmarkStart w:id="380" w:name="_Toc27728"/>
      <w:bookmarkStart w:id="381" w:name="_Toc18638"/>
      <w:bookmarkStart w:id="382" w:name="_Toc21424"/>
      <w:bookmarkStart w:id="383" w:name="_Toc28287"/>
      <w:bookmarkStart w:id="384" w:name="_Toc20219"/>
      <w:r>
        <w:rPr>
          <w:rFonts w:hint="eastAsia" w:asciiTheme="minorEastAsia" w:hAnsiTheme="minorEastAsia" w:eastAsiaTheme="minorEastAsia" w:cstheme="minorEastAsia"/>
          <w:b/>
          <w:color w:val="auto"/>
          <w:kern w:val="44"/>
          <w:sz w:val="36"/>
          <w:szCs w:val="36"/>
          <w:highlight w:val="none"/>
        </w:rPr>
        <w:t>第四</w:t>
      </w:r>
      <w:bookmarkStart w:id="385" w:name="_Hlt69669176"/>
      <w:bookmarkEnd w:id="385"/>
      <w:r>
        <w:rPr>
          <w:rFonts w:hint="eastAsia" w:asciiTheme="minorEastAsia" w:hAnsiTheme="minorEastAsia" w:eastAsiaTheme="minorEastAsia" w:cstheme="minorEastAsia"/>
          <w:b/>
          <w:color w:val="auto"/>
          <w:kern w:val="44"/>
          <w:sz w:val="36"/>
          <w:szCs w:val="36"/>
          <w:highlight w:val="none"/>
        </w:rPr>
        <w:t>章</w:t>
      </w:r>
      <w:bookmarkStart w:id="386" w:name="_Hlt87793847"/>
      <w:bookmarkEnd w:id="386"/>
      <w:r>
        <w:rPr>
          <w:rFonts w:hint="eastAsia" w:asciiTheme="minorEastAsia" w:hAnsiTheme="minorEastAsia" w:eastAsiaTheme="minorEastAsia" w:cstheme="minorEastAsia"/>
          <w:b/>
          <w:color w:val="auto"/>
          <w:kern w:val="44"/>
          <w:sz w:val="36"/>
          <w:szCs w:val="36"/>
          <w:highlight w:val="none"/>
        </w:rPr>
        <w:t xml:space="preserve"> 投标人提交的其他材料</w:t>
      </w:r>
      <w:bookmarkEnd w:id="376"/>
      <w:bookmarkEnd w:id="377"/>
      <w:bookmarkEnd w:id="378"/>
      <w:bookmarkEnd w:id="379"/>
      <w:bookmarkEnd w:id="380"/>
      <w:bookmarkEnd w:id="381"/>
      <w:bookmarkEnd w:id="382"/>
      <w:bookmarkEnd w:id="383"/>
      <w:bookmarkEnd w:id="384"/>
    </w:p>
    <w:p w14:paraId="030BA55E">
      <w:pPr>
        <w:pStyle w:val="37"/>
        <w:rPr>
          <w:rFonts w:asciiTheme="minorEastAsia" w:hAnsiTheme="minorEastAsia" w:eastAsiaTheme="minorEastAsia" w:cstheme="minorEastAsia"/>
          <w:color w:val="auto"/>
          <w:highlight w:val="none"/>
        </w:rPr>
      </w:pPr>
    </w:p>
    <w:bookmarkEnd w:id="375"/>
    <w:p w14:paraId="21223850">
      <w:pPr>
        <w:pStyle w:val="48"/>
        <w:pageBreakBefore w:val="0"/>
        <w:kinsoku/>
        <w:overflowPunct/>
        <w:topLinePunct w:val="0"/>
        <w:autoSpaceDE/>
        <w:autoSpaceDN/>
        <w:bidi w:val="0"/>
        <w:spacing w:line="440" w:lineRule="exact"/>
        <w:ind w:firstLine="0"/>
        <w:jc w:val="both"/>
        <w:textAlignment w:val="auto"/>
        <w:outlineLvl w:val="1"/>
        <w:rPr>
          <w:rFonts w:asciiTheme="minorEastAsia" w:hAnsiTheme="minorEastAsia" w:eastAsiaTheme="minorEastAsia" w:cstheme="minorEastAsia"/>
          <w:b/>
          <w:color w:val="auto"/>
          <w:kern w:val="2"/>
          <w:highlight w:val="none"/>
        </w:rPr>
      </w:pPr>
      <w:bookmarkStart w:id="387" w:name="_Hlt66531751"/>
      <w:bookmarkEnd w:id="387"/>
      <w:bookmarkStart w:id="388" w:name="_Hlt66104911"/>
      <w:bookmarkEnd w:id="388"/>
      <w:bookmarkStart w:id="389" w:name="_Toc28975"/>
      <w:bookmarkStart w:id="390" w:name="_Toc27602"/>
      <w:bookmarkStart w:id="391" w:name="_Toc21505"/>
      <w:bookmarkStart w:id="392" w:name="_Toc31172"/>
      <w:bookmarkStart w:id="393" w:name="_Toc18673"/>
      <w:bookmarkStart w:id="394" w:name="_Toc5733"/>
      <w:bookmarkStart w:id="395" w:name="_Toc5994"/>
      <w:bookmarkStart w:id="396" w:name="_Toc19932"/>
      <w:bookmarkStart w:id="397" w:name="_Toc1109"/>
      <w:r>
        <w:rPr>
          <w:rFonts w:hint="eastAsia" w:asciiTheme="minorEastAsia" w:hAnsiTheme="minorEastAsia" w:eastAsiaTheme="minorEastAsia" w:cstheme="minorEastAsia"/>
          <w:b/>
          <w:color w:val="auto"/>
          <w:kern w:val="2"/>
          <w:highlight w:val="none"/>
        </w:rPr>
        <w:t>1</w:t>
      </w:r>
      <w:bookmarkStart w:id="398" w:name="_Hlt69356768"/>
      <w:bookmarkEnd w:id="398"/>
      <w:bookmarkStart w:id="399" w:name="_Hlt66677316"/>
      <w:r>
        <w:rPr>
          <w:rFonts w:hint="eastAsia" w:asciiTheme="minorEastAsia" w:hAnsiTheme="minorEastAsia" w:eastAsiaTheme="minorEastAsia" w:cstheme="minorEastAsia"/>
          <w:b/>
          <w:color w:val="auto"/>
          <w:kern w:val="2"/>
          <w:highlight w:val="none"/>
          <w:lang w:val="en-US" w:eastAsia="zh-CN"/>
        </w:rPr>
        <w:t>.</w:t>
      </w:r>
      <w:r>
        <w:rPr>
          <w:rFonts w:hint="eastAsia" w:asciiTheme="minorEastAsia" w:hAnsiTheme="minorEastAsia" w:eastAsiaTheme="minorEastAsia" w:cstheme="minorEastAsia"/>
          <w:b/>
          <w:color w:val="auto"/>
          <w:kern w:val="2"/>
          <w:highlight w:val="none"/>
        </w:rPr>
        <w:t>投标保证</w:t>
      </w:r>
      <w:bookmarkEnd w:id="389"/>
      <w:bookmarkEnd w:id="390"/>
      <w:bookmarkEnd w:id="391"/>
      <w:bookmarkEnd w:id="392"/>
      <w:bookmarkEnd w:id="393"/>
      <w:bookmarkEnd w:id="394"/>
      <w:bookmarkEnd w:id="395"/>
      <w:bookmarkEnd w:id="396"/>
      <w:bookmarkEnd w:id="397"/>
      <w:bookmarkEnd w:id="399"/>
    </w:p>
    <w:p w14:paraId="5CAF6C16">
      <w:pPr>
        <w:pageBreakBefore w:val="0"/>
        <w:kinsoku/>
        <w:overflowPunct/>
        <w:topLinePunct w:val="0"/>
        <w:autoSpaceDE/>
        <w:autoSpaceDN/>
        <w:bidi w:val="0"/>
        <w:snapToGrid w:val="0"/>
        <w:spacing w:beforeLines="50" w:line="440" w:lineRule="exact"/>
        <w:ind w:firstLine="482" w:firstLineChars="200"/>
        <w:textAlignment w:val="auto"/>
        <w:rPr>
          <w:rFonts w:hint="default" w:asciiTheme="minorEastAsia" w:hAnsiTheme="minorEastAsia" w:eastAsiaTheme="minorEastAsia" w:cstheme="minorEastAsia"/>
          <w:color w:val="auto"/>
          <w:szCs w:val="24"/>
          <w:highlight w:val="none"/>
        </w:rPr>
      </w:pPr>
      <w:r>
        <w:rPr>
          <w:rFonts w:asciiTheme="minorEastAsia" w:hAnsiTheme="minorEastAsia" w:eastAsiaTheme="minorEastAsia" w:cstheme="minorEastAsia"/>
          <w:b/>
          <w:bCs/>
          <w:color w:val="auto"/>
          <w:szCs w:val="24"/>
          <w:highlight w:val="none"/>
        </w:rPr>
        <w:t>1.1</w:t>
      </w:r>
      <w:r>
        <w:rPr>
          <w:rFonts w:asciiTheme="minorEastAsia" w:hAnsiTheme="minorEastAsia" w:eastAsiaTheme="minorEastAsia" w:cstheme="minorEastAsia"/>
          <w:color w:val="auto"/>
          <w:szCs w:val="24"/>
          <w:highlight w:val="none"/>
        </w:rPr>
        <w:t xml:space="preserve"> 投标保证的形式包括投标保证金、投标保证担保、投标保证保险三种，由投标人自主选择。</w:t>
      </w:r>
    </w:p>
    <w:p w14:paraId="3395DD94">
      <w:pPr>
        <w:pStyle w:val="59"/>
        <w:pageBreakBefore w:val="0"/>
        <w:kinsoku/>
        <w:overflowPunct/>
        <w:topLinePunct w:val="0"/>
        <w:autoSpaceDE/>
        <w:autoSpaceDN/>
        <w:bidi w:val="0"/>
        <w:snapToGrid w:val="0"/>
        <w:spacing w:line="440" w:lineRule="exact"/>
        <w:ind w:firstLine="570"/>
        <w:textAlignment w:val="auto"/>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1）采用投标保证金的，投标人在建设工程交易系统获取招标文件完毕后，即可在系统申请缴纳投标保证金，获取本次招标投标保证金缴纳账号。投标人必须于投标保证金到账截止时间（见招标文件“重要事项时间地点一览表”）前，从其基本账户将投标保证金转账到指定的缴纳账号。逾期到账的、从非投标人基本账户转出的，其投标无效。</w:t>
      </w:r>
    </w:p>
    <w:p w14:paraId="1081C0C7">
      <w:pPr>
        <w:pStyle w:val="59"/>
        <w:pageBreakBefore w:val="0"/>
        <w:kinsoku/>
        <w:overflowPunct/>
        <w:topLinePunct w:val="0"/>
        <w:autoSpaceDE/>
        <w:autoSpaceDN/>
        <w:bidi w:val="0"/>
        <w:snapToGrid w:val="0"/>
        <w:spacing w:line="440" w:lineRule="exact"/>
        <w:ind w:firstLine="570"/>
        <w:textAlignment w:val="auto"/>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2）采用投标保证担保的，投标人应提交有效的银行保函，银行保函的有效期不得短于投标有效期。投标人必须在投标保证担保截止时间（见本招标文件“重要事项时间地点一览表”）前，使用工程建设交易系统完成网上办理电子保函。</w:t>
      </w:r>
    </w:p>
    <w:p w14:paraId="30E3EF20">
      <w:pPr>
        <w:pStyle w:val="59"/>
        <w:pageBreakBefore w:val="0"/>
        <w:kinsoku/>
        <w:overflowPunct/>
        <w:topLinePunct w:val="0"/>
        <w:autoSpaceDE/>
        <w:autoSpaceDN/>
        <w:bidi w:val="0"/>
        <w:snapToGrid w:val="0"/>
        <w:spacing w:line="440" w:lineRule="exact"/>
        <w:ind w:firstLine="570"/>
        <w:textAlignment w:val="auto"/>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3）采用投标保证保险的，投标人须在投标保证保险投保截止时间（见本招标文件“重要事项时间地点一览表”）前，使用建设工程交易系统完成网上投保。投标人可在系统选择保险机构、录入投保信息、支付保费、打印电子保单，电子保单的有效期不得短于投标有效期。投标人可登录全国公共资源交易平台（广东省·韶关市）（https://ygp.gdzwfw.gov.cn/ggzy-portal/#/440200/index），在【服务指南】栏目中下载《韶关市公共资源建设工程交易系统-投标人操作指南》，了解网上投保具体操作流程。逾期投保的，其投标无效。</w:t>
      </w:r>
    </w:p>
    <w:p w14:paraId="6E8EA6F0">
      <w:pPr>
        <w:pStyle w:val="59"/>
        <w:pageBreakBefore w:val="0"/>
        <w:kinsoku/>
        <w:overflowPunct/>
        <w:topLinePunct w:val="0"/>
        <w:autoSpaceDE/>
        <w:autoSpaceDN/>
        <w:bidi w:val="0"/>
        <w:snapToGrid w:val="0"/>
        <w:spacing w:line="440" w:lineRule="exact"/>
        <w:ind w:firstLine="570"/>
        <w:textAlignment w:val="auto"/>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温馨提醒：投标人采用投标保证担保或投标保证保险的，为避免在评标过程中因有效期发生争议，建议投标人将银行保函或电子保单有效期设置为较招标文件规定的投标有效期延长不少于20个日历天。</w:t>
      </w:r>
    </w:p>
    <w:p w14:paraId="010BFF97">
      <w:pPr>
        <w:pStyle w:val="59"/>
        <w:pageBreakBefore w:val="0"/>
        <w:kinsoku/>
        <w:overflowPunct/>
        <w:topLinePunct w:val="0"/>
        <w:autoSpaceDE/>
        <w:autoSpaceDN/>
        <w:bidi w:val="0"/>
        <w:snapToGrid w:val="0"/>
        <w:spacing w:line="440" w:lineRule="exact"/>
        <w:ind w:firstLine="570"/>
        <w:textAlignment w:val="auto"/>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b/>
          <w:bCs/>
          <w:color w:val="auto"/>
          <w:highlight w:val="none"/>
        </w:rPr>
        <w:t>1.2</w:t>
      </w:r>
      <w:r>
        <w:rPr>
          <w:rFonts w:hint="eastAsia" w:asciiTheme="minorEastAsia" w:hAnsiTheme="minorEastAsia" w:eastAsiaTheme="minorEastAsia" w:cstheme="minorEastAsia"/>
          <w:color w:val="auto"/>
          <w:highlight w:val="none"/>
        </w:rPr>
        <w:t>投标人撤回已提交的投标文件，应当在投标截止时间前书面通知招标人。投标截止后投标人撤销投标文件的，招标人可以不退还投标保证。</w:t>
      </w:r>
    </w:p>
    <w:p w14:paraId="3D4E149E">
      <w:pPr>
        <w:pStyle w:val="59"/>
        <w:pageBreakBefore w:val="0"/>
        <w:kinsoku/>
        <w:overflowPunct/>
        <w:topLinePunct w:val="0"/>
        <w:autoSpaceDE/>
        <w:autoSpaceDN/>
        <w:bidi w:val="0"/>
        <w:snapToGrid w:val="0"/>
        <w:spacing w:line="440" w:lineRule="exact"/>
        <w:ind w:firstLine="570"/>
        <w:textAlignment w:val="auto"/>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b/>
          <w:bCs/>
          <w:color w:val="auto"/>
          <w:highlight w:val="none"/>
        </w:rPr>
        <w:t>1.3</w:t>
      </w:r>
      <w:r>
        <w:rPr>
          <w:rFonts w:hint="eastAsia" w:asciiTheme="minorEastAsia" w:hAnsiTheme="minorEastAsia" w:eastAsiaTheme="minorEastAsia" w:cstheme="minorEastAsia"/>
          <w:color w:val="auto"/>
          <w:highlight w:val="none"/>
        </w:rPr>
        <w:t>投标保证的退还方式：</w:t>
      </w:r>
    </w:p>
    <w:p w14:paraId="7A633024">
      <w:pPr>
        <w:pStyle w:val="59"/>
        <w:pageBreakBefore w:val="0"/>
        <w:kinsoku/>
        <w:overflowPunct/>
        <w:topLinePunct w:val="0"/>
        <w:autoSpaceDE/>
        <w:autoSpaceDN/>
        <w:bidi w:val="0"/>
        <w:snapToGrid w:val="0"/>
        <w:spacing w:line="440" w:lineRule="exact"/>
        <w:ind w:firstLine="570"/>
        <w:textAlignment w:val="auto"/>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1）中标候选人公示期满无异议（投诉）后，招标人确定第一中标候选人为中标人，并在中标人确定之日起7个工作日内向中标人发出中标通知书。在中标通知书发出后5个工作日内，韶关市公共资源交易中心将投标保证金退还给中标候选人以外的投标人。</w:t>
      </w:r>
    </w:p>
    <w:p w14:paraId="62BB692A">
      <w:pPr>
        <w:pStyle w:val="59"/>
        <w:pageBreakBefore w:val="0"/>
        <w:kinsoku/>
        <w:overflowPunct/>
        <w:topLinePunct w:val="0"/>
        <w:autoSpaceDE/>
        <w:autoSpaceDN/>
        <w:bidi w:val="0"/>
        <w:snapToGrid w:val="0"/>
        <w:spacing w:line="440" w:lineRule="exact"/>
        <w:ind w:firstLine="570"/>
        <w:textAlignment w:val="auto"/>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2）在书面合同订立之日起2个工作日内，由中标人将合同上传至建设工程交易系统，并发起退还投标保证的申请。韶关市公共资源交易中心在收到申请之日起3个工作日内，将投标保证金（或银行保函）退还给中标人和其他中标候选人。</w:t>
      </w:r>
    </w:p>
    <w:p w14:paraId="12DCE5AF">
      <w:pPr>
        <w:pStyle w:val="59"/>
        <w:pageBreakBefore w:val="0"/>
        <w:kinsoku/>
        <w:overflowPunct/>
        <w:topLinePunct w:val="0"/>
        <w:autoSpaceDE/>
        <w:autoSpaceDN/>
        <w:bidi w:val="0"/>
        <w:snapToGrid w:val="0"/>
        <w:spacing w:line="440" w:lineRule="exact"/>
        <w:ind w:firstLine="570"/>
        <w:textAlignment w:val="auto"/>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b/>
          <w:bCs/>
          <w:color w:val="auto"/>
          <w:highlight w:val="none"/>
        </w:rPr>
        <w:t>1.4</w:t>
      </w:r>
      <w:r>
        <w:rPr>
          <w:rFonts w:hint="eastAsia" w:asciiTheme="minorEastAsia" w:hAnsiTheme="minorEastAsia" w:eastAsiaTheme="minorEastAsia" w:cstheme="minorEastAsia"/>
          <w:color w:val="auto"/>
          <w:highlight w:val="none"/>
        </w:rPr>
        <w:t xml:space="preserve"> 投标人中标后不与招标人依据招标文件要求签订工程合同的，由建设行政主管部门按规定处理其投标保证。</w:t>
      </w:r>
    </w:p>
    <w:p w14:paraId="1AFC5C9D">
      <w:pPr>
        <w:pStyle w:val="59"/>
        <w:pageBreakBefore w:val="0"/>
        <w:kinsoku/>
        <w:overflowPunct/>
        <w:topLinePunct w:val="0"/>
        <w:autoSpaceDE/>
        <w:autoSpaceDN/>
        <w:bidi w:val="0"/>
        <w:snapToGrid w:val="0"/>
        <w:spacing w:line="440" w:lineRule="exact"/>
        <w:ind w:firstLine="570"/>
        <w:textAlignment w:val="auto"/>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b/>
          <w:bCs/>
          <w:color w:val="auto"/>
          <w:highlight w:val="none"/>
        </w:rPr>
        <w:t>1.5</w:t>
      </w:r>
      <w:r>
        <w:rPr>
          <w:rFonts w:hint="eastAsia" w:asciiTheme="minorEastAsia" w:hAnsiTheme="minorEastAsia" w:eastAsiaTheme="minorEastAsia" w:cstheme="minorEastAsia"/>
          <w:color w:val="auto"/>
          <w:highlight w:val="none"/>
        </w:rPr>
        <w:t xml:space="preserve"> 组成联合体时由联合体牵头人缴纳投标保</w:t>
      </w:r>
      <w:r>
        <w:rPr>
          <w:rFonts w:hint="eastAsia" w:asciiTheme="minorEastAsia" w:hAnsiTheme="minorEastAsia" w:eastAsiaTheme="minorEastAsia" w:cstheme="minorEastAsia"/>
          <w:color w:val="auto"/>
          <w:highlight w:val="none"/>
          <w:lang w:eastAsia="zh-CN"/>
        </w:rPr>
        <w:t>证金</w:t>
      </w:r>
      <w:r>
        <w:rPr>
          <w:rFonts w:hint="eastAsia" w:asciiTheme="minorEastAsia" w:hAnsiTheme="minorEastAsia" w:eastAsiaTheme="minorEastAsia" w:cstheme="minorEastAsia"/>
          <w:color w:val="auto"/>
          <w:highlight w:val="none"/>
        </w:rPr>
        <w:t>。</w:t>
      </w:r>
    </w:p>
    <w:p w14:paraId="331CFBFD">
      <w:pPr>
        <w:pStyle w:val="48"/>
        <w:pageBreakBefore w:val="0"/>
        <w:kinsoku/>
        <w:overflowPunct/>
        <w:topLinePunct w:val="0"/>
        <w:autoSpaceDE/>
        <w:autoSpaceDN/>
        <w:bidi w:val="0"/>
        <w:spacing w:line="440" w:lineRule="exact"/>
        <w:ind w:firstLine="0"/>
        <w:jc w:val="both"/>
        <w:textAlignment w:val="auto"/>
        <w:outlineLvl w:val="1"/>
        <w:rPr>
          <w:rFonts w:asciiTheme="minorEastAsia" w:hAnsiTheme="minorEastAsia" w:eastAsiaTheme="minorEastAsia" w:cstheme="minorEastAsia"/>
          <w:b/>
          <w:color w:val="auto"/>
          <w:kern w:val="2"/>
          <w:highlight w:val="none"/>
        </w:rPr>
      </w:pPr>
      <w:bookmarkStart w:id="400" w:name="_Hlt87792499"/>
      <w:bookmarkEnd w:id="400"/>
      <w:bookmarkStart w:id="401" w:name="_Hlt87793359"/>
      <w:bookmarkEnd w:id="401"/>
      <w:bookmarkStart w:id="402" w:name="_Toc3284"/>
      <w:bookmarkStart w:id="403" w:name="_Toc20998"/>
      <w:bookmarkStart w:id="404" w:name="_Toc985"/>
      <w:bookmarkStart w:id="405" w:name="_Toc22441"/>
      <w:bookmarkStart w:id="406" w:name="_Toc3054"/>
      <w:bookmarkStart w:id="407" w:name="_Toc23304"/>
      <w:bookmarkStart w:id="408" w:name="_Toc19423"/>
      <w:bookmarkStart w:id="409" w:name="_Toc10164"/>
      <w:bookmarkStart w:id="410" w:name="_Toc19536"/>
      <w:r>
        <w:rPr>
          <w:rFonts w:hint="eastAsia" w:asciiTheme="minorEastAsia" w:hAnsiTheme="minorEastAsia" w:eastAsiaTheme="minorEastAsia" w:cstheme="minorEastAsia"/>
          <w:b/>
          <w:color w:val="auto"/>
          <w:kern w:val="2"/>
          <w:highlight w:val="none"/>
        </w:rPr>
        <w:t>2</w:t>
      </w:r>
      <w:r>
        <w:rPr>
          <w:rFonts w:hint="eastAsia" w:asciiTheme="minorEastAsia" w:hAnsiTheme="minorEastAsia" w:eastAsiaTheme="minorEastAsia" w:cstheme="minorEastAsia"/>
          <w:b/>
          <w:color w:val="auto"/>
          <w:kern w:val="2"/>
          <w:highlight w:val="none"/>
          <w:lang w:val="en-US" w:eastAsia="zh-CN"/>
        </w:rPr>
        <w:t>.</w:t>
      </w:r>
      <w:r>
        <w:rPr>
          <w:rFonts w:hint="eastAsia" w:asciiTheme="minorEastAsia" w:hAnsiTheme="minorEastAsia" w:eastAsiaTheme="minorEastAsia" w:cstheme="minorEastAsia"/>
          <w:b/>
          <w:color w:val="auto"/>
          <w:kern w:val="2"/>
          <w:highlight w:val="none"/>
        </w:rPr>
        <w:t>履约保证金</w:t>
      </w:r>
      <w:bookmarkEnd w:id="402"/>
      <w:bookmarkEnd w:id="403"/>
      <w:bookmarkEnd w:id="404"/>
      <w:bookmarkEnd w:id="405"/>
      <w:bookmarkEnd w:id="406"/>
      <w:bookmarkEnd w:id="407"/>
      <w:bookmarkEnd w:id="408"/>
      <w:bookmarkEnd w:id="409"/>
      <w:bookmarkEnd w:id="410"/>
    </w:p>
    <w:bookmarkEnd w:id="1"/>
    <w:p w14:paraId="1A67E23E">
      <w:pPr>
        <w:keepNext w:val="0"/>
        <w:keepLines w:val="0"/>
        <w:pageBreakBefore w:val="0"/>
        <w:widowControl w:val="0"/>
        <w:kinsoku/>
        <w:wordWrap w:val="0"/>
        <w:overflowPunct/>
        <w:topLinePunct/>
        <w:autoSpaceDE/>
        <w:autoSpaceDN/>
        <w:bidi w:val="0"/>
        <w:adjustRightInd w:val="0"/>
        <w:snapToGrid w:val="0"/>
        <w:spacing w:line="360" w:lineRule="auto"/>
        <w:ind w:right="96" w:rightChars="40" w:firstLine="470" w:firstLineChars="200"/>
        <w:textAlignment w:val="baseline"/>
        <w:rPr>
          <w:rFonts w:hint="eastAsia" w:ascii="宋体" w:hAnsi="宋体" w:eastAsia="宋体" w:cs="宋体"/>
          <w:color w:val="auto"/>
          <w:sz w:val="24"/>
          <w:szCs w:val="24"/>
          <w:highlight w:val="none"/>
        </w:rPr>
      </w:pPr>
      <w:bookmarkStart w:id="411" w:name="_Toc466640610"/>
      <w:r>
        <w:rPr>
          <w:rFonts w:hint="eastAsia" w:hAnsi="宋体" w:eastAsia="宋体" w:cs="宋体"/>
          <w:b/>
          <w:bCs/>
          <w:color w:val="auto"/>
          <w:spacing w:val="-3"/>
          <w:sz w:val="24"/>
          <w:szCs w:val="24"/>
          <w:highlight w:val="none"/>
          <w:lang w:val="en-US" w:eastAsia="zh-CN"/>
        </w:rPr>
        <w:t>2</w:t>
      </w:r>
      <w:r>
        <w:rPr>
          <w:rFonts w:hint="eastAsia" w:ascii="宋体" w:hAnsi="宋体" w:eastAsia="宋体" w:cs="宋体"/>
          <w:b/>
          <w:bCs/>
          <w:color w:val="auto"/>
          <w:spacing w:val="-3"/>
          <w:sz w:val="24"/>
          <w:szCs w:val="24"/>
          <w:highlight w:val="none"/>
        </w:rPr>
        <w:t>.1</w:t>
      </w:r>
      <w:r>
        <w:rPr>
          <w:rFonts w:hint="eastAsia" w:ascii="宋体" w:hAnsi="宋体" w:eastAsia="宋体" w:cs="宋体"/>
          <w:b/>
          <w:bCs/>
          <w:color w:val="auto"/>
          <w:spacing w:val="17"/>
          <w:sz w:val="24"/>
          <w:szCs w:val="24"/>
          <w:highlight w:val="none"/>
        </w:rPr>
        <w:t xml:space="preserve"> </w:t>
      </w:r>
      <w:r>
        <w:rPr>
          <w:rFonts w:hint="eastAsia" w:ascii="宋体" w:hAnsi="宋体" w:eastAsia="宋体" w:cs="宋体"/>
          <w:color w:val="auto"/>
          <w:spacing w:val="-3"/>
          <w:sz w:val="24"/>
          <w:szCs w:val="24"/>
          <w:highlight w:val="none"/>
        </w:rPr>
        <w:t>中标人须在领取中标通知书之日起</w:t>
      </w:r>
      <w:r>
        <w:rPr>
          <w:rFonts w:hint="eastAsia" w:ascii="宋体" w:hAnsi="宋体" w:eastAsia="宋体" w:cs="宋体"/>
          <w:color w:val="auto"/>
          <w:spacing w:val="-3"/>
          <w:sz w:val="24"/>
          <w:szCs w:val="24"/>
          <w:highlight w:val="none"/>
          <w:u w:val="single"/>
          <w:lang w:val="en-US" w:eastAsia="zh-CN"/>
        </w:rPr>
        <w:t xml:space="preserve"> 10 </w:t>
      </w:r>
      <w:r>
        <w:rPr>
          <w:rFonts w:hint="eastAsia" w:ascii="宋体" w:hAnsi="宋体" w:eastAsia="宋体" w:cs="宋体"/>
          <w:color w:val="auto"/>
          <w:spacing w:val="-3"/>
          <w:sz w:val="24"/>
          <w:szCs w:val="24"/>
          <w:highlight w:val="none"/>
        </w:rPr>
        <w:t>个工作日内、签订合同前向招标人提交金额</w:t>
      </w:r>
      <w:r>
        <w:rPr>
          <w:rFonts w:hint="eastAsia" w:ascii="宋体" w:hAnsi="宋体" w:eastAsia="宋体" w:cs="宋体"/>
          <w:color w:val="auto"/>
          <w:spacing w:val="-1"/>
          <w:position w:val="2"/>
          <w:sz w:val="24"/>
          <w:szCs w:val="24"/>
          <w:highlight w:val="none"/>
        </w:rPr>
        <w:t>为中标价</w:t>
      </w:r>
      <w:r>
        <w:rPr>
          <w:rFonts w:hint="eastAsia" w:ascii="宋体" w:hAnsi="宋体" w:eastAsia="宋体" w:cs="宋体"/>
          <w:color w:val="auto"/>
          <w:spacing w:val="-1"/>
          <w:position w:val="2"/>
          <w:sz w:val="24"/>
          <w:szCs w:val="24"/>
          <w:highlight w:val="none"/>
          <w:u w:val="single"/>
          <w:lang w:val="en-US" w:eastAsia="zh-CN"/>
        </w:rPr>
        <w:t xml:space="preserve"> 5</w:t>
      </w:r>
      <w:r>
        <w:rPr>
          <w:rFonts w:hint="eastAsia" w:ascii="宋体" w:hAnsi="宋体" w:eastAsia="宋体" w:cs="宋体"/>
          <w:color w:val="auto"/>
          <w:spacing w:val="-1"/>
          <w:position w:val="2"/>
          <w:sz w:val="24"/>
          <w:szCs w:val="24"/>
          <w:highlight w:val="none"/>
          <w:u w:val="single"/>
        </w:rPr>
        <w:t xml:space="preserve">% </w:t>
      </w:r>
      <w:r>
        <w:rPr>
          <w:rFonts w:hint="eastAsia" w:ascii="宋体" w:hAnsi="宋体" w:eastAsia="宋体" w:cs="宋体"/>
          <w:color w:val="auto"/>
          <w:spacing w:val="-1"/>
          <w:position w:val="2"/>
          <w:sz w:val="24"/>
          <w:szCs w:val="24"/>
          <w:highlight w:val="none"/>
        </w:rPr>
        <w:t>的履约保证。联合体中标的，由联合体牵头人提交。</w:t>
      </w:r>
    </w:p>
    <w:p w14:paraId="3518451B">
      <w:pPr>
        <w:keepNext w:val="0"/>
        <w:keepLines w:val="0"/>
        <w:pageBreakBefore w:val="0"/>
        <w:widowControl w:val="0"/>
        <w:kinsoku/>
        <w:wordWrap w:val="0"/>
        <w:overflowPunct/>
        <w:topLinePunct/>
        <w:autoSpaceDE/>
        <w:autoSpaceDN/>
        <w:bidi w:val="0"/>
        <w:adjustRightInd w:val="0"/>
        <w:snapToGrid w:val="0"/>
        <w:spacing w:line="360" w:lineRule="auto"/>
        <w:ind w:left="0" w:right="96" w:rightChars="40" w:firstLine="476"/>
        <w:textAlignment w:val="baseline"/>
        <w:rPr>
          <w:rFonts w:hint="eastAsia" w:ascii="宋体" w:hAnsi="宋体" w:eastAsia="宋体" w:cs="宋体"/>
          <w:color w:val="auto"/>
          <w:spacing w:val="-1"/>
          <w:sz w:val="24"/>
          <w:szCs w:val="24"/>
          <w:highlight w:val="none"/>
        </w:rPr>
      </w:pPr>
      <w:r>
        <w:rPr>
          <w:rFonts w:hint="eastAsia" w:hAnsi="宋体" w:eastAsia="宋体" w:cs="宋体"/>
          <w:b/>
          <w:bCs/>
          <w:color w:val="auto"/>
          <w:spacing w:val="1"/>
          <w:sz w:val="24"/>
          <w:szCs w:val="24"/>
          <w:highlight w:val="none"/>
          <w:lang w:val="en-US" w:eastAsia="zh-CN"/>
        </w:rPr>
        <w:t>2</w:t>
      </w:r>
      <w:r>
        <w:rPr>
          <w:rFonts w:hint="eastAsia" w:ascii="宋体" w:hAnsi="宋体" w:eastAsia="宋体" w:cs="宋体"/>
          <w:b/>
          <w:bCs/>
          <w:color w:val="auto"/>
          <w:spacing w:val="1"/>
          <w:sz w:val="24"/>
          <w:szCs w:val="24"/>
          <w:highlight w:val="none"/>
        </w:rPr>
        <w:t>.2</w:t>
      </w:r>
      <w:r>
        <w:rPr>
          <w:rFonts w:hint="eastAsia" w:ascii="宋体" w:hAnsi="宋体" w:eastAsia="宋体" w:cs="宋体"/>
          <w:b/>
          <w:bCs/>
          <w:color w:val="auto"/>
          <w:spacing w:val="34"/>
          <w:w w:val="101"/>
          <w:sz w:val="24"/>
          <w:szCs w:val="24"/>
          <w:highlight w:val="none"/>
        </w:rPr>
        <w:t xml:space="preserve"> </w:t>
      </w:r>
      <w:r>
        <w:rPr>
          <w:rFonts w:hint="eastAsia" w:ascii="宋体" w:hAnsi="宋体" w:eastAsia="宋体" w:cs="宋体"/>
          <w:color w:val="auto"/>
          <w:spacing w:val="-1"/>
          <w:position w:val="2"/>
          <w:sz w:val="24"/>
          <w:szCs w:val="24"/>
          <w:highlight w:val="none"/>
        </w:rPr>
        <w:t>中标人根据《关于统一在市公共资源交易一体化服务平台缴退工程建设项目履约</w:t>
      </w:r>
      <w:r>
        <w:rPr>
          <w:rFonts w:hint="eastAsia" w:ascii="宋体" w:hAnsi="宋体" w:eastAsia="宋体" w:cs="宋体"/>
          <w:color w:val="auto"/>
          <w:spacing w:val="-3"/>
          <w:sz w:val="24"/>
          <w:szCs w:val="24"/>
          <w:highlight w:val="none"/>
        </w:rPr>
        <w:t>保证金</w:t>
      </w:r>
      <w:r>
        <w:rPr>
          <w:rFonts w:hint="eastAsia" w:ascii="宋体" w:hAnsi="宋体" w:eastAsia="宋体" w:cs="宋体"/>
          <w:color w:val="auto"/>
          <w:spacing w:val="-1"/>
          <w:position w:val="2"/>
          <w:sz w:val="24"/>
          <w:szCs w:val="24"/>
          <w:highlight w:val="none"/>
        </w:rPr>
        <w:t>的通知》办理相关手续，履约保证的形式包括履约保证金、履约保证担保、履约保证保险</w:t>
      </w:r>
      <w:r>
        <w:rPr>
          <w:rFonts w:hint="eastAsia" w:ascii="宋体" w:hAnsi="宋体" w:eastAsia="宋体" w:cs="宋体"/>
          <w:color w:val="auto"/>
          <w:spacing w:val="-1"/>
          <w:position w:val="2"/>
          <w:sz w:val="24"/>
          <w:szCs w:val="24"/>
          <w:highlight w:val="none"/>
          <w:lang w:eastAsia="zh-CN"/>
        </w:rPr>
        <w:t>等</w:t>
      </w:r>
      <w:r>
        <w:rPr>
          <w:rFonts w:hint="eastAsia" w:ascii="宋体" w:hAnsi="宋体" w:eastAsia="宋体" w:cs="宋体"/>
          <w:color w:val="auto"/>
          <w:spacing w:val="-1"/>
          <w:position w:val="2"/>
          <w:sz w:val="24"/>
          <w:szCs w:val="24"/>
          <w:highlight w:val="none"/>
        </w:rPr>
        <w:t>，由中标人自主选择</w:t>
      </w:r>
      <w:r>
        <w:rPr>
          <w:rFonts w:hint="eastAsia" w:ascii="宋体" w:hAnsi="宋体" w:eastAsia="宋体" w:cs="宋体"/>
          <w:color w:val="auto"/>
          <w:spacing w:val="-2"/>
          <w:sz w:val="24"/>
          <w:szCs w:val="24"/>
          <w:highlight w:val="none"/>
        </w:rPr>
        <w:t>。商业保函、银行保函或保险合同（或保险单）的</w:t>
      </w:r>
      <w:r>
        <w:rPr>
          <w:rFonts w:hint="eastAsia" w:ascii="宋体" w:hAnsi="宋体" w:eastAsia="宋体" w:cs="宋体"/>
          <w:color w:val="auto"/>
          <w:spacing w:val="-1"/>
          <w:sz w:val="24"/>
          <w:szCs w:val="24"/>
          <w:highlight w:val="none"/>
        </w:rPr>
        <w:t>有效期应当自</w:t>
      </w:r>
      <w:r>
        <w:rPr>
          <w:rFonts w:hint="eastAsia" w:ascii="宋体" w:hAnsi="宋体" w:eastAsia="宋体" w:cs="宋体"/>
          <w:color w:val="auto"/>
          <w:spacing w:val="-3"/>
          <w:sz w:val="24"/>
          <w:szCs w:val="24"/>
          <w:highlight w:val="none"/>
        </w:rPr>
        <w:t>合同</w:t>
      </w:r>
      <w:r>
        <w:rPr>
          <w:rFonts w:hint="eastAsia" w:ascii="宋体" w:hAnsi="宋体" w:eastAsia="宋体" w:cs="宋体"/>
          <w:color w:val="auto"/>
          <w:spacing w:val="-1"/>
          <w:sz w:val="24"/>
          <w:szCs w:val="24"/>
          <w:highlight w:val="none"/>
        </w:rPr>
        <w:t>生效之日起至项目通过竣工验收之日后</w:t>
      </w:r>
      <w:r>
        <w:rPr>
          <w:rFonts w:hint="eastAsia" w:ascii="宋体" w:hAnsi="宋体" w:eastAsia="宋体" w:cs="宋体"/>
          <w:color w:val="auto"/>
          <w:spacing w:val="-41"/>
          <w:sz w:val="24"/>
          <w:szCs w:val="24"/>
          <w:highlight w:val="none"/>
        </w:rPr>
        <w:t xml:space="preserve"> </w:t>
      </w:r>
      <w:r>
        <w:rPr>
          <w:rFonts w:hint="eastAsia" w:ascii="宋体" w:hAnsi="宋体" w:eastAsia="宋体" w:cs="宋体"/>
          <w:color w:val="auto"/>
          <w:spacing w:val="-1"/>
          <w:sz w:val="24"/>
          <w:szCs w:val="24"/>
          <w:highlight w:val="none"/>
        </w:rPr>
        <w:t>28天止。</w:t>
      </w:r>
    </w:p>
    <w:p w14:paraId="6BAA7C03">
      <w:pPr>
        <w:keepNext w:val="0"/>
        <w:keepLines w:val="0"/>
        <w:pageBreakBefore w:val="0"/>
        <w:widowControl w:val="0"/>
        <w:kinsoku/>
        <w:wordWrap w:val="0"/>
        <w:overflowPunct/>
        <w:topLinePunct/>
        <w:autoSpaceDE/>
        <w:autoSpaceDN/>
        <w:bidi w:val="0"/>
        <w:adjustRightInd w:val="0"/>
        <w:snapToGrid w:val="0"/>
        <w:spacing w:line="360" w:lineRule="auto"/>
        <w:ind w:left="0" w:right="96" w:rightChars="40" w:firstLine="476"/>
        <w:textAlignment w:val="baseline"/>
        <w:rPr>
          <w:rFonts w:hint="eastAsia" w:ascii="宋体" w:hAnsi="宋体" w:eastAsia="宋体" w:cs="宋体"/>
          <w:color w:val="auto"/>
          <w:highlight w:val="none"/>
          <w:lang w:eastAsia="zh-CN"/>
        </w:rPr>
      </w:pPr>
      <w:r>
        <w:rPr>
          <w:rFonts w:hint="eastAsia" w:ascii="宋体" w:hAnsi="宋体" w:eastAsia="宋体" w:cs="宋体"/>
          <w:color w:val="auto"/>
          <w:spacing w:val="-1"/>
          <w:sz w:val="24"/>
          <w:szCs w:val="24"/>
          <w:highlight w:val="none"/>
          <w:lang w:eastAsia="zh-CN"/>
        </w:rPr>
        <w:t>（</w:t>
      </w:r>
      <w:r>
        <w:rPr>
          <w:rFonts w:hint="eastAsia" w:ascii="宋体" w:hAnsi="宋体" w:eastAsia="宋体" w:cs="宋体"/>
          <w:color w:val="auto"/>
          <w:spacing w:val="-1"/>
          <w:position w:val="2"/>
          <w:sz w:val="24"/>
          <w:szCs w:val="24"/>
          <w:highlight w:val="none"/>
          <w:lang w:eastAsia="zh-CN"/>
        </w:rPr>
        <w:t>注：中标通知书发出时，招标人发起收缴履约保证金并填写保证金金额、缴交时限和</w:t>
      </w:r>
      <w:r>
        <w:rPr>
          <w:rFonts w:hint="eastAsia" w:ascii="宋体" w:hAnsi="宋体" w:eastAsia="宋体" w:cs="宋体"/>
          <w:color w:val="auto"/>
          <w:spacing w:val="-3"/>
          <w:sz w:val="24"/>
          <w:szCs w:val="24"/>
          <w:highlight w:val="none"/>
          <w:lang w:eastAsia="zh-CN"/>
        </w:rPr>
        <w:t>项目</w:t>
      </w:r>
      <w:r>
        <w:rPr>
          <w:rFonts w:hint="eastAsia" w:ascii="宋体" w:hAnsi="宋体" w:eastAsia="宋体" w:cs="宋体"/>
          <w:color w:val="auto"/>
          <w:spacing w:val="-1"/>
          <w:position w:val="2"/>
          <w:sz w:val="24"/>
          <w:szCs w:val="24"/>
          <w:highlight w:val="none"/>
          <w:lang w:eastAsia="zh-CN"/>
        </w:rPr>
        <w:t>工期；由中标人在建设工程交易系统中自主选择一种进行缴交。项目竣工后，由招标人发起退保。）</w:t>
      </w:r>
    </w:p>
    <w:p w14:paraId="74EAA91E">
      <w:pPr>
        <w:keepNext w:val="0"/>
        <w:keepLines w:val="0"/>
        <w:pageBreakBefore w:val="0"/>
        <w:widowControl w:val="0"/>
        <w:kinsoku/>
        <w:wordWrap w:val="0"/>
        <w:overflowPunct/>
        <w:topLinePunct/>
        <w:autoSpaceDE/>
        <w:autoSpaceDN/>
        <w:bidi w:val="0"/>
        <w:adjustRightInd w:val="0"/>
        <w:snapToGrid w:val="0"/>
        <w:spacing w:line="360" w:lineRule="auto"/>
        <w:ind w:left="11" w:right="96" w:rightChars="40" w:firstLine="471"/>
        <w:textAlignment w:val="baseline"/>
        <w:rPr>
          <w:rFonts w:hint="eastAsia" w:ascii="宋体" w:hAnsi="宋体" w:eastAsia="宋体" w:cs="宋体"/>
          <w:color w:val="auto"/>
          <w:sz w:val="24"/>
          <w:szCs w:val="24"/>
          <w:highlight w:val="none"/>
        </w:rPr>
      </w:pPr>
      <w:r>
        <w:rPr>
          <w:rFonts w:hint="eastAsia" w:hAnsi="宋体" w:eastAsia="宋体" w:cs="宋体"/>
          <w:b/>
          <w:bCs/>
          <w:color w:val="auto"/>
          <w:spacing w:val="-4"/>
          <w:sz w:val="24"/>
          <w:szCs w:val="24"/>
          <w:highlight w:val="none"/>
          <w:lang w:val="en-US" w:eastAsia="zh-CN"/>
        </w:rPr>
        <w:t>2</w:t>
      </w:r>
      <w:r>
        <w:rPr>
          <w:rFonts w:hint="eastAsia" w:ascii="宋体" w:hAnsi="宋体" w:eastAsia="宋体" w:cs="宋体"/>
          <w:b/>
          <w:bCs/>
          <w:color w:val="auto"/>
          <w:spacing w:val="-4"/>
          <w:sz w:val="24"/>
          <w:szCs w:val="24"/>
          <w:highlight w:val="none"/>
        </w:rPr>
        <w:t>.3</w:t>
      </w:r>
      <w:r>
        <w:rPr>
          <w:rFonts w:hint="eastAsia" w:ascii="宋体" w:hAnsi="宋体" w:eastAsia="宋体" w:cs="宋体"/>
          <w:b/>
          <w:bCs/>
          <w:color w:val="auto"/>
          <w:spacing w:val="16"/>
          <w:sz w:val="24"/>
          <w:szCs w:val="24"/>
          <w:highlight w:val="none"/>
        </w:rPr>
        <w:t xml:space="preserve"> </w:t>
      </w:r>
      <w:r>
        <w:rPr>
          <w:rFonts w:hint="eastAsia" w:ascii="宋体" w:hAnsi="宋体" w:eastAsia="宋体" w:cs="宋体"/>
          <w:color w:val="auto"/>
          <w:spacing w:val="-4"/>
          <w:sz w:val="24"/>
          <w:szCs w:val="24"/>
          <w:highlight w:val="none"/>
        </w:rPr>
        <w:t>中标人在领取中标通知书之日起10个工</w:t>
      </w:r>
      <w:r>
        <w:rPr>
          <w:rFonts w:hint="eastAsia" w:ascii="宋体" w:hAnsi="宋体" w:eastAsia="宋体" w:cs="宋体"/>
          <w:color w:val="auto"/>
          <w:spacing w:val="-5"/>
          <w:sz w:val="24"/>
          <w:szCs w:val="24"/>
          <w:highlight w:val="none"/>
        </w:rPr>
        <w:t>作日内仍未提交履约保证的，招标人发</w:t>
      </w:r>
      <w:r>
        <w:rPr>
          <w:rFonts w:hint="eastAsia" w:ascii="宋体" w:hAnsi="宋体" w:eastAsia="宋体" w:cs="宋体"/>
          <w:color w:val="auto"/>
          <w:spacing w:val="1"/>
          <w:sz w:val="24"/>
          <w:szCs w:val="24"/>
          <w:highlight w:val="none"/>
        </w:rPr>
        <w:t>出第一次提醒函；在领取中标通知书之日起15个工作日内仍未提交的</w:t>
      </w:r>
      <w:r>
        <w:rPr>
          <w:rFonts w:hint="eastAsia" w:ascii="宋体" w:hAnsi="宋体" w:eastAsia="宋体" w:cs="宋体"/>
          <w:color w:val="auto"/>
          <w:sz w:val="24"/>
          <w:szCs w:val="24"/>
          <w:highlight w:val="none"/>
        </w:rPr>
        <w:t>，招标人发出第</w:t>
      </w:r>
      <w:r>
        <w:rPr>
          <w:rFonts w:hint="eastAsia" w:ascii="宋体" w:hAnsi="宋体" w:eastAsia="宋体" w:cs="宋体"/>
          <w:color w:val="auto"/>
          <w:spacing w:val="1"/>
          <w:sz w:val="24"/>
          <w:szCs w:val="24"/>
          <w:highlight w:val="none"/>
        </w:rPr>
        <w:t>二次提醒函；在领取中标通知书之日起</w:t>
      </w:r>
      <w:r>
        <w:rPr>
          <w:rFonts w:hint="eastAsia" w:ascii="宋体" w:hAnsi="宋体" w:eastAsia="宋体" w:cs="宋体"/>
          <w:color w:val="auto"/>
          <w:spacing w:val="-39"/>
          <w:sz w:val="24"/>
          <w:szCs w:val="24"/>
          <w:highlight w:val="none"/>
        </w:rPr>
        <w:t xml:space="preserve"> </w:t>
      </w:r>
      <w:r>
        <w:rPr>
          <w:rFonts w:hint="eastAsia" w:ascii="宋体" w:hAnsi="宋体" w:eastAsia="宋体" w:cs="宋体"/>
          <w:color w:val="auto"/>
          <w:spacing w:val="1"/>
          <w:sz w:val="24"/>
          <w:szCs w:val="24"/>
          <w:highlight w:val="none"/>
        </w:rPr>
        <w:t>20个工作日内仍未提交的，视其放弃中标。并</w:t>
      </w:r>
      <w:r>
        <w:rPr>
          <w:rFonts w:hint="eastAsia" w:ascii="宋体" w:hAnsi="宋体" w:eastAsia="宋体" w:cs="宋体"/>
          <w:color w:val="auto"/>
          <w:spacing w:val="-2"/>
          <w:sz w:val="24"/>
          <w:szCs w:val="24"/>
          <w:highlight w:val="none"/>
        </w:rPr>
        <w:t>由招标人通报建设行政管理部门。如采用商业保函、银行保函或保险合同方式缴纳履约保证金，在保函或保险合同到期前一个月，中标人须主动办理续期手续或提交新的商业</w:t>
      </w:r>
      <w:r>
        <w:rPr>
          <w:rFonts w:hint="eastAsia" w:ascii="宋体" w:hAnsi="宋体" w:eastAsia="宋体" w:cs="宋体"/>
          <w:color w:val="auto"/>
          <w:spacing w:val="-1"/>
          <w:sz w:val="24"/>
          <w:szCs w:val="24"/>
          <w:highlight w:val="none"/>
        </w:rPr>
        <w:t>保函、银行保函或保险合同。</w:t>
      </w:r>
    </w:p>
    <w:p w14:paraId="480DEAB7">
      <w:pPr>
        <w:keepNext w:val="0"/>
        <w:keepLines w:val="0"/>
        <w:pageBreakBefore w:val="0"/>
        <w:widowControl w:val="0"/>
        <w:kinsoku/>
        <w:wordWrap w:val="0"/>
        <w:overflowPunct/>
        <w:topLinePunct/>
        <w:autoSpaceDE/>
        <w:autoSpaceDN/>
        <w:bidi w:val="0"/>
        <w:adjustRightInd w:val="0"/>
        <w:snapToGrid w:val="0"/>
        <w:spacing w:line="360" w:lineRule="auto"/>
        <w:ind w:left="12" w:right="96" w:rightChars="40" w:firstLine="474"/>
        <w:textAlignment w:val="baseline"/>
        <w:rPr>
          <w:rFonts w:hint="eastAsia" w:ascii="宋体" w:hAnsi="宋体" w:eastAsia="宋体" w:cs="宋体"/>
          <w:color w:val="auto"/>
          <w:sz w:val="24"/>
          <w:szCs w:val="24"/>
          <w:highlight w:val="none"/>
        </w:rPr>
      </w:pPr>
      <w:r>
        <w:rPr>
          <w:rFonts w:hint="eastAsia" w:hAnsi="宋体" w:eastAsia="宋体" w:cs="宋体"/>
          <w:b/>
          <w:bCs/>
          <w:color w:val="auto"/>
          <w:sz w:val="24"/>
          <w:szCs w:val="24"/>
          <w:highlight w:val="none"/>
          <w:lang w:val="en-US" w:eastAsia="zh-CN"/>
        </w:rPr>
        <w:t>2</w:t>
      </w:r>
      <w:r>
        <w:rPr>
          <w:rFonts w:hint="eastAsia" w:ascii="宋体" w:hAnsi="宋体" w:eastAsia="宋体" w:cs="宋体"/>
          <w:b/>
          <w:bCs/>
          <w:color w:val="auto"/>
          <w:sz w:val="24"/>
          <w:szCs w:val="24"/>
          <w:highlight w:val="none"/>
        </w:rPr>
        <w:t xml:space="preserve">.4  </w:t>
      </w:r>
      <w:r>
        <w:rPr>
          <w:rFonts w:hint="eastAsia" w:ascii="宋体" w:hAnsi="宋体" w:eastAsia="宋体" w:cs="宋体"/>
          <w:color w:val="auto"/>
          <w:sz w:val="24"/>
          <w:szCs w:val="24"/>
          <w:highlight w:val="none"/>
        </w:rPr>
        <w:t>在工程实施过程中，如果承包人（即招标阶段的中标人，下同）由于自身的资</w:t>
      </w:r>
      <w:r>
        <w:rPr>
          <w:rFonts w:hint="eastAsia" w:ascii="宋体" w:hAnsi="宋体" w:eastAsia="宋体" w:cs="宋体"/>
          <w:color w:val="auto"/>
          <w:spacing w:val="-2"/>
          <w:sz w:val="24"/>
          <w:szCs w:val="24"/>
          <w:highlight w:val="none"/>
        </w:rPr>
        <w:t>金、技术、质量、非不可抗力等原因给发包人（即招标阶段的招标人，下同）造成经济</w:t>
      </w:r>
      <w:r>
        <w:rPr>
          <w:rFonts w:hint="eastAsia" w:ascii="宋体" w:hAnsi="宋体" w:eastAsia="宋体" w:cs="宋体"/>
          <w:color w:val="auto"/>
          <w:spacing w:val="-1"/>
          <w:sz w:val="24"/>
          <w:szCs w:val="24"/>
          <w:highlight w:val="none"/>
        </w:rPr>
        <w:t>损失，发包人有权扣划相应金额的履约保证。</w:t>
      </w:r>
    </w:p>
    <w:p w14:paraId="652E5A26">
      <w:pPr>
        <w:pageBreakBefore w:val="0"/>
        <w:kinsoku/>
        <w:wordWrap w:val="0"/>
        <w:overflowPunct/>
        <w:topLinePunct w:val="0"/>
        <w:autoSpaceDE/>
        <w:autoSpaceDN/>
        <w:bidi w:val="0"/>
        <w:adjustRightInd w:val="0"/>
        <w:snapToGrid w:val="0"/>
        <w:spacing w:line="440" w:lineRule="exact"/>
        <w:ind w:firstLine="482" w:firstLineChars="200"/>
        <w:textAlignment w:val="auto"/>
        <w:rPr>
          <w:rFonts w:hint="default" w:asciiTheme="minorEastAsia" w:hAnsiTheme="minorEastAsia" w:eastAsiaTheme="minorEastAsia" w:cstheme="minorEastAsia"/>
          <w:snapToGrid w:val="0"/>
          <w:color w:val="auto"/>
          <w:kern w:val="0"/>
          <w:szCs w:val="24"/>
          <w:highlight w:val="none"/>
        </w:rPr>
      </w:pPr>
      <w:r>
        <w:rPr>
          <w:rFonts w:hint="eastAsia" w:hAnsi="宋体" w:eastAsia="宋体" w:cs="宋体"/>
          <w:b/>
          <w:bCs/>
          <w:color w:val="auto"/>
          <w:sz w:val="24"/>
          <w:szCs w:val="24"/>
          <w:highlight w:val="none"/>
          <w:lang w:val="en-US" w:eastAsia="zh-CN"/>
        </w:rPr>
        <w:t>2</w:t>
      </w:r>
      <w:r>
        <w:rPr>
          <w:rFonts w:hint="eastAsia" w:ascii="宋体" w:hAnsi="宋体" w:eastAsia="宋体" w:cs="宋体"/>
          <w:b/>
          <w:bCs/>
          <w:color w:val="auto"/>
          <w:sz w:val="24"/>
          <w:szCs w:val="24"/>
          <w:highlight w:val="none"/>
        </w:rPr>
        <w:t xml:space="preserve">.5  </w:t>
      </w:r>
      <w:r>
        <w:rPr>
          <w:rFonts w:hint="eastAsia" w:ascii="宋体" w:hAnsi="宋体" w:eastAsia="宋体" w:cs="宋体"/>
          <w:color w:val="auto"/>
          <w:sz w:val="24"/>
          <w:szCs w:val="24"/>
          <w:highlight w:val="none"/>
        </w:rPr>
        <w:t>项目通过竣工验收之日后</w:t>
      </w:r>
      <w:r>
        <w:rPr>
          <w:rFonts w:hint="eastAsia" w:ascii="宋体" w:hAnsi="宋体" w:eastAsia="宋体" w:cs="宋体"/>
          <w:color w:val="auto"/>
          <w:spacing w:val="-55"/>
          <w:sz w:val="24"/>
          <w:szCs w:val="24"/>
          <w:highlight w:val="none"/>
        </w:rPr>
        <w:t xml:space="preserve"> </w:t>
      </w:r>
      <w:r>
        <w:rPr>
          <w:rFonts w:hint="eastAsia" w:ascii="宋体" w:hAnsi="宋体" w:eastAsia="宋体" w:cs="宋体"/>
          <w:color w:val="auto"/>
          <w:sz w:val="24"/>
          <w:szCs w:val="24"/>
          <w:highlight w:val="none"/>
        </w:rPr>
        <w:t>28天内，发包人将履</w:t>
      </w:r>
      <w:r>
        <w:rPr>
          <w:rFonts w:hint="eastAsia" w:ascii="宋体" w:hAnsi="宋体" w:eastAsia="宋体" w:cs="宋体"/>
          <w:color w:val="auto"/>
          <w:spacing w:val="-1"/>
          <w:sz w:val="24"/>
          <w:szCs w:val="24"/>
          <w:highlight w:val="none"/>
        </w:rPr>
        <w:t>约保证退还给承包人</w:t>
      </w:r>
      <w:r>
        <w:rPr>
          <w:rFonts w:asciiTheme="minorEastAsia" w:hAnsiTheme="minorEastAsia" w:eastAsiaTheme="minorEastAsia" w:cstheme="minorEastAsia"/>
          <w:snapToGrid w:val="0"/>
          <w:color w:val="auto"/>
          <w:kern w:val="0"/>
          <w:szCs w:val="24"/>
          <w:highlight w:val="none"/>
        </w:rPr>
        <w:t>。</w:t>
      </w:r>
    </w:p>
    <w:p w14:paraId="110BDAA9">
      <w:pPr>
        <w:pStyle w:val="48"/>
        <w:pageBreakBefore w:val="0"/>
        <w:kinsoku/>
        <w:overflowPunct/>
        <w:topLinePunct w:val="0"/>
        <w:autoSpaceDE/>
        <w:autoSpaceDN/>
        <w:bidi w:val="0"/>
        <w:spacing w:line="440" w:lineRule="exact"/>
        <w:ind w:firstLine="0"/>
        <w:jc w:val="both"/>
        <w:textAlignment w:val="auto"/>
        <w:outlineLvl w:val="1"/>
        <w:rPr>
          <w:rFonts w:hint="eastAsia" w:asciiTheme="minorEastAsia" w:hAnsiTheme="minorEastAsia" w:eastAsiaTheme="minorEastAsia" w:cstheme="minorEastAsia"/>
          <w:b/>
          <w:color w:val="auto"/>
          <w:kern w:val="2"/>
          <w:highlight w:val="none"/>
        </w:rPr>
      </w:pPr>
      <w:bookmarkStart w:id="412" w:name="_Toc31210"/>
      <w:r>
        <w:rPr>
          <w:rFonts w:hint="eastAsia" w:asciiTheme="minorEastAsia" w:hAnsiTheme="minorEastAsia" w:eastAsiaTheme="minorEastAsia" w:cstheme="minorEastAsia"/>
          <w:b/>
          <w:color w:val="auto"/>
          <w:kern w:val="2"/>
          <w:highlight w:val="none"/>
          <w:lang w:eastAsia="zh-CN"/>
        </w:rPr>
        <w:t>3.</w:t>
      </w:r>
      <w:r>
        <w:rPr>
          <w:rFonts w:hint="eastAsia" w:asciiTheme="minorEastAsia" w:hAnsiTheme="minorEastAsia" w:eastAsiaTheme="minorEastAsia" w:cstheme="minorEastAsia"/>
          <w:b/>
          <w:color w:val="auto"/>
          <w:kern w:val="2"/>
          <w:highlight w:val="none"/>
        </w:rPr>
        <w:t>质量保证</w:t>
      </w:r>
      <w:bookmarkEnd w:id="412"/>
    </w:p>
    <w:p w14:paraId="68A252D9">
      <w:pPr>
        <w:pageBreakBefore w:val="0"/>
        <w:kinsoku/>
        <w:wordWrap w:val="0"/>
        <w:overflowPunct/>
        <w:topLinePunct w:val="0"/>
        <w:autoSpaceDE/>
        <w:autoSpaceDN/>
        <w:bidi w:val="0"/>
        <w:adjustRightInd w:val="0"/>
        <w:snapToGrid w:val="0"/>
        <w:spacing w:line="440" w:lineRule="exact"/>
        <w:ind w:firstLine="560"/>
        <w:textAlignment w:val="auto"/>
        <w:rPr>
          <w:rFonts w:hint="default" w:asciiTheme="minorEastAsia" w:hAnsiTheme="minorEastAsia" w:eastAsiaTheme="minorEastAsia" w:cstheme="minorEastAsia"/>
          <w:bCs/>
          <w:snapToGrid w:val="0"/>
          <w:color w:val="auto"/>
          <w:kern w:val="0"/>
          <w:szCs w:val="24"/>
          <w:highlight w:val="none"/>
        </w:rPr>
      </w:pPr>
      <w:r>
        <w:rPr>
          <w:rFonts w:asciiTheme="minorEastAsia" w:hAnsiTheme="minorEastAsia" w:eastAsiaTheme="minorEastAsia" w:cstheme="minorEastAsia"/>
          <w:b/>
          <w:bCs/>
          <w:snapToGrid w:val="0"/>
          <w:color w:val="auto"/>
          <w:kern w:val="0"/>
          <w:szCs w:val="24"/>
          <w:highlight w:val="none"/>
        </w:rPr>
        <w:t>3.1</w:t>
      </w:r>
      <w:r>
        <w:rPr>
          <w:rFonts w:asciiTheme="minorEastAsia" w:hAnsiTheme="minorEastAsia" w:eastAsiaTheme="minorEastAsia" w:cstheme="minorEastAsia"/>
          <w:bCs/>
          <w:snapToGrid w:val="0"/>
          <w:color w:val="auto"/>
          <w:kern w:val="0"/>
          <w:szCs w:val="24"/>
          <w:highlight w:val="none"/>
        </w:rPr>
        <w:t xml:space="preserve"> 本工程缺陷责任期为</w:t>
      </w:r>
      <w:r>
        <w:rPr>
          <w:rFonts w:asciiTheme="minorEastAsia" w:hAnsiTheme="minorEastAsia" w:eastAsiaTheme="minorEastAsia" w:cstheme="minorEastAsia"/>
          <w:bCs/>
          <w:snapToGrid w:val="0"/>
          <w:color w:val="auto"/>
          <w:kern w:val="0"/>
          <w:szCs w:val="24"/>
          <w:highlight w:val="none"/>
          <w:u w:val="single"/>
        </w:rPr>
        <w:t>2</w:t>
      </w:r>
      <w:r>
        <w:rPr>
          <w:rFonts w:asciiTheme="minorEastAsia" w:hAnsiTheme="minorEastAsia" w:eastAsiaTheme="minorEastAsia" w:cstheme="minorEastAsia"/>
          <w:bCs/>
          <w:snapToGrid w:val="0"/>
          <w:color w:val="auto"/>
          <w:kern w:val="0"/>
          <w:szCs w:val="24"/>
          <w:highlight w:val="none"/>
        </w:rPr>
        <w:t>年（自通过竣工验收之日起计），在此期间预留金额为结算价</w:t>
      </w:r>
      <w:r>
        <w:rPr>
          <w:rFonts w:asciiTheme="minorEastAsia" w:hAnsiTheme="minorEastAsia" w:eastAsiaTheme="minorEastAsia" w:cstheme="minorEastAsia"/>
          <w:bCs/>
          <w:snapToGrid w:val="0"/>
          <w:color w:val="auto"/>
          <w:kern w:val="0"/>
          <w:szCs w:val="24"/>
          <w:highlight w:val="none"/>
          <w:u w:val="single"/>
        </w:rPr>
        <w:t>3%</w:t>
      </w:r>
      <w:r>
        <w:rPr>
          <w:rFonts w:asciiTheme="minorEastAsia" w:hAnsiTheme="minorEastAsia" w:eastAsiaTheme="minorEastAsia" w:cstheme="minorEastAsia"/>
          <w:bCs/>
          <w:snapToGrid w:val="0"/>
          <w:color w:val="auto"/>
          <w:kern w:val="0"/>
          <w:szCs w:val="24"/>
          <w:highlight w:val="none"/>
        </w:rPr>
        <w:t>的质量保证。</w:t>
      </w:r>
    </w:p>
    <w:p w14:paraId="3043626B">
      <w:pPr>
        <w:pageBreakBefore w:val="0"/>
        <w:kinsoku/>
        <w:wordWrap w:val="0"/>
        <w:overflowPunct/>
        <w:topLinePunct w:val="0"/>
        <w:autoSpaceDE/>
        <w:autoSpaceDN/>
        <w:bidi w:val="0"/>
        <w:adjustRightInd w:val="0"/>
        <w:snapToGrid w:val="0"/>
        <w:spacing w:line="440" w:lineRule="exact"/>
        <w:ind w:firstLine="560"/>
        <w:textAlignment w:val="auto"/>
        <w:rPr>
          <w:rFonts w:hint="default" w:asciiTheme="minorEastAsia" w:hAnsiTheme="minorEastAsia" w:eastAsiaTheme="minorEastAsia" w:cstheme="minorEastAsia"/>
          <w:bCs/>
          <w:snapToGrid w:val="0"/>
          <w:color w:val="auto"/>
          <w:kern w:val="0"/>
          <w:szCs w:val="24"/>
          <w:highlight w:val="none"/>
        </w:rPr>
      </w:pPr>
      <w:r>
        <w:rPr>
          <w:rFonts w:asciiTheme="minorEastAsia" w:hAnsiTheme="minorEastAsia" w:eastAsiaTheme="minorEastAsia" w:cstheme="minorEastAsia"/>
          <w:b/>
          <w:bCs/>
          <w:snapToGrid w:val="0"/>
          <w:color w:val="auto"/>
          <w:kern w:val="0"/>
          <w:szCs w:val="24"/>
          <w:highlight w:val="none"/>
        </w:rPr>
        <w:t>3.2</w:t>
      </w:r>
      <w:r>
        <w:rPr>
          <w:rFonts w:asciiTheme="minorEastAsia" w:hAnsiTheme="minorEastAsia" w:eastAsiaTheme="minorEastAsia" w:cstheme="minorEastAsia"/>
          <w:bCs/>
          <w:snapToGrid w:val="0"/>
          <w:color w:val="auto"/>
          <w:kern w:val="0"/>
          <w:szCs w:val="24"/>
          <w:highlight w:val="none"/>
        </w:rPr>
        <w:t xml:space="preserve"> 质量保证的形式包括质量保证金、质量保证担保、质量保证保险三种，由中标人自主选择。</w:t>
      </w:r>
    </w:p>
    <w:p w14:paraId="2AF60F26">
      <w:pPr>
        <w:pageBreakBefore w:val="0"/>
        <w:kinsoku/>
        <w:wordWrap w:val="0"/>
        <w:overflowPunct/>
        <w:topLinePunct w:val="0"/>
        <w:autoSpaceDE/>
        <w:autoSpaceDN/>
        <w:bidi w:val="0"/>
        <w:adjustRightInd w:val="0"/>
        <w:snapToGrid w:val="0"/>
        <w:spacing w:line="440" w:lineRule="exact"/>
        <w:ind w:firstLine="561"/>
        <w:textAlignment w:val="auto"/>
        <w:rPr>
          <w:rFonts w:hint="default" w:asciiTheme="minorEastAsia" w:hAnsiTheme="minorEastAsia" w:eastAsiaTheme="minorEastAsia" w:cstheme="minorEastAsia"/>
          <w:bCs/>
          <w:snapToGrid w:val="0"/>
          <w:color w:val="auto"/>
          <w:kern w:val="0"/>
          <w:szCs w:val="24"/>
          <w:highlight w:val="none"/>
        </w:rPr>
      </w:pPr>
      <w:r>
        <w:rPr>
          <w:rFonts w:asciiTheme="minorEastAsia" w:hAnsiTheme="minorEastAsia" w:eastAsiaTheme="minorEastAsia" w:cstheme="minorEastAsia"/>
          <w:bCs/>
          <w:snapToGrid w:val="0"/>
          <w:color w:val="auto"/>
          <w:kern w:val="0"/>
          <w:szCs w:val="24"/>
          <w:highlight w:val="none"/>
        </w:rPr>
        <w:t>（1）采用质量保证金形式的，在结清审定总造价时一次性扣留相应金额作为质量保证金。</w:t>
      </w:r>
    </w:p>
    <w:p w14:paraId="6AAC45BB">
      <w:pPr>
        <w:pageBreakBefore w:val="0"/>
        <w:kinsoku/>
        <w:wordWrap w:val="0"/>
        <w:overflowPunct/>
        <w:topLinePunct w:val="0"/>
        <w:autoSpaceDE/>
        <w:autoSpaceDN/>
        <w:bidi w:val="0"/>
        <w:adjustRightInd w:val="0"/>
        <w:snapToGrid w:val="0"/>
        <w:spacing w:line="440" w:lineRule="exact"/>
        <w:ind w:firstLine="561"/>
        <w:textAlignment w:val="auto"/>
        <w:rPr>
          <w:rFonts w:hint="default" w:asciiTheme="minorEastAsia" w:hAnsiTheme="minorEastAsia" w:eastAsiaTheme="minorEastAsia" w:cstheme="minorEastAsia"/>
          <w:bCs/>
          <w:snapToGrid w:val="0"/>
          <w:color w:val="auto"/>
          <w:kern w:val="0"/>
          <w:szCs w:val="24"/>
          <w:highlight w:val="none"/>
        </w:rPr>
      </w:pPr>
      <w:r>
        <w:rPr>
          <w:rFonts w:asciiTheme="minorEastAsia" w:hAnsiTheme="minorEastAsia" w:eastAsiaTheme="minorEastAsia" w:cstheme="minorEastAsia"/>
          <w:bCs/>
          <w:snapToGrid w:val="0"/>
          <w:color w:val="auto"/>
          <w:kern w:val="0"/>
          <w:szCs w:val="24"/>
          <w:highlight w:val="none"/>
        </w:rPr>
        <w:t>（2）采用质量保证担保或质量保证保险的，中标人应在竣工验收时向招标人提交有效的银行保函原件或保险合同原件（或保险单），银行保函或保险合同原件（或保险单）的有效期不得短于缺陷责任期。</w:t>
      </w:r>
    </w:p>
    <w:p w14:paraId="7B795AE7">
      <w:pPr>
        <w:pageBreakBefore w:val="0"/>
        <w:kinsoku/>
        <w:wordWrap w:val="0"/>
        <w:overflowPunct/>
        <w:topLinePunct w:val="0"/>
        <w:autoSpaceDE/>
        <w:autoSpaceDN/>
        <w:bidi w:val="0"/>
        <w:adjustRightInd w:val="0"/>
        <w:snapToGrid w:val="0"/>
        <w:spacing w:line="440" w:lineRule="exact"/>
        <w:ind w:firstLine="561"/>
        <w:textAlignment w:val="auto"/>
        <w:rPr>
          <w:rFonts w:hint="default" w:asciiTheme="minorEastAsia" w:hAnsiTheme="minorEastAsia" w:eastAsiaTheme="minorEastAsia" w:cstheme="minorEastAsia"/>
          <w:bCs/>
          <w:snapToGrid w:val="0"/>
          <w:color w:val="auto"/>
          <w:kern w:val="0"/>
          <w:szCs w:val="24"/>
          <w:highlight w:val="none"/>
        </w:rPr>
      </w:pPr>
      <w:r>
        <w:rPr>
          <w:rFonts w:asciiTheme="minorEastAsia" w:hAnsiTheme="minorEastAsia" w:eastAsiaTheme="minorEastAsia" w:cstheme="minorEastAsia"/>
          <w:b/>
          <w:bCs/>
          <w:snapToGrid w:val="0"/>
          <w:color w:val="auto"/>
          <w:kern w:val="0"/>
          <w:szCs w:val="24"/>
          <w:highlight w:val="none"/>
        </w:rPr>
        <w:t>3.3</w:t>
      </w:r>
      <w:r>
        <w:rPr>
          <w:rFonts w:asciiTheme="minorEastAsia" w:hAnsiTheme="minorEastAsia" w:eastAsiaTheme="minorEastAsia" w:cstheme="minorEastAsia"/>
          <w:bCs/>
          <w:snapToGrid w:val="0"/>
          <w:color w:val="auto"/>
          <w:kern w:val="0"/>
          <w:szCs w:val="24"/>
          <w:highlight w:val="none"/>
        </w:rPr>
        <w:t xml:space="preserve"> 缺陷责任期内，由中标人原因造成的缺陷，中标人应负责维修，并承担鉴定及维修费用。如果中标人不维修也不承担费用，招标人可按合同约定从质量保证中扣除，维修费用超出保证金额的，招标人可按合同约定向中标人进行索赔。中标人维修并承担相应费用后，不免除对工程的损失赔偿责任。</w:t>
      </w:r>
    </w:p>
    <w:p w14:paraId="4BB191D1">
      <w:pPr>
        <w:pageBreakBefore w:val="0"/>
        <w:kinsoku/>
        <w:wordWrap w:val="0"/>
        <w:overflowPunct/>
        <w:topLinePunct w:val="0"/>
        <w:autoSpaceDE/>
        <w:autoSpaceDN/>
        <w:bidi w:val="0"/>
        <w:adjustRightInd w:val="0"/>
        <w:snapToGrid w:val="0"/>
        <w:spacing w:line="440" w:lineRule="exact"/>
        <w:ind w:firstLine="561"/>
        <w:textAlignment w:val="auto"/>
        <w:rPr>
          <w:rFonts w:hint="default" w:asciiTheme="minorEastAsia" w:hAnsiTheme="minorEastAsia" w:eastAsiaTheme="minorEastAsia" w:cstheme="minorEastAsia"/>
          <w:bCs/>
          <w:snapToGrid w:val="0"/>
          <w:color w:val="auto"/>
          <w:kern w:val="0"/>
          <w:szCs w:val="24"/>
          <w:highlight w:val="none"/>
        </w:rPr>
      </w:pPr>
      <w:r>
        <w:rPr>
          <w:rFonts w:asciiTheme="minorEastAsia" w:hAnsiTheme="minorEastAsia" w:eastAsiaTheme="minorEastAsia" w:cstheme="minorEastAsia"/>
          <w:bCs/>
          <w:snapToGrid w:val="0"/>
          <w:color w:val="auto"/>
          <w:kern w:val="0"/>
          <w:szCs w:val="24"/>
          <w:highlight w:val="none"/>
        </w:rPr>
        <w:t>由他人原因造成的缺陷，招标人负责组织维修，中标人不承担费用，且招标人不得从质量保证中扣除费用。</w:t>
      </w:r>
    </w:p>
    <w:p w14:paraId="03645A0E">
      <w:pPr>
        <w:pageBreakBefore w:val="0"/>
        <w:kinsoku/>
        <w:wordWrap w:val="0"/>
        <w:overflowPunct/>
        <w:topLinePunct w:val="0"/>
        <w:autoSpaceDE/>
        <w:autoSpaceDN/>
        <w:bidi w:val="0"/>
        <w:adjustRightInd w:val="0"/>
        <w:snapToGrid w:val="0"/>
        <w:spacing w:line="440" w:lineRule="exact"/>
        <w:ind w:firstLine="561"/>
        <w:textAlignment w:val="auto"/>
        <w:rPr>
          <w:rFonts w:asciiTheme="minorEastAsia" w:hAnsiTheme="minorEastAsia" w:eastAsiaTheme="minorEastAsia" w:cstheme="minorEastAsia"/>
          <w:bCs/>
          <w:snapToGrid w:val="0"/>
          <w:color w:val="auto"/>
          <w:kern w:val="0"/>
          <w:szCs w:val="24"/>
          <w:highlight w:val="none"/>
        </w:rPr>
      </w:pPr>
      <w:r>
        <w:rPr>
          <w:rFonts w:asciiTheme="minorEastAsia" w:hAnsiTheme="minorEastAsia" w:eastAsiaTheme="minorEastAsia" w:cstheme="minorEastAsia"/>
          <w:b/>
          <w:bCs/>
          <w:snapToGrid w:val="0"/>
          <w:color w:val="auto"/>
          <w:kern w:val="0"/>
          <w:szCs w:val="24"/>
          <w:highlight w:val="none"/>
        </w:rPr>
        <w:t>3.4</w:t>
      </w:r>
      <w:r>
        <w:rPr>
          <w:rFonts w:asciiTheme="minorEastAsia" w:hAnsiTheme="minorEastAsia" w:eastAsiaTheme="minorEastAsia" w:cstheme="minorEastAsia"/>
          <w:bCs/>
          <w:snapToGrid w:val="0"/>
          <w:color w:val="auto"/>
          <w:kern w:val="0"/>
          <w:szCs w:val="24"/>
          <w:highlight w:val="none"/>
        </w:rPr>
        <w:t xml:space="preserve"> 缺陷责任期内，中标人应认真履行合同约定的责任。缺陷责任期到期后，中标人向招标人申请退还质量保</w:t>
      </w:r>
      <w:r>
        <w:rPr>
          <w:rFonts w:hint="eastAsia" w:asciiTheme="minorEastAsia" w:hAnsiTheme="minorEastAsia" w:eastAsiaTheme="minorEastAsia" w:cstheme="minorEastAsia"/>
          <w:bCs/>
          <w:snapToGrid w:val="0"/>
          <w:color w:val="auto"/>
          <w:kern w:val="0"/>
          <w:szCs w:val="24"/>
          <w:highlight w:val="none"/>
          <w:lang w:eastAsia="zh-CN"/>
        </w:rPr>
        <w:t>证金</w:t>
      </w:r>
      <w:r>
        <w:rPr>
          <w:rFonts w:asciiTheme="minorEastAsia" w:hAnsiTheme="minorEastAsia" w:eastAsiaTheme="minorEastAsia" w:cstheme="minorEastAsia"/>
          <w:bCs/>
          <w:snapToGrid w:val="0"/>
          <w:color w:val="auto"/>
          <w:kern w:val="0"/>
          <w:szCs w:val="24"/>
          <w:highlight w:val="none"/>
        </w:rPr>
        <w:t>，招标人应按照《建设工程质量保证金管理办法</w:t>
      </w:r>
      <w:r>
        <w:rPr>
          <w:rFonts w:hint="eastAsia" w:asciiTheme="minorEastAsia" w:hAnsiTheme="minorEastAsia" w:eastAsiaTheme="minorEastAsia" w:cstheme="minorEastAsia"/>
          <w:bCs/>
          <w:snapToGrid w:val="0"/>
          <w:color w:val="auto"/>
          <w:kern w:val="0"/>
          <w:szCs w:val="24"/>
          <w:highlight w:val="none"/>
          <w:lang w:eastAsia="zh-CN"/>
        </w:rPr>
        <w:t>》等</w:t>
      </w:r>
      <w:r>
        <w:rPr>
          <w:rFonts w:asciiTheme="minorEastAsia" w:hAnsiTheme="minorEastAsia" w:eastAsiaTheme="minorEastAsia" w:cstheme="minorEastAsia"/>
          <w:bCs/>
          <w:snapToGrid w:val="0"/>
          <w:color w:val="auto"/>
          <w:kern w:val="0"/>
          <w:szCs w:val="24"/>
          <w:highlight w:val="none"/>
        </w:rPr>
        <w:t>有关规定将质量保</w:t>
      </w:r>
      <w:r>
        <w:rPr>
          <w:rFonts w:hint="eastAsia" w:asciiTheme="minorEastAsia" w:hAnsiTheme="minorEastAsia" w:eastAsiaTheme="minorEastAsia" w:cstheme="minorEastAsia"/>
          <w:bCs/>
          <w:snapToGrid w:val="0"/>
          <w:color w:val="auto"/>
          <w:kern w:val="0"/>
          <w:szCs w:val="24"/>
          <w:highlight w:val="none"/>
          <w:lang w:eastAsia="zh-CN"/>
        </w:rPr>
        <w:t>证金</w:t>
      </w:r>
      <w:r>
        <w:rPr>
          <w:rFonts w:asciiTheme="minorEastAsia" w:hAnsiTheme="minorEastAsia" w:eastAsiaTheme="minorEastAsia" w:cstheme="minorEastAsia"/>
          <w:bCs/>
          <w:snapToGrid w:val="0"/>
          <w:color w:val="auto"/>
          <w:kern w:val="0"/>
          <w:szCs w:val="24"/>
          <w:highlight w:val="none"/>
        </w:rPr>
        <w:t>退还给中标人（不计息）。</w:t>
      </w:r>
    </w:p>
    <w:p w14:paraId="3B059431">
      <w:pPr>
        <w:rPr>
          <w:color w:val="auto"/>
          <w:highlight w:val="none"/>
        </w:rPr>
      </w:pPr>
    </w:p>
    <w:p w14:paraId="034555A3">
      <w:pPr>
        <w:rPr>
          <w:rFonts w:asciiTheme="minorEastAsia" w:hAnsiTheme="minorEastAsia" w:eastAsiaTheme="minorEastAsia" w:cstheme="minorEastAsia"/>
          <w:bCs/>
          <w:snapToGrid w:val="0"/>
          <w:color w:val="auto"/>
          <w:kern w:val="0"/>
          <w:szCs w:val="24"/>
          <w:highlight w:val="none"/>
        </w:rPr>
      </w:pPr>
    </w:p>
    <w:p w14:paraId="1923D9CF">
      <w:pPr>
        <w:bidi w:val="0"/>
        <w:rPr>
          <w:rFonts w:hint="eastAsia"/>
          <w:color w:val="auto"/>
          <w:highlight w:val="none"/>
        </w:rPr>
      </w:pPr>
      <w:bookmarkStart w:id="413" w:name="_Toc4262"/>
      <w:bookmarkStart w:id="414" w:name="_Toc16873"/>
      <w:bookmarkStart w:id="415" w:name="_Toc22105"/>
      <w:bookmarkStart w:id="416" w:name="_Toc25046"/>
      <w:bookmarkStart w:id="417" w:name="_Toc26916"/>
      <w:bookmarkStart w:id="418" w:name="_Toc17661"/>
      <w:bookmarkStart w:id="419" w:name="_Toc12936"/>
      <w:bookmarkStart w:id="420" w:name="_Toc29236"/>
    </w:p>
    <w:p w14:paraId="6A975E67">
      <w:pPr>
        <w:bidi w:val="0"/>
        <w:rPr>
          <w:rFonts w:hint="eastAsia"/>
          <w:color w:val="auto"/>
          <w:highlight w:val="none"/>
        </w:rPr>
      </w:pPr>
    </w:p>
    <w:p w14:paraId="35182F00">
      <w:pPr>
        <w:bidi w:val="0"/>
        <w:rPr>
          <w:rFonts w:hint="eastAsia"/>
          <w:color w:val="auto"/>
          <w:highlight w:val="none"/>
        </w:rPr>
      </w:pPr>
    </w:p>
    <w:p w14:paraId="2E39CA0C">
      <w:pPr>
        <w:bidi w:val="0"/>
        <w:rPr>
          <w:rFonts w:hint="eastAsia"/>
          <w:color w:val="auto"/>
          <w:highlight w:val="none"/>
        </w:rPr>
      </w:pPr>
    </w:p>
    <w:p w14:paraId="6DF10904">
      <w:pPr>
        <w:bidi w:val="0"/>
        <w:rPr>
          <w:rFonts w:hint="eastAsia"/>
          <w:color w:val="auto"/>
          <w:highlight w:val="none"/>
        </w:rPr>
      </w:pPr>
    </w:p>
    <w:p w14:paraId="155AEFA7">
      <w:pPr>
        <w:bidi w:val="0"/>
        <w:rPr>
          <w:rFonts w:hint="eastAsia"/>
          <w:color w:val="auto"/>
          <w:highlight w:val="none"/>
        </w:rPr>
      </w:pPr>
    </w:p>
    <w:p w14:paraId="5D79B06F">
      <w:pPr>
        <w:bidi w:val="0"/>
        <w:rPr>
          <w:rFonts w:hint="eastAsia"/>
          <w:color w:val="auto"/>
          <w:highlight w:val="none"/>
        </w:rPr>
      </w:pPr>
    </w:p>
    <w:p w14:paraId="0BE86696">
      <w:pPr>
        <w:rPr>
          <w:rFonts w:hint="eastAsia" w:asciiTheme="minorEastAsia" w:hAnsiTheme="minorEastAsia" w:eastAsiaTheme="minorEastAsia" w:cstheme="minorEastAsia"/>
          <w:b/>
          <w:color w:val="auto"/>
          <w:kern w:val="44"/>
          <w:sz w:val="36"/>
          <w:szCs w:val="36"/>
          <w:highlight w:val="none"/>
        </w:rPr>
      </w:pPr>
      <w:r>
        <w:rPr>
          <w:rFonts w:hint="eastAsia" w:asciiTheme="minorEastAsia" w:hAnsiTheme="minorEastAsia" w:eastAsiaTheme="minorEastAsia" w:cstheme="minorEastAsia"/>
          <w:b/>
          <w:color w:val="auto"/>
          <w:kern w:val="44"/>
          <w:sz w:val="36"/>
          <w:szCs w:val="36"/>
          <w:highlight w:val="none"/>
        </w:rPr>
        <w:br w:type="page"/>
      </w:r>
    </w:p>
    <w:p w14:paraId="4CD062EC">
      <w:pPr>
        <w:pStyle w:val="38"/>
        <w:keepNext/>
        <w:keepLines/>
        <w:tabs>
          <w:tab w:val="left" w:pos="885"/>
        </w:tabs>
        <w:jc w:val="center"/>
        <w:rPr>
          <w:rFonts w:asciiTheme="minorEastAsia" w:hAnsiTheme="minorEastAsia" w:eastAsiaTheme="minorEastAsia" w:cstheme="minorEastAsia"/>
          <w:b/>
          <w:color w:val="auto"/>
          <w:kern w:val="44"/>
          <w:sz w:val="36"/>
          <w:szCs w:val="36"/>
          <w:highlight w:val="none"/>
        </w:rPr>
      </w:pPr>
      <w:bookmarkStart w:id="421" w:name="_Toc15719"/>
      <w:r>
        <w:rPr>
          <w:rFonts w:hint="eastAsia" w:asciiTheme="minorEastAsia" w:hAnsiTheme="minorEastAsia" w:eastAsiaTheme="minorEastAsia" w:cstheme="minorEastAsia"/>
          <w:b/>
          <w:color w:val="auto"/>
          <w:kern w:val="44"/>
          <w:sz w:val="36"/>
          <w:szCs w:val="36"/>
          <w:highlight w:val="none"/>
        </w:rPr>
        <w:t>第五章 招标工程的技术要求和前期文件</w:t>
      </w:r>
      <w:bookmarkEnd w:id="411"/>
      <w:bookmarkEnd w:id="413"/>
      <w:bookmarkEnd w:id="414"/>
      <w:bookmarkEnd w:id="415"/>
      <w:bookmarkEnd w:id="416"/>
      <w:bookmarkEnd w:id="417"/>
      <w:bookmarkEnd w:id="418"/>
      <w:bookmarkEnd w:id="419"/>
      <w:bookmarkEnd w:id="420"/>
      <w:bookmarkEnd w:id="421"/>
    </w:p>
    <w:p w14:paraId="3FD97C1A">
      <w:pPr>
        <w:spacing w:line="400" w:lineRule="exact"/>
        <w:ind w:left="480"/>
        <w:rPr>
          <w:rFonts w:hint="default" w:asciiTheme="minorEastAsia" w:hAnsiTheme="minorEastAsia" w:eastAsiaTheme="minorEastAsia" w:cstheme="minorEastAsia"/>
          <w:color w:val="auto"/>
          <w:szCs w:val="24"/>
          <w:highlight w:val="none"/>
        </w:rPr>
      </w:pPr>
      <w:bookmarkStart w:id="422" w:name="_Hlt80411122"/>
      <w:bookmarkEnd w:id="422"/>
      <w:bookmarkStart w:id="423" w:name="_Hlt75685840"/>
      <w:bookmarkEnd w:id="423"/>
      <w:bookmarkStart w:id="424" w:name="_Hlt69357851"/>
      <w:bookmarkEnd w:id="424"/>
      <w:bookmarkStart w:id="425" w:name="_Hlt68774758"/>
      <w:bookmarkEnd w:id="425"/>
      <w:bookmarkStart w:id="426" w:name="_Hlt69265216"/>
      <w:bookmarkEnd w:id="426"/>
      <w:bookmarkStart w:id="427" w:name="_Hlt69359335"/>
      <w:bookmarkEnd w:id="427"/>
      <w:bookmarkStart w:id="428" w:name="_Hlt87793370"/>
      <w:bookmarkEnd w:id="428"/>
      <w:bookmarkStart w:id="429" w:name="_Hlt66104926"/>
      <w:bookmarkEnd w:id="429"/>
      <w:bookmarkStart w:id="430" w:name="_Hlt69116854"/>
      <w:bookmarkEnd w:id="430"/>
      <w:bookmarkStart w:id="431" w:name="_Hlt87793346"/>
      <w:bookmarkEnd w:id="431"/>
      <w:bookmarkStart w:id="432" w:name="_Hlt69358207"/>
      <w:bookmarkEnd w:id="432"/>
      <w:bookmarkStart w:id="433" w:name="_Toc466640611"/>
    </w:p>
    <w:bookmarkEnd w:id="433"/>
    <w:p w14:paraId="25F83B16">
      <w:pPr>
        <w:keepNext w:val="0"/>
        <w:keepLines w:val="0"/>
        <w:pageBreakBefore w:val="0"/>
        <w:kinsoku/>
        <w:wordWrap w:val="0"/>
        <w:overflowPunct/>
        <w:topLinePunct w:val="0"/>
        <w:bidi w:val="0"/>
        <w:adjustRightInd w:val="0"/>
        <w:snapToGrid w:val="0"/>
        <w:spacing w:line="400" w:lineRule="exact"/>
        <w:ind w:firstLine="482" w:firstLineChars="200"/>
        <w:rPr>
          <w:rFonts w:hint="eastAsia" w:ascii="宋体" w:hAnsi="宋体" w:eastAsia="宋体" w:cs="宋体"/>
          <w:b/>
          <w:snapToGrid w:val="0"/>
          <w:color w:val="auto"/>
          <w:kern w:val="0"/>
          <w:sz w:val="24"/>
          <w:szCs w:val="24"/>
          <w:highlight w:val="none"/>
        </w:rPr>
      </w:pPr>
      <w:r>
        <w:rPr>
          <w:rFonts w:hint="eastAsia" w:hAnsi="宋体" w:eastAsia="宋体" w:cs="宋体"/>
          <w:b/>
          <w:snapToGrid w:val="0"/>
          <w:color w:val="auto"/>
          <w:kern w:val="0"/>
          <w:sz w:val="24"/>
          <w:szCs w:val="24"/>
          <w:highlight w:val="none"/>
          <w:lang w:eastAsia="zh-CN"/>
        </w:rPr>
        <w:t>1.</w:t>
      </w:r>
      <w:r>
        <w:rPr>
          <w:rFonts w:hint="eastAsia" w:ascii="宋体" w:hAnsi="宋体" w:eastAsia="宋体" w:cs="宋体"/>
          <w:b/>
          <w:snapToGrid w:val="0"/>
          <w:color w:val="auto"/>
          <w:kern w:val="0"/>
          <w:sz w:val="24"/>
          <w:szCs w:val="24"/>
          <w:highlight w:val="none"/>
        </w:rPr>
        <w:t>房屋建筑工程建设项目</w:t>
      </w:r>
    </w:p>
    <w:p w14:paraId="08431B43">
      <w:pPr>
        <w:keepNext w:val="0"/>
        <w:keepLines w:val="0"/>
        <w:pageBreakBefore w:val="0"/>
        <w:kinsoku/>
        <w:wordWrap w:val="0"/>
        <w:overflowPunct/>
        <w:topLinePunct w:val="0"/>
        <w:bidi w:val="0"/>
        <w:adjustRightInd w:val="0"/>
        <w:snapToGrid w:val="0"/>
        <w:spacing w:line="400" w:lineRule="exact"/>
        <w:ind w:firstLine="480" w:firstLineChars="200"/>
        <w:rPr>
          <w:rFonts w:hint="eastAsia" w:ascii="宋体" w:hAnsi="宋体" w:eastAsia="宋体" w:cs="宋体"/>
          <w:bCs/>
          <w:snapToGrid w:val="0"/>
          <w:color w:val="auto"/>
          <w:kern w:val="0"/>
          <w:sz w:val="24"/>
          <w:szCs w:val="24"/>
          <w:highlight w:val="none"/>
        </w:rPr>
      </w:pPr>
      <w:r>
        <w:rPr>
          <w:rFonts w:hint="eastAsia" w:ascii="宋体" w:hAnsi="宋体" w:eastAsia="宋体" w:cs="宋体"/>
          <w:bCs/>
          <w:snapToGrid w:val="0"/>
          <w:color w:val="auto"/>
          <w:kern w:val="0"/>
          <w:sz w:val="24"/>
          <w:szCs w:val="24"/>
          <w:highlight w:val="none"/>
        </w:rPr>
        <w:t>房屋建筑工程建设项目必须执行的现行技术规范，包括且不限于：</w:t>
      </w:r>
    </w:p>
    <w:p w14:paraId="51E073F7">
      <w:pPr>
        <w:keepNext w:val="0"/>
        <w:keepLines w:val="0"/>
        <w:pageBreakBefore w:val="0"/>
        <w:numPr>
          <w:ilvl w:val="0"/>
          <w:numId w:val="0"/>
        </w:numPr>
        <w:kinsoku/>
        <w:wordWrap w:val="0"/>
        <w:overflowPunct/>
        <w:topLinePunct w:val="0"/>
        <w:bidi w:val="0"/>
        <w:adjustRightInd w:val="0"/>
        <w:snapToGrid w:val="0"/>
        <w:spacing w:line="400" w:lineRule="exact"/>
        <w:ind w:left="425" w:firstLine="55" w:firstLineChars="0"/>
        <w:rPr>
          <w:rFonts w:hint="eastAsia" w:ascii="宋体" w:hAnsi="宋体" w:eastAsia="宋体" w:cs="宋体"/>
          <w:bCs/>
          <w:snapToGrid w:val="0"/>
          <w:color w:val="auto"/>
          <w:kern w:val="0"/>
          <w:sz w:val="24"/>
          <w:szCs w:val="24"/>
          <w:highlight w:val="none"/>
        </w:rPr>
      </w:pPr>
      <w:r>
        <w:rPr>
          <w:rFonts w:hint="eastAsia" w:hAnsi="宋体" w:eastAsia="宋体" w:cs="宋体"/>
          <w:bCs/>
          <w:snapToGrid w:val="0"/>
          <w:color w:val="auto"/>
          <w:kern w:val="0"/>
          <w:sz w:val="24"/>
          <w:szCs w:val="24"/>
          <w:highlight w:val="none"/>
          <w:lang w:val="en-US" w:eastAsia="zh-CN" w:bidi="ar-SA"/>
        </w:rPr>
        <w:t>（1）</w:t>
      </w:r>
      <w:r>
        <w:rPr>
          <w:rFonts w:hint="eastAsia" w:ascii="宋体" w:hAnsi="宋体" w:eastAsia="宋体" w:cs="宋体"/>
          <w:bCs/>
          <w:snapToGrid w:val="0"/>
          <w:color w:val="auto"/>
          <w:kern w:val="0"/>
          <w:sz w:val="24"/>
          <w:szCs w:val="24"/>
          <w:highlight w:val="none"/>
        </w:rPr>
        <w:t>《建筑工程施工质量验收统一标准》GB50300-2013；</w:t>
      </w:r>
    </w:p>
    <w:p w14:paraId="7A563012">
      <w:pPr>
        <w:keepNext w:val="0"/>
        <w:keepLines w:val="0"/>
        <w:pageBreakBefore w:val="0"/>
        <w:numPr>
          <w:ilvl w:val="0"/>
          <w:numId w:val="0"/>
        </w:numPr>
        <w:kinsoku/>
        <w:wordWrap w:val="0"/>
        <w:overflowPunct/>
        <w:topLinePunct w:val="0"/>
        <w:bidi w:val="0"/>
        <w:adjustRightInd w:val="0"/>
        <w:snapToGrid w:val="0"/>
        <w:spacing w:line="400" w:lineRule="exact"/>
        <w:ind w:left="425" w:firstLine="55" w:firstLineChars="0"/>
        <w:rPr>
          <w:rFonts w:hint="eastAsia" w:ascii="宋体" w:hAnsi="宋体" w:eastAsia="宋体" w:cs="宋体"/>
          <w:bCs/>
          <w:snapToGrid w:val="0"/>
          <w:color w:val="auto"/>
          <w:kern w:val="0"/>
          <w:sz w:val="24"/>
          <w:szCs w:val="24"/>
          <w:highlight w:val="none"/>
          <w:lang w:val="en-US" w:eastAsia="zh-CN"/>
        </w:rPr>
      </w:pPr>
      <w:r>
        <w:rPr>
          <w:rFonts w:hint="eastAsia" w:hAnsi="宋体" w:eastAsia="宋体" w:cs="宋体"/>
          <w:bCs/>
          <w:snapToGrid w:val="0"/>
          <w:color w:val="auto"/>
          <w:kern w:val="0"/>
          <w:sz w:val="24"/>
          <w:szCs w:val="24"/>
          <w:highlight w:val="none"/>
          <w:lang w:val="en-US" w:eastAsia="zh-CN" w:bidi="ar-SA"/>
        </w:rPr>
        <w:t>（2）</w:t>
      </w:r>
      <w:r>
        <w:rPr>
          <w:rFonts w:hint="eastAsia" w:ascii="宋体" w:hAnsi="宋体" w:eastAsia="宋体" w:cs="宋体"/>
          <w:bCs/>
          <w:snapToGrid w:val="0"/>
          <w:color w:val="auto"/>
          <w:kern w:val="0"/>
          <w:sz w:val="24"/>
          <w:szCs w:val="24"/>
          <w:highlight w:val="none"/>
        </w:rPr>
        <w:t>《建筑与市政工程施工质量控制通用规范》GB 55032-2022</w:t>
      </w:r>
      <w:r>
        <w:rPr>
          <w:rFonts w:hint="eastAsia" w:hAnsi="宋体" w:eastAsia="宋体" w:cs="宋体"/>
          <w:bCs/>
          <w:snapToGrid w:val="0"/>
          <w:color w:val="auto"/>
          <w:kern w:val="0"/>
          <w:sz w:val="24"/>
          <w:szCs w:val="24"/>
          <w:highlight w:val="none"/>
          <w:lang w:eastAsia="zh-CN"/>
        </w:rPr>
        <w:t>；</w:t>
      </w:r>
    </w:p>
    <w:p w14:paraId="0415014E">
      <w:pPr>
        <w:keepNext w:val="0"/>
        <w:keepLines w:val="0"/>
        <w:pageBreakBefore w:val="0"/>
        <w:numPr>
          <w:ilvl w:val="0"/>
          <w:numId w:val="0"/>
        </w:numPr>
        <w:kinsoku/>
        <w:wordWrap w:val="0"/>
        <w:overflowPunct/>
        <w:topLinePunct w:val="0"/>
        <w:bidi w:val="0"/>
        <w:adjustRightInd w:val="0"/>
        <w:snapToGrid w:val="0"/>
        <w:spacing w:line="400" w:lineRule="exact"/>
        <w:ind w:left="425" w:firstLine="55" w:firstLineChars="0"/>
        <w:rPr>
          <w:rFonts w:hint="eastAsia" w:ascii="宋体" w:hAnsi="宋体" w:eastAsia="宋体" w:cs="宋体"/>
          <w:bCs/>
          <w:snapToGrid w:val="0"/>
          <w:color w:val="auto"/>
          <w:kern w:val="0"/>
          <w:sz w:val="24"/>
          <w:szCs w:val="24"/>
          <w:highlight w:val="none"/>
        </w:rPr>
      </w:pPr>
      <w:r>
        <w:rPr>
          <w:rFonts w:hint="eastAsia" w:hAnsi="宋体" w:eastAsia="宋体" w:cs="宋体"/>
          <w:bCs/>
          <w:snapToGrid w:val="0"/>
          <w:color w:val="auto"/>
          <w:kern w:val="0"/>
          <w:sz w:val="24"/>
          <w:szCs w:val="24"/>
          <w:highlight w:val="none"/>
          <w:lang w:val="en-US" w:eastAsia="zh-CN" w:bidi="ar-SA"/>
        </w:rPr>
        <w:t>（3）</w:t>
      </w:r>
      <w:r>
        <w:rPr>
          <w:rFonts w:hint="eastAsia" w:ascii="宋体" w:hAnsi="宋体" w:eastAsia="宋体" w:cs="宋体"/>
          <w:bCs/>
          <w:snapToGrid w:val="0"/>
          <w:color w:val="auto"/>
          <w:kern w:val="0"/>
          <w:sz w:val="24"/>
          <w:szCs w:val="24"/>
          <w:highlight w:val="none"/>
        </w:rPr>
        <w:t>《</w:t>
      </w:r>
      <w:r>
        <w:rPr>
          <w:rFonts w:hint="eastAsia" w:hAnsi="宋体" w:eastAsia="宋体" w:cs="宋体"/>
          <w:bCs/>
          <w:snapToGrid w:val="0"/>
          <w:color w:val="auto"/>
          <w:kern w:val="0"/>
          <w:sz w:val="24"/>
          <w:szCs w:val="24"/>
          <w:highlight w:val="none"/>
          <w:lang w:eastAsia="zh-CN"/>
        </w:rPr>
        <w:t>建筑地基基础工程施工质量验收标准</w:t>
      </w:r>
      <w:r>
        <w:rPr>
          <w:rFonts w:hint="eastAsia" w:ascii="宋体" w:hAnsi="宋体" w:eastAsia="宋体" w:cs="宋体"/>
          <w:bCs/>
          <w:snapToGrid w:val="0"/>
          <w:color w:val="auto"/>
          <w:kern w:val="0"/>
          <w:sz w:val="24"/>
          <w:szCs w:val="24"/>
          <w:highlight w:val="none"/>
        </w:rPr>
        <w:t>》</w:t>
      </w:r>
      <w:r>
        <w:rPr>
          <w:rFonts w:hint="eastAsia" w:hAnsi="宋体" w:eastAsia="宋体" w:cs="宋体"/>
          <w:bCs/>
          <w:snapToGrid w:val="0"/>
          <w:color w:val="auto"/>
          <w:kern w:val="0"/>
          <w:sz w:val="24"/>
          <w:szCs w:val="24"/>
          <w:highlight w:val="none"/>
          <w:lang w:eastAsia="zh-CN"/>
        </w:rPr>
        <w:t>GB 50202-2018</w:t>
      </w:r>
    </w:p>
    <w:p w14:paraId="183937F6">
      <w:pPr>
        <w:keepNext w:val="0"/>
        <w:keepLines w:val="0"/>
        <w:pageBreakBefore w:val="0"/>
        <w:numPr>
          <w:ilvl w:val="0"/>
          <w:numId w:val="0"/>
        </w:numPr>
        <w:kinsoku/>
        <w:wordWrap w:val="0"/>
        <w:overflowPunct/>
        <w:topLinePunct w:val="0"/>
        <w:bidi w:val="0"/>
        <w:adjustRightInd w:val="0"/>
        <w:snapToGrid w:val="0"/>
        <w:spacing w:line="400" w:lineRule="exact"/>
        <w:ind w:left="425" w:firstLine="55" w:firstLineChars="0"/>
        <w:rPr>
          <w:rFonts w:hint="eastAsia" w:ascii="宋体" w:hAnsi="宋体" w:eastAsia="宋体" w:cs="宋体"/>
          <w:bCs/>
          <w:snapToGrid w:val="0"/>
          <w:color w:val="auto"/>
          <w:kern w:val="0"/>
          <w:sz w:val="24"/>
          <w:szCs w:val="24"/>
          <w:highlight w:val="none"/>
        </w:rPr>
      </w:pPr>
      <w:r>
        <w:rPr>
          <w:rFonts w:hint="eastAsia" w:hAnsi="宋体" w:eastAsia="宋体" w:cs="宋体"/>
          <w:bCs/>
          <w:snapToGrid w:val="0"/>
          <w:color w:val="auto"/>
          <w:kern w:val="0"/>
          <w:sz w:val="24"/>
          <w:szCs w:val="24"/>
          <w:highlight w:val="none"/>
          <w:lang w:val="en-US" w:eastAsia="zh-CN" w:bidi="ar-SA"/>
        </w:rPr>
        <w:t>（4）</w:t>
      </w:r>
      <w:r>
        <w:rPr>
          <w:rFonts w:hint="eastAsia" w:ascii="宋体" w:hAnsi="宋体" w:eastAsia="宋体" w:cs="宋体"/>
          <w:bCs/>
          <w:snapToGrid w:val="0"/>
          <w:color w:val="auto"/>
          <w:kern w:val="0"/>
          <w:sz w:val="24"/>
          <w:szCs w:val="24"/>
          <w:highlight w:val="none"/>
        </w:rPr>
        <w:t>《</w:t>
      </w:r>
      <w:r>
        <w:rPr>
          <w:rFonts w:hint="eastAsia" w:hAnsi="宋体" w:eastAsia="宋体" w:cs="宋体"/>
          <w:bCs/>
          <w:snapToGrid w:val="0"/>
          <w:color w:val="auto"/>
          <w:kern w:val="0"/>
          <w:sz w:val="24"/>
          <w:szCs w:val="24"/>
          <w:highlight w:val="none"/>
          <w:lang w:eastAsia="zh-CN"/>
        </w:rPr>
        <w:t>砌体结构工程施工质量验收规范</w:t>
      </w:r>
      <w:r>
        <w:rPr>
          <w:rFonts w:hint="eastAsia" w:ascii="宋体" w:hAnsi="宋体" w:eastAsia="宋体" w:cs="宋体"/>
          <w:bCs/>
          <w:snapToGrid w:val="0"/>
          <w:color w:val="auto"/>
          <w:kern w:val="0"/>
          <w:sz w:val="24"/>
          <w:szCs w:val="24"/>
          <w:highlight w:val="none"/>
        </w:rPr>
        <w:t>》</w:t>
      </w:r>
      <w:r>
        <w:rPr>
          <w:rFonts w:hint="eastAsia" w:hAnsi="宋体" w:eastAsia="宋体" w:cs="宋体"/>
          <w:bCs/>
          <w:snapToGrid w:val="0"/>
          <w:color w:val="auto"/>
          <w:kern w:val="0"/>
          <w:sz w:val="24"/>
          <w:szCs w:val="24"/>
          <w:highlight w:val="none"/>
          <w:lang w:eastAsia="zh-CN"/>
        </w:rPr>
        <w:t>GB 50203-2011</w:t>
      </w:r>
    </w:p>
    <w:p w14:paraId="124335B8">
      <w:pPr>
        <w:keepNext w:val="0"/>
        <w:keepLines w:val="0"/>
        <w:pageBreakBefore w:val="0"/>
        <w:numPr>
          <w:ilvl w:val="0"/>
          <w:numId w:val="0"/>
        </w:numPr>
        <w:kinsoku/>
        <w:wordWrap w:val="0"/>
        <w:overflowPunct/>
        <w:topLinePunct w:val="0"/>
        <w:bidi w:val="0"/>
        <w:adjustRightInd w:val="0"/>
        <w:snapToGrid w:val="0"/>
        <w:spacing w:line="400" w:lineRule="exact"/>
        <w:ind w:left="425" w:firstLine="55" w:firstLineChars="0"/>
        <w:rPr>
          <w:rFonts w:hint="eastAsia" w:ascii="宋体" w:hAnsi="宋体" w:eastAsia="宋体" w:cs="宋体"/>
          <w:bCs/>
          <w:snapToGrid w:val="0"/>
          <w:color w:val="auto"/>
          <w:kern w:val="0"/>
          <w:sz w:val="24"/>
          <w:szCs w:val="24"/>
          <w:highlight w:val="none"/>
        </w:rPr>
      </w:pPr>
      <w:r>
        <w:rPr>
          <w:rFonts w:hint="eastAsia" w:hAnsi="宋体" w:eastAsia="宋体" w:cs="宋体"/>
          <w:bCs/>
          <w:snapToGrid w:val="0"/>
          <w:color w:val="auto"/>
          <w:kern w:val="0"/>
          <w:sz w:val="24"/>
          <w:szCs w:val="24"/>
          <w:highlight w:val="none"/>
          <w:lang w:val="en-US" w:eastAsia="zh-CN" w:bidi="ar-SA"/>
        </w:rPr>
        <w:t>（5）</w:t>
      </w:r>
      <w:r>
        <w:rPr>
          <w:rFonts w:hint="eastAsia" w:ascii="宋体" w:hAnsi="宋体" w:eastAsia="宋体" w:cs="宋体"/>
          <w:bCs/>
          <w:snapToGrid w:val="0"/>
          <w:color w:val="auto"/>
          <w:kern w:val="0"/>
          <w:sz w:val="24"/>
          <w:szCs w:val="24"/>
          <w:highlight w:val="none"/>
        </w:rPr>
        <w:t>《混凝土结构工程施工质量验收规范》GB50204-2015；</w:t>
      </w:r>
    </w:p>
    <w:p w14:paraId="14947FD8">
      <w:pPr>
        <w:keepNext w:val="0"/>
        <w:keepLines w:val="0"/>
        <w:pageBreakBefore w:val="0"/>
        <w:numPr>
          <w:ilvl w:val="0"/>
          <w:numId w:val="0"/>
        </w:numPr>
        <w:kinsoku/>
        <w:wordWrap w:val="0"/>
        <w:overflowPunct/>
        <w:topLinePunct w:val="0"/>
        <w:bidi w:val="0"/>
        <w:adjustRightInd w:val="0"/>
        <w:snapToGrid w:val="0"/>
        <w:spacing w:line="400" w:lineRule="exact"/>
        <w:ind w:left="425" w:firstLine="55" w:firstLineChars="0"/>
        <w:rPr>
          <w:rFonts w:hint="eastAsia" w:ascii="宋体" w:hAnsi="宋体" w:eastAsia="宋体" w:cs="宋体"/>
          <w:bCs/>
          <w:snapToGrid w:val="0"/>
          <w:color w:val="auto"/>
          <w:kern w:val="0"/>
          <w:sz w:val="24"/>
          <w:szCs w:val="24"/>
          <w:highlight w:val="none"/>
        </w:rPr>
      </w:pPr>
      <w:r>
        <w:rPr>
          <w:rFonts w:hint="eastAsia" w:hAnsi="宋体" w:eastAsia="宋体" w:cs="宋体"/>
          <w:bCs/>
          <w:snapToGrid w:val="0"/>
          <w:color w:val="auto"/>
          <w:kern w:val="0"/>
          <w:sz w:val="24"/>
          <w:szCs w:val="24"/>
          <w:highlight w:val="none"/>
          <w:lang w:val="en-US" w:eastAsia="zh-CN" w:bidi="ar-SA"/>
        </w:rPr>
        <w:t>（6）</w:t>
      </w:r>
      <w:r>
        <w:rPr>
          <w:rFonts w:hint="eastAsia" w:ascii="宋体" w:hAnsi="宋体" w:eastAsia="宋体" w:cs="宋体"/>
          <w:bCs/>
          <w:snapToGrid w:val="0"/>
          <w:color w:val="auto"/>
          <w:kern w:val="0"/>
          <w:sz w:val="24"/>
          <w:szCs w:val="24"/>
          <w:highlight w:val="none"/>
        </w:rPr>
        <w:t>《屋面工程质量验收规范》GB50207-2012；</w:t>
      </w:r>
    </w:p>
    <w:p w14:paraId="7F11E9EC">
      <w:pPr>
        <w:keepNext w:val="0"/>
        <w:keepLines w:val="0"/>
        <w:pageBreakBefore w:val="0"/>
        <w:numPr>
          <w:ilvl w:val="0"/>
          <w:numId w:val="0"/>
        </w:numPr>
        <w:kinsoku/>
        <w:wordWrap w:val="0"/>
        <w:overflowPunct/>
        <w:topLinePunct w:val="0"/>
        <w:bidi w:val="0"/>
        <w:adjustRightInd w:val="0"/>
        <w:snapToGrid w:val="0"/>
        <w:spacing w:line="400" w:lineRule="exact"/>
        <w:ind w:left="425" w:firstLine="55" w:firstLineChars="0"/>
        <w:rPr>
          <w:rFonts w:hint="eastAsia" w:ascii="宋体" w:hAnsi="宋体" w:eastAsia="宋体" w:cs="宋体"/>
          <w:bCs/>
          <w:snapToGrid w:val="0"/>
          <w:color w:val="auto"/>
          <w:kern w:val="0"/>
          <w:sz w:val="24"/>
          <w:szCs w:val="24"/>
          <w:highlight w:val="none"/>
        </w:rPr>
      </w:pPr>
      <w:r>
        <w:rPr>
          <w:rFonts w:hint="eastAsia" w:hAnsi="宋体" w:eastAsia="宋体" w:cs="宋体"/>
          <w:bCs/>
          <w:snapToGrid w:val="0"/>
          <w:color w:val="auto"/>
          <w:kern w:val="0"/>
          <w:sz w:val="24"/>
          <w:szCs w:val="24"/>
          <w:highlight w:val="none"/>
          <w:lang w:val="en-US" w:eastAsia="zh-CN" w:bidi="ar-SA"/>
        </w:rPr>
        <w:t>（7）</w:t>
      </w:r>
      <w:r>
        <w:rPr>
          <w:rFonts w:hint="eastAsia" w:ascii="宋体" w:hAnsi="宋体" w:eastAsia="宋体" w:cs="宋体"/>
          <w:bCs/>
          <w:snapToGrid w:val="0"/>
          <w:color w:val="auto"/>
          <w:kern w:val="0"/>
          <w:sz w:val="24"/>
          <w:szCs w:val="24"/>
          <w:highlight w:val="none"/>
        </w:rPr>
        <w:t>《地下防水工程质量验收规范》GB55030-2022；</w:t>
      </w:r>
    </w:p>
    <w:p w14:paraId="26B2EDAE">
      <w:pPr>
        <w:keepNext w:val="0"/>
        <w:keepLines w:val="0"/>
        <w:pageBreakBefore w:val="0"/>
        <w:numPr>
          <w:ilvl w:val="0"/>
          <w:numId w:val="0"/>
        </w:numPr>
        <w:kinsoku/>
        <w:wordWrap w:val="0"/>
        <w:overflowPunct/>
        <w:topLinePunct w:val="0"/>
        <w:bidi w:val="0"/>
        <w:adjustRightInd w:val="0"/>
        <w:snapToGrid w:val="0"/>
        <w:spacing w:line="400" w:lineRule="exact"/>
        <w:ind w:left="425" w:firstLine="55" w:firstLineChars="0"/>
        <w:rPr>
          <w:rFonts w:hint="eastAsia" w:ascii="宋体" w:hAnsi="宋体" w:eastAsia="宋体" w:cs="宋体"/>
          <w:bCs/>
          <w:snapToGrid w:val="0"/>
          <w:color w:val="auto"/>
          <w:kern w:val="0"/>
          <w:sz w:val="24"/>
          <w:szCs w:val="24"/>
          <w:highlight w:val="none"/>
        </w:rPr>
      </w:pPr>
      <w:r>
        <w:rPr>
          <w:rFonts w:hint="eastAsia" w:hAnsi="宋体" w:eastAsia="宋体" w:cs="宋体"/>
          <w:bCs/>
          <w:snapToGrid w:val="0"/>
          <w:color w:val="auto"/>
          <w:kern w:val="0"/>
          <w:sz w:val="24"/>
          <w:szCs w:val="24"/>
          <w:highlight w:val="none"/>
          <w:lang w:val="en-US" w:eastAsia="zh-CN" w:bidi="ar-SA"/>
        </w:rPr>
        <w:t>（8）</w:t>
      </w:r>
      <w:r>
        <w:rPr>
          <w:rFonts w:hint="eastAsia" w:ascii="宋体" w:hAnsi="宋体" w:eastAsia="宋体" w:cs="宋体"/>
          <w:bCs/>
          <w:snapToGrid w:val="0"/>
          <w:color w:val="auto"/>
          <w:kern w:val="0"/>
          <w:sz w:val="24"/>
          <w:szCs w:val="24"/>
          <w:highlight w:val="none"/>
        </w:rPr>
        <w:t>《建筑地面工程施工质量验收规范》GB 50209-2010；</w:t>
      </w:r>
    </w:p>
    <w:p w14:paraId="5BA25EAC">
      <w:pPr>
        <w:keepNext w:val="0"/>
        <w:keepLines w:val="0"/>
        <w:pageBreakBefore w:val="0"/>
        <w:numPr>
          <w:ilvl w:val="0"/>
          <w:numId w:val="0"/>
        </w:numPr>
        <w:kinsoku/>
        <w:wordWrap w:val="0"/>
        <w:overflowPunct/>
        <w:topLinePunct w:val="0"/>
        <w:bidi w:val="0"/>
        <w:adjustRightInd w:val="0"/>
        <w:snapToGrid w:val="0"/>
        <w:spacing w:line="400" w:lineRule="exact"/>
        <w:ind w:left="425" w:firstLine="55" w:firstLineChars="0"/>
        <w:rPr>
          <w:rFonts w:hint="eastAsia" w:ascii="宋体" w:hAnsi="宋体" w:eastAsia="宋体" w:cs="宋体"/>
          <w:bCs/>
          <w:snapToGrid w:val="0"/>
          <w:color w:val="auto"/>
          <w:kern w:val="0"/>
          <w:sz w:val="24"/>
          <w:szCs w:val="24"/>
          <w:highlight w:val="none"/>
        </w:rPr>
      </w:pPr>
      <w:r>
        <w:rPr>
          <w:rFonts w:hint="eastAsia" w:hAnsi="宋体" w:eastAsia="宋体" w:cs="宋体"/>
          <w:bCs/>
          <w:snapToGrid w:val="0"/>
          <w:color w:val="auto"/>
          <w:kern w:val="0"/>
          <w:sz w:val="24"/>
          <w:szCs w:val="24"/>
          <w:highlight w:val="none"/>
          <w:lang w:val="en-US" w:eastAsia="zh-CN" w:bidi="ar-SA"/>
        </w:rPr>
        <w:t>（9）</w:t>
      </w:r>
      <w:r>
        <w:rPr>
          <w:rFonts w:hint="eastAsia" w:ascii="宋体" w:hAnsi="宋体" w:eastAsia="宋体" w:cs="宋体"/>
          <w:bCs/>
          <w:snapToGrid w:val="0"/>
          <w:color w:val="auto"/>
          <w:kern w:val="0"/>
          <w:sz w:val="24"/>
          <w:szCs w:val="24"/>
          <w:highlight w:val="none"/>
        </w:rPr>
        <w:t>《建筑装饰装修工程质量验收标准》GB50210-2018；</w:t>
      </w:r>
    </w:p>
    <w:p w14:paraId="60CDC894">
      <w:pPr>
        <w:keepNext w:val="0"/>
        <w:keepLines w:val="0"/>
        <w:pageBreakBefore w:val="0"/>
        <w:numPr>
          <w:ilvl w:val="0"/>
          <w:numId w:val="0"/>
        </w:numPr>
        <w:kinsoku/>
        <w:wordWrap w:val="0"/>
        <w:overflowPunct/>
        <w:topLinePunct w:val="0"/>
        <w:bidi w:val="0"/>
        <w:adjustRightInd w:val="0"/>
        <w:snapToGrid w:val="0"/>
        <w:spacing w:line="400" w:lineRule="exact"/>
        <w:ind w:left="425" w:firstLine="55" w:firstLineChars="0"/>
        <w:rPr>
          <w:rFonts w:hint="eastAsia" w:ascii="宋体" w:hAnsi="宋体" w:eastAsia="宋体" w:cs="宋体"/>
          <w:bCs/>
          <w:snapToGrid w:val="0"/>
          <w:color w:val="auto"/>
          <w:kern w:val="0"/>
          <w:sz w:val="24"/>
          <w:szCs w:val="24"/>
          <w:highlight w:val="none"/>
        </w:rPr>
      </w:pPr>
      <w:r>
        <w:rPr>
          <w:rFonts w:hint="eastAsia" w:hAnsi="宋体" w:eastAsia="宋体" w:cs="宋体"/>
          <w:bCs/>
          <w:snapToGrid w:val="0"/>
          <w:color w:val="auto"/>
          <w:kern w:val="0"/>
          <w:sz w:val="24"/>
          <w:szCs w:val="24"/>
          <w:highlight w:val="none"/>
          <w:lang w:val="en-US" w:eastAsia="zh-CN" w:bidi="ar-SA"/>
        </w:rPr>
        <w:t>（10）</w:t>
      </w:r>
      <w:r>
        <w:rPr>
          <w:rFonts w:hint="eastAsia" w:ascii="宋体" w:hAnsi="宋体" w:eastAsia="宋体" w:cs="宋体"/>
          <w:bCs/>
          <w:snapToGrid w:val="0"/>
          <w:color w:val="auto"/>
          <w:kern w:val="0"/>
          <w:sz w:val="24"/>
          <w:szCs w:val="24"/>
          <w:highlight w:val="none"/>
        </w:rPr>
        <w:t>《建筑给排水及采暖工程施工质量验收规范》GB 50242-2002；</w:t>
      </w:r>
    </w:p>
    <w:p w14:paraId="679EF97D">
      <w:pPr>
        <w:keepNext w:val="0"/>
        <w:keepLines w:val="0"/>
        <w:pageBreakBefore w:val="0"/>
        <w:numPr>
          <w:ilvl w:val="0"/>
          <w:numId w:val="0"/>
        </w:numPr>
        <w:kinsoku/>
        <w:wordWrap w:val="0"/>
        <w:overflowPunct/>
        <w:topLinePunct w:val="0"/>
        <w:bidi w:val="0"/>
        <w:adjustRightInd w:val="0"/>
        <w:snapToGrid w:val="0"/>
        <w:spacing w:line="400" w:lineRule="exact"/>
        <w:ind w:left="425" w:firstLine="55" w:firstLineChars="0"/>
        <w:rPr>
          <w:rFonts w:hint="eastAsia" w:ascii="宋体" w:hAnsi="宋体" w:eastAsia="宋体" w:cs="宋体"/>
          <w:bCs/>
          <w:snapToGrid w:val="0"/>
          <w:color w:val="auto"/>
          <w:kern w:val="0"/>
          <w:sz w:val="24"/>
          <w:szCs w:val="24"/>
          <w:highlight w:val="none"/>
        </w:rPr>
      </w:pPr>
      <w:r>
        <w:rPr>
          <w:rFonts w:hint="eastAsia" w:hAnsi="宋体" w:eastAsia="宋体" w:cs="宋体"/>
          <w:bCs/>
          <w:snapToGrid w:val="0"/>
          <w:color w:val="auto"/>
          <w:kern w:val="0"/>
          <w:sz w:val="24"/>
          <w:szCs w:val="24"/>
          <w:highlight w:val="none"/>
          <w:lang w:val="en-US" w:eastAsia="zh-CN" w:bidi="ar-SA"/>
        </w:rPr>
        <w:t>（11）《建筑电气与智能化通用规范》GB 55024-2022</w:t>
      </w:r>
      <w:r>
        <w:rPr>
          <w:rFonts w:hint="eastAsia" w:ascii="宋体" w:hAnsi="宋体" w:eastAsia="宋体" w:cs="宋体"/>
          <w:bCs/>
          <w:snapToGrid w:val="0"/>
          <w:color w:val="auto"/>
          <w:kern w:val="0"/>
          <w:sz w:val="24"/>
          <w:szCs w:val="24"/>
          <w:highlight w:val="none"/>
        </w:rPr>
        <w:t>；</w:t>
      </w:r>
    </w:p>
    <w:p w14:paraId="671DBCF9">
      <w:pPr>
        <w:keepNext w:val="0"/>
        <w:keepLines w:val="0"/>
        <w:pageBreakBefore w:val="0"/>
        <w:numPr>
          <w:ilvl w:val="0"/>
          <w:numId w:val="0"/>
        </w:numPr>
        <w:kinsoku/>
        <w:wordWrap w:val="0"/>
        <w:overflowPunct/>
        <w:topLinePunct w:val="0"/>
        <w:bidi w:val="0"/>
        <w:adjustRightInd w:val="0"/>
        <w:snapToGrid w:val="0"/>
        <w:spacing w:line="400" w:lineRule="exact"/>
        <w:ind w:left="425" w:firstLine="55" w:firstLineChars="0"/>
        <w:rPr>
          <w:rFonts w:hint="eastAsia" w:ascii="宋体" w:hAnsi="宋体" w:eastAsia="宋体" w:cs="宋体"/>
          <w:bCs/>
          <w:snapToGrid w:val="0"/>
          <w:color w:val="auto"/>
          <w:kern w:val="0"/>
          <w:sz w:val="24"/>
          <w:szCs w:val="24"/>
          <w:highlight w:val="none"/>
        </w:rPr>
      </w:pPr>
      <w:r>
        <w:rPr>
          <w:rFonts w:hint="eastAsia" w:hAnsi="宋体" w:eastAsia="宋体" w:cs="宋体"/>
          <w:bCs/>
          <w:snapToGrid w:val="0"/>
          <w:color w:val="auto"/>
          <w:kern w:val="0"/>
          <w:sz w:val="24"/>
          <w:szCs w:val="24"/>
          <w:highlight w:val="none"/>
          <w:lang w:val="en-US" w:eastAsia="zh-CN" w:bidi="ar-SA"/>
        </w:rPr>
        <w:t>（12）</w:t>
      </w:r>
      <w:r>
        <w:rPr>
          <w:rFonts w:hint="eastAsia" w:ascii="宋体" w:hAnsi="宋体" w:eastAsia="宋体" w:cs="宋体"/>
          <w:bCs/>
          <w:snapToGrid w:val="0"/>
          <w:color w:val="auto"/>
          <w:kern w:val="0"/>
          <w:sz w:val="24"/>
          <w:szCs w:val="24"/>
          <w:highlight w:val="none"/>
        </w:rPr>
        <w:t>《住建部绿色建筑评价标准》GB/T 50378-2019（2024年版）；</w:t>
      </w:r>
    </w:p>
    <w:p w14:paraId="749EF0F2">
      <w:pPr>
        <w:keepNext w:val="0"/>
        <w:keepLines w:val="0"/>
        <w:pageBreakBefore w:val="0"/>
        <w:numPr>
          <w:ilvl w:val="0"/>
          <w:numId w:val="0"/>
        </w:numPr>
        <w:kinsoku/>
        <w:wordWrap w:val="0"/>
        <w:overflowPunct/>
        <w:topLinePunct w:val="0"/>
        <w:bidi w:val="0"/>
        <w:adjustRightInd w:val="0"/>
        <w:snapToGrid w:val="0"/>
        <w:spacing w:line="400" w:lineRule="exact"/>
        <w:ind w:left="425" w:firstLine="55" w:firstLineChars="0"/>
        <w:rPr>
          <w:rFonts w:hint="eastAsia" w:ascii="宋体" w:hAnsi="宋体" w:eastAsia="宋体" w:cs="宋体"/>
          <w:bCs/>
          <w:snapToGrid w:val="0"/>
          <w:color w:val="auto"/>
          <w:kern w:val="0"/>
          <w:sz w:val="24"/>
          <w:szCs w:val="24"/>
          <w:highlight w:val="none"/>
        </w:rPr>
      </w:pPr>
      <w:r>
        <w:rPr>
          <w:rFonts w:hint="eastAsia" w:hAnsi="宋体" w:eastAsia="宋体" w:cs="宋体"/>
          <w:bCs/>
          <w:snapToGrid w:val="0"/>
          <w:color w:val="auto"/>
          <w:kern w:val="0"/>
          <w:sz w:val="24"/>
          <w:szCs w:val="24"/>
          <w:highlight w:val="none"/>
          <w:lang w:val="en-US" w:eastAsia="zh-CN" w:bidi="ar-SA"/>
        </w:rPr>
        <w:t>（13）</w:t>
      </w:r>
      <w:r>
        <w:rPr>
          <w:rFonts w:hint="eastAsia" w:ascii="宋体" w:hAnsi="宋体" w:eastAsia="宋体" w:cs="宋体"/>
          <w:bCs/>
          <w:snapToGrid w:val="0"/>
          <w:color w:val="auto"/>
          <w:kern w:val="0"/>
          <w:sz w:val="24"/>
          <w:szCs w:val="24"/>
          <w:highlight w:val="none"/>
        </w:rPr>
        <w:t>《建筑节能与可再生能源利用通用规范》GB 55015-2021‌；</w:t>
      </w:r>
    </w:p>
    <w:p w14:paraId="66506B39">
      <w:pPr>
        <w:keepNext w:val="0"/>
        <w:keepLines w:val="0"/>
        <w:pageBreakBefore w:val="0"/>
        <w:numPr>
          <w:ilvl w:val="0"/>
          <w:numId w:val="0"/>
        </w:numPr>
        <w:kinsoku/>
        <w:wordWrap w:val="0"/>
        <w:overflowPunct/>
        <w:topLinePunct w:val="0"/>
        <w:bidi w:val="0"/>
        <w:adjustRightInd w:val="0"/>
        <w:snapToGrid w:val="0"/>
        <w:spacing w:line="400" w:lineRule="exact"/>
        <w:ind w:left="425" w:firstLine="55" w:firstLineChars="0"/>
        <w:rPr>
          <w:rFonts w:hint="eastAsia" w:ascii="宋体" w:hAnsi="宋体" w:eastAsia="宋体" w:cs="宋体"/>
          <w:bCs/>
          <w:snapToGrid w:val="0"/>
          <w:color w:val="auto"/>
          <w:kern w:val="0"/>
          <w:sz w:val="24"/>
          <w:szCs w:val="24"/>
          <w:highlight w:val="none"/>
        </w:rPr>
      </w:pPr>
      <w:r>
        <w:rPr>
          <w:rFonts w:hint="eastAsia" w:hAnsi="宋体" w:eastAsia="宋体" w:cs="宋体"/>
          <w:bCs/>
          <w:snapToGrid w:val="0"/>
          <w:color w:val="auto"/>
          <w:kern w:val="0"/>
          <w:sz w:val="24"/>
          <w:szCs w:val="24"/>
          <w:highlight w:val="none"/>
          <w:lang w:val="en-US" w:eastAsia="zh-CN" w:bidi="ar-SA"/>
        </w:rPr>
        <w:t>（14）</w:t>
      </w:r>
      <w:r>
        <w:rPr>
          <w:rFonts w:hint="eastAsia" w:ascii="宋体" w:hAnsi="宋体" w:eastAsia="宋体" w:cs="宋体"/>
          <w:bCs/>
          <w:snapToGrid w:val="0"/>
          <w:color w:val="auto"/>
          <w:kern w:val="0"/>
          <w:sz w:val="24"/>
          <w:szCs w:val="24"/>
          <w:highlight w:val="none"/>
        </w:rPr>
        <w:t>《建筑环境通用规范》GB 55016-2021；</w:t>
      </w:r>
    </w:p>
    <w:p w14:paraId="44748A0D">
      <w:pPr>
        <w:keepNext w:val="0"/>
        <w:keepLines w:val="0"/>
        <w:pageBreakBefore w:val="0"/>
        <w:numPr>
          <w:ilvl w:val="0"/>
          <w:numId w:val="0"/>
        </w:numPr>
        <w:kinsoku/>
        <w:wordWrap w:val="0"/>
        <w:overflowPunct/>
        <w:topLinePunct w:val="0"/>
        <w:bidi w:val="0"/>
        <w:adjustRightInd w:val="0"/>
        <w:snapToGrid w:val="0"/>
        <w:spacing w:line="400" w:lineRule="exact"/>
        <w:ind w:left="425" w:firstLine="55" w:firstLineChars="0"/>
        <w:rPr>
          <w:rFonts w:hint="eastAsia" w:ascii="宋体" w:hAnsi="宋体" w:eastAsia="宋体" w:cs="宋体"/>
          <w:bCs/>
          <w:snapToGrid w:val="0"/>
          <w:color w:val="auto"/>
          <w:kern w:val="0"/>
          <w:sz w:val="24"/>
          <w:szCs w:val="24"/>
          <w:highlight w:val="none"/>
        </w:rPr>
      </w:pPr>
      <w:r>
        <w:rPr>
          <w:rFonts w:hint="eastAsia" w:hAnsi="宋体" w:eastAsia="宋体" w:cs="宋体"/>
          <w:bCs/>
          <w:snapToGrid w:val="0"/>
          <w:color w:val="auto"/>
          <w:kern w:val="0"/>
          <w:sz w:val="24"/>
          <w:szCs w:val="24"/>
          <w:highlight w:val="none"/>
          <w:lang w:val="en-US" w:eastAsia="zh-CN" w:bidi="ar-SA"/>
        </w:rPr>
        <w:t>（15）</w:t>
      </w:r>
      <w:r>
        <w:rPr>
          <w:rFonts w:hint="eastAsia" w:ascii="宋体" w:hAnsi="宋体" w:eastAsia="宋体" w:cs="宋体"/>
          <w:bCs/>
          <w:snapToGrid w:val="0"/>
          <w:color w:val="auto"/>
          <w:kern w:val="0"/>
          <w:sz w:val="24"/>
          <w:szCs w:val="24"/>
          <w:highlight w:val="none"/>
        </w:rPr>
        <w:t>《广东省住房和城乡建设厅绿色施工导则》（粤建质〔2016〕241号）；</w:t>
      </w:r>
    </w:p>
    <w:p w14:paraId="1C2E7046">
      <w:pPr>
        <w:keepNext w:val="0"/>
        <w:keepLines w:val="0"/>
        <w:pageBreakBefore w:val="0"/>
        <w:numPr>
          <w:ilvl w:val="0"/>
          <w:numId w:val="0"/>
        </w:numPr>
        <w:kinsoku/>
        <w:wordWrap w:val="0"/>
        <w:overflowPunct/>
        <w:topLinePunct w:val="0"/>
        <w:bidi w:val="0"/>
        <w:adjustRightInd w:val="0"/>
        <w:snapToGrid w:val="0"/>
        <w:spacing w:line="400" w:lineRule="exact"/>
        <w:ind w:left="425" w:firstLine="55" w:firstLineChars="0"/>
        <w:rPr>
          <w:rFonts w:hint="eastAsia" w:ascii="宋体" w:hAnsi="宋体" w:eastAsia="宋体" w:cs="宋体"/>
          <w:bCs/>
          <w:snapToGrid w:val="0"/>
          <w:color w:val="auto"/>
          <w:kern w:val="0"/>
          <w:sz w:val="24"/>
          <w:szCs w:val="24"/>
          <w:highlight w:val="none"/>
        </w:rPr>
      </w:pPr>
      <w:r>
        <w:rPr>
          <w:rFonts w:hint="eastAsia" w:hAnsi="宋体" w:eastAsia="宋体" w:cs="宋体"/>
          <w:bCs/>
          <w:snapToGrid w:val="0"/>
          <w:color w:val="auto"/>
          <w:kern w:val="0"/>
          <w:sz w:val="24"/>
          <w:szCs w:val="24"/>
          <w:highlight w:val="none"/>
          <w:lang w:val="en-US" w:eastAsia="zh-CN" w:bidi="ar-SA"/>
        </w:rPr>
        <w:t>（16）</w:t>
      </w:r>
      <w:r>
        <w:rPr>
          <w:rFonts w:hint="eastAsia" w:ascii="宋体" w:hAnsi="宋体" w:eastAsia="宋体" w:cs="宋体"/>
          <w:bCs/>
          <w:snapToGrid w:val="0"/>
          <w:color w:val="auto"/>
          <w:kern w:val="0"/>
          <w:sz w:val="24"/>
          <w:szCs w:val="24"/>
          <w:highlight w:val="none"/>
        </w:rPr>
        <w:t>《房屋建筑和市政基础设施工程绿色施工评价标准》（DBJ/T15-97-2025）；</w:t>
      </w:r>
    </w:p>
    <w:p w14:paraId="747ACABC">
      <w:pPr>
        <w:keepNext w:val="0"/>
        <w:keepLines w:val="0"/>
        <w:pageBreakBefore w:val="0"/>
        <w:numPr>
          <w:ilvl w:val="0"/>
          <w:numId w:val="0"/>
        </w:numPr>
        <w:kinsoku/>
        <w:wordWrap w:val="0"/>
        <w:overflowPunct/>
        <w:topLinePunct w:val="0"/>
        <w:bidi w:val="0"/>
        <w:adjustRightInd w:val="0"/>
        <w:snapToGrid w:val="0"/>
        <w:spacing w:line="400" w:lineRule="exact"/>
        <w:ind w:left="425" w:firstLine="55" w:firstLineChars="0"/>
        <w:rPr>
          <w:rFonts w:hint="eastAsia" w:ascii="宋体" w:hAnsi="宋体" w:eastAsia="宋体" w:cs="宋体"/>
          <w:bCs/>
          <w:snapToGrid w:val="0"/>
          <w:color w:val="auto"/>
          <w:kern w:val="0"/>
          <w:sz w:val="24"/>
          <w:szCs w:val="24"/>
          <w:highlight w:val="none"/>
          <w:lang w:eastAsia="zh-CN"/>
        </w:rPr>
      </w:pPr>
      <w:r>
        <w:rPr>
          <w:rFonts w:hint="eastAsia" w:hAnsi="宋体" w:eastAsia="宋体" w:cs="宋体"/>
          <w:bCs/>
          <w:snapToGrid w:val="0"/>
          <w:color w:val="auto"/>
          <w:kern w:val="0"/>
          <w:sz w:val="24"/>
          <w:szCs w:val="24"/>
          <w:highlight w:val="none"/>
          <w:lang w:val="en-US" w:eastAsia="zh-CN" w:bidi="ar-SA"/>
        </w:rPr>
        <w:t>（17）</w:t>
      </w:r>
      <w:r>
        <w:rPr>
          <w:rFonts w:hint="eastAsia" w:ascii="宋体" w:hAnsi="宋体" w:eastAsia="宋体" w:cs="宋体"/>
          <w:bCs/>
          <w:snapToGrid w:val="0"/>
          <w:color w:val="auto"/>
          <w:kern w:val="0"/>
          <w:sz w:val="24"/>
          <w:szCs w:val="24"/>
          <w:highlight w:val="none"/>
        </w:rPr>
        <w:t>《广东省建筑节能与绿色建筑工程施工质量验收规范》（DBJ15-65-2021）</w:t>
      </w:r>
      <w:r>
        <w:rPr>
          <w:rFonts w:hint="eastAsia" w:hAnsi="宋体" w:eastAsia="宋体" w:cs="宋体"/>
          <w:bCs/>
          <w:snapToGrid w:val="0"/>
          <w:color w:val="auto"/>
          <w:kern w:val="0"/>
          <w:sz w:val="24"/>
          <w:szCs w:val="24"/>
          <w:highlight w:val="none"/>
          <w:lang w:eastAsia="zh-CN"/>
        </w:rPr>
        <w:t>；</w:t>
      </w:r>
    </w:p>
    <w:p w14:paraId="4B7223E0">
      <w:pPr>
        <w:keepNext w:val="0"/>
        <w:keepLines w:val="0"/>
        <w:pageBreakBefore w:val="0"/>
        <w:numPr>
          <w:ilvl w:val="0"/>
          <w:numId w:val="0"/>
        </w:numPr>
        <w:kinsoku/>
        <w:wordWrap w:val="0"/>
        <w:overflowPunct/>
        <w:topLinePunct w:val="0"/>
        <w:bidi w:val="0"/>
        <w:adjustRightInd w:val="0"/>
        <w:snapToGrid w:val="0"/>
        <w:spacing w:line="400" w:lineRule="exact"/>
        <w:ind w:left="425" w:firstLine="55" w:firstLineChars="0"/>
        <w:rPr>
          <w:rFonts w:hint="eastAsia" w:ascii="宋体" w:hAnsi="宋体" w:eastAsia="宋体" w:cs="宋体"/>
          <w:bCs/>
          <w:snapToGrid w:val="0"/>
          <w:color w:val="auto"/>
          <w:kern w:val="0"/>
          <w:sz w:val="24"/>
          <w:szCs w:val="24"/>
          <w:highlight w:val="none"/>
        </w:rPr>
      </w:pPr>
      <w:r>
        <w:rPr>
          <w:rFonts w:hint="eastAsia" w:hAnsi="宋体" w:eastAsia="宋体" w:cs="宋体"/>
          <w:bCs/>
          <w:snapToGrid w:val="0"/>
          <w:color w:val="auto"/>
          <w:kern w:val="0"/>
          <w:sz w:val="24"/>
          <w:szCs w:val="24"/>
          <w:highlight w:val="none"/>
          <w:lang w:val="en-US" w:eastAsia="zh-CN" w:bidi="ar-SA"/>
        </w:rPr>
        <w:t>（18）</w:t>
      </w:r>
      <w:r>
        <w:rPr>
          <w:rFonts w:hint="eastAsia" w:ascii="宋体" w:hAnsi="宋体" w:eastAsia="宋体" w:cs="宋体"/>
          <w:bCs/>
          <w:snapToGrid w:val="0"/>
          <w:color w:val="auto"/>
          <w:kern w:val="0"/>
          <w:sz w:val="24"/>
          <w:szCs w:val="24"/>
          <w:highlight w:val="none"/>
        </w:rPr>
        <w:t>其他现行国家、广东省关于房建工程的施工及验收规范、定额、规程、标准。</w:t>
      </w:r>
    </w:p>
    <w:p w14:paraId="5BA904D1">
      <w:pPr>
        <w:keepNext w:val="0"/>
        <w:keepLines w:val="0"/>
        <w:pageBreakBefore w:val="0"/>
        <w:kinsoku/>
        <w:wordWrap w:val="0"/>
        <w:overflowPunct/>
        <w:topLinePunct w:val="0"/>
        <w:bidi w:val="0"/>
        <w:adjustRightInd w:val="0"/>
        <w:snapToGrid w:val="0"/>
        <w:spacing w:line="400" w:lineRule="exact"/>
        <w:ind w:firstLine="482" w:firstLineChars="200"/>
        <w:rPr>
          <w:rFonts w:hint="eastAsia" w:ascii="宋体" w:hAnsi="宋体" w:eastAsia="宋体" w:cs="宋体"/>
          <w:bCs/>
          <w:snapToGrid w:val="0"/>
          <w:color w:val="auto"/>
          <w:kern w:val="0"/>
          <w:sz w:val="24"/>
          <w:szCs w:val="24"/>
          <w:highlight w:val="none"/>
        </w:rPr>
      </w:pPr>
      <w:r>
        <w:rPr>
          <w:rFonts w:hint="eastAsia" w:hAnsi="宋体" w:eastAsia="宋体" w:cs="宋体"/>
          <w:b/>
          <w:snapToGrid w:val="0"/>
          <w:color w:val="auto"/>
          <w:kern w:val="0"/>
          <w:sz w:val="24"/>
          <w:szCs w:val="24"/>
          <w:highlight w:val="none"/>
          <w:lang w:eastAsia="zh-CN"/>
        </w:rPr>
        <w:t>2.</w:t>
      </w:r>
      <w:r>
        <w:rPr>
          <w:rFonts w:hint="eastAsia" w:ascii="宋体" w:hAnsi="宋体" w:eastAsia="宋体" w:cs="宋体"/>
          <w:b/>
          <w:snapToGrid w:val="0"/>
          <w:color w:val="auto"/>
          <w:kern w:val="0"/>
          <w:sz w:val="24"/>
          <w:szCs w:val="24"/>
          <w:highlight w:val="none"/>
        </w:rPr>
        <w:t>市政基础设施工程建设项目</w:t>
      </w:r>
    </w:p>
    <w:p w14:paraId="3DD30D6B">
      <w:pPr>
        <w:keepNext w:val="0"/>
        <w:keepLines w:val="0"/>
        <w:pageBreakBefore w:val="0"/>
        <w:kinsoku/>
        <w:wordWrap w:val="0"/>
        <w:overflowPunct/>
        <w:topLinePunct w:val="0"/>
        <w:bidi w:val="0"/>
        <w:adjustRightInd w:val="0"/>
        <w:snapToGrid w:val="0"/>
        <w:spacing w:line="400" w:lineRule="exact"/>
        <w:ind w:firstLine="480" w:firstLineChars="200"/>
        <w:rPr>
          <w:rFonts w:hint="eastAsia" w:ascii="宋体" w:hAnsi="宋体" w:eastAsia="宋体" w:cs="宋体"/>
          <w:bCs/>
          <w:snapToGrid w:val="0"/>
          <w:color w:val="auto"/>
          <w:kern w:val="0"/>
          <w:sz w:val="24"/>
          <w:szCs w:val="24"/>
          <w:highlight w:val="none"/>
        </w:rPr>
      </w:pPr>
      <w:r>
        <w:rPr>
          <w:rFonts w:hint="eastAsia" w:ascii="宋体" w:hAnsi="宋体" w:eastAsia="宋体" w:cs="宋体"/>
          <w:bCs/>
          <w:snapToGrid w:val="0"/>
          <w:color w:val="auto"/>
          <w:kern w:val="0"/>
          <w:sz w:val="24"/>
          <w:szCs w:val="24"/>
          <w:highlight w:val="none"/>
        </w:rPr>
        <w:t>市政基础设施工程建设项目必须执行的现行技术规范，包括且不限于：</w:t>
      </w:r>
    </w:p>
    <w:p w14:paraId="1F9D249E">
      <w:pPr>
        <w:keepNext w:val="0"/>
        <w:keepLines w:val="0"/>
        <w:pageBreakBefore w:val="0"/>
        <w:kinsoku/>
        <w:wordWrap w:val="0"/>
        <w:overflowPunct/>
        <w:topLinePunct w:val="0"/>
        <w:bidi w:val="0"/>
        <w:adjustRightInd w:val="0"/>
        <w:snapToGrid w:val="0"/>
        <w:spacing w:line="400" w:lineRule="exact"/>
        <w:ind w:firstLine="480" w:firstLineChars="200"/>
        <w:rPr>
          <w:rFonts w:hint="eastAsia" w:ascii="宋体" w:hAnsi="宋体" w:eastAsia="宋体" w:cs="宋体"/>
          <w:bCs/>
          <w:snapToGrid w:val="0"/>
          <w:color w:val="auto"/>
          <w:kern w:val="0"/>
          <w:sz w:val="24"/>
          <w:szCs w:val="24"/>
          <w:highlight w:val="none"/>
        </w:rPr>
      </w:pPr>
      <w:r>
        <w:rPr>
          <w:rFonts w:hint="eastAsia" w:ascii="宋体" w:hAnsi="宋体" w:eastAsia="宋体" w:cs="宋体"/>
          <w:bCs/>
          <w:snapToGrid w:val="0"/>
          <w:color w:val="auto"/>
          <w:kern w:val="0"/>
          <w:sz w:val="24"/>
          <w:szCs w:val="24"/>
          <w:highlight w:val="none"/>
        </w:rPr>
        <w:t>（1）《公路路基施工技术规范》JTG/T 3610—2019；</w:t>
      </w:r>
    </w:p>
    <w:p w14:paraId="0788224E">
      <w:pPr>
        <w:keepNext w:val="0"/>
        <w:keepLines w:val="0"/>
        <w:pageBreakBefore w:val="0"/>
        <w:kinsoku/>
        <w:wordWrap w:val="0"/>
        <w:overflowPunct/>
        <w:topLinePunct w:val="0"/>
        <w:bidi w:val="0"/>
        <w:adjustRightInd w:val="0"/>
        <w:snapToGrid w:val="0"/>
        <w:spacing w:line="400" w:lineRule="exact"/>
        <w:ind w:firstLine="480" w:firstLineChars="200"/>
        <w:rPr>
          <w:rFonts w:hint="eastAsia" w:hAnsi="宋体" w:eastAsia="宋体" w:cs="宋体"/>
          <w:bCs/>
          <w:snapToGrid w:val="0"/>
          <w:color w:val="auto"/>
          <w:kern w:val="0"/>
          <w:sz w:val="24"/>
          <w:szCs w:val="24"/>
          <w:highlight w:val="none"/>
          <w:lang w:eastAsia="zh-CN"/>
        </w:rPr>
      </w:pPr>
      <w:r>
        <w:rPr>
          <w:rFonts w:hint="eastAsia" w:ascii="宋体" w:hAnsi="宋体" w:eastAsia="宋体" w:cs="宋体"/>
          <w:bCs/>
          <w:snapToGrid w:val="0"/>
          <w:color w:val="auto"/>
          <w:kern w:val="0"/>
          <w:sz w:val="24"/>
          <w:szCs w:val="24"/>
          <w:highlight w:val="none"/>
        </w:rPr>
        <w:t>（2）《</w:t>
      </w:r>
      <w:r>
        <w:rPr>
          <w:rFonts w:hint="eastAsia" w:hAnsi="宋体" w:eastAsia="宋体" w:cs="宋体"/>
          <w:bCs/>
          <w:snapToGrid w:val="0"/>
          <w:color w:val="auto"/>
          <w:kern w:val="0"/>
          <w:sz w:val="24"/>
          <w:szCs w:val="24"/>
          <w:highlight w:val="none"/>
          <w:lang w:eastAsia="zh-CN"/>
        </w:rPr>
        <w:t>城镇道路工程施工与质量验收规范</w:t>
      </w:r>
      <w:r>
        <w:rPr>
          <w:rFonts w:hint="eastAsia" w:ascii="宋体" w:hAnsi="宋体" w:eastAsia="宋体" w:cs="宋体"/>
          <w:bCs/>
          <w:snapToGrid w:val="0"/>
          <w:color w:val="auto"/>
          <w:kern w:val="0"/>
          <w:sz w:val="24"/>
          <w:szCs w:val="24"/>
          <w:highlight w:val="none"/>
        </w:rPr>
        <w:t>》CJJ 1-2008</w:t>
      </w:r>
      <w:r>
        <w:rPr>
          <w:rFonts w:hint="eastAsia" w:hAnsi="宋体" w:eastAsia="宋体" w:cs="宋体"/>
          <w:bCs/>
          <w:snapToGrid w:val="0"/>
          <w:color w:val="auto"/>
          <w:kern w:val="0"/>
          <w:sz w:val="24"/>
          <w:szCs w:val="24"/>
          <w:highlight w:val="none"/>
          <w:lang w:eastAsia="zh-CN"/>
        </w:rPr>
        <w:t>；</w:t>
      </w:r>
    </w:p>
    <w:p w14:paraId="7440CF2D">
      <w:pPr>
        <w:keepNext w:val="0"/>
        <w:keepLines w:val="0"/>
        <w:pageBreakBefore w:val="0"/>
        <w:kinsoku/>
        <w:wordWrap w:val="0"/>
        <w:overflowPunct/>
        <w:topLinePunct w:val="0"/>
        <w:bidi w:val="0"/>
        <w:adjustRightInd w:val="0"/>
        <w:snapToGrid w:val="0"/>
        <w:spacing w:line="400" w:lineRule="exact"/>
        <w:ind w:firstLine="480" w:firstLineChars="200"/>
        <w:rPr>
          <w:rFonts w:hint="eastAsia" w:ascii="宋体" w:hAnsi="宋体" w:eastAsia="宋体" w:cs="宋体"/>
          <w:bCs/>
          <w:snapToGrid w:val="0"/>
          <w:color w:val="auto"/>
          <w:kern w:val="0"/>
          <w:sz w:val="24"/>
          <w:szCs w:val="24"/>
          <w:highlight w:val="none"/>
        </w:rPr>
      </w:pPr>
      <w:r>
        <w:rPr>
          <w:rFonts w:hint="eastAsia" w:hAnsi="宋体" w:eastAsia="宋体" w:cs="宋体"/>
          <w:bCs/>
          <w:snapToGrid w:val="0"/>
          <w:color w:val="auto"/>
          <w:kern w:val="0"/>
          <w:sz w:val="24"/>
          <w:szCs w:val="24"/>
          <w:highlight w:val="none"/>
          <w:lang w:eastAsia="zh-CN"/>
        </w:rPr>
        <w:t>（</w:t>
      </w:r>
      <w:r>
        <w:rPr>
          <w:rFonts w:hint="eastAsia" w:hAnsi="宋体" w:eastAsia="宋体" w:cs="宋体"/>
          <w:bCs/>
          <w:snapToGrid w:val="0"/>
          <w:color w:val="auto"/>
          <w:kern w:val="0"/>
          <w:sz w:val="24"/>
          <w:szCs w:val="24"/>
          <w:highlight w:val="none"/>
          <w:lang w:val="en-US" w:eastAsia="zh-CN"/>
        </w:rPr>
        <w:t>3</w:t>
      </w:r>
      <w:r>
        <w:rPr>
          <w:rFonts w:hint="eastAsia" w:hAnsi="宋体" w:eastAsia="宋体" w:cs="宋体"/>
          <w:bCs/>
          <w:snapToGrid w:val="0"/>
          <w:color w:val="auto"/>
          <w:kern w:val="0"/>
          <w:sz w:val="24"/>
          <w:szCs w:val="24"/>
          <w:highlight w:val="none"/>
          <w:lang w:eastAsia="zh-CN"/>
        </w:rPr>
        <w:t>）《城市道路交通工程项目规范》GB 55011-2021</w:t>
      </w:r>
      <w:r>
        <w:rPr>
          <w:rFonts w:hint="eastAsia" w:ascii="宋体" w:hAnsi="宋体" w:eastAsia="宋体" w:cs="宋体"/>
          <w:bCs/>
          <w:snapToGrid w:val="0"/>
          <w:color w:val="auto"/>
          <w:kern w:val="0"/>
          <w:sz w:val="24"/>
          <w:szCs w:val="24"/>
          <w:highlight w:val="none"/>
        </w:rPr>
        <w:t>；</w:t>
      </w:r>
    </w:p>
    <w:p w14:paraId="22A5D114">
      <w:pPr>
        <w:keepNext w:val="0"/>
        <w:keepLines w:val="0"/>
        <w:pageBreakBefore w:val="0"/>
        <w:kinsoku/>
        <w:wordWrap w:val="0"/>
        <w:overflowPunct/>
        <w:topLinePunct w:val="0"/>
        <w:bidi w:val="0"/>
        <w:adjustRightInd w:val="0"/>
        <w:snapToGrid w:val="0"/>
        <w:spacing w:line="400" w:lineRule="exact"/>
        <w:ind w:firstLine="480" w:firstLineChars="200"/>
        <w:rPr>
          <w:rFonts w:hint="eastAsia" w:ascii="宋体" w:hAnsi="宋体" w:eastAsia="宋体" w:cs="宋体"/>
          <w:bCs/>
          <w:snapToGrid w:val="0"/>
          <w:color w:val="auto"/>
          <w:kern w:val="0"/>
          <w:sz w:val="24"/>
          <w:szCs w:val="24"/>
          <w:highlight w:val="none"/>
        </w:rPr>
      </w:pPr>
      <w:r>
        <w:rPr>
          <w:rFonts w:hint="eastAsia" w:ascii="宋体" w:hAnsi="宋体" w:eastAsia="宋体" w:cs="宋体"/>
          <w:bCs/>
          <w:snapToGrid w:val="0"/>
          <w:color w:val="auto"/>
          <w:kern w:val="0"/>
          <w:sz w:val="24"/>
          <w:szCs w:val="24"/>
          <w:highlight w:val="none"/>
        </w:rPr>
        <w:t>（3）《</w:t>
      </w:r>
      <w:r>
        <w:rPr>
          <w:rFonts w:hint="eastAsia" w:hAnsi="宋体" w:eastAsia="宋体" w:cs="宋体"/>
          <w:bCs/>
          <w:snapToGrid w:val="0"/>
          <w:color w:val="auto"/>
          <w:kern w:val="0"/>
          <w:sz w:val="24"/>
          <w:szCs w:val="24"/>
          <w:highlight w:val="none"/>
          <w:lang w:eastAsia="zh-CN"/>
        </w:rPr>
        <w:t>给水排水管道工程施工及验收规范</w:t>
      </w:r>
      <w:r>
        <w:rPr>
          <w:rFonts w:hint="eastAsia" w:ascii="宋体" w:hAnsi="宋体" w:eastAsia="宋体" w:cs="宋体"/>
          <w:bCs/>
          <w:snapToGrid w:val="0"/>
          <w:color w:val="auto"/>
          <w:kern w:val="0"/>
          <w:sz w:val="24"/>
          <w:szCs w:val="24"/>
          <w:highlight w:val="none"/>
        </w:rPr>
        <w:t>》</w:t>
      </w:r>
      <w:r>
        <w:rPr>
          <w:rFonts w:hint="eastAsia" w:hAnsi="宋体" w:eastAsia="宋体" w:cs="宋体"/>
          <w:bCs/>
          <w:snapToGrid w:val="0"/>
          <w:color w:val="auto"/>
          <w:kern w:val="0"/>
          <w:sz w:val="24"/>
          <w:szCs w:val="24"/>
          <w:highlight w:val="none"/>
          <w:lang w:eastAsia="zh-CN"/>
        </w:rPr>
        <w:t>GB 50268-2008</w:t>
      </w:r>
    </w:p>
    <w:p w14:paraId="34746731">
      <w:pPr>
        <w:keepNext w:val="0"/>
        <w:keepLines w:val="0"/>
        <w:pageBreakBefore w:val="0"/>
        <w:kinsoku/>
        <w:wordWrap w:val="0"/>
        <w:overflowPunct/>
        <w:topLinePunct w:val="0"/>
        <w:bidi w:val="0"/>
        <w:adjustRightInd w:val="0"/>
        <w:snapToGrid w:val="0"/>
        <w:spacing w:line="400" w:lineRule="exact"/>
        <w:ind w:firstLine="480" w:firstLineChars="200"/>
        <w:rPr>
          <w:rFonts w:hint="eastAsia" w:ascii="宋体" w:hAnsi="宋体" w:eastAsia="宋体" w:cs="宋体"/>
          <w:bCs/>
          <w:snapToGrid w:val="0"/>
          <w:color w:val="auto"/>
          <w:kern w:val="0"/>
          <w:sz w:val="24"/>
          <w:szCs w:val="24"/>
          <w:highlight w:val="none"/>
          <w:lang w:eastAsia="zh-CN"/>
        </w:rPr>
      </w:pPr>
      <w:r>
        <w:rPr>
          <w:rFonts w:hint="eastAsia" w:ascii="宋体" w:hAnsi="宋体" w:eastAsia="宋体" w:cs="宋体"/>
          <w:bCs/>
          <w:snapToGrid w:val="0"/>
          <w:color w:val="auto"/>
          <w:kern w:val="0"/>
          <w:sz w:val="24"/>
          <w:szCs w:val="24"/>
          <w:highlight w:val="none"/>
        </w:rPr>
        <w:t>（</w:t>
      </w:r>
      <w:r>
        <w:rPr>
          <w:rFonts w:hint="eastAsia" w:hAnsi="宋体" w:eastAsia="宋体" w:cs="宋体"/>
          <w:bCs/>
          <w:snapToGrid w:val="0"/>
          <w:color w:val="auto"/>
          <w:kern w:val="0"/>
          <w:sz w:val="24"/>
          <w:szCs w:val="24"/>
          <w:highlight w:val="none"/>
          <w:lang w:val="en-US" w:eastAsia="zh-CN"/>
        </w:rPr>
        <w:t>4</w:t>
      </w:r>
      <w:r>
        <w:rPr>
          <w:rFonts w:hint="eastAsia" w:ascii="宋体" w:hAnsi="宋体" w:eastAsia="宋体" w:cs="宋体"/>
          <w:bCs/>
          <w:snapToGrid w:val="0"/>
          <w:color w:val="auto"/>
          <w:kern w:val="0"/>
          <w:sz w:val="24"/>
          <w:szCs w:val="24"/>
          <w:highlight w:val="none"/>
        </w:rPr>
        <w:t>）</w:t>
      </w:r>
      <w:r>
        <w:rPr>
          <w:rFonts w:ascii="Arial" w:hAnsi="Arial" w:eastAsia="Arial" w:cs="Arial"/>
          <w:i w:val="0"/>
          <w:iCs w:val="0"/>
          <w:caps w:val="0"/>
          <w:color w:val="auto"/>
          <w:spacing w:val="0"/>
          <w:sz w:val="24"/>
          <w:szCs w:val="24"/>
          <w:highlight w:val="none"/>
          <w:shd w:val="clear" w:fill="FFFFFF"/>
        </w:rPr>
        <w:fldChar w:fldCharType="begin"/>
      </w:r>
      <w:r>
        <w:rPr>
          <w:rFonts w:ascii="Arial" w:hAnsi="Arial" w:eastAsia="Arial" w:cs="Arial"/>
          <w:i w:val="0"/>
          <w:iCs w:val="0"/>
          <w:caps w:val="0"/>
          <w:color w:val="auto"/>
          <w:spacing w:val="0"/>
          <w:sz w:val="24"/>
          <w:szCs w:val="24"/>
          <w:highlight w:val="none"/>
          <w:shd w:val="clear" w:fill="FFFFFF"/>
        </w:rPr>
        <w:instrText xml:space="preserve"> HYPERLINK "https://www.baidu.com/s?tn=50000021_hao_pg&amp;wd=%E3%80%8A%E5%9F%8E%E5%B8%82%E7%BB%99%E6%B0%B4%E5%B7%A5%E7%A8%8B%E9%A1%B9%E7%9B%AE%E8%A7%84%E8%8C%83%E3%80%8B&amp;usm=2&amp;ie=utf-8&amp;rsv_pq=e0c0e65f00045ead&amp;oq=%E3%80%8A%E7%BB%99%E6%B0%B4%E6%8E%92%E6%B0%B4%E7%AE%A1%E9%81%93%E5%B7%A5%E7%A8%8B%E6%96%BD%E5%B7%A5%E5%8F%8A%E9%AA%8C%E6%94%B6%E8%A7%84%E8%8C%83%E3%80%8B%E6%9C%89%E6%97%A0%E5%BA%9F%E6%AD%A2&amp;rsv_t=e1fbghvB/tIp26FEhitNj+qTEy66rq8SyQqFe1Iv8AzNJsdwBHWf5oTvmkYRg9YPl+jvfA4U&amp;rsv_dl=re_dqa_generate&amp;sa=re_dqa_generate" \t "https://www.baidu.com/_blank" </w:instrText>
      </w:r>
      <w:r>
        <w:rPr>
          <w:rFonts w:ascii="Arial" w:hAnsi="Arial" w:eastAsia="Arial" w:cs="Arial"/>
          <w:i w:val="0"/>
          <w:iCs w:val="0"/>
          <w:caps w:val="0"/>
          <w:color w:val="auto"/>
          <w:spacing w:val="0"/>
          <w:sz w:val="24"/>
          <w:szCs w:val="24"/>
          <w:highlight w:val="none"/>
          <w:shd w:val="clear" w:fill="FFFFFF"/>
        </w:rPr>
        <w:fldChar w:fldCharType="separate"/>
      </w:r>
      <w:r>
        <w:rPr>
          <w:rStyle w:val="29"/>
          <w:rFonts w:hint="default" w:ascii="Arial" w:hAnsi="Arial" w:eastAsia="Arial" w:cs="Arial"/>
          <w:i w:val="0"/>
          <w:iCs w:val="0"/>
          <w:caps w:val="0"/>
          <w:color w:val="auto"/>
          <w:spacing w:val="0"/>
          <w:sz w:val="24"/>
          <w:szCs w:val="24"/>
          <w:highlight w:val="none"/>
          <w:shd w:val="clear" w:fill="FFFFFF"/>
        </w:rPr>
        <w:t>《城市给水工程项目规范》</w:t>
      </w:r>
      <w:r>
        <w:rPr>
          <w:rFonts w:hint="default" w:ascii="Arial" w:hAnsi="Arial" w:eastAsia="Arial" w:cs="Arial"/>
          <w:i w:val="0"/>
          <w:iCs w:val="0"/>
          <w:caps w:val="0"/>
          <w:color w:val="auto"/>
          <w:spacing w:val="0"/>
          <w:sz w:val="24"/>
          <w:szCs w:val="24"/>
          <w:highlight w:val="none"/>
          <w:shd w:val="clear" w:fill="FFFFFF"/>
        </w:rPr>
        <w:fldChar w:fldCharType="end"/>
      </w:r>
      <w:r>
        <w:rPr>
          <w:rFonts w:hint="default" w:ascii="宋体" w:hAnsi="宋体" w:eastAsia="宋体" w:cs="宋体"/>
          <w:bCs/>
          <w:snapToGrid w:val="0"/>
          <w:color w:val="auto"/>
          <w:kern w:val="0"/>
          <w:sz w:val="24"/>
          <w:szCs w:val="24"/>
          <w:highlight w:val="none"/>
        </w:rPr>
        <w:t>（GB 55026-2022）</w:t>
      </w:r>
      <w:r>
        <w:rPr>
          <w:rFonts w:hint="eastAsia" w:ascii="Arial" w:hAnsi="Arial" w:eastAsia="宋体" w:cs="Arial"/>
          <w:i w:val="0"/>
          <w:iCs w:val="0"/>
          <w:caps w:val="0"/>
          <w:color w:val="auto"/>
          <w:spacing w:val="0"/>
          <w:sz w:val="24"/>
          <w:szCs w:val="24"/>
          <w:highlight w:val="none"/>
          <w:shd w:val="clear" w:fill="FFFFFF"/>
          <w:lang w:eastAsia="zh-CN"/>
        </w:rPr>
        <w:t>；</w:t>
      </w:r>
    </w:p>
    <w:p w14:paraId="5654C289">
      <w:pPr>
        <w:keepNext w:val="0"/>
        <w:keepLines w:val="0"/>
        <w:pageBreakBefore w:val="0"/>
        <w:kinsoku/>
        <w:wordWrap w:val="0"/>
        <w:overflowPunct/>
        <w:topLinePunct w:val="0"/>
        <w:bidi w:val="0"/>
        <w:adjustRightInd w:val="0"/>
        <w:snapToGrid w:val="0"/>
        <w:spacing w:line="400" w:lineRule="exact"/>
        <w:ind w:firstLine="480" w:firstLineChars="200"/>
        <w:rPr>
          <w:rFonts w:hint="eastAsia" w:ascii="宋体" w:hAnsi="宋体" w:eastAsia="宋体" w:cs="宋体"/>
          <w:bCs/>
          <w:snapToGrid w:val="0"/>
          <w:color w:val="auto"/>
          <w:kern w:val="0"/>
          <w:sz w:val="24"/>
          <w:szCs w:val="24"/>
          <w:highlight w:val="none"/>
        </w:rPr>
      </w:pPr>
      <w:r>
        <w:rPr>
          <w:rFonts w:hint="eastAsia" w:ascii="宋体" w:hAnsi="宋体" w:eastAsia="宋体" w:cs="宋体"/>
          <w:bCs/>
          <w:snapToGrid w:val="0"/>
          <w:color w:val="auto"/>
          <w:kern w:val="0"/>
          <w:sz w:val="24"/>
          <w:szCs w:val="24"/>
          <w:highlight w:val="none"/>
        </w:rPr>
        <w:t>（</w:t>
      </w:r>
      <w:r>
        <w:rPr>
          <w:rFonts w:hint="eastAsia" w:hAnsi="宋体" w:eastAsia="宋体" w:cs="宋体"/>
          <w:bCs/>
          <w:snapToGrid w:val="0"/>
          <w:color w:val="auto"/>
          <w:kern w:val="0"/>
          <w:sz w:val="24"/>
          <w:szCs w:val="24"/>
          <w:highlight w:val="none"/>
          <w:lang w:val="en-US" w:eastAsia="zh-CN"/>
        </w:rPr>
        <w:t>5</w:t>
      </w:r>
      <w:r>
        <w:rPr>
          <w:rFonts w:hint="eastAsia" w:ascii="宋体" w:hAnsi="宋体" w:eastAsia="宋体" w:cs="宋体"/>
          <w:bCs/>
          <w:snapToGrid w:val="0"/>
          <w:color w:val="auto"/>
          <w:kern w:val="0"/>
          <w:sz w:val="24"/>
          <w:szCs w:val="24"/>
          <w:highlight w:val="none"/>
        </w:rPr>
        <w:t>）</w:t>
      </w:r>
      <w:r>
        <w:rPr>
          <w:rStyle w:val="29"/>
          <w:rFonts w:hint="default" w:ascii="Arial" w:hAnsi="Arial" w:eastAsia="Arial" w:cs="Arial"/>
          <w:i w:val="0"/>
          <w:iCs w:val="0"/>
          <w:caps w:val="0"/>
          <w:color w:val="auto"/>
          <w:spacing w:val="0"/>
          <w:sz w:val="24"/>
          <w:szCs w:val="24"/>
          <w:highlight w:val="none"/>
          <w:shd w:val="clear" w:fill="FFFFFF"/>
        </w:rPr>
        <w:t>《水泥混凝土路面施工及验收规范》</w:t>
      </w:r>
      <w:r>
        <w:rPr>
          <w:rFonts w:hint="default" w:ascii="宋体" w:hAnsi="宋体" w:eastAsia="宋体" w:cs="宋体"/>
          <w:bCs/>
          <w:snapToGrid w:val="0"/>
          <w:color w:val="auto"/>
          <w:kern w:val="0"/>
          <w:sz w:val="24"/>
          <w:szCs w:val="24"/>
          <w:highlight w:val="none"/>
        </w:rPr>
        <w:t>（GBJ 97-87）</w:t>
      </w:r>
      <w:r>
        <w:rPr>
          <w:rFonts w:hint="eastAsia" w:ascii="宋体" w:hAnsi="宋体" w:eastAsia="宋体" w:cs="宋体"/>
          <w:bCs/>
          <w:snapToGrid w:val="0"/>
          <w:color w:val="auto"/>
          <w:kern w:val="0"/>
          <w:sz w:val="24"/>
          <w:szCs w:val="24"/>
          <w:highlight w:val="none"/>
        </w:rPr>
        <w:t>；</w:t>
      </w:r>
    </w:p>
    <w:p w14:paraId="5DC86822">
      <w:pPr>
        <w:keepNext w:val="0"/>
        <w:keepLines w:val="0"/>
        <w:pageBreakBefore w:val="0"/>
        <w:kinsoku/>
        <w:wordWrap w:val="0"/>
        <w:overflowPunct/>
        <w:topLinePunct w:val="0"/>
        <w:bidi w:val="0"/>
        <w:adjustRightInd w:val="0"/>
        <w:snapToGrid w:val="0"/>
        <w:spacing w:line="400" w:lineRule="exact"/>
        <w:ind w:firstLine="480" w:firstLineChars="200"/>
        <w:rPr>
          <w:rFonts w:hint="eastAsia" w:ascii="宋体" w:hAnsi="宋体" w:eastAsia="宋体" w:cs="宋体"/>
          <w:bCs/>
          <w:snapToGrid w:val="0"/>
          <w:color w:val="auto"/>
          <w:kern w:val="0"/>
          <w:sz w:val="24"/>
          <w:szCs w:val="24"/>
          <w:highlight w:val="none"/>
        </w:rPr>
      </w:pPr>
      <w:r>
        <w:rPr>
          <w:rFonts w:hint="eastAsia" w:ascii="宋体" w:hAnsi="宋体" w:eastAsia="宋体" w:cs="宋体"/>
          <w:bCs/>
          <w:snapToGrid w:val="0"/>
          <w:color w:val="auto"/>
          <w:kern w:val="0"/>
          <w:sz w:val="24"/>
          <w:szCs w:val="24"/>
          <w:highlight w:val="none"/>
        </w:rPr>
        <w:t>（</w:t>
      </w:r>
      <w:r>
        <w:rPr>
          <w:rFonts w:hint="eastAsia" w:hAnsi="宋体" w:eastAsia="宋体" w:cs="宋体"/>
          <w:bCs/>
          <w:snapToGrid w:val="0"/>
          <w:color w:val="auto"/>
          <w:kern w:val="0"/>
          <w:sz w:val="24"/>
          <w:szCs w:val="24"/>
          <w:highlight w:val="none"/>
          <w:lang w:val="en-US" w:eastAsia="zh-CN"/>
        </w:rPr>
        <w:t>6</w:t>
      </w:r>
      <w:r>
        <w:rPr>
          <w:rFonts w:hint="eastAsia" w:ascii="宋体" w:hAnsi="宋体" w:eastAsia="宋体" w:cs="宋体"/>
          <w:bCs/>
          <w:snapToGrid w:val="0"/>
          <w:color w:val="auto"/>
          <w:kern w:val="0"/>
          <w:sz w:val="24"/>
          <w:szCs w:val="24"/>
          <w:highlight w:val="none"/>
        </w:rPr>
        <w:t>）《公路水泥混凝土路面施工技术细则》（JTG/T F30-2014）；</w:t>
      </w:r>
    </w:p>
    <w:p w14:paraId="0F6A6CFC">
      <w:pPr>
        <w:keepNext w:val="0"/>
        <w:keepLines w:val="0"/>
        <w:pageBreakBefore w:val="0"/>
        <w:kinsoku/>
        <w:wordWrap w:val="0"/>
        <w:overflowPunct/>
        <w:topLinePunct w:val="0"/>
        <w:bidi w:val="0"/>
        <w:adjustRightInd w:val="0"/>
        <w:snapToGrid w:val="0"/>
        <w:spacing w:line="400" w:lineRule="exact"/>
        <w:ind w:firstLine="480" w:firstLineChars="200"/>
        <w:rPr>
          <w:rFonts w:hint="eastAsia" w:ascii="宋体" w:hAnsi="宋体" w:eastAsia="宋体" w:cs="宋体"/>
          <w:bCs/>
          <w:snapToGrid w:val="0"/>
          <w:color w:val="auto"/>
          <w:kern w:val="0"/>
          <w:sz w:val="24"/>
          <w:szCs w:val="24"/>
          <w:highlight w:val="none"/>
        </w:rPr>
      </w:pPr>
      <w:r>
        <w:rPr>
          <w:rFonts w:hint="eastAsia" w:ascii="宋体" w:hAnsi="宋体" w:eastAsia="宋体" w:cs="宋体"/>
          <w:bCs/>
          <w:snapToGrid w:val="0"/>
          <w:color w:val="auto"/>
          <w:kern w:val="0"/>
          <w:sz w:val="24"/>
          <w:szCs w:val="24"/>
          <w:highlight w:val="none"/>
        </w:rPr>
        <w:t>（</w:t>
      </w:r>
      <w:r>
        <w:rPr>
          <w:rFonts w:hint="eastAsia" w:hAnsi="宋体" w:eastAsia="宋体" w:cs="宋体"/>
          <w:bCs/>
          <w:snapToGrid w:val="0"/>
          <w:color w:val="auto"/>
          <w:kern w:val="0"/>
          <w:sz w:val="24"/>
          <w:szCs w:val="24"/>
          <w:highlight w:val="none"/>
          <w:lang w:val="en-US" w:eastAsia="zh-CN"/>
        </w:rPr>
        <w:t>7</w:t>
      </w:r>
      <w:r>
        <w:rPr>
          <w:rFonts w:hint="eastAsia" w:ascii="宋体" w:hAnsi="宋体" w:eastAsia="宋体" w:cs="宋体"/>
          <w:bCs/>
          <w:snapToGrid w:val="0"/>
          <w:color w:val="auto"/>
          <w:kern w:val="0"/>
          <w:sz w:val="24"/>
          <w:szCs w:val="24"/>
          <w:highlight w:val="none"/>
        </w:rPr>
        <w:t>）《埋地硬聚氯乙烯排水管道工程技术规程》T/CECS 122-2020；</w:t>
      </w:r>
    </w:p>
    <w:p w14:paraId="26914F0B">
      <w:pPr>
        <w:keepNext w:val="0"/>
        <w:keepLines w:val="0"/>
        <w:pageBreakBefore w:val="0"/>
        <w:kinsoku/>
        <w:wordWrap w:val="0"/>
        <w:overflowPunct/>
        <w:topLinePunct w:val="0"/>
        <w:bidi w:val="0"/>
        <w:adjustRightInd w:val="0"/>
        <w:snapToGrid w:val="0"/>
        <w:spacing w:line="400" w:lineRule="exact"/>
        <w:ind w:firstLine="480" w:firstLineChars="200"/>
        <w:rPr>
          <w:rFonts w:hint="eastAsia" w:ascii="宋体" w:hAnsi="宋体" w:eastAsia="宋体" w:cs="宋体"/>
          <w:bCs/>
          <w:snapToGrid w:val="0"/>
          <w:color w:val="auto"/>
          <w:kern w:val="0"/>
          <w:sz w:val="24"/>
          <w:szCs w:val="24"/>
          <w:highlight w:val="none"/>
          <w:lang w:eastAsia="zh-CN"/>
        </w:rPr>
      </w:pPr>
      <w:r>
        <w:rPr>
          <w:rFonts w:hint="eastAsia" w:ascii="宋体" w:hAnsi="宋体" w:eastAsia="宋体" w:cs="宋体"/>
          <w:bCs/>
          <w:snapToGrid w:val="0"/>
          <w:color w:val="auto"/>
          <w:kern w:val="0"/>
          <w:sz w:val="24"/>
          <w:szCs w:val="24"/>
          <w:highlight w:val="none"/>
        </w:rPr>
        <w:t>（</w:t>
      </w:r>
      <w:r>
        <w:rPr>
          <w:rFonts w:hint="eastAsia" w:hAnsi="宋体" w:eastAsia="宋体" w:cs="宋体"/>
          <w:bCs/>
          <w:snapToGrid w:val="0"/>
          <w:color w:val="auto"/>
          <w:kern w:val="0"/>
          <w:sz w:val="24"/>
          <w:szCs w:val="24"/>
          <w:highlight w:val="none"/>
          <w:lang w:val="en-US" w:eastAsia="zh-CN"/>
        </w:rPr>
        <w:t>8</w:t>
      </w:r>
      <w:r>
        <w:rPr>
          <w:rFonts w:hint="eastAsia" w:ascii="宋体" w:hAnsi="宋体" w:eastAsia="宋体" w:cs="宋体"/>
          <w:bCs/>
          <w:snapToGrid w:val="0"/>
          <w:color w:val="auto"/>
          <w:kern w:val="0"/>
          <w:sz w:val="24"/>
          <w:szCs w:val="24"/>
          <w:highlight w:val="none"/>
        </w:rPr>
        <w:t>）《广东省市政基础设施工程竣工验收技术资料统一用表》（2019版）</w:t>
      </w:r>
      <w:r>
        <w:rPr>
          <w:rFonts w:hint="eastAsia" w:ascii="宋体" w:hAnsi="宋体" w:eastAsia="宋体" w:cs="宋体"/>
          <w:bCs/>
          <w:snapToGrid w:val="0"/>
          <w:color w:val="auto"/>
          <w:kern w:val="0"/>
          <w:sz w:val="24"/>
          <w:szCs w:val="24"/>
          <w:highlight w:val="none"/>
          <w:lang w:eastAsia="zh-CN"/>
        </w:rPr>
        <w:t>；</w:t>
      </w:r>
    </w:p>
    <w:p w14:paraId="143929C3">
      <w:pPr>
        <w:keepNext w:val="0"/>
        <w:keepLines w:val="0"/>
        <w:pageBreakBefore w:val="0"/>
        <w:kinsoku/>
        <w:wordWrap w:val="0"/>
        <w:overflowPunct/>
        <w:topLinePunct w:val="0"/>
        <w:bidi w:val="0"/>
        <w:adjustRightInd w:val="0"/>
        <w:snapToGrid w:val="0"/>
        <w:spacing w:line="400" w:lineRule="exact"/>
        <w:ind w:firstLine="480" w:firstLineChars="200"/>
        <w:rPr>
          <w:rFonts w:hint="eastAsia" w:ascii="宋体" w:hAnsi="宋体" w:eastAsia="宋体" w:cs="宋体"/>
          <w:bCs/>
          <w:snapToGrid w:val="0"/>
          <w:color w:val="auto"/>
          <w:kern w:val="0"/>
          <w:sz w:val="24"/>
          <w:szCs w:val="24"/>
          <w:highlight w:val="none"/>
          <w:lang w:eastAsia="zh-CN"/>
        </w:rPr>
      </w:pPr>
      <w:r>
        <w:rPr>
          <w:rFonts w:hint="eastAsia" w:ascii="宋体" w:hAnsi="宋体" w:eastAsia="宋体" w:cs="宋体"/>
          <w:bCs/>
          <w:snapToGrid w:val="0"/>
          <w:color w:val="auto"/>
          <w:kern w:val="0"/>
          <w:sz w:val="24"/>
          <w:szCs w:val="24"/>
          <w:highlight w:val="none"/>
        </w:rPr>
        <w:t>（</w:t>
      </w:r>
      <w:r>
        <w:rPr>
          <w:rFonts w:hint="eastAsia" w:hAnsi="宋体" w:eastAsia="宋体" w:cs="宋体"/>
          <w:bCs/>
          <w:snapToGrid w:val="0"/>
          <w:color w:val="auto"/>
          <w:kern w:val="0"/>
          <w:sz w:val="24"/>
          <w:szCs w:val="24"/>
          <w:highlight w:val="none"/>
          <w:lang w:val="en-US" w:eastAsia="zh-CN"/>
        </w:rPr>
        <w:t>9</w:t>
      </w:r>
      <w:r>
        <w:rPr>
          <w:rFonts w:hint="eastAsia" w:ascii="宋体" w:hAnsi="宋体" w:eastAsia="宋体" w:cs="宋体"/>
          <w:bCs/>
          <w:snapToGrid w:val="0"/>
          <w:color w:val="auto"/>
          <w:kern w:val="0"/>
          <w:sz w:val="24"/>
          <w:szCs w:val="24"/>
          <w:highlight w:val="none"/>
        </w:rPr>
        <w:t>）《城市道路照明设计标准》（CJJ45-2015）</w:t>
      </w:r>
      <w:r>
        <w:rPr>
          <w:rFonts w:hint="eastAsia" w:ascii="宋体" w:hAnsi="宋体" w:eastAsia="宋体" w:cs="宋体"/>
          <w:bCs/>
          <w:snapToGrid w:val="0"/>
          <w:color w:val="auto"/>
          <w:kern w:val="0"/>
          <w:sz w:val="24"/>
          <w:szCs w:val="24"/>
          <w:highlight w:val="none"/>
          <w:lang w:eastAsia="zh-CN"/>
        </w:rPr>
        <w:t>；</w:t>
      </w:r>
    </w:p>
    <w:p w14:paraId="358B35FC">
      <w:pPr>
        <w:keepNext w:val="0"/>
        <w:keepLines w:val="0"/>
        <w:pageBreakBefore w:val="0"/>
        <w:kinsoku/>
        <w:wordWrap w:val="0"/>
        <w:overflowPunct/>
        <w:topLinePunct w:val="0"/>
        <w:bidi w:val="0"/>
        <w:adjustRightInd w:val="0"/>
        <w:snapToGrid w:val="0"/>
        <w:spacing w:line="400" w:lineRule="exact"/>
        <w:ind w:firstLine="480" w:firstLineChars="200"/>
        <w:rPr>
          <w:rFonts w:hint="eastAsia" w:ascii="宋体" w:hAnsi="宋体" w:eastAsia="宋体" w:cs="宋体"/>
          <w:bCs/>
          <w:snapToGrid w:val="0"/>
          <w:color w:val="auto"/>
          <w:kern w:val="0"/>
          <w:sz w:val="24"/>
          <w:szCs w:val="24"/>
          <w:highlight w:val="none"/>
        </w:rPr>
      </w:pPr>
      <w:r>
        <w:rPr>
          <w:rFonts w:hint="eastAsia" w:ascii="宋体" w:hAnsi="宋体" w:eastAsia="宋体" w:cs="宋体"/>
          <w:bCs/>
          <w:snapToGrid w:val="0"/>
          <w:color w:val="auto"/>
          <w:kern w:val="0"/>
          <w:sz w:val="24"/>
          <w:szCs w:val="24"/>
          <w:highlight w:val="none"/>
        </w:rPr>
        <w:t>（</w:t>
      </w:r>
      <w:r>
        <w:rPr>
          <w:rFonts w:hint="eastAsia" w:hAnsi="宋体" w:eastAsia="宋体" w:cs="宋体"/>
          <w:bCs/>
          <w:snapToGrid w:val="0"/>
          <w:color w:val="auto"/>
          <w:kern w:val="0"/>
          <w:sz w:val="24"/>
          <w:szCs w:val="24"/>
          <w:highlight w:val="none"/>
          <w:lang w:val="en-US" w:eastAsia="zh-CN"/>
        </w:rPr>
        <w:t>10</w:t>
      </w:r>
      <w:r>
        <w:rPr>
          <w:rFonts w:hint="eastAsia" w:ascii="宋体" w:hAnsi="宋体" w:eastAsia="宋体" w:cs="宋体"/>
          <w:bCs/>
          <w:snapToGrid w:val="0"/>
          <w:color w:val="auto"/>
          <w:kern w:val="0"/>
          <w:sz w:val="24"/>
          <w:szCs w:val="24"/>
          <w:highlight w:val="none"/>
        </w:rPr>
        <w:t>）《低压配电设计规范》（GB50054-2011）；</w:t>
      </w:r>
    </w:p>
    <w:p w14:paraId="0E61835C">
      <w:pPr>
        <w:keepNext w:val="0"/>
        <w:keepLines w:val="0"/>
        <w:pageBreakBefore w:val="0"/>
        <w:kinsoku/>
        <w:wordWrap w:val="0"/>
        <w:overflowPunct/>
        <w:topLinePunct w:val="0"/>
        <w:bidi w:val="0"/>
        <w:adjustRightInd w:val="0"/>
        <w:snapToGrid w:val="0"/>
        <w:spacing w:line="400" w:lineRule="exact"/>
        <w:ind w:firstLine="480" w:firstLineChars="200"/>
        <w:rPr>
          <w:rFonts w:hint="eastAsia" w:ascii="宋体" w:hAnsi="宋体" w:eastAsia="宋体" w:cs="宋体"/>
          <w:bCs/>
          <w:snapToGrid w:val="0"/>
          <w:color w:val="auto"/>
          <w:kern w:val="0"/>
          <w:sz w:val="24"/>
          <w:szCs w:val="24"/>
          <w:highlight w:val="none"/>
        </w:rPr>
      </w:pPr>
      <w:r>
        <w:rPr>
          <w:rFonts w:hint="eastAsia" w:ascii="宋体" w:hAnsi="宋体" w:eastAsia="宋体" w:cs="宋体"/>
          <w:bCs/>
          <w:snapToGrid w:val="0"/>
          <w:color w:val="auto"/>
          <w:kern w:val="0"/>
          <w:sz w:val="24"/>
          <w:szCs w:val="24"/>
          <w:highlight w:val="none"/>
        </w:rPr>
        <w:t>（1</w:t>
      </w:r>
      <w:r>
        <w:rPr>
          <w:rFonts w:hint="eastAsia" w:hAnsi="宋体" w:eastAsia="宋体" w:cs="宋体"/>
          <w:bCs/>
          <w:snapToGrid w:val="0"/>
          <w:color w:val="auto"/>
          <w:kern w:val="0"/>
          <w:sz w:val="24"/>
          <w:szCs w:val="24"/>
          <w:highlight w:val="none"/>
          <w:lang w:val="en-US" w:eastAsia="zh-CN"/>
        </w:rPr>
        <w:t>1</w:t>
      </w:r>
      <w:r>
        <w:rPr>
          <w:rFonts w:hint="eastAsia" w:ascii="宋体" w:hAnsi="宋体" w:eastAsia="宋体" w:cs="宋体"/>
          <w:bCs/>
          <w:snapToGrid w:val="0"/>
          <w:color w:val="auto"/>
          <w:kern w:val="0"/>
          <w:sz w:val="24"/>
          <w:szCs w:val="24"/>
          <w:highlight w:val="none"/>
        </w:rPr>
        <w:t>）《城市道路照明工程施工及验收规程》（CJJ89-2012）；</w:t>
      </w:r>
    </w:p>
    <w:p w14:paraId="0C9BAA00">
      <w:pPr>
        <w:keepNext w:val="0"/>
        <w:keepLines w:val="0"/>
        <w:pageBreakBefore w:val="0"/>
        <w:kinsoku/>
        <w:wordWrap w:val="0"/>
        <w:overflowPunct/>
        <w:topLinePunct w:val="0"/>
        <w:bidi w:val="0"/>
        <w:adjustRightInd w:val="0"/>
        <w:snapToGrid w:val="0"/>
        <w:spacing w:line="400" w:lineRule="exact"/>
        <w:ind w:firstLine="480" w:firstLineChars="200"/>
        <w:rPr>
          <w:rFonts w:hint="eastAsia" w:ascii="宋体" w:hAnsi="宋体" w:eastAsia="宋体" w:cs="宋体"/>
          <w:bCs/>
          <w:snapToGrid w:val="0"/>
          <w:color w:val="auto"/>
          <w:kern w:val="0"/>
          <w:sz w:val="24"/>
          <w:szCs w:val="24"/>
          <w:highlight w:val="none"/>
        </w:rPr>
      </w:pPr>
      <w:r>
        <w:rPr>
          <w:rFonts w:hint="eastAsia" w:ascii="宋体" w:hAnsi="宋体" w:eastAsia="宋体" w:cs="宋体"/>
          <w:bCs/>
          <w:snapToGrid w:val="0"/>
          <w:color w:val="auto"/>
          <w:kern w:val="0"/>
          <w:sz w:val="24"/>
          <w:szCs w:val="24"/>
          <w:highlight w:val="none"/>
        </w:rPr>
        <w:t>（1</w:t>
      </w:r>
      <w:r>
        <w:rPr>
          <w:rFonts w:hint="eastAsia" w:hAnsi="宋体" w:eastAsia="宋体" w:cs="宋体"/>
          <w:bCs/>
          <w:snapToGrid w:val="0"/>
          <w:color w:val="auto"/>
          <w:kern w:val="0"/>
          <w:sz w:val="24"/>
          <w:szCs w:val="24"/>
          <w:highlight w:val="none"/>
          <w:lang w:val="en-US" w:eastAsia="zh-CN"/>
        </w:rPr>
        <w:t>2</w:t>
      </w:r>
      <w:r>
        <w:rPr>
          <w:rFonts w:hint="eastAsia" w:ascii="宋体" w:hAnsi="宋体" w:eastAsia="宋体" w:cs="宋体"/>
          <w:bCs/>
          <w:snapToGrid w:val="0"/>
          <w:color w:val="auto"/>
          <w:kern w:val="0"/>
          <w:sz w:val="24"/>
          <w:szCs w:val="24"/>
          <w:highlight w:val="none"/>
        </w:rPr>
        <w:t>）《城市道路照明工程技术规程》（SJG 22-2023）；</w:t>
      </w:r>
    </w:p>
    <w:p w14:paraId="7641BD9D">
      <w:pPr>
        <w:keepNext w:val="0"/>
        <w:keepLines w:val="0"/>
        <w:pageBreakBefore w:val="0"/>
        <w:kinsoku/>
        <w:wordWrap w:val="0"/>
        <w:overflowPunct/>
        <w:topLinePunct w:val="0"/>
        <w:bidi w:val="0"/>
        <w:adjustRightInd w:val="0"/>
        <w:snapToGrid w:val="0"/>
        <w:spacing w:line="400" w:lineRule="exact"/>
        <w:ind w:firstLine="480" w:firstLineChars="200"/>
        <w:rPr>
          <w:rFonts w:hint="eastAsia" w:ascii="宋体" w:hAnsi="宋体" w:eastAsia="宋体" w:cs="宋体"/>
          <w:bCs/>
          <w:snapToGrid w:val="0"/>
          <w:color w:val="auto"/>
          <w:kern w:val="0"/>
          <w:sz w:val="24"/>
          <w:szCs w:val="24"/>
          <w:highlight w:val="none"/>
          <w:lang w:eastAsia="zh-CN"/>
        </w:rPr>
      </w:pPr>
      <w:r>
        <w:rPr>
          <w:rFonts w:hint="eastAsia" w:ascii="宋体" w:hAnsi="宋体" w:eastAsia="宋体" w:cs="宋体"/>
          <w:bCs/>
          <w:snapToGrid w:val="0"/>
          <w:color w:val="auto"/>
          <w:kern w:val="0"/>
          <w:sz w:val="24"/>
          <w:szCs w:val="24"/>
          <w:highlight w:val="none"/>
        </w:rPr>
        <w:t>（1</w:t>
      </w:r>
      <w:r>
        <w:rPr>
          <w:rFonts w:hint="eastAsia" w:hAnsi="宋体" w:eastAsia="宋体" w:cs="宋体"/>
          <w:bCs/>
          <w:snapToGrid w:val="0"/>
          <w:color w:val="auto"/>
          <w:kern w:val="0"/>
          <w:sz w:val="24"/>
          <w:szCs w:val="24"/>
          <w:highlight w:val="none"/>
          <w:lang w:val="en-US" w:eastAsia="zh-CN"/>
        </w:rPr>
        <w:t>3</w:t>
      </w:r>
      <w:r>
        <w:rPr>
          <w:rFonts w:hint="eastAsia" w:ascii="宋体" w:hAnsi="宋体" w:eastAsia="宋体" w:cs="宋体"/>
          <w:bCs/>
          <w:snapToGrid w:val="0"/>
          <w:color w:val="auto"/>
          <w:kern w:val="0"/>
          <w:sz w:val="24"/>
          <w:szCs w:val="24"/>
          <w:highlight w:val="none"/>
        </w:rPr>
        <w:t>）《灯具第1部分：一般要求与试验》（</w:t>
      </w:r>
      <w:r>
        <w:rPr>
          <w:rFonts w:hint="eastAsia" w:hAnsi="宋体" w:eastAsia="宋体" w:cs="宋体"/>
          <w:bCs/>
          <w:snapToGrid w:val="0"/>
          <w:color w:val="auto"/>
          <w:kern w:val="0"/>
          <w:sz w:val="24"/>
          <w:szCs w:val="24"/>
          <w:highlight w:val="none"/>
          <w:lang w:eastAsia="zh-CN"/>
        </w:rPr>
        <w:t>GB/T 7000.1-2023</w:t>
      </w:r>
      <w:r>
        <w:rPr>
          <w:rFonts w:hint="eastAsia" w:ascii="宋体" w:hAnsi="宋体" w:eastAsia="宋体" w:cs="宋体"/>
          <w:bCs/>
          <w:snapToGrid w:val="0"/>
          <w:color w:val="auto"/>
          <w:kern w:val="0"/>
          <w:sz w:val="24"/>
          <w:szCs w:val="24"/>
          <w:highlight w:val="none"/>
        </w:rPr>
        <w:t>）</w:t>
      </w:r>
      <w:r>
        <w:rPr>
          <w:rFonts w:hint="eastAsia" w:hAnsi="宋体" w:eastAsia="宋体" w:cs="宋体"/>
          <w:bCs/>
          <w:snapToGrid w:val="0"/>
          <w:color w:val="auto"/>
          <w:kern w:val="0"/>
          <w:sz w:val="24"/>
          <w:szCs w:val="24"/>
          <w:highlight w:val="none"/>
          <w:lang w:eastAsia="zh-CN"/>
        </w:rPr>
        <w:t>；</w:t>
      </w:r>
    </w:p>
    <w:p w14:paraId="2D90CCD2">
      <w:pPr>
        <w:keepNext w:val="0"/>
        <w:keepLines w:val="0"/>
        <w:pageBreakBefore w:val="0"/>
        <w:kinsoku/>
        <w:wordWrap w:val="0"/>
        <w:overflowPunct/>
        <w:topLinePunct w:val="0"/>
        <w:bidi w:val="0"/>
        <w:adjustRightInd w:val="0"/>
        <w:snapToGrid w:val="0"/>
        <w:spacing w:line="400" w:lineRule="exact"/>
        <w:ind w:firstLine="480" w:firstLineChars="200"/>
        <w:rPr>
          <w:rFonts w:hint="eastAsia" w:ascii="宋体" w:hAnsi="宋体" w:eastAsia="宋体" w:cs="宋体"/>
          <w:bCs/>
          <w:snapToGrid w:val="0"/>
          <w:color w:val="auto"/>
          <w:kern w:val="0"/>
          <w:sz w:val="24"/>
          <w:szCs w:val="24"/>
          <w:highlight w:val="none"/>
        </w:rPr>
      </w:pPr>
      <w:r>
        <w:rPr>
          <w:rFonts w:hint="eastAsia" w:ascii="宋体" w:hAnsi="宋体" w:eastAsia="宋体" w:cs="宋体"/>
          <w:bCs/>
          <w:snapToGrid w:val="0"/>
          <w:color w:val="auto"/>
          <w:kern w:val="0"/>
          <w:sz w:val="24"/>
          <w:szCs w:val="24"/>
          <w:highlight w:val="none"/>
        </w:rPr>
        <w:t>（1</w:t>
      </w:r>
      <w:r>
        <w:rPr>
          <w:rFonts w:hint="eastAsia" w:hAnsi="宋体" w:eastAsia="宋体" w:cs="宋体"/>
          <w:bCs/>
          <w:snapToGrid w:val="0"/>
          <w:color w:val="auto"/>
          <w:kern w:val="0"/>
          <w:sz w:val="24"/>
          <w:szCs w:val="24"/>
          <w:highlight w:val="none"/>
          <w:lang w:val="en-US" w:eastAsia="zh-CN"/>
        </w:rPr>
        <w:t>4</w:t>
      </w:r>
      <w:r>
        <w:rPr>
          <w:rFonts w:hint="eastAsia" w:ascii="宋体" w:hAnsi="宋体" w:eastAsia="宋体" w:cs="宋体"/>
          <w:bCs/>
          <w:snapToGrid w:val="0"/>
          <w:color w:val="auto"/>
          <w:kern w:val="0"/>
          <w:sz w:val="24"/>
          <w:szCs w:val="24"/>
          <w:highlight w:val="none"/>
        </w:rPr>
        <w:t>）《</w:t>
      </w:r>
      <w:r>
        <w:rPr>
          <w:rFonts w:hint="eastAsia" w:hAnsi="宋体" w:eastAsia="宋体" w:cs="宋体"/>
          <w:bCs/>
          <w:snapToGrid w:val="0"/>
          <w:color w:val="auto"/>
          <w:kern w:val="0"/>
          <w:sz w:val="24"/>
          <w:szCs w:val="24"/>
          <w:highlight w:val="none"/>
          <w:lang w:eastAsia="zh-CN"/>
        </w:rPr>
        <w:t>电力工程电缆设计标准</w:t>
      </w:r>
      <w:r>
        <w:rPr>
          <w:rFonts w:hint="eastAsia" w:ascii="宋体" w:hAnsi="宋体" w:eastAsia="宋体" w:cs="宋体"/>
          <w:bCs/>
          <w:snapToGrid w:val="0"/>
          <w:color w:val="auto"/>
          <w:kern w:val="0"/>
          <w:sz w:val="24"/>
          <w:szCs w:val="24"/>
          <w:highlight w:val="none"/>
        </w:rPr>
        <w:t>》（GB50217-2018）；</w:t>
      </w:r>
    </w:p>
    <w:p w14:paraId="67A01240">
      <w:pPr>
        <w:keepNext w:val="0"/>
        <w:keepLines w:val="0"/>
        <w:pageBreakBefore w:val="0"/>
        <w:kinsoku/>
        <w:wordWrap w:val="0"/>
        <w:overflowPunct/>
        <w:topLinePunct w:val="0"/>
        <w:bidi w:val="0"/>
        <w:adjustRightInd w:val="0"/>
        <w:snapToGrid w:val="0"/>
        <w:spacing w:line="400" w:lineRule="exact"/>
        <w:ind w:firstLine="480" w:firstLineChars="200"/>
        <w:rPr>
          <w:rFonts w:hint="eastAsia" w:ascii="宋体" w:hAnsi="宋体" w:eastAsia="宋体" w:cs="宋体"/>
          <w:bCs/>
          <w:snapToGrid w:val="0"/>
          <w:color w:val="auto"/>
          <w:kern w:val="0"/>
          <w:sz w:val="24"/>
          <w:szCs w:val="24"/>
          <w:highlight w:val="none"/>
          <w:lang w:eastAsia="zh-CN"/>
        </w:rPr>
      </w:pPr>
      <w:r>
        <w:rPr>
          <w:rFonts w:hint="eastAsia" w:ascii="宋体" w:hAnsi="宋体" w:eastAsia="宋体" w:cs="宋体"/>
          <w:bCs/>
          <w:snapToGrid w:val="0"/>
          <w:color w:val="auto"/>
          <w:kern w:val="0"/>
          <w:sz w:val="24"/>
          <w:szCs w:val="24"/>
          <w:highlight w:val="none"/>
        </w:rPr>
        <w:t>（1</w:t>
      </w:r>
      <w:r>
        <w:rPr>
          <w:rFonts w:hint="eastAsia" w:hAnsi="宋体" w:eastAsia="宋体" w:cs="宋体"/>
          <w:bCs/>
          <w:snapToGrid w:val="0"/>
          <w:color w:val="auto"/>
          <w:kern w:val="0"/>
          <w:sz w:val="24"/>
          <w:szCs w:val="24"/>
          <w:highlight w:val="none"/>
          <w:lang w:val="en-US" w:eastAsia="zh-CN"/>
        </w:rPr>
        <w:t>5</w:t>
      </w:r>
      <w:r>
        <w:rPr>
          <w:rFonts w:hint="eastAsia" w:ascii="宋体" w:hAnsi="宋体" w:eastAsia="宋体" w:cs="宋体"/>
          <w:bCs/>
          <w:snapToGrid w:val="0"/>
          <w:color w:val="auto"/>
          <w:kern w:val="0"/>
          <w:sz w:val="24"/>
          <w:szCs w:val="24"/>
          <w:highlight w:val="none"/>
        </w:rPr>
        <w:t>）其他现行国家、广东省关于市政工程的技术及验收规范、定额、规程、标准</w:t>
      </w:r>
      <w:r>
        <w:rPr>
          <w:rFonts w:hint="eastAsia" w:ascii="宋体" w:hAnsi="宋体" w:eastAsia="宋体" w:cs="宋体"/>
          <w:bCs/>
          <w:snapToGrid w:val="0"/>
          <w:color w:val="auto"/>
          <w:kern w:val="0"/>
          <w:sz w:val="24"/>
          <w:szCs w:val="24"/>
          <w:highlight w:val="none"/>
          <w:lang w:eastAsia="zh-CN"/>
        </w:rPr>
        <w:t>。</w:t>
      </w:r>
    </w:p>
    <w:p w14:paraId="58FA313C">
      <w:pPr>
        <w:keepNext w:val="0"/>
        <w:keepLines w:val="0"/>
        <w:pageBreakBefore w:val="0"/>
        <w:kinsoku/>
        <w:wordWrap w:val="0"/>
        <w:overflowPunct/>
        <w:topLinePunct w:val="0"/>
        <w:bidi w:val="0"/>
        <w:adjustRightInd w:val="0"/>
        <w:snapToGrid w:val="0"/>
        <w:spacing w:line="400" w:lineRule="exact"/>
        <w:ind w:firstLine="482" w:firstLineChars="200"/>
        <w:rPr>
          <w:rFonts w:hint="eastAsia" w:ascii="宋体" w:hAnsi="宋体" w:eastAsia="宋体" w:cs="宋体"/>
          <w:b/>
          <w:snapToGrid w:val="0"/>
          <w:color w:val="auto"/>
          <w:kern w:val="0"/>
          <w:sz w:val="24"/>
          <w:szCs w:val="24"/>
          <w:highlight w:val="none"/>
        </w:rPr>
      </w:pPr>
      <w:r>
        <w:rPr>
          <w:rFonts w:hint="eastAsia" w:ascii="宋体" w:hAnsi="宋体" w:eastAsia="宋体" w:cs="宋体"/>
          <w:b/>
          <w:snapToGrid w:val="0"/>
          <w:color w:val="auto"/>
          <w:kern w:val="0"/>
          <w:sz w:val="24"/>
          <w:szCs w:val="24"/>
          <w:highlight w:val="none"/>
        </w:rPr>
        <w:t>3.设计规范</w:t>
      </w:r>
    </w:p>
    <w:p w14:paraId="55C7C52C">
      <w:pPr>
        <w:keepNext w:val="0"/>
        <w:keepLines w:val="0"/>
        <w:pageBreakBefore w:val="0"/>
        <w:kinsoku/>
        <w:wordWrap w:val="0"/>
        <w:overflowPunct/>
        <w:topLinePunct w:val="0"/>
        <w:bidi w:val="0"/>
        <w:adjustRightInd w:val="0"/>
        <w:snapToGrid w:val="0"/>
        <w:spacing w:line="400" w:lineRule="exact"/>
        <w:ind w:firstLine="480" w:firstLineChars="200"/>
        <w:rPr>
          <w:rFonts w:hint="eastAsia" w:ascii="宋体" w:hAnsi="宋体" w:eastAsia="宋体" w:cs="宋体"/>
          <w:bCs/>
          <w:snapToGrid w:val="0"/>
          <w:color w:val="auto"/>
          <w:kern w:val="0"/>
          <w:sz w:val="24"/>
          <w:szCs w:val="24"/>
          <w:highlight w:val="none"/>
        </w:rPr>
      </w:pPr>
      <w:r>
        <w:rPr>
          <w:rFonts w:hint="eastAsia" w:ascii="宋体" w:hAnsi="宋体" w:eastAsia="宋体" w:cs="宋体"/>
          <w:bCs/>
          <w:snapToGrid w:val="0"/>
          <w:color w:val="auto"/>
          <w:kern w:val="0"/>
          <w:sz w:val="24"/>
          <w:szCs w:val="24"/>
          <w:highlight w:val="none"/>
        </w:rPr>
        <w:t>（1）《市政公用工程设计文件编制深度规定</w:t>
      </w:r>
      <w:r>
        <w:rPr>
          <w:rFonts w:hint="eastAsia" w:ascii="宋体" w:hAnsi="宋体" w:eastAsia="宋体" w:cs="宋体"/>
          <w:bCs/>
          <w:snapToGrid w:val="0"/>
          <w:color w:val="auto"/>
          <w:kern w:val="0"/>
          <w:sz w:val="24"/>
          <w:szCs w:val="24"/>
          <w:highlight w:val="none"/>
          <w:lang w:eastAsia="zh-CN"/>
        </w:rPr>
        <w:t>（</w:t>
      </w:r>
      <w:r>
        <w:rPr>
          <w:rFonts w:hint="eastAsia" w:ascii="宋体" w:hAnsi="宋体" w:eastAsia="宋体" w:cs="宋体"/>
          <w:bCs/>
          <w:snapToGrid w:val="0"/>
          <w:color w:val="auto"/>
          <w:kern w:val="0"/>
          <w:sz w:val="24"/>
          <w:szCs w:val="24"/>
          <w:highlight w:val="none"/>
          <w:lang w:val="en-US" w:eastAsia="zh-CN"/>
        </w:rPr>
        <w:t>2025版</w:t>
      </w:r>
      <w:r>
        <w:rPr>
          <w:rFonts w:hint="eastAsia" w:ascii="宋体" w:hAnsi="宋体" w:eastAsia="宋体" w:cs="宋体"/>
          <w:bCs/>
          <w:snapToGrid w:val="0"/>
          <w:color w:val="auto"/>
          <w:kern w:val="0"/>
          <w:sz w:val="24"/>
          <w:szCs w:val="24"/>
          <w:highlight w:val="none"/>
          <w:lang w:eastAsia="zh-CN"/>
        </w:rPr>
        <w:t>）</w:t>
      </w:r>
      <w:r>
        <w:rPr>
          <w:rFonts w:hint="eastAsia" w:ascii="宋体" w:hAnsi="宋体" w:eastAsia="宋体" w:cs="宋体"/>
          <w:bCs/>
          <w:snapToGrid w:val="0"/>
          <w:color w:val="auto"/>
          <w:kern w:val="0"/>
          <w:sz w:val="24"/>
          <w:szCs w:val="24"/>
          <w:highlight w:val="none"/>
        </w:rPr>
        <w:t>》；</w:t>
      </w:r>
    </w:p>
    <w:p w14:paraId="36B94C69">
      <w:pPr>
        <w:keepNext w:val="0"/>
        <w:keepLines w:val="0"/>
        <w:pageBreakBefore w:val="0"/>
        <w:kinsoku/>
        <w:wordWrap w:val="0"/>
        <w:overflowPunct/>
        <w:topLinePunct w:val="0"/>
        <w:bidi w:val="0"/>
        <w:adjustRightInd w:val="0"/>
        <w:snapToGrid w:val="0"/>
        <w:spacing w:line="400" w:lineRule="exact"/>
        <w:ind w:firstLine="480" w:firstLineChars="200"/>
        <w:rPr>
          <w:rFonts w:hint="eastAsia" w:ascii="宋体" w:hAnsi="宋体" w:eastAsia="宋体" w:cs="宋体"/>
          <w:bCs/>
          <w:snapToGrid w:val="0"/>
          <w:color w:val="auto"/>
          <w:kern w:val="0"/>
          <w:sz w:val="24"/>
          <w:szCs w:val="24"/>
          <w:highlight w:val="none"/>
        </w:rPr>
      </w:pPr>
      <w:r>
        <w:rPr>
          <w:rFonts w:hint="eastAsia" w:ascii="宋体" w:hAnsi="宋体" w:eastAsia="宋体" w:cs="宋体"/>
          <w:bCs/>
          <w:snapToGrid w:val="0"/>
          <w:color w:val="auto"/>
          <w:kern w:val="0"/>
          <w:sz w:val="24"/>
          <w:szCs w:val="24"/>
          <w:highlight w:val="none"/>
        </w:rPr>
        <w:t>（2）《</w:t>
      </w:r>
      <w:r>
        <w:rPr>
          <w:rFonts w:hint="eastAsia" w:hAnsi="宋体" w:eastAsia="宋体" w:cs="宋体"/>
          <w:bCs/>
          <w:snapToGrid w:val="0"/>
          <w:color w:val="auto"/>
          <w:kern w:val="0"/>
          <w:sz w:val="24"/>
          <w:szCs w:val="24"/>
          <w:highlight w:val="none"/>
          <w:lang w:eastAsia="zh-CN"/>
        </w:rPr>
        <w:t>城市居住区规划设计标准</w:t>
      </w:r>
      <w:r>
        <w:rPr>
          <w:rFonts w:hint="eastAsia" w:ascii="宋体" w:hAnsi="宋体" w:eastAsia="宋体" w:cs="宋体"/>
          <w:bCs/>
          <w:snapToGrid w:val="0"/>
          <w:color w:val="auto"/>
          <w:kern w:val="0"/>
          <w:sz w:val="24"/>
          <w:szCs w:val="24"/>
          <w:highlight w:val="none"/>
        </w:rPr>
        <w:t>》</w:t>
      </w:r>
      <w:r>
        <w:rPr>
          <w:rFonts w:hint="eastAsia" w:hAnsi="宋体" w:eastAsia="宋体" w:cs="宋体"/>
          <w:bCs/>
          <w:snapToGrid w:val="0"/>
          <w:color w:val="auto"/>
          <w:kern w:val="0"/>
          <w:sz w:val="24"/>
          <w:szCs w:val="24"/>
          <w:highlight w:val="none"/>
          <w:lang w:eastAsia="zh-CN"/>
        </w:rPr>
        <w:t>GB 50180-2018</w:t>
      </w:r>
      <w:r>
        <w:rPr>
          <w:rFonts w:hint="eastAsia" w:ascii="宋体" w:hAnsi="宋体" w:eastAsia="宋体" w:cs="宋体"/>
          <w:bCs/>
          <w:snapToGrid w:val="0"/>
          <w:color w:val="auto"/>
          <w:kern w:val="0"/>
          <w:sz w:val="24"/>
          <w:szCs w:val="24"/>
          <w:highlight w:val="none"/>
        </w:rPr>
        <w:t>；</w:t>
      </w:r>
    </w:p>
    <w:p w14:paraId="38FC03A3">
      <w:pPr>
        <w:keepNext w:val="0"/>
        <w:keepLines w:val="0"/>
        <w:pageBreakBefore w:val="0"/>
        <w:kinsoku/>
        <w:wordWrap w:val="0"/>
        <w:overflowPunct/>
        <w:topLinePunct w:val="0"/>
        <w:bidi w:val="0"/>
        <w:adjustRightInd w:val="0"/>
        <w:snapToGrid w:val="0"/>
        <w:spacing w:line="400" w:lineRule="exact"/>
        <w:ind w:firstLine="480" w:firstLineChars="200"/>
        <w:rPr>
          <w:rFonts w:hint="eastAsia" w:ascii="宋体" w:hAnsi="宋体" w:eastAsia="宋体" w:cs="宋体"/>
          <w:bCs/>
          <w:snapToGrid w:val="0"/>
          <w:color w:val="auto"/>
          <w:kern w:val="0"/>
          <w:sz w:val="24"/>
          <w:szCs w:val="24"/>
          <w:highlight w:val="none"/>
        </w:rPr>
      </w:pPr>
      <w:r>
        <w:rPr>
          <w:rFonts w:hint="eastAsia" w:ascii="宋体" w:hAnsi="宋体" w:eastAsia="宋体" w:cs="宋体"/>
          <w:bCs/>
          <w:snapToGrid w:val="0"/>
          <w:color w:val="auto"/>
          <w:kern w:val="0"/>
          <w:sz w:val="24"/>
          <w:szCs w:val="24"/>
          <w:highlight w:val="none"/>
        </w:rPr>
        <w:t>（3）《城市道路工程设计</w:t>
      </w:r>
      <w:r>
        <w:rPr>
          <w:rFonts w:hint="eastAsia" w:hAnsi="宋体" w:eastAsia="宋体" w:cs="宋体"/>
          <w:bCs/>
          <w:snapToGrid w:val="0"/>
          <w:color w:val="auto"/>
          <w:kern w:val="0"/>
          <w:sz w:val="24"/>
          <w:szCs w:val="24"/>
          <w:highlight w:val="none"/>
          <w:lang w:eastAsia="zh-CN"/>
        </w:rPr>
        <w:t>规范</w:t>
      </w:r>
      <w:r>
        <w:rPr>
          <w:rFonts w:hint="eastAsia" w:ascii="宋体" w:hAnsi="宋体" w:eastAsia="宋体" w:cs="宋体"/>
          <w:bCs/>
          <w:snapToGrid w:val="0"/>
          <w:color w:val="auto"/>
          <w:kern w:val="0"/>
          <w:sz w:val="24"/>
          <w:szCs w:val="24"/>
          <w:highlight w:val="none"/>
        </w:rPr>
        <w:t>》（</w:t>
      </w:r>
      <w:r>
        <w:rPr>
          <w:rFonts w:hint="eastAsia" w:hAnsi="宋体" w:eastAsia="宋体" w:cs="宋体"/>
          <w:bCs/>
          <w:snapToGrid w:val="0"/>
          <w:color w:val="auto"/>
          <w:kern w:val="0"/>
          <w:sz w:val="24"/>
          <w:szCs w:val="24"/>
          <w:highlight w:val="none"/>
          <w:lang w:eastAsia="zh-CN"/>
        </w:rPr>
        <w:t>CJJ 37-2012[2016年版]</w:t>
      </w:r>
      <w:r>
        <w:rPr>
          <w:rFonts w:hint="eastAsia" w:ascii="宋体" w:hAnsi="宋体" w:eastAsia="宋体" w:cs="宋体"/>
          <w:bCs/>
          <w:snapToGrid w:val="0"/>
          <w:color w:val="auto"/>
          <w:kern w:val="0"/>
          <w:sz w:val="24"/>
          <w:szCs w:val="24"/>
          <w:highlight w:val="none"/>
        </w:rPr>
        <w:t>）；</w:t>
      </w:r>
    </w:p>
    <w:p w14:paraId="292945E6">
      <w:pPr>
        <w:keepNext w:val="0"/>
        <w:keepLines w:val="0"/>
        <w:pageBreakBefore w:val="0"/>
        <w:kinsoku/>
        <w:wordWrap w:val="0"/>
        <w:overflowPunct/>
        <w:topLinePunct w:val="0"/>
        <w:bidi w:val="0"/>
        <w:adjustRightInd w:val="0"/>
        <w:snapToGrid w:val="0"/>
        <w:spacing w:line="400" w:lineRule="exact"/>
        <w:ind w:firstLine="480" w:firstLineChars="200"/>
        <w:rPr>
          <w:rFonts w:hint="eastAsia" w:ascii="宋体" w:hAnsi="宋体" w:eastAsia="宋体" w:cs="宋体"/>
          <w:bCs/>
          <w:snapToGrid w:val="0"/>
          <w:color w:val="auto"/>
          <w:kern w:val="0"/>
          <w:sz w:val="24"/>
          <w:szCs w:val="24"/>
          <w:highlight w:val="none"/>
        </w:rPr>
      </w:pPr>
      <w:r>
        <w:rPr>
          <w:rFonts w:hint="eastAsia" w:ascii="宋体" w:hAnsi="宋体" w:eastAsia="宋体" w:cs="宋体"/>
          <w:bCs/>
          <w:snapToGrid w:val="0"/>
          <w:color w:val="auto"/>
          <w:kern w:val="0"/>
          <w:sz w:val="24"/>
          <w:szCs w:val="24"/>
          <w:highlight w:val="none"/>
        </w:rPr>
        <w:t>（4）《城市道路路线设计规范》（CJJ 193-2012）；</w:t>
      </w:r>
    </w:p>
    <w:p w14:paraId="5E3694BE">
      <w:pPr>
        <w:keepNext w:val="0"/>
        <w:keepLines w:val="0"/>
        <w:pageBreakBefore w:val="0"/>
        <w:kinsoku/>
        <w:wordWrap w:val="0"/>
        <w:overflowPunct/>
        <w:topLinePunct w:val="0"/>
        <w:bidi w:val="0"/>
        <w:adjustRightInd w:val="0"/>
        <w:snapToGrid w:val="0"/>
        <w:spacing w:line="400" w:lineRule="exact"/>
        <w:ind w:firstLine="480" w:firstLineChars="200"/>
        <w:rPr>
          <w:rFonts w:hint="eastAsia" w:ascii="宋体" w:hAnsi="宋体" w:eastAsia="宋体" w:cs="宋体"/>
          <w:bCs/>
          <w:snapToGrid w:val="0"/>
          <w:color w:val="auto"/>
          <w:kern w:val="0"/>
          <w:sz w:val="24"/>
          <w:szCs w:val="24"/>
          <w:highlight w:val="none"/>
        </w:rPr>
      </w:pPr>
      <w:r>
        <w:rPr>
          <w:rFonts w:hint="eastAsia" w:ascii="宋体" w:hAnsi="宋体" w:eastAsia="宋体" w:cs="宋体"/>
          <w:bCs/>
          <w:snapToGrid w:val="0"/>
          <w:color w:val="auto"/>
          <w:kern w:val="0"/>
          <w:sz w:val="24"/>
          <w:szCs w:val="24"/>
          <w:highlight w:val="none"/>
        </w:rPr>
        <w:t>（5）《城市道路路基设计规范》（CJJ194-2013）；</w:t>
      </w:r>
    </w:p>
    <w:p w14:paraId="38A78117">
      <w:pPr>
        <w:keepNext w:val="0"/>
        <w:keepLines w:val="0"/>
        <w:pageBreakBefore w:val="0"/>
        <w:kinsoku/>
        <w:wordWrap w:val="0"/>
        <w:overflowPunct/>
        <w:topLinePunct w:val="0"/>
        <w:bidi w:val="0"/>
        <w:adjustRightInd w:val="0"/>
        <w:snapToGrid w:val="0"/>
        <w:spacing w:line="400" w:lineRule="exact"/>
        <w:ind w:firstLine="480" w:firstLineChars="200"/>
        <w:rPr>
          <w:rFonts w:hint="eastAsia" w:ascii="宋体" w:hAnsi="宋体" w:eastAsia="宋体" w:cs="宋体"/>
          <w:bCs/>
          <w:snapToGrid w:val="0"/>
          <w:color w:val="auto"/>
          <w:kern w:val="0"/>
          <w:sz w:val="24"/>
          <w:szCs w:val="24"/>
          <w:highlight w:val="none"/>
        </w:rPr>
      </w:pPr>
      <w:r>
        <w:rPr>
          <w:rFonts w:hint="eastAsia" w:ascii="宋体" w:hAnsi="宋体" w:eastAsia="宋体" w:cs="宋体"/>
          <w:bCs/>
          <w:snapToGrid w:val="0"/>
          <w:color w:val="auto"/>
          <w:kern w:val="0"/>
          <w:sz w:val="24"/>
          <w:szCs w:val="24"/>
          <w:highlight w:val="none"/>
        </w:rPr>
        <w:t>（6）《城镇道路路面设计规范》（CJJ169-2012）；</w:t>
      </w:r>
    </w:p>
    <w:p w14:paraId="7D05CC25">
      <w:pPr>
        <w:keepNext w:val="0"/>
        <w:keepLines w:val="0"/>
        <w:pageBreakBefore w:val="0"/>
        <w:kinsoku/>
        <w:wordWrap w:val="0"/>
        <w:overflowPunct/>
        <w:topLinePunct w:val="0"/>
        <w:bidi w:val="0"/>
        <w:adjustRightInd w:val="0"/>
        <w:snapToGrid w:val="0"/>
        <w:spacing w:line="400" w:lineRule="exact"/>
        <w:ind w:firstLine="480" w:firstLineChars="200"/>
        <w:rPr>
          <w:rFonts w:hint="eastAsia" w:ascii="宋体" w:hAnsi="宋体" w:eastAsia="宋体" w:cs="宋体"/>
          <w:bCs/>
          <w:snapToGrid w:val="0"/>
          <w:color w:val="auto"/>
          <w:kern w:val="0"/>
          <w:sz w:val="24"/>
          <w:szCs w:val="24"/>
          <w:highlight w:val="none"/>
        </w:rPr>
      </w:pPr>
      <w:r>
        <w:rPr>
          <w:rFonts w:hint="eastAsia" w:ascii="宋体" w:hAnsi="宋体" w:eastAsia="宋体" w:cs="宋体"/>
          <w:bCs/>
          <w:snapToGrid w:val="0"/>
          <w:color w:val="auto"/>
          <w:kern w:val="0"/>
          <w:sz w:val="24"/>
          <w:szCs w:val="24"/>
          <w:highlight w:val="none"/>
        </w:rPr>
        <w:t>（7）</w:t>
      </w:r>
      <w:r>
        <w:rPr>
          <w:rFonts w:hint="eastAsia" w:ascii="宋体" w:hAnsi="宋体" w:eastAsia="宋体" w:cs="宋体"/>
          <w:bCs/>
          <w:snapToGrid w:val="0"/>
          <w:color w:val="auto"/>
          <w:kern w:val="0"/>
          <w:sz w:val="24"/>
          <w:szCs w:val="24"/>
          <w:highlight w:val="none"/>
          <w:lang w:val="en-US" w:eastAsia="zh-CN"/>
        </w:rPr>
        <w:t>《城市综合交通体系规划标准》（GB/T 51328-2018）</w:t>
      </w:r>
      <w:r>
        <w:rPr>
          <w:rFonts w:hint="eastAsia" w:ascii="宋体" w:hAnsi="宋体" w:eastAsia="宋体" w:cs="宋体"/>
          <w:bCs/>
          <w:snapToGrid w:val="0"/>
          <w:color w:val="auto"/>
          <w:kern w:val="0"/>
          <w:sz w:val="24"/>
          <w:szCs w:val="24"/>
          <w:highlight w:val="none"/>
        </w:rPr>
        <w:t>；</w:t>
      </w:r>
    </w:p>
    <w:p w14:paraId="13FD8285">
      <w:pPr>
        <w:keepNext w:val="0"/>
        <w:keepLines w:val="0"/>
        <w:pageBreakBefore w:val="0"/>
        <w:kinsoku/>
        <w:wordWrap w:val="0"/>
        <w:overflowPunct/>
        <w:topLinePunct w:val="0"/>
        <w:bidi w:val="0"/>
        <w:adjustRightInd w:val="0"/>
        <w:snapToGrid w:val="0"/>
        <w:spacing w:line="400" w:lineRule="exact"/>
        <w:ind w:firstLine="480" w:firstLineChars="200"/>
        <w:rPr>
          <w:rFonts w:hint="eastAsia" w:ascii="宋体" w:hAnsi="宋体" w:eastAsia="宋体" w:cs="宋体"/>
          <w:bCs/>
          <w:snapToGrid w:val="0"/>
          <w:color w:val="auto"/>
          <w:kern w:val="0"/>
          <w:sz w:val="24"/>
          <w:szCs w:val="24"/>
          <w:highlight w:val="none"/>
        </w:rPr>
      </w:pPr>
      <w:r>
        <w:rPr>
          <w:rFonts w:hint="eastAsia" w:ascii="宋体" w:hAnsi="宋体" w:eastAsia="宋体" w:cs="宋体"/>
          <w:bCs/>
          <w:snapToGrid w:val="0"/>
          <w:color w:val="auto"/>
          <w:kern w:val="0"/>
          <w:sz w:val="24"/>
          <w:szCs w:val="24"/>
          <w:highlight w:val="none"/>
        </w:rPr>
        <w:t>（8）《无障碍设计规范》（GB 50763-2012）；</w:t>
      </w:r>
    </w:p>
    <w:p w14:paraId="636752CC">
      <w:pPr>
        <w:keepNext w:val="0"/>
        <w:keepLines w:val="0"/>
        <w:pageBreakBefore w:val="0"/>
        <w:kinsoku/>
        <w:wordWrap w:val="0"/>
        <w:overflowPunct/>
        <w:topLinePunct w:val="0"/>
        <w:bidi w:val="0"/>
        <w:adjustRightInd w:val="0"/>
        <w:snapToGrid w:val="0"/>
        <w:spacing w:line="400" w:lineRule="exact"/>
        <w:ind w:firstLine="480" w:firstLineChars="200"/>
        <w:rPr>
          <w:rFonts w:hint="eastAsia" w:ascii="宋体" w:hAnsi="宋体" w:eastAsia="宋体" w:cs="宋体"/>
          <w:bCs/>
          <w:snapToGrid w:val="0"/>
          <w:color w:val="auto"/>
          <w:kern w:val="0"/>
          <w:sz w:val="24"/>
          <w:szCs w:val="24"/>
          <w:highlight w:val="none"/>
        </w:rPr>
      </w:pPr>
      <w:r>
        <w:rPr>
          <w:rFonts w:hint="eastAsia" w:ascii="宋体" w:hAnsi="宋体" w:eastAsia="宋体" w:cs="宋体"/>
          <w:bCs/>
          <w:snapToGrid w:val="0"/>
          <w:color w:val="auto"/>
          <w:kern w:val="0"/>
          <w:sz w:val="24"/>
          <w:szCs w:val="24"/>
          <w:highlight w:val="none"/>
        </w:rPr>
        <w:t>（9）《</w:t>
      </w:r>
      <w:r>
        <w:rPr>
          <w:rFonts w:hint="eastAsia" w:hAnsi="宋体" w:eastAsia="宋体" w:cs="宋体"/>
          <w:bCs/>
          <w:snapToGrid w:val="0"/>
          <w:color w:val="auto"/>
          <w:kern w:val="0"/>
          <w:sz w:val="24"/>
          <w:szCs w:val="24"/>
          <w:highlight w:val="none"/>
          <w:lang w:eastAsia="zh-CN"/>
        </w:rPr>
        <w:t>混凝土结构设计标准</w:t>
      </w:r>
      <w:r>
        <w:rPr>
          <w:rFonts w:hint="eastAsia" w:ascii="宋体" w:hAnsi="宋体" w:eastAsia="宋体" w:cs="宋体"/>
          <w:bCs/>
          <w:snapToGrid w:val="0"/>
          <w:color w:val="auto"/>
          <w:kern w:val="0"/>
          <w:sz w:val="24"/>
          <w:szCs w:val="24"/>
          <w:highlight w:val="none"/>
        </w:rPr>
        <w:t>》（</w:t>
      </w:r>
      <w:r>
        <w:rPr>
          <w:rFonts w:hint="eastAsia" w:hAnsi="宋体" w:eastAsia="宋体" w:cs="宋体"/>
          <w:bCs/>
          <w:snapToGrid w:val="0"/>
          <w:color w:val="auto"/>
          <w:kern w:val="0"/>
          <w:sz w:val="24"/>
          <w:szCs w:val="24"/>
          <w:highlight w:val="none"/>
          <w:lang w:eastAsia="zh-CN"/>
        </w:rPr>
        <w:t>GB/T 50010-2010[2024年版]</w:t>
      </w:r>
      <w:r>
        <w:rPr>
          <w:rFonts w:hint="eastAsia" w:ascii="宋体" w:hAnsi="宋体" w:eastAsia="宋体" w:cs="宋体"/>
          <w:bCs/>
          <w:snapToGrid w:val="0"/>
          <w:color w:val="auto"/>
          <w:kern w:val="0"/>
          <w:sz w:val="24"/>
          <w:szCs w:val="24"/>
          <w:highlight w:val="none"/>
        </w:rPr>
        <w:t>）；</w:t>
      </w:r>
    </w:p>
    <w:p w14:paraId="233B7752">
      <w:pPr>
        <w:keepNext w:val="0"/>
        <w:keepLines w:val="0"/>
        <w:pageBreakBefore w:val="0"/>
        <w:kinsoku/>
        <w:wordWrap w:val="0"/>
        <w:overflowPunct/>
        <w:topLinePunct w:val="0"/>
        <w:bidi w:val="0"/>
        <w:adjustRightInd w:val="0"/>
        <w:snapToGrid w:val="0"/>
        <w:spacing w:line="400" w:lineRule="exact"/>
        <w:ind w:firstLine="480" w:firstLineChars="200"/>
        <w:rPr>
          <w:rFonts w:hint="eastAsia" w:ascii="宋体" w:hAnsi="宋体" w:eastAsia="宋体" w:cs="宋体"/>
          <w:bCs/>
          <w:snapToGrid w:val="0"/>
          <w:color w:val="auto"/>
          <w:kern w:val="0"/>
          <w:sz w:val="24"/>
          <w:szCs w:val="24"/>
          <w:highlight w:val="none"/>
        </w:rPr>
      </w:pPr>
      <w:r>
        <w:rPr>
          <w:rFonts w:hint="eastAsia" w:ascii="宋体" w:hAnsi="宋体" w:eastAsia="宋体" w:cs="宋体"/>
          <w:bCs/>
          <w:snapToGrid w:val="0"/>
          <w:color w:val="auto"/>
          <w:kern w:val="0"/>
          <w:sz w:val="24"/>
          <w:szCs w:val="24"/>
          <w:highlight w:val="none"/>
        </w:rPr>
        <w:t>（10）《城市防洪工程设计规范》（GB/T 50805-2012）；</w:t>
      </w:r>
    </w:p>
    <w:p w14:paraId="6053BF1E">
      <w:pPr>
        <w:keepNext w:val="0"/>
        <w:keepLines w:val="0"/>
        <w:pageBreakBefore w:val="0"/>
        <w:kinsoku/>
        <w:wordWrap w:val="0"/>
        <w:overflowPunct/>
        <w:topLinePunct w:val="0"/>
        <w:bidi w:val="0"/>
        <w:adjustRightInd w:val="0"/>
        <w:snapToGrid w:val="0"/>
        <w:spacing w:line="400" w:lineRule="exact"/>
        <w:ind w:firstLine="480" w:firstLineChars="200"/>
        <w:rPr>
          <w:rFonts w:hint="eastAsia" w:ascii="宋体" w:hAnsi="宋体" w:eastAsia="宋体" w:cs="宋体"/>
          <w:bCs/>
          <w:snapToGrid w:val="0"/>
          <w:color w:val="auto"/>
          <w:kern w:val="0"/>
          <w:sz w:val="24"/>
          <w:szCs w:val="24"/>
          <w:highlight w:val="none"/>
        </w:rPr>
      </w:pPr>
      <w:r>
        <w:rPr>
          <w:rFonts w:hint="eastAsia" w:ascii="宋体" w:hAnsi="宋体" w:eastAsia="宋体" w:cs="宋体"/>
          <w:bCs/>
          <w:snapToGrid w:val="0"/>
          <w:color w:val="auto"/>
          <w:kern w:val="0"/>
          <w:sz w:val="24"/>
          <w:szCs w:val="24"/>
          <w:highlight w:val="none"/>
        </w:rPr>
        <w:t>（11）《</w:t>
      </w:r>
      <w:r>
        <w:rPr>
          <w:rFonts w:hint="eastAsia" w:hAnsi="宋体" w:eastAsia="宋体" w:cs="宋体"/>
          <w:bCs/>
          <w:snapToGrid w:val="0"/>
          <w:color w:val="auto"/>
          <w:kern w:val="0"/>
          <w:sz w:val="24"/>
          <w:szCs w:val="24"/>
          <w:highlight w:val="none"/>
          <w:lang w:eastAsia="zh-CN"/>
        </w:rPr>
        <w:t>室外排水设计标准</w:t>
      </w:r>
      <w:r>
        <w:rPr>
          <w:rFonts w:hint="eastAsia" w:ascii="宋体" w:hAnsi="宋体" w:eastAsia="宋体" w:cs="宋体"/>
          <w:bCs/>
          <w:snapToGrid w:val="0"/>
          <w:color w:val="auto"/>
          <w:kern w:val="0"/>
          <w:sz w:val="24"/>
          <w:szCs w:val="24"/>
          <w:highlight w:val="none"/>
        </w:rPr>
        <w:t>》（</w:t>
      </w:r>
      <w:r>
        <w:rPr>
          <w:rFonts w:hint="eastAsia" w:hAnsi="宋体" w:eastAsia="宋体" w:cs="宋体"/>
          <w:bCs/>
          <w:snapToGrid w:val="0"/>
          <w:color w:val="auto"/>
          <w:kern w:val="0"/>
          <w:sz w:val="24"/>
          <w:szCs w:val="24"/>
          <w:highlight w:val="none"/>
          <w:lang w:eastAsia="zh-CN"/>
        </w:rPr>
        <w:t>GB 50014-2021</w:t>
      </w:r>
      <w:r>
        <w:rPr>
          <w:rFonts w:hint="eastAsia" w:ascii="宋体" w:hAnsi="宋体" w:eastAsia="宋体" w:cs="宋体"/>
          <w:bCs/>
          <w:snapToGrid w:val="0"/>
          <w:color w:val="auto"/>
          <w:kern w:val="0"/>
          <w:sz w:val="24"/>
          <w:szCs w:val="24"/>
          <w:highlight w:val="none"/>
        </w:rPr>
        <w:t>）；</w:t>
      </w:r>
    </w:p>
    <w:p w14:paraId="4DB06937">
      <w:pPr>
        <w:keepNext w:val="0"/>
        <w:keepLines w:val="0"/>
        <w:pageBreakBefore w:val="0"/>
        <w:kinsoku/>
        <w:wordWrap w:val="0"/>
        <w:overflowPunct/>
        <w:topLinePunct w:val="0"/>
        <w:bidi w:val="0"/>
        <w:adjustRightInd w:val="0"/>
        <w:snapToGrid w:val="0"/>
        <w:spacing w:line="400" w:lineRule="exact"/>
        <w:ind w:firstLine="480" w:firstLineChars="200"/>
        <w:rPr>
          <w:rFonts w:hint="eastAsia" w:ascii="宋体" w:hAnsi="宋体" w:eastAsia="宋体" w:cs="宋体"/>
          <w:bCs/>
          <w:snapToGrid w:val="0"/>
          <w:color w:val="auto"/>
          <w:kern w:val="0"/>
          <w:sz w:val="24"/>
          <w:szCs w:val="24"/>
          <w:highlight w:val="none"/>
        </w:rPr>
      </w:pPr>
      <w:r>
        <w:rPr>
          <w:rFonts w:hint="eastAsia" w:ascii="宋体" w:hAnsi="宋体" w:eastAsia="宋体" w:cs="宋体"/>
          <w:bCs/>
          <w:snapToGrid w:val="0"/>
          <w:color w:val="auto"/>
          <w:kern w:val="0"/>
          <w:sz w:val="24"/>
          <w:szCs w:val="24"/>
          <w:highlight w:val="none"/>
        </w:rPr>
        <w:t>（12）《给水排水工程构筑物结构设计规范》</w:t>
      </w:r>
      <w:r>
        <w:rPr>
          <w:rFonts w:hint="eastAsia" w:hAnsi="宋体" w:eastAsia="宋体" w:cs="宋体"/>
          <w:bCs/>
          <w:snapToGrid w:val="0"/>
          <w:color w:val="auto"/>
          <w:kern w:val="0"/>
          <w:sz w:val="24"/>
          <w:szCs w:val="24"/>
          <w:highlight w:val="none"/>
          <w:lang w:eastAsia="zh-CN"/>
        </w:rPr>
        <w:t>（</w:t>
      </w:r>
      <w:r>
        <w:rPr>
          <w:rFonts w:hint="eastAsia" w:ascii="宋体" w:hAnsi="宋体" w:eastAsia="宋体" w:cs="宋体"/>
          <w:bCs/>
          <w:snapToGrid w:val="0"/>
          <w:color w:val="auto"/>
          <w:kern w:val="0"/>
          <w:sz w:val="24"/>
          <w:szCs w:val="24"/>
          <w:highlight w:val="none"/>
        </w:rPr>
        <w:t>GB 50069-2002</w:t>
      </w:r>
      <w:r>
        <w:rPr>
          <w:rFonts w:hint="eastAsia" w:hAnsi="宋体" w:eastAsia="宋体" w:cs="宋体"/>
          <w:bCs/>
          <w:snapToGrid w:val="0"/>
          <w:color w:val="auto"/>
          <w:kern w:val="0"/>
          <w:sz w:val="24"/>
          <w:szCs w:val="24"/>
          <w:highlight w:val="none"/>
          <w:lang w:eastAsia="zh-CN"/>
        </w:rPr>
        <w:t>）</w:t>
      </w:r>
      <w:r>
        <w:rPr>
          <w:rFonts w:hint="eastAsia" w:ascii="宋体" w:hAnsi="宋体" w:eastAsia="宋体" w:cs="宋体"/>
          <w:bCs/>
          <w:snapToGrid w:val="0"/>
          <w:color w:val="auto"/>
          <w:kern w:val="0"/>
          <w:sz w:val="24"/>
          <w:szCs w:val="24"/>
          <w:highlight w:val="none"/>
        </w:rPr>
        <w:t>；</w:t>
      </w:r>
    </w:p>
    <w:p w14:paraId="133690A7">
      <w:pPr>
        <w:keepNext w:val="0"/>
        <w:keepLines w:val="0"/>
        <w:pageBreakBefore w:val="0"/>
        <w:kinsoku/>
        <w:wordWrap w:val="0"/>
        <w:overflowPunct/>
        <w:topLinePunct w:val="0"/>
        <w:bidi w:val="0"/>
        <w:adjustRightInd w:val="0"/>
        <w:snapToGrid w:val="0"/>
        <w:spacing w:line="400" w:lineRule="exact"/>
        <w:ind w:firstLine="480" w:firstLineChars="200"/>
        <w:rPr>
          <w:rFonts w:hint="eastAsia" w:ascii="宋体" w:hAnsi="宋体" w:eastAsia="宋体" w:cs="宋体"/>
          <w:bCs/>
          <w:snapToGrid w:val="0"/>
          <w:color w:val="auto"/>
          <w:kern w:val="0"/>
          <w:sz w:val="24"/>
          <w:szCs w:val="24"/>
          <w:highlight w:val="none"/>
          <w:lang w:eastAsia="zh-CN"/>
        </w:rPr>
      </w:pPr>
      <w:r>
        <w:rPr>
          <w:rFonts w:hint="eastAsia" w:ascii="宋体" w:hAnsi="宋体" w:eastAsia="宋体" w:cs="宋体"/>
          <w:bCs/>
          <w:snapToGrid w:val="0"/>
          <w:color w:val="auto"/>
          <w:kern w:val="0"/>
          <w:sz w:val="24"/>
          <w:szCs w:val="24"/>
          <w:highlight w:val="none"/>
        </w:rPr>
        <w:t>（13）《给水排水工程管道结构设计规范》</w:t>
      </w:r>
      <w:r>
        <w:rPr>
          <w:rFonts w:hint="eastAsia" w:hAnsi="宋体" w:eastAsia="宋体" w:cs="宋体"/>
          <w:bCs/>
          <w:snapToGrid w:val="0"/>
          <w:color w:val="auto"/>
          <w:kern w:val="0"/>
          <w:sz w:val="24"/>
          <w:szCs w:val="24"/>
          <w:highlight w:val="none"/>
          <w:lang w:eastAsia="zh-CN"/>
        </w:rPr>
        <w:t>（</w:t>
      </w:r>
      <w:r>
        <w:rPr>
          <w:rFonts w:hint="eastAsia" w:ascii="宋体" w:hAnsi="宋体" w:eastAsia="宋体" w:cs="宋体"/>
          <w:bCs/>
          <w:snapToGrid w:val="0"/>
          <w:color w:val="auto"/>
          <w:kern w:val="0"/>
          <w:sz w:val="24"/>
          <w:szCs w:val="24"/>
          <w:highlight w:val="none"/>
        </w:rPr>
        <w:t>GB 50332-2002</w:t>
      </w:r>
      <w:r>
        <w:rPr>
          <w:rFonts w:hint="eastAsia" w:hAnsi="宋体" w:eastAsia="宋体" w:cs="宋体"/>
          <w:bCs/>
          <w:snapToGrid w:val="0"/>
          <w:color w:val="auto"/>
          <w:kern w:val="0"/>
          <w:sz w:val="24"/>
          <w:szCs w:val="24"/>
          <w:highlight w:val="none"/>
          <w:lang w:eastAsia="zh-CN"/>
        </w:rPr>
        <w:t>）；</w:t>
      </w:r>
    </w:p>
    <w:p w14:paraId="374A99C1">
      <w:pPr>
        <w:keepNext w:val="0"/>
        <w:keepLines w:val="0"/>
        <w:pageBreakBefore w:val="0"/>
        <w:kinsoku/>
        <w:wordWrap w:val="0"/>
        <w:overflowPunct/>
        <w:topLinePunct w:val="0"/>
        <w:bidi w:val="0"/>
        <w:adjustRightInd w:val="0"/>
        <w:snapToGrid w:val="0"/>
        <w:spacing w:line="400" w:lineRule="exact"/>
        <w:ind w:firstLine="480" w:firstLineChars="200"/>
        <w:rPr>
          <w:rFonts w:hint="eastAsia" w:ascii="宋体" w:hAnsi="宋体" w:eastAsia="宋体" w:cs="宋体"/>
          <w:bCs/>
          <w:snapToGrid w:val="0"/>
          <w:color w:val="auto"/>
          <w:kern w:val="0"/>
          <w:sz w:val="24"/>
          <w:szCs w:val="24"/>
          <w:highlight w:val="none"/>
        </w:rPr>
      </w:pPr>
      <w:r>
        <w:rPr>
          <w:rFonts w:hint="eastAsia" w:ascii="宋体" w:hAnsi="宋体" w:eastAsia="宋体" w:cs="宋体"/>
          <w:bCs/>
          <w:snapToGrid w:val="0"/>
          <w:color w:val="auto"/>
          <w:kern w:val="0"/>
          <w:sz w:val="24"/>
          <w:szCs w:val="24"/>
          <w:highlight w:val="none"/>
        </w:rPr>
        <w:t>（14）《</w:t>
      </w:r>
      <w:r>
        <w:rPr>
          <w:rFonts w:hint="eastAsia" w:hAnsi="宋体" w:eastAsia="宋体" w:cs="宋体"/>
          <w:bCs/>
          <w:snapToGrid w:val="0"/>
          <w:color w:val="auto"/>
          <w:kern w:val="0"/>
          <w:sz w:val="24"/>
          <w:szCs w:val="24"/>
          <w:highlight w:val="none"/>
          <w:lang w:eastAsia="zh-CN"/>
        </w:rPr>
        <w:t>建筑给水排水设计标准</w:t>
      </w:r>
      <w:r>
        <w:rPr>
          <w:rFonts w:hint="eastAsia" w:ascii="宋体" w:hAnsi="宋体" w:eastAsia="宋体" w:cs="宋体"/>
          <w:bCs/>
          <w:snapToGrid w:val="0"/>
          <w:color w:val="auto"/>
          <w:kern w:val="0"/>
          <w:sz w:val="24"/>
          <w:szCs w:val="24"/>
          <w:highlight w:val="none"/>
        </w:rPr>
        <w:t>》（</w:t>
      </w:r>
      <w:r>
        <w:rPr>
          <w:rFonts w:hint="eastAsia" w:hAnsi="宋体" w:eastAsia="宋体" w:cs="宋体"/>
          <w:bCs/>
          <w:snapToGrid w:val="0"/>
          <w:color w:val="auto"/>
          <w:kern w:val="0"/>
          <w:sz w:val="24"/>
          <w:szCs w:val="24"/>
          <w:highlight w:val="none"/>
          <w:lang w:eastAsia="zh-CN"/>
        </w:rPr>
        <w:t>GB 50015-2019</w:t>
      </w:r>
      <w:r>
        <w:rPr>
          <w:rFonts w:hint="eastAsia" w:ascii="宋体" w:hAnsi="宋体" w:eastAsia="宋体" w:cs="宋体"/>
          <w:bCs/>
          <w:snapToGrid w:val="0"/>
          <w:color w:val="auto"/>
          <w:kern w:val="0"/>
          <w:sz w:val="24"/>
          <w:szCs w:val="24"/>
          <w:highlight w:val="none"/>
        </w:rPr>
        <w:t>）；</w:t>
      </w:r>
    </w:p>
    <w:p w14:paraId="60FD51B2">
      <w:pPr>
        <w:keepNext w:val="0"/>
        <w:keepLines w:val="0"/>
        <w:pageBreakBefore w:val="0"/>
        <w:kinsoku/>
        <w:wordWrap w:val="0"/>
        <w:overflowPunct/>
        <w:topLinePunct w:val="0"/>
        <w:bidi w:val="0"/>
        <w:adjustRightInd w:val="0"/>
        <w:snapToGrid w:val="0"/>
        <w:spacing w:line="400" w:lineRule="exact"/>
        <w:ind w:firstLine="480" w:firstLineChars="200"/>
        <w:rPr>
          <w:rFonts w:hint="eastAsia" w:ascii="宋体" w:hAnsi="宋体" w:eastAsia="宋体" w:cs="宋体"/>
          <w:bCs/>
          <w:snapToGrid w:val="0"/>
          <w:color w:val="auto"/>
          <w:kern w:val="0"/>
          <w:sz w:val="24"/>
          <w:szCs w:val="24"/>
          <w:highlight w:val="none"/>
        </w:rPr>
      </w:pPr>
      <w:r>
        <w:rPr>
          <w:rFonts w:hint="eastAsia" w:ascii="宋体" w:hAnsi="宋体" w:eastAsia="宋体" w:cs="宋体"/>
          <w:bCs/>
          <w:snapToGrid w:val="0"/>
          <w:color w:val="auto"/>
          <w:kern w:val="0"/>
          <w:sz w:val="24"/>
          <w:szCs w:val="24"/>
          <w:highlight w:val="none"/>
        </w:rPr>
        <w:t>（15）《建筑设计防火规范》（</w:t>
      </w:r>
      <w:r>
        <w:rPr>
          <w:rFonts w:hint="eastAsia" w:hAnsi="宋体" w:eastAsia="宋体" w:cs="宋体"/>
          <w:bCs/>
          <w:snapToGrid w:val="0"/>
          <w:color w:val="auto"/>
          <w:kern w:val="0"/>
          <w:sz w:val="24"/>
          <w:szCs w:val="24"/>
          <w:highlight w:val="none"/>
          <w:lang w:eastAsia="zh-CN"/>
        </w:rPr>
        <w:t>GB 50016-2014[2018年版]</w:t>
      </w:r>
      <w:r>
        <w:rPr>
          <w:rFonts w:hint="eastAsia" w:ascii="宋体" w:hAnsi="宋体" w:eastAsia="宋体" w:cs="宋体"/>
          <w:bCs/>
          <w:snapToGrid w:val="0"/>
          <w:color w:val="auto"/>
          <w:kern w:val="0"/>
          <w:sz w:val="24"/>
          <w:szCs w:val="24"/>
          <w:highlight w:val="none"/>
        </w:rPr>
        <w:t>）；</w:t>
      </w:r>
    </w:p>
    <w:p w14:paraId="6FC70A70">
      <w:pPr>
        <w:keepNext w:val="0"/>
        <w:keepLines w:val="0"/>
        <w:pageBreakBefore w:val="0"/>
        <w:kinsoku/>
        <w:wordWrap w:val="0"/>
        <w:overflowPunct/>
        <w:topLinePunct w:val="0"/>
        <w:bidi w:val="0"/>
        <w:adjustRightInd w:val="0"/>
        <w:snapToGrid w:val="0"/>
        <w:spacing w:line="400" w:lineRule="exact"/>
        <w:ind w:firstLine="480" w:firstLineChars="200"/>
        <w:rPr>
          <w:rFonts w:hint="eastAsia" w:ascii="宋体" w:hAnsi="宋体" w:eastAsia="宋体" w:cs="宋体"/>
          <w:bCs/>
          <w:snapToGrid w:val="0"/>
          <w:color w:val="auto"/>
          <w:kern w:val="0"/>
          <w:sz w:val="24"/>
          <w:szCs w:val="24"/>
          <w:highlight w:val="none"/>
        </w:rPr>
      </w:pPr>
      <w:r>
        <w:rPr>
          <w:rFonts w:hint="eastAsia" w:ascii="宋体" w:hAnsi="宋体" w:eastAsia="宋体" w:cs="宋体"/>
          <w:bCs/>
          <w:snapToGrid w:val="0"/>
          <w:color w:val="auto"/>
          <w:kern w:val="0"/>
          <w:sz w:val="24"/>
          <w:szCs w:val="24"/>
          <w:highlight w:val="none"/>
        </w:rPr>
        <w:t>（16）《</w:t>
      </w:r>
      <w:r>
        <w:rPr>
          <w:rFonts w:hint="eastAsia" w:hAnsi="宋体" w:eastAsia="宋体" w:cs="宋体"/>
          <w:bCs/>
          <w:snapToGrid w:val="0"/>
          <w:color w:val="auto"/>
          <w:kern w:val="0"/>
          <w:sz w:val="24"/>
          <w:szCs w:val="24"/>
          <w:highlight w:val="none"/>
          <w:lang w:eastAsia="zh-CN"/>
        </w:rPr>
        <w:t>灌溉与排水工程设计标准</w:t>
      </w:r>
      <w:r>
        <w:rPr>
          <w:rFonts w:hint="eastAsia" w:ascii="宋体" w:hAnsi="宋体" w:eastAsia="宋体" w:cs="宋体"/>
          <w:bCs/>
          <w:snapToGrid w:val="0"/>
          <w:color w:val="auto"/>
          <w:kern w:val="0"/>
          <w:sz w:val="24"/>
          <w:szCs w:val="24"/>
          <w:highlight w:val="none"/>
        </w:rPr>
        <w:t>》（</w:t>
      </w:r>
      <w:r>
        <w:rPr>
          <w:rFonts w:hint="eastAsia" w:hAnsi="宋体" w:eastAsia="宋体" w:cs="宋体"/>
          <w:bCs/>
          <w:snapToGrid w:val="0"/>
          <w:color w:val="auto"/>
          <w:kern w:val="0"/>
          <w:sz w:val="24"/>
          <w:szCs w:val="24"/>
          <w:highlight w:val="none"/>
          <w:lang w:eastAsia="zh-CN"/>
        </w:rPr>
        <w:t>GB 50288-2018</w:t>
      </w:r>
      <w:r>
        <w:rPr>
          <w:rFonts w:hint="eastAsia" w:ascii="宋体" w:hAnsi="宋体" w:eastAsia="宋体" w:cs="宋体"/>
          <w:bCs/>
          <w:snapToGrid w:val="0"/>
          <w:color w:val="auto"/>
          <w:kern w:val="0"/>
          <w:sz w:val="24"/>
          <w:szCs w:val="24"/>
          <w:highlight w:val="none"/>
        </w:rPr>
        <w:t>）；</w:t>
      </w:r>
    </w:p>
    <w:p w14:paraId="2716DE29">
      <w:pPr>
        <w:keepNext w:val="0"/>
        <w:keepLines w:val="0"/>
        <w:pageBreakBefore w:val="0"/>
        <w:kinsoku/>
        <w:wordWrap w:val="0"/>
        <w:overflowPunct/>
        <w:topLinePunct w:val="0"/>
        <w:bidi w:val="0"/>
        <w:adjustRightInd w:val="0"/>
        <w:snapToGrid w:val="0"/>
        <w:spacing w:line="400" w:lineRule="exact"/>
        <w:ind w:firstLine="480" w:firstLineChars="200"/>
        <w:rPr>
          <w:rFonts w:hint="eastAsia" w:ascii="宋体" w:hAnsi="宋体" w:eastAsia="宋体" w:cs="宋体"/>
          <w:bCs/>
          <w:snapToGrid w:val="0"/>
          <w:color w:val="auto"/>
          <w:kern w:val="0"/>
          <w:sz w:val="24"/>
          <w:szCs w:val="24"/>
          <w:highlight w:val="none"/>
        </w:rPr>
      </w:pPr>
      <w:r>
        <w:rPr>
          <w:rFonts w:hint="eastAsia" w:ascii="宋体" w:hAnsi="宋体" w:eastAsia="宋体" w:cs="宋体"/>
          <w:bCs/>
          <w:snapToGrid w:val="0"/>
          <w:color w:val="auto"/>
          <w:kern w:val="0"/>
          <w:sz w:val="24"/>
          <w:szCs w:val="24"/>
          <w:highlight w:val="none"/>
        </w:rPr>
        <w:t>（17）《</w:t>
      </w:r>
      <w:r>
        <w:rPr>
          <w:rFonts w:hint="eastAsia" w:hAnsi="宋体" w:eastAsia="宋体" w:cs="宋体"/>
          <w:bCs/>
          <w:snapToGrid w:val="0"/>
          <w:color w:val="auto"/>
          <w:kern w:val="0"/>
          <w:sz w:val="24"/>
          <w:szCs w:val="24"/>
          <w:highlight w:val="none"/>
          <w:lang w:eastAsia="zh-CN"/>
        </w:rPr>
        <w:t>城市道路绿化设计标准</w:t>
      </w:r>
      <w:r>
        <w:rPr>
          <w:rFonts w:hint="eastAsia" w:ascii="宋体" w:hAnsi="宋体" w:eastAsia="宋体" w:cs="宋体"/>
          <w:bCs/>
          <w:snapToGrid w:val="0"/>
          <w:color w:val="auto"/>
          <w:kern w:val="0"/>
          <w:sz w:val="24"/>
          <w:szCs w:val="24"/>
          <w:highlight w:val="none"/>
        </w:rPr>
        <w:t>》（</w:t>
      </w:r>
      <w:r>
        <w:rPr>
          <w:rFonts w:hint="eastAsia" w:hAnsi="宋体" w:eastAsia="宋体" w:cs="宋体"/>
          <w:bCs/>
          <w:snapToGrid w:val="0"/>
          <w:color w:val="auto"/>
          <w:kern w:val="0"/>
          <w:sz w:val="24"/>
          <w:szCs w:val="24"/>
          <w:highlight w:val="none"/>
          <w:lang w:eastAsia="zh-CN"/>
        </w:rPr>
        <w:t>CJJ/T 75-2023</w:t>
      </w:r>
      <w:r>
        <w:rPr>
          <w:rFonts w:hint="eastAsia" w:ascii="宋体" w:hAnsi="宋体" w:eastAsia="宋体" w:cs="宋体"/>
          <w:bCs/>
          <w:snapToGrid w:val="0"/>
          <w:color w:val="auto"/>
          <w:kern w:val="0"/>
          <w:sz w:val="24"/>
          <w:szCs w:val="24"/>
          <w:highlight w:val="none"/>
        </w:rPr>
        <w:t>）；</w:t>
      </w:r>
    </w:p>
    <w:p w14:paraId="4534F7C5">
      <w:pPr>
        <w:keepNext w:val="0"/>
        <w:keepLines w:val="0"/>
        <w:pageBreakBefore w:val="0"/>
        <w:kinsoku/>
        <w:wordWrap w:val="0"/>
        <w:overflowPunct/>
        <w:topLinePunct w:val="0"/>
        <w:bidi w:val="0"/>
        <w:adjustRightInd w:val="0"/>
        <w:snapToGrid w:val="0"/>
        <w:spacing w:line="400" w:lineRule="exact"/>
        <w:ind w:firstLine="480" w:firstLineChars="200"/>
        <w:rPr>
          <w:rFonts w:hint="eastAsia" w:ascii="宋体" w:hAnsi="宋体" w:eastAsia="宋体" w:cs="宋体"/>
          <w:bCs/>
          <w:snapToGrid w:val="0"/>
          <w:color w:val="auto"/>
          <w:kern w:val="0"/>
          <w:sz w:val="24"/>
          <w:szCs w:val="24"/>
          <w:highlight w:val="none"/>
        </w:rPr>
      </w:pPr>
      <w:r>
        <w:rPr>
          <w:rFonts w:hint="eastAsia" w:ascii="宋体" w:hAnsi="宋体" w:eastAsia="宋体" w:cs="宋体"/>
          <w:bCs/>
          <w:snapToGrid w:val="0"/>
          <w:color w:val="auto"/>
          <w:kern w:val="0"/>
          <w:sz w:val="24"/>
          <w:szCs w:val="24"/>
          <w:highlight w:val="none"/>
        </w:rPr>
        <w:t>（18）《</w:t>
      </w:r>
      <w:r>
        <w:rPr>
          <w:rFonts w:hint="eastAsia" w:hAnsi="宋体" w:eastAsia="宋体" w:cs="宋体"/>
          <w:bCs/>
          <w:snapToGrid w:val="0"/>
          <w:color w:val="auto"/>
          <w:kern w:val="0"/>
          <w:sz w:val="24"/>
          <w:szCs w:val="24"/>
          <w:highlight w:val="none"/>
          <w:lang w:eastAsia="zh-CN"/>
        </w:rPr>
        <w:t>电力工程电缆设计标准</w:t>
      </w:r>
      <w:r>
        <w:rPr>
          <w:rFonts w:hint="eastAsia" w:ascii="宋体" w:hAnsi="宋体" w:eastAsia="宋体" w:cs="宋体"/>
          <w:bCs/>
          <w:snapToGrid w:val="0"/>
          <w:color w:val="auto"/>
          <w:kern w:val="0"/>
          <w:sz w:val="24"/>
          <w:szCs w:val="24"/>
          <w:highlight w:val="none"/>
        </w:rPr>
        <w:t>》（</w:t>
      </w:r>
      <w:r>
        <w:rPr>
          <w:rFonts w:hint="eastAsia" w:hAnsi="宋体" w:eastAsia="宋体" w:cs="宋体"/>
          <w:bCs/>
          <w:snapToGrid w:val="0"/>
          <w:color w:val="auto"/>
          <w:kern w:val="0"/>
          <w:sz w:val="24"/>
          <w:szCs w:val="24"/>
          <w:highlight w:val="none"/>
          <w:lang w:eastAsia="zh-CN"/>
        </w:rPr>
        <w:t>GB 50217-2018</w:t>
      </w:r>
      <w:r>
        <w:rPr>
          <w:rFonts w:hint="eastAsia" w:ascii="宋体" w:hAnsi="宋体" w:eastAsia="宋体" w:cs="宋体"/>
          <w:bCs/>
          <w:snapToGrid w:val="0"/>
          <w:color w:val="auto"/>
          <w:kern w:val="0"/>
          <w:sz w:val="24"/>
          <w:szCs w:val="24"/>
          <w:highlight w:val="none"/>
        </w:rPr>
        <w:t>）；</w:t>
      </w:r>
    </w:p>
    <w:p w14:paraId="52667BEE">
      <w:pPr>
        <w:keepNext w:val="0"/>
        <w:keepLines w:val="0"/>
        <w:pageBreakBefore w:val="0"/>
        <w:kinsoku/>
        <w:wordWrap w:val="0"/>
        <w:overflowPunct/>
        <w:topLinePunct w:val="0"/>
        <w:bidi w:val="0"/>
        <w:adjustRightInd w:val="0"/>
        <w:snapToGrid w:val="0"/>
        <w:spacing w:line="400" w:lineRule="exact"/>
        <w:ind w:firstLine="480" w:firstLineChars="200"/>
        <w:rPr>
          <w:rFonts w:hint="eastAsia" w:ascii="宋体" w:hAnsi="宋体" w:eastAsia="宋体" w:cs="宋体"/>
          <w:bCs/>
          <w:snapToGrid w:val="0"/>
          <w:color w:val="auto"/>
          <w:kern w:val="0"/>
          <w:sz w:val="24"/>
          <w:szCs w:val="24"/>
          <w:highlight w:val="none"/>
        </w:rPr>
      </w:pPr>
      <w:r>
        <w:rPr>
          <w:rFonts w:hint="eastAsia" w:ascii="宋体" w:hAnsi="宋体" w:eastAsia="宋体" w:cs="宋体"/>
          <w:bCs/>
          <w:snapToGrid w:val="0"/>
          <w:color w:val="auto"/>
          <w:kern w:val="0"/>
          <w:sz w:val="24"/>
          <w:szCs w:val="24"/>
          <w:highlight w:val="none"/>
        </w:rPr>
        <w:t>（19）《砌体结构设计规范》（</w:t>
      </w:r>
      <w:r>
        <w:rPr>
          <w:rFonts w:hint="eastAsia" w:hAnsi="宋体" w:eastAsia="宋体" w:cs="宋体"/>
          <w:bCs/>
          <w:snapToGrid w:val="0"/>
          <w:color w:val="auto"/>
          <w:kern w:val="0"/>
          <w:sz w:val="24"/>
          <w:szCs w:val="24"/>
          <w:highlight w:val="none"/>
          <w:lang w:eastAsia="zh-CN"/>
        </w:rPr>
        <w:t>GB 50003-2011</w:t>
      </w:r>
      <w:r>
        <w:rPr>
          <w:rFonts w:hint="eastAsia" w:ascii="宋体" w:hAnsi="宋体" w:eastAsia="宋体" w:cs="宋体"/>
          <w:bCs/>
          <w:snapToGrid w:val="0"/>
          <w:color w:val="auto"/>
          <w:kern w:val="0"/>
          <w:sz w:val="24"/>
          <w:szCs w:val="24"/>
          <w:highlight w:val="none"/>
        </w:rPr>
        <w:t>）；</w:t>
      </w:r>
    </w:p>
    <w:p w14:paraId="7D617D7D">
      <w:pPr>
        <w:keepNext w:val="0"/>
        <w:keepLines w:val="0"/>
        <w:pageBreakBefore w:val="0"/>
        <w:kinsoku/>
        <w:overflowPunct/>
        <w:topLinePunct w:val="0"/>
        <w:bidi w:val="0"/>
        <w:spacing w:line="400" w:lineRule="exact"/>
        <w:ind w:firstLine="482" w:firstLineChars="200"/>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rPr>
        <w:t>注：以上规范或规定如有更新，则以更新后的规范及规定为准。</w:t>
      </w:r>
    </w:p>
    <w:p w14:paraId="3FC4221C">
      <w:pPr>
        <w:keepNext w:val="0"/>
        <w:keepLines w:val="0"/>
        <w:pageBreakBefore w:val="0"/>
        <w:kinsoku/>
        <w:wordWrap w:val="0"/>
        <w:overflowPunct/>
        <w:topLinePunct w:val="0"/>
        <w:bidi w:val="0"/>
        <w:adjustRightInd w:val="0"/>
        <w:snapToGrid w:val="0"/>
        <w:spacing w:line="400" w:lineRule="exact"/>
        <w:ind w:firstLine="482" w:firstLineChars="200"/>
        <w:rPr>
          <w:rFonts w:hint="eastAsia" w:ascii="宋体" w:hAnsi="宋体" w:eastAsia="宋体" w:cs="宋体"/>
          <w:strike/>
          <w:snapToGrid w:val="0"/>
          <w:color w:val="auto"/>
          <w:kern w:val="0"/>
          <w:sz w:val="24"/>
          <w:szCs w:val="24"/>
          <w:highlight w:val="none"/>
        </w:rPr>
      </w:pPr>
      <w:bookmarkStart w:id="434" w:name="_Toc2115"/>
      <w:bookmarkStart w:id="435" w:name="_Toc779"/>
      <w:bookmarkStart w:id="436" w:name="_Toc10936"/>
      <w:r>
        <w:rPr>
          <w:rFonts w:hint="eastAsia" w:hAnsi="宋体" w:eastAsia="宋体" w:cs="宋体"/>
          <w:b/>
          <w:snapToGrid w:val="0"/>
          <w:color w:val="auto"/>
          <w:kern w:val="0"/>
          <w:sz w:val="24"/>
          <w:szCs w:val="24"/>
          <w:highlight w:val="none"/>
          <w:lang w:eastAsia="zh-CN"/>
        </w:rPr>
        <w:t>4.</w:t>
      </w:r>
      <w:r>
        <w:rPr>
          <w:rFonts w:hint="eastAsia" w:ascii="宋体" w:hAnsi="宋体" w:eastAsia="宋体" w:cs="宋体"/>
          <w:b/>
          <w:snapToGrid w:val="0"/>
          <w:color w:val="auto"/>
          <w:kern w:val="0"/>
          <w:sz w:val="24"/>
          <w:szCs w:val="24"/>
          <w:highlight w:val="none"/>
        </w:rPr>
        <w:t>备查要求</w:t>
      </w:r>
      <w:bookmarkEnd w:id="434"/>
      <w:bookmarkEnd w:id="435"/>
      <w:bookmarkEnd w:id="436"/>
    </w:p>
    <w:p w14:paraId="7D74460C">
      <w:pPr>
        <w:keepNext w:val="0"/>
        <w:keepLines w:val="0"/>
        <w:pageBreakBefore w:val="0"/>
        <w:kinsoku/>
        <w:overflowPunct/>
        <w:topLinePunct w:val="0"/>
        <w:bidi w:val="0"/>
        <w:spacing w:line="400" w:lineRule="exact"/>
        <w:ind w:firstLine="480" w:firstLineChars="200"/>
        <w:rPr>
          <w:rFonts w:hint="eastAsia" w:ascii="宋体" w:hAnsi="宋体" w:eastAsia="宋体" w:cs="宋体"/>
          <w:color w:val="auto"/>
          <w:sz w:val="24"/>
          <w:szCs w:val="24"/>
          <w:highlight w:val="none"/>
        </w:rPr>
      </w:pPr>
      <w:r>
        <w:rPr>
          <w:rFonts w:hint="eastAsia" w:ascii="宋体" w:hAnsi="宋体" w:eastAsia="宋体" w:cs="宋体"/>
          <w:snapToGrid w:val="0"/>
          <w:color w:val="auto"/>
          <w:kern w:val="0"/>
          <w:sz w:val="24"/>
          <w:szCs w:val="24"/>
          <w:highlight w:val="none"/>
        </w:rPr>
        <w:t>承包</w:t>
      </w:r>
      <w:r>
        <w:rPr>
          <w:rFonts w:hint="eastAsia" w:ascii="宋体" w:hAnsi="宋体" w:eastAsia="宋体" w:cs="宋体"/>
          <w:bCs/>
          <w:snapToGrid w:val="0"/>
          <w:color w:val="auto"/>
          <w:kern w:val="0"/>
          <w:sz w:val="24"/>
          <w:szCs w:val="24"/>
          <w:highlight w:val="none"/>
        </w:rPr>
        <w:t>人必须在施工现场准备至少一套上述规范，</w:t>
      </w:r>
      <w:r>
        <w:rPr>
          <w:rFonts w:hint="eastAsia" w:ascii="宋体" w:hAnsi="宋体" w:eastAsia="宋体" w:cs="宋体"/>
          <w:snapToGrid w:val="0"/>
          <w:color w:val="auto"/>
          <w:kern w:val="0"/>
          <w:sz w:val="24"/>
          <w:szCs w:val="24"/>
          <w:highlight w:val="none"/>
        </w:rPr>
        <w:t>发包</w:t>
      </w:r>
      <w:r>
        <w:rPr>
          <w:rFonts w:hint="eastAsia" w:ascii="宋体" w:hAnsi="宋体" w:eastAsia="宋体" w:cs="宋体"/>
          <w:bCs/>
          <w:snapToGrid w:val="0"/>
          <w:color w:val="auto"/>
          <w:kern w:val="0"/>
          <w:sz w:val="24"/>
          <w:szCs w:val="24"/>
          <w:highlight w:val="none"/>
        </w:rPr>
        <w:t>人和监理单位可随时检查</w:t>
      </w:r>
      <w:r>
        <w:rPr>
          <w:rFonts w:hint="eastAsia" w:ascii="宋体" w:hAnsi="宋体" w:eastAsia="宋体" w:cs="宋体"/>
          <w:snapToGrid w:val="0"/>
          <w:color w:val="auto"/>
          <w:kern w:val="0"/>
          <w:sz w:val="24"/>
          <w:szCs w:val="24"/>
          <w:highlight w:val="none"/>
        </w:rPr>
        <w:t>承包</w:t>
      </w:r>
      <w:r>
        <w:rPr>
          <w:rFonts w:hint="eastAsia" w:ascii="宋体" w:hAnsi="宋体" w:eastAsia="宋体" w:cs="宋体"/>
          <w:bCs/>
          <w:snapToGrid w:val="0"/>
          <w:color w:val="auto"/>
          <w:kern w:val="0"/>
          <w:sz w:val="24"/>
          <w:szCs w:val="24"/>
          <w:highlight w:val="none"/>
        </w:rPr>
        <w:t>人的上述规范，并监督</w:t>
      </w:r>
      <w:r>
        <w:rPr>
          <w:rFonts w:hint="eastAsia" w:ascii="宋体" w:hAnsi="宋体" w:eastAsia="宋体" w:cs="宋体"/>
          <w:snapToGrid w:val="0"/>
          <w:color w:val="auto"/>
          <w:kern w:val="0"/>
          <w:sz w:val="24"/>
          <w:szCs w:val="24"/>
          <w:highlight w:val="none"/>
        </w:rPr>
        <w:t>承包</w:t>
      </w:r>
      <w:r>
        <w:rPr>
          <w:rFonts w:hint="eastAsia" w:ascii="宋体" w:hAnsi="宋体" w:eastAsia="宋体" w:cs="宋体"/>
          <w:bCs/>
          <w:snapToGrid w:val="0"/>
          <w:color w:val="auto"/>
          <w:kern w:val="0"/>
          <w:sz w:val="24"/>
          <w:szCs w:val="24"/>
          <w:highlight w:val="none"/>
        </w:rPr>
        <w:t>人按规范要求执行。</w:t>
      </w:r>
    </w:p>
    <w:p w14:paraId="1C3B1271">
      <w:pPr>
        <w:keepNext w:val="0"/>
        <w:keepLines w:val="0"/>
        <w:pageBreakBefore w:val="0"/>
        <w:kinsoku/>
        <w:wordWrap w:val="0"/>
        <w:overflowPunct/>
        <w:topLinePunct w:val="0"/>
        <w:bidi w:val="0"/>
        <w:adjustRightInd w:val="0"/>
        <w:snapToGrid w:val="0"/>
        <w:spacing w:line="400" w:lineRule="exact"/>
        <w:ind w:firstLine="482" w:firstLineChars="200"/>
        <w:rPr>
          <w:rFonts w:hint="eastAsia" w:ascii="宋体" w:hAnsi="宋体" w:eastAsia="宋体" w:cs="宋体"/>
          <w:b/>
          <w:bCs/>
          <w:color w:val="auto"/>
          <w:sz w:val="24"/>
          <w:szCs w:val="24"/>
          <w:highlight w:val="none"/>
        </w:rPr>
      </w:pPr>
      <w:bookmarkStart w:id="437" w:name="_Toc466640612"/>
      <w:bookmarkStart w:id="438" w:name="_Toc15621"/>
      <w:bookmarkStart w:id="439" w:name="_Toc14295"/>
      <w:r>
        <w:rPr>
          <w:rFonts w:hint="eastAsia" w:ascii="宋体" w:hAnsi="宋体" w:eastAsia="宋体" w:cs="宋体"/>
          <w:b/>
          <w:bCs/>
          <w:color w:val="auto"/>
          <w:sz w:val="24"/>
          <w:szCs w:val="24"/>
          <w:highlight w:val="none"/>
        </w:rPr>
        <w:t>5.招标工程的项目前期资料</w:t>
      </w:r>
      <w:bookmarkEnd w:id="437"/>
      <w:r>
        <w:rPr>
          <w:rFonts w:hint="eastAsia" w:ascii="宋体" w:hAnsi="宋体" w:eastAsia="宋体" w:cs="宋体"/>
          <w:b/>
          <w:bCs/>
          <w:color w:val="auto"/>
          <w:sz w:val="24"/>
          <w:szCs w:val="24"/>
          <w:highlight w:val="none"/>
        </w:rPr>
        <w:t>（另附）</w:t>
      </w:r>
      <w:bookmarkEnd w:id="438"/>
      <w:bookmarkEnd w:id="439"/>
    </w:p>
    <w:p w14:paraId="76FC57BE">
      <w:pPr>
        <w:keepNext w:val="0"/>
        <w:keepLines w:val="0"/>
        <w:pageBreakBefore w:val="0"/>
        <w:kinsoku/>
        <w:overflowPunct/>
        <w:topLinePunct w:val="0"/>
        <w:bidi w:val="0"/>
        <w:spacing w:line="400" w:lineRule="exact"/>
        <w:ind w:firstLine="723" w:firstLineChars="300"/>
        <w:rPr>
          <w:rFonts w:hint="eastAsia" w:ascii="宋体" w:hAnsi="宋体" w:eastAsia="宋体" w:cs="宋体"/>
          <w:b w:val="0"/>
          <w:bCs/>
          <w:color w:val="auto"/>
          <w:kern w:val="0"/>
          <w:sz w:val="24"/>
          <w:szCs w:val="24"/>
          <w:highlight w:val="none"/>
        </w:rPr>
      </w:pPr>
      <w:r>
        <w:rPr>
          <w:rFonts w:hint="eastAsia" w:hAnsi="宋体" w:eastAsia="宋体" w:cs="宋体"/>
          <w:b/>
          <w:snapToGrid w:val="0"/>
          <w:color w:val="auto"/>
          <w:kern w:val="0"/>
          <w:sz w:val="24"/>
          <w:szCs w:val="24"/>
          <w:highlight w:val="none"/>
          <w:lang w:eastAsia="zh-CN"/>
        </w:rPr>
        <w:t>初步设计文件</w:t>
      </w:r>
      <w:r>
        <w:rPr>
          <w:rFonts w:hint="eastAsia" w:ascii="宋体" w:hAnsi="宋体" w:eastAsia="宋体" w:cs="宋体"/>
          <w:b/>
          <w:snapToGrid w:val="0"/>
          <w:color w:val="auto"/>
          <w:kern w:val="0"/>
          <w:sz w:val="24"/>
          <w:szCs w:val="24"/>
          <w:highlight w:val="none"/>
        </w:rPr>
        <w:t>一份</w:t>
      </w:r>
      <w:r>
        <w:rPr>
          <w:rFonts w:hint="eastAsia" w:hAnsi="宋体" w:eastAsia="宋体" w:cs="宋体"/>
          <w:b/>
          <w:snapToGrid w:val="0"/>
          <w:color w:val="auto"/>
          <w:kern w:val="0"/>
          <w:sz w:val="24"/>
          <w:szCs w:val="24"/>
          <w:highlight w:val="none"/>
          <w:lang w:eastAsia="zh-CN"/>
        </w:rPr>
        <w:t>（电子版），</w:t>
      </w:r>
      <w:r>
        <w:rPr>
          <w:rFonts w:hint="eastAsia"/>
          <w:b/>
          <w:bCs/>
          <w:color w:val="auto"/>
          <w:highlight w:val="none"/>
        </w:rPr>
        <w:t>在投标截止时间15天前以补充公告的形式在广东省招标投标监管网http://zbtb.gd.gov.cn、全国公共资源交易平台(广东省·韶关市)https://ygp.gdzwfw.gov.cn/ggzy-portal/#/440200/index公布，各投标人应自行下载。</w:t>
      </w:r>
    </w:p>
    <w:p w14:paraId="4363C799">
      <w:pPr>
        <w:pStyle w:val="6"/>
        <w:spacing w:line="360" w:lineRule="auto"/>
        <w:ind w:firstLine="480" w:firstLineChars="200"/>
        <w:rPr>
          <w:rFonts w:hint="default" w:asciiTheme="minorEastAsia" w:hAnsiTheme="minorEastAsia" w:eastAsiaTheme="minorEastAsia" w:cstheme="minorEastAsia"/>
          <w:color w:val="auto"/>
          <w:sz w:val="24"/>
          <w:szCs w:val="24"/>
          <w:highlight w:val="none"/>
        </w:rPr>
      </w:pPr>
    </w:p>
    <w:p w14:paraId="0756EDCF">
      <w:pPr>
        <w:pStyle w:val="6"/>
        <w:spacing w:line="360" w:lineRule="auto"/>
        <w:ind w:firstLine="480" w:firstLineChars="200"/>
        <w:rPr>
          <w:rFonts w:hint="default" w:asciiTheme="minorEastAsia" w:hAnsiTheme="minorEastAsia" w:eastAsiaTheme="minorEastAsia" w:cstheme="minorEastAsia"/>
          <w:color w:val="auto"/>
          <w:sz w:val="24"/>
          <w:szCs w:val="24"/>
          <w:highlight w:val="none"/>
        </w:rPr>
      </w:pPr>
    </w:p>
    <w:p w14:paraId="2B5C848A">
      <w:pPr>
        <w:pStyle w:val="38"/>
        <w:keepNext/>
        <w:keepLines/>
        <w:tabs>
          <w:tab w:val="left" w:pos="885"/>
        </w:tabs>
        <w:jc w:val="center"/>
        <w:rPr>
          <w:rFonts w:hint="default" w:asciiTheme="minorEastAsia" w:hAnsiTheme="minorEastAsia" w:eastAsiaTheme="minorEastAsia" w:cstheme="minorEastAsia"/>
          <w:b/>
          <w:color w:val="auto"/>
          <w:kern w:val="44"/>
          <w:sz w:val="36"/>
          <w:szCs w:val="36"/>
          <w:highlight w:val="none"/>
        </w:rPr>
      </w:pPr>
      <w:bookmarkStart w:id="440" w:name="_Toc1386"/>
      <w:bookmarkStart w:id="441" w:name="_Toc3771"/>
      <w:bookmarkStart w:id="442" w:name="_Toc25914"/>
      <w:bookmarkStart w:id="443" w:name="_Toc105"/>
      <w:bookmarkStart w:id="444" w:name="_Toc25340"/>
      <w:bookmarkStart w:id="445" w:name="_Toc27104"/>
      <w:bookmarkStart w:id="446" w:name="_Toc28010"/>
      <w:bookmarkStart w:id="447" w:name="_Toc8578"/>
      <w:bookmarkStart w:id="448" w:name="_Toc30186"/>
      <w:bookmarkStart w:id="449" w:name="_Toc466640613"/>
      <w:r>
        <w:rPr>
          <w:rFonts w:hint="eastAsia" w:asciiTheme="minorEastAsia" w:hAnsiTheme="minorEastAsia" w:eastAsiaTheme="minorEastAsia" w:cstheme="minorEastAsia"/>
          <w:b/>
          <w:color w:val="auto"/>
          <w:kern w:val="44"/>
          <w:sz w:val="36"/>
          <w:szCs w:val="36"/>
          <w:highlight w:val="none"/>
        </w:rPr>
        <w:t>第六章 设计任务书</w:t>
      </w:r>
      <w:bookmarkEnd w:id="440"/>
      <w:bookmarkEnd w:id="441"/>
      <w:bookmarkEnd w:id="442"/>
      <w:bookmarkEnd w:id="443"/>
      <w:bookmarkEnd w:id="444"/>
      <w:bookmarkEnd w:id="445"/>
      <w:bookmarkEnd w:id="446"/>
      <w:bookmarkEnd w:id="447"/>
      <w:bookmarkEnd w:id="448"/>
      <w:bookmarkEnd w:id="449"/>
      <w:bookmarkStart w:id="450" w:name="_Toc444182755"/>
      <w:bookmarkStart w:id="451" w:name="_Toc30154"/>
      <w:bookmarkStart w:id="452" w:name="_Toc8680"/>
      <w:bookmarkStart w:id="453" w:name="_Toc12100"/>
      <w:bookmarkStart w:id="454" w:name="_Toc7549"/>
      <w:bookmarkStart w:id="455" w:name="_Toc528076047"/>
      <w:bookmarkStart w:id="456" w:name="_Toc6008"/>
      <w:bookmarkStart w:id="457" w:name="_Toc18613"/>
      <w:bookmarkStart w:id="458" w:name="_Toc18106"/>
      <w:bookmarkStart w:id="459" w:name="_Toc9910"/>
      <w:bookmarkStart w:id="460" w:name="_Toc525303556"/>
      <w:bookmarkStart w:id="461" w:name="_Toc3222"/>
      <w:bookmarkStart w:id="462" w:name="_Toc525303575"/>
      <w:bookmarkStart w:id="463" w:name="_Toc11328"/>
      <w:bookmarkStart w:id="464" w:name="_Toc32286"/>
      <w:bookmarkStart w:id="465" w:name="_Toc24282"/>
      <w:bookmarkStart w:id="466" w:name="_Toc31005"/>
      <w:bookmarkStart w:id="467" w:name="_Toc27557"/>
      <w:bookmarkStart w:id="468" w:name="_Toc22456"/>
      <w:bookmarkStart w:id="469" w:name="_Toc3781"/>
      <w:bookmarkStart w:id="470" w:name="_Toc12195"/>
      <w:bookmarkStart w:id="471" w:name="_Toc13287"/>
      <w:bookmarkStart w:id="472" w:name="_Toc5776"/>
      <w:bookmarkStart w:id="473" w:name="_Toc416277841"/>
      <w:bookmarkStart w:id="474" w:name="_Toc4120"/>
      <w:bookmarkStart w:id="475" w:name="_Toc466640614"/>
      <w:bookmarkStart w:id="476" w:name="_Hlt69698785"/>
    </w:p>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p w14:paraId="5E05BA2A">
      <w:pPr>
        <w:spacing w:after="120"/>
        <w:jc w:val="center"/>
        <w:rPr>
          <w:rFonts w:hint="default" w:hAnsi="宋体" w:cs="宋体"/>
          <w:b/>
          <w:color w:val="auto"/>
          <w:kern w:val="44"/>
          <w:sz w:val="52"/>
          <w:szCs w:val="52"/>
          <w:highlight w:val="none"/>
        </w:rPr>
      </w:pPr>
      <w:bookmarkStart w:id="477" w:name="_Toc5422"/>
      <w:bookmarkStart w:id="478" w:name="_Toc12955"/>
      <w:bookmarkStart w:id="479" w:name="_Toc5639"/>
      <w:bookmarkStart w:id="480" w:name="_Toc23899"/>
      <w:bookmarkStart w:id="481" w:name="_Toc1911"/>
      <w:bookmarkStart w:id="482" w:name="_Toc16295"/>
      <w:bookmarkStart w:id="483" w:name="_Toc6133"/>
      <w:bookmarkStart w:id="484" w:name="_Toc27843"/>
    </w:p>
    <w:p w14:paraId="1D102422">
      <w:pPr>
        <w:spacing w:after="120"/>
        <w:jc w:val="center"/>
        <w:rPr>
          <w:rFonts w:hint="default" w:hAnsi="宋体" w:cs="宋体"/>
          <w:b/>
          <w:color w:val="auto"/>
          <w:kern w:val="44"/>
          <w:sz w:val="52"/>
          <w:szCs w:val="52"/>
          <w:highlight w:val="none"/>
        </w:rPr>
      </w:pPr>
    </w:p>
    <w:p w14:paraId="72BA2E6F">
      <w:pPr>
        <w:pStyle w:val="8"/>
        <w:jc w:val="center"/>
        <w:rPr>
          <w:rFonts w:ascii="宋体" w:hAnsi="宋体" w:cs="宋体"/>
          <w:color w:val="auto"/>
          <w:sz w:val="52"/>
          <w:szCs w:val="52"/>
          <w:highlight w:val="none"/>
        </w:rPr>
      </w:pPr>
      <w:bookmarkStart w:id="485" w:name="_Toc54945902"/>
      <w:bookmarkStart w:id="486" w:name="_Toc25810"/>
      <w:bookmarkStart w:id="487" w:name="_Toc54942593"/>
      <w:bookmarkStart w:id="488" w:name="_Toc54944300"/>
      <w:bookmarkStart w:id="489" w:name="_Toc54944118"/>
      <w:bookmarkStart w:id="490" w:name="_Toc85444076"/>
      <w:bookmarkStart w:id="491" w:name="_Toc54407024"/>
      <w:bookmarkStart w:id="492" w:name="_Toc56335430"/>
      <w:bookmarkStart w:id="493" w:name="_Toc54943577"/>
      <w:bookmarkStart w:id="494" w:name="_Toc56494256"/>
      <w:bookmarkStart w:id="495" w:name="_Toc384994435"/>
      <w:r>
        <w:rPr>
          <w:rFonts w:hint="eastAsia" w:ascii="宋体" w:hAnsi="宋体" w:cs="宋体"/>
          <w:b/>
          <w:color w:val="auto"/>
          <w:kern w:val="44"/>
          <w:sz w:val="52"/>
          <w:szCs w:val="52"/>
          <w:highlight w:val="none"/>
          <w:lang w:eastAsia="zh-CN"/>
        </w:rPr>
        <w:t>韶关百年东街及周边历史街区城市更新项目（一期）</w:t>
      </w:r>
      <w:r>
        <w:rPr>
          <w:rFonts w:hint="eastAsia" w:ascii="宋体" w:hAnsi="宋体" w:cs="宋体"/>
          <w:b/>
          <w:color w:val="auto"/>
          <w:kern w:val="44"/>
          <w:sz w:val="52"/>
          <w:szCs w:val="52"/>
          <w:highlight w:val="none"/>
        </w:rPr>
        <w:t>设计任务书</w:t>
      </w:r>
    </w:p>
    <w:p w14:paraId="06969F90">
      <w:pPr>
        <w:pStyle w:val="8"/>
        <w:ind w:firstLine="540" w:firstLineChars="225"/>
        <w:rPr>
          <w:rFonts w:ascii="宋体" w:hAnsi="宋体" w:cs="宋体"/>
          <w:color w:val="auto"/>
          <w:szCs w:val="32"/>
          <w:highlight w:val="none"/>
        </w:rPr>
      </w:pPr>
    </w:p>
    <w:p w14:paraId="5ECB8EF6">
      <w:pPr>
        <w:pStyle w:val="8"/>
        <w:ind w:firstLine="540" w:firstLineChars="225"/>
        <w:rPr>
          <w:rFonts w:ascii="宋体" w:hAnsi="宋体" w:cs="宋体"/>
          <w:color w:val="auto"/>
          <w:szCs w:val="32"/>
          <w:highlight w:val="none"/>
        </w:rPr>
      </w:pPr>
    </w:p>
    <w:p w14:paraId="55141512">
      <w:pPr>
        <w:pStyle w:val="8"/>
        <w:ind w:firstLine="540" w:firstLineChars="225"/>
        <w:rPr>
          <w:rFonts w:ascii="宋体" w:hAnsi="宋体" w:cs="宋体"/>
          <w:color w:val="auto"/>
          <w:szCs w:val="32"/>
          <w:highlight w:val="none"/>
        </w:rPr>
      </w:pPr>
    </w:p>
    <w:p w14:paraId="519F085B">
      <w:pPr>
        <w:pStyle w:val="8"/>
        <w:ind w:firstLine="540" w:firstLineChars="225"/>
        <w:rPr>
          <w:rFonts w:ascii="宋体" w:hAnsi="宋体" w:cs="宋体"/>
          <w:color w:val="auto"/>
          <w:szCs w:val="32"/>
          <w:highlight w:val="none"/>
        </w:rPr>
      </w:pPr>
    </w:p>
    <w:p w14:paraId="6A9F71CF">
      <w:pPr>
        <w:pStyle w:val="8"/>
        <w:ind w:firstLine="540" w:firstLineChars="225"/>
        <w:rPr>
          <w:rFonts w:ascii="宋体" w:hAnsi="宋体" w:cs="宋体"/>
          <w:color w:val="auto"/>
          <w:szCs w:val="32"/>
          <w:highlight w:val="none"/>
        </w:rPr>
      </w:pPr>
    </w:p>
    <w:p w14:paraId="014C89D1">
      <w:pPr>
        <w:pStyle w:val="8"/>
        <w:ind w:firstLine="540" w:firstLineChars="225"/>
        <w:rPr>
          <w:rFonts w:ascii="宋体" w:hAnsi="宋体" w:cs="宋体"/>
          <w:color w:val="auto"/>
          <w:szCs w:val="32"/>
          <w:highlight w:val="none"/>
        </w:rPr>
      </w:pPr>
    </w:p>
    <w:p w14:paraId="32937CD4">
      <w:pPr>
        <w:pStyle w:val="8"/>
        <w:ind w:firstLine="540" w:firstLineChars="225"/>
        <w:rPr>
          <w:rFonts w:ascii="宋体" w:hAnsi="宋体" w:cs="宋体"/>
          <w:color w:val="auto"/>
          <w:szCs w:val="32"/>
          <w:highlight w:val="none"/>
        </w:rPr>
      </w:pPr>
    </w:p>
    <w:p w14:paraId="345E7BC3">
      <w:pPr>
        <w:pStyle w:val="8"/>
        <w:ind w:firstLine="540" w:firstLineChars="225"/>
        <w:rPr>
          <w:rFonts w:ascii="宋体" w:hAnsi="宋体" w:cs="宋体"/>
          <w:color w:val="auto"/>
          <w:szCs w:val="32"/>
          <w:highlight w:val="none"/>
        </w:rPr>
      </w:pPr>
    </w:p>
    <w:p w14:paraId="341C202F">
      <w:pPr>
        <w:pStyle w:val="8"/>
        <w:ind w:firstLine="540" w:firstLineChars="225"/>
        <w:rPr>
          <w:rFonts w:ascii="宋体" w:hAnsi="宋体" w:cs="宋体"/>
          <w:color w:val="auto"/>
          <w:szCs w:val="32"/>
          <w:highlight w:val="none"/>
        </w:rPr>
      </w:pPr>
    </w:p>
    <w:p w14:paraId="29C44F56">
      <w:pPr>
        <w:pStyle w:val="8"/>
        <w:ind w:firstLine="540" w:firstLineChars="225"/>
        <w:rPr>
          <w:rFonts w:ascii="宋体" w:hAnsi="宋体" w:cs="宋体"/>
          <w:color w:val="auto"/>
          <w:szCs w:val="32"/>
          <w:highlight w:val="none"/>
        </w:rPr>
      </w:pPr>
    </w:p>
    <w:p w14:paraId="298688BE">
      <w:pPr>
        <w:pStyle w:val="8"/>
        <w:ind w:firstLine="540" w:firstLineChars="225"/>
        <w:rPr>
          <w:rFonts w:ascii="宋体" w:hAnsi="宋体" w:cs="宋体"/>
          <w:color w:val="auto"/>
          <w:szCs w:val="32"/>
          <w:highlight w:val="none"/>
        </w:rPr>
      </w:pPr>
    </w:p>
    <w:p w14:paraId="5B22AC01">
      <w:pPr>
        <w:pStyle w:val="8"/>
        <w:ind w:firstLine="540" w:firstLineChars="225"/>
        <w:rPr>
          <w:rFonts w:ascii="宋体" w:hAnsi="宋体" w:cs="宋体"/>
          <w:color w:val="auto"/>
          <w:szCs w:val="32"/>
          <w:highlight w:val="none"/>
        </w:rPr>
      </w:pPr>
    </w:p>
    <w:p w14:paraId="175E8949">
      <w:pPr>
        <w:pStyle w:val="8"/>
        <w:ind w:firstLine="540" w:firstLineChars="225"/>
        <w:rPr>
          <w:rFonts w:ascii="宋体" w:hAnsi="宋体" w:cs="宋体"/>
          <w:color w:val="auto"/>
          <w:szCs w:val="32"/>
          <w:highlight w:val="none"/>
        </w:rPr>
      </w:pPr>
    </w:p>
    <w:p w14:paraId="47FB06FF">
      <w:pPr>
        <w:pStyle w:val="8"/>
        <w:ind w:firstLine="540" w:firstLineChars="225"/>
        <w:rPr>
          <w:rFonts w:ascii="宋体" w:hAnsi="宋体" w:cs="宋体"/>
          <w:color w:val="auto"/>
          <w:szCs w:val="32"/>
          <w:highlight w:val="none"/>
        </w:rPr>
      </w:pPr>
    </w:p>
    <w:p w14:paraId="3FD83677">
      <w:pPr>
        <w:pStyle w:val="8"/>
        <w:ind w:firstLine="540" w:firstLineChars="225"/>
        <w:rPr>
          <w:rFonts w:ascii="宋体" w:hAnsi="宋体" w:cs="宋体"/>
          <w:color w:val="auto"/>
          <w:szCs w:val="32"/>
          <w:highlight w:val="none"/>
        </w:rPr>
      </w:pPr>
    </w:p>
    <w:p w14:paraId="728E075B">
      <w:pPr>
        <w:pStyle w:val="8"/>
        <w:ind w:firstLine="1080" w:firstLineChars="225"/>
        <w:rPr>
          <w:rFonts w:ascii="宋体" w:hAnsi="宋体" w:cs="宋体"/>
          <w:color w:val="auto"/>
          <w:sz w:val="48"/>
          <w:szCs w:val="48"/>
          <w:highlight w:val="none"/>
        </w:rPr>
      </w:pPr>
    </w:p>
    <w:p w14:paraId="4082D3BF">
      <w:pPr>
        <w:jc w:val="center"/>
        <w:rPr>
          <w:rFonts w:ascii="宋体" w:hAnsi="宋体" w:cs="宋体"/>
          <w:b/>
          <w:color w:val="auto"/>
          <w:sz w:val="48"/>
          <w:szCs w:val="48"/>
          <w:highlight w:val="none"/>
        </w:rPr>
      </w:pPr>
    </w:p>
    <w:p w14:paraId="007F7940">
      <w:pPr>
        <w:tabs>
          <w:tab w:val="left" w:pos="5515"/>
        </w:tabs>
        <w:kinsoku w:val="0"/>
        <w:overflowPunct w:val="0"/>
        <w:autoSpaceDE w:val="0"/>
        <w:autoSpaceDN w:val="0"/>
        <w:spacing w:line="360" w:lineRule="auto"/>
        <w:jc w:val="center"/>
        <w:rPr>
          <w:rFonts w:hint="eastAsia" w:hAnsi="宋体" w:eastAsia="等线"/>
          <w:color w:val="auto"/>
          <w:sz w:val="30"/>
          <w:szCs w:val="30"/>
          <w:highlight w:val="none"/>
          <w:lang w:eastAsia="zh-CN"/>
        </w:rPr>
      </w:pPr>
      <w:r>
        <w:rPr>
          <w:rFonts w:hint="eastAsia" w:hAnsi="宋体"/>
          <w:color w:val="auto"/>
          <w:sz w:val="30"/>
          <w:szCs w:val="30"/>
          <w:highlight w:val="none"/>
          <w:lang w:eastAsia="zh-CN"/>
        </w:rPr>
        <w:t>韶关市金沁城市更新投资有限公司</w:t>
      </w:r>
    </w:p>
    <w:p w14:paraId="404F4BBF">
      <w:pPr>
        <w:spacing w:line="440" w:lineRule="exact"/>
        <w:jc w:val="center"/>
        <w:rPr>
          <w:rFonts w:hint="eastAsia" w:hAnsi="宋体"/>
          <w:color w:val="auto"/>
          <w:sz w:val="30"/>
          <w:szCs w:val="30"/>
          <w:highlight w:val="none"/>
        </w:rPr>
      </w:pPr>
      <w:r>
        <w:rPr>
          <w:rFonts w:hint="eastAsia" w:hAnsi="宋体"/>
          <w:color w:val="auto"/>
          <w:sz w:val="30"/>
          <w:szCs w:val="30"/>
          <w:highlight w:val="none"/>
          <w:lang w:eastAsia="zh-CN"/>
        </w:rPr>
        <w:t>2026年9月</w:t>
      </w:r>
    </w:p>
    <w:p w14:paraId="024D8A4A">
      <w:pPr>
        <w:rPr>
          <w:rFonts w:hint="eastAsia" w:hAnsi="宋体"/>
          <w:color w:val="auto"/>
          <w:sz w:val="30"/>
          <w:szCs w:val="30"/>
          <w:highlight w:val="none"/>
        </w:rPr>
      </w:pPr>
      <w:r>
        <w:rPr>
          <w:rFonts w:hint="eastAsia" w:hAnsi="宋体"/>
          <w:color w:val="auto"/>
          <w:sz w:val="30"/>
          <w:szCs w:val="30"/>
          <w:highlight w:val="none"/>
        </w:rPr>
        <w:br w:type="page"/>
      </w:r>
    </w:p>
    <w:p w14:paraId="68B96192">
      <w:pPr>
        <w:keepNext w:val="0"/>
        <w:keepLines w:val="0"/>
        <w:pageBreakBefore w:val="0"/>
        <w:widowControl w:val="0"/>
        <w:kinsoku/>
        <w:wordWrap w:val="0"/>
        <w:overflowPunct/>
        <w:topLinePunct/>
        <w:autoSpaceDE/>
        <w:autoSpaceDN/>
        <w:bidi w:val="0"/>
        <w:adjustRightInd/>
        <w:snapToGrid/>
        <w:spacing w:line="440" w:lineRule="exact"/>
        <w:ind w:firstLine="480" w:firstLineChars="200"/>
        <w:jc w:val="left"/>
        <w:textAlignment w:val="auto"/>
        <w:rPr>
          <w:color w:val="auto"/>
          <w:highlight w:val="none"/>
        </w:rPr>
      </w:pPr>
      <w:r>
        <w:rPr>
          <w:rFonts w:hint="eastAsia" w:hAnsi="宋体" w:cs="宋体"/>
          <w:b/>
          <w:color w:val="auto"/>
          <w:sz w:val="24"/>
          <w:szCs w:val="24"/>
          <w:highlight w:val="none"/>
          <w:lang w:eastAsia="zh-CN"/>
        </w:rPr>
        <w:t>《</w:t>
      </w:r>
      <w:r>
        <w:rPr>
          <w:rFonts w:hint="eastAsia" w:ascii="宋体" w:hAnsi="宋体" w:cs="宋体"/>
          <w:b/>
          <w:color w:val="auto"/>
          <w:sz w:val="24"/>
          <w:szCs w:val="24"/>
          <w:highlight w:val="none"/>
          <w:lang w:eastAsia="zh-CN"/>
        </w:rPr>
        <w:t>韶关百年东街及周边历史街区城市更新项目（一期）设计任务书</w:t>
      </w:r>
      <w:r>
        <w:rPr>
          <w:rFonts w:hint="eastAsia" w:hAnsi="宋体" w:cs="宋体"/>
          <w:b/>
          <w:color w:val="auto"/>
          <w:sz w:val="24"/>
          <w:szCs w:val="24"/>
          <w:highlight w:val="none"/>
          <w:lang w:eastAsia="zh-CN"/>
        </w:rPr>
        <w:t>》</w:t>
      </w:r>
      <w:r>
        <w:rPr>
          <w:rFonts w:hint="eastAsia" w:ascii="宋体" w:hAnsi="宋体" w:cs="宋体"/>
          <w:b/>
          <w:color w:val="auto"/>
          <w:sz w:val="24"/>
          <w:szCs w:val="24"/>
          <w:highlight w:val="none"/>
        </w:rPr>
        <w:t>在投标截止时间15天前以补充公告的形式在广东省招标投标监管网http://zbtb.gd.gov.cn、全国公共资源交易平台(广东省·韶关市)https://ygp.gdzwfw.gov.cn/ggzy-portal/#/440200/index公布，各投标人应自行下载。</w:t>
      </w:r>
      <w:r>
        <w:rPr>
          <w:rFonts w:hint="eastAsia" w:ascii="宋体" w:hAnsi="宋体" w:cs="宋体"/>
          <w:b/>
          <w:color w:val="auto"/>
          <w:sz w:val="48"/>
          <w:szCs w:val="48"/>
          <w:highlight w:val="none"/>
        </w:rPr>
        <w:br w:type="page"/>
      </w:r>
    </w:p>
    <w:p w14:paraId="4DCC97D2">
      <w:pPr>
        <w:pStyle w:val="6"/>
        <w:rPr>
          <w:rFonts w:hint="eastAsia" w:eastAsia="等线"/>
          <w:color w:val="auto"/>
          <w:highlight w:val="none"/>
          <w:lang w:val="en-US" w:eastAsia="zh-CN"/>
        </w:rPr>
      </w:pPr>
    </w:p>
    <w:bookmarkEnd w:id="475"/>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p w14:paraId="048ED6C8">
      <w:pPr>
        <w:pStyle w:val="3"/>
        <w:numPr>
          <w:ilvl w:val="0"/>
          <w:numId w:val="0"/>
        </w:numPr>
        <w:jc w:val="center"/>
        <w:rPr>
          <w:rFonts w:hint="default" w:asciiTheme="minorEastAsia" w:hAnsiTheme="minorEastAsia" w:eastAsiaTheme="minorEastAsia" w:cstheme="minorEastAsia"/>
          <w:b/>
          <w:color w:val="auto"/>
          <w:kern w:val="44"/>
          <w:sz w:val="36"/>
          <w:szCs w:val="36"/>
          <w:highlight w:val="none"/>
        </w:rPr>
      </w:pPr>
      <w:bookmarkStart w:id="496" w:name="_Toc25386"/>
      <w:r>
        <w:rPr>
          <w:rFonts w:hint="eastAsia" w:asciiTheme="minorEastAsia" w:hAnsiTheme="minorEastAsia" w:eastAsiaTheme="minorEastAsia" w:cstheme="minorEastAsia"/>
          <w:b/>
          <w:color w:val="auto"/>
          <w:kern w:val="44"/>
          <w:sz w:val="36"/>
          <w:szCs w:val="36"/>
          <w:highlight w:val="none"/>
          <w:lang w:val="en-US" w:eastAsia="zh-CN" w:bidi="ar-SA"/>
        </w:rPr>
        <w:t xml:space="preserve">第七章 </w:t>
      </w:r>
      <w:r>
        <w:rPr>
          <w:rFonts w:asciiTheme="minorEastAsia" w:hAnsiTheme="minorEastAsia" w:eastAsiaTheme="minorEastAsia" w:cstheme="minorEastAsia"/>
          <w:b/>
          <w:color w:val="auto"/>
          <w:kern w:val="44"/>
          <w:sz w:val="36"/>
          <w:szCs w:val="36"/>
          <w:highlight w:val="none"/>
        </w:rPr>
        <w:t>招标文件</w:t>
      </w:r>
      <w:bookmarkStart w:id="497" w:name="_Hlt75747044"/>
      <w:bookmarkEnd w:id="497"/>
      <w:r>
        <w:rPr>
          <w:rFonts w:asciiTheme="minorEastAsia" w:hAnsiTheme="minorEastAsia" w:eastAsiaTheme="minorEastAsia" w:cstheme="minorEastAsia"/>
          <w:b/>
          <w:color w:val="auto"/>
          <w:kern w:val="44"/>
          <w:sz w:val="36"/>
          <w:szCs w:val="36"/>
          <w:highlight w:val="none"/>
        </w:rPr>
        <w:t>的附件</w:t>
      </w:r>
      <w:bookmarkEnd w:id="496"/>
    </w:p>
    <w:p w14:paraId="738A1B3B">
      <w:pPr>
        <w:rPr>
          <w:rFonts w:hint="default" w:asciiTheme="minorEastAsia" w:hAnsiTheme="minorEastAsia" w:eastAsiaTheme="minorEastAsia" w:cstheme="minorEastAsia"/>
          <w:color w:val="auto"/>
          <w:highlight w:val="none"/>
        </w:rPr>
      </w:pPr>
    </w:p>
    <w:bookmarkEnd w:id="476"/>
    <w:p w14:paraId="1FF420FF">
      <w:pPr>
        <w:rPr>
          <w:color w:val="auto"/>
          <w:highlight w:val="none"/>
        </w:rPr>
      </w:pPr>
      <w:bookmarkStart w:id="498" w:name="_附件一：投标函"/>
      <w:bookmarkEnd w:id="498"/>
      <w:bookmarkStart w:id="499" w:name="_附件五：综合评审合理低价法"/>
      <w:bookmarkEnd w:id="499"/>
      <w:bookmarkStart w:id="500" w:name="_附件一：对招标文件条款自愿接受承诺书"/>
      <w:bookmarkEnd w:id="500"/>
      <w:bookmarkStart w:id="501" w:name="_附件四：工期承诺书"/>
      <w:bookmarkEnd w:id="501"/>
      <w:bookmarkStart w:id="502" w:name="_附件二：近三年度主要施工项目（竣工及在建）一览表"/>
      <w:bookmarkEnd w:id="502"/>
      <w:bookmarkStart w:id="503" w:name="_附件二：工期承诺书"/>
      <w:bookmarkEnd w:id="503"/>
      <w:bookmarkStart w:id="504" w:name="_Toc39136360"/>
      <w:bookmarkStart w:id="505" w:name="_Toc12406"/>
      <w:bookmarkStart w:id="506" w:name="_Toc12527"/>
      <w:bookmarkStart w:id="507" w:name="_Toc2902"/>
      <w:bookmarkStart w:id="508" w:name="_Toc3855"/>
      <w:bookmarkStart w:id="509" w:name="_Toc142468134"/>
      <w:bookmarkStart w:id="510" w:name="_Toc132687128"/>
      <w:bookmarkStart w:id="511" w:name="_Toc137444778"/>
      <w:bookmarkStart w:id="512" w:name="_Toc133160683"/>
      <w:bookmarkStart w:id="513" w:name="_Toc133815902"/>
      <w:bookmarkStart w:id="514" w:name="_Toc78794873"/>
    </w:p>
    <w:p w14:paraId="72D78DEF">
      <w:pPr>
        <w:pStyle w:val="4"/>
        <w:spacing w:before="120"/>
        <w:rPr>
          <w:rFonts w:hint="default" w:asciiTheme="minorEastAsia" w:hAnsiTheme="minorEastAsia" w:eastAsiaTheme="minorEastAsia" w:cstheme="minorEastAsia"/>
          <w:b/>
          <w:snapToGrid w:val="0"/>
          <w:color w:val="auto"/>
          <w:szCs w:val="24"/>
          <w:highlight w:val="none"/>
        </w:rPr>
      </w:pPr>
      <w:bookmarkStart w:id="515" w:name="_Toc10043"/>
      <w:r>
        <w:rPr>
          <w:rFonts w:asciiTheme="minorEastAsia" w:hAnsiTheme="minorEastAsia" w:eastAsiaTheme="minorEastAsia" w:cstheme="minorEastAsia"/>
          <w:b/>
          <w:snapToGrid w:val="0"/>
          <w:color w:val="auto"/>
          <w:szCs w:val="24"/>
          <w:highlight w:val="none"/>
        </w:rPr>
        <w:t>格式一 封面</w:t>
      </w:r>
      <w:bookmarkEnd w:id="504"/>
      <w:bookmarkEnd w:id="505"/>
      <w:bookmarkEnd w:id="506"/>
      <w:bookmarkEnd w:id="507"/>
      <w:bookmarkEnd w:id="508"/>
      <w:bookmarkEnd w:id="515"/>
    </w:p>
    <w:p w14:paraId="6C1FC06E">
      <w:pPr>
        <w:pStyle w:val="49"/>
        <w:widowControl w:val="0"/>
        <w:wordWrap w:val="0"/>
        <w:adjustRightInd w:val="0"/>
        <w:snapToGrid w:val="0"/>
        <w:rPr>
          <w:rFonts w:asciiTheme="minorEastAsia" w:hAnsiTheme="minorEastAsia" w:eastAsiaTheme="minorEastAsia" w:cstheme="minorEastAsia"/>
          <w:b/>
          <w:snapToGrid w:val="0"/>
          <w:color w:val="auto"/>
          <w:sz w:val="24"/>
          <w:szCs w:val="24"/>
          <w:highlight w:val="none"/>
        </w:rPr>
      </w:pPr>
    </w:p>
    <w:p w14:paraId="17B8390B">
      <w:pPr>
        <w:pStyle w:val="49"/>
        <w:widowControl w:val="0"/>
        <w:wordWrap w:val="0"/>
        <w:adjustRightInd w:val="0"/>
        <w:snapToGrid w:val="0"/>
        <w:jc w:val="right"/>
        <w:rPr>
          <w:rFonts w:asciiTheme="minorEastAsia" w:hAnsiTheme="minorEastAsia" w:eastAsiaTheme="minorEastAsia" w:cstheme="minorEastAsia"/>
          <w:b/>
          <w:snapToGrid w:val="0"/>
          <w:color w:val="auto"/>
          <w:sz w:val="24"/>
          <w:szCs w:val="24"/>
          <w:highlight w:val="none"/>
        </w:rPr>
      </w:pPr>
    </w:p>
    <w:p w14:paraId="14165C70">
      <w:pPr>
        <w:pStyle w:val="49"/>
        <w:widowControl w:val="0"/>
        <w:wordWrap w:val="0"/>
        <w:adjustRightInd w:val="0"/>
        <w:snapToGrid w:val="0"/>
        <w:rPr>
          <w:rFonts w:asciiTheme="minorEastAsia" w:hAnsiTheme="minorEastAsia" w:eastAsiaTheme="minorEastAsia" w:cstheme="minorEastAsia"/>
          <w:b/>
          <w:snapToGrid w:val="0"/>
          <w:color w:val="auto"/>
          <w:sz w:val="24"/>
          <w:szCs w:val="24"/>
          <w:highlight w:val="none"/>
        </w:rPr>
      </w:pPr>
    </w:p>
    <w:p w14:paraId="1B679EC5">
      <w:pPr>
        <w:pStyle w:val="49"/>
        <w:widowControl w:val="0"/>
        <w:wordWrap w:val="0"/>
        <w:adjustRightInd w:val="0"/>
        <w:snapToGrid w:val="0"/>
        <w:ind w:firstLine="0"/>
        <w:rPr>
          <w:rFonts w:asciiTheme="minorEastAsia" w:hAnsiTheme="minorEastAsia" w:eastAsiaTheme="minorEastAsia" w:cstheme="minorEastAsia"/>
          <w:b/>
          <w:snapToGrid w:val="0"/>
          <w:color w:val="auto"/>
          <w:sz w:val="24"/>
          <w:highlight w:val="none"/>
        </w:rPr>
      </w:pPr>
      <w:bookmarkStart w:id="516" w:name="_Hlt69116778"/>
      <w:bookmarkEnd w:id="516"/>
      <w:bookmarkStart w:id="517" w:name="_附件二十五：综合评审合理低价法"/>
      <w:bookmarkEnd w:id="517"/>
      <w:bookmarkStart w:id="518" w:name="_附件二十四：技术标提问单"/>
      <w:bookmarkEnd w:id="518"/>
      <w:bookmarkStart w:id="519" w:name="_附件十：单项工程费汇总表"/>
      <w:bookmarkEnd w:id="519"/>
      <w:bookmarkStart w:id="520" w:name="_Hlt68774664"/>
      <w:bookmarkEnd w:id="520"/>
      <w:bookmarkStart w:id="521" w:name="_Toc39136361"/>
      <w:bookmarkStart w:id="522" w:name="_Toc26795"/>
      <w:bookmarkStart w:id="523" w:name="_Toc15791"/>
      <w:bookmarkStart w:id="524" w:name="_Toc28483"/>
      <w:bookmarkStart w:id="525" w:name="_Toc5872"/>
      <w:bookmarkStart w:id="526" w:name="_Toc106418843"/>
      <w:bookmarkStart w:id="527" w:name="_Hlt66847557"/>
      <w:bookmarkStart w:id="528" w:name="_Toc66849200"/>
      <w:bookmarkStart w:id="529" w:name="_Toc466640620"/>
      <w:bookmarkStart w:id="530" w:name="_Toc104711098"/>
    </w:p>
    <w:p w14:paraId="46B7E47B">
      <w:pPr>
        <w:pStyle w:val="49"/>
        <w:widowControl w:val="0"/>
        <w:wordWrap w:val="0"/>
        <w:adjustRightInd w:val="0"/>
        <w:snapToGrid w:val="0"/>
        <w:rPr>
          <w:rFonts w:asciiTheme="minorEastAsia" w:hAnsiTheme="minorEastAsia" w:eastAsiaTheme="minorEastAsia" w:cstheme="minorEastAsia"/>
          <w:b/>
          <w:snapToGrid w:val="0"/>
          <w:color w:val="auto"/>
          <w:sz w:val="24"/>
          <w:highlight w:val="none"/>
        </w:rPr>
      </w:pPr>
    </w:p>
    <w:p w14:paraId="35AEC8A2">
      <w:pPr>
        <w:pStyle w:val="49"/>
        <w:widowControl w:val="0"/>
        <w:wordWrap w:val="0"/>
        <w:adjustRightInd w:val="0"/>
        <w:snapToGrid w:val="0"/>
        <w:ind w:firstLine="0"/>
        <w:jc w:val="center"/>
        <w:rPr>
          <w:rFonts w:asciiTheme="minorEastAsia" w:hAnsiTheme="minorEastAsia" w:eastAsiaTheme="minorEastAsia" w:cstheme="minorEastAsia"/>
          <w:b/>
          <w:snapToGrid w:val="0"/>
          <w:color w:val="auto"/>
          <w:sz w:val="48"/>
          <w:szCs w:val="48"/>
          <w:highlight w:val="none"/>
        </w:rPr>
      </w:pPr>
      <w:r>
        <w:rPr>
          <w:rFonts w:hint="eastAsia" w:asciiTheme="minorEastAsia" w:hAnsiTheme="minorEastAsia" w:eastAsiaTheme="minorEastAsia" w:cstheme="minorEastAsia"/>
          <w:b/>
          <w:snapToGrid w:val="0"/>
          <w:color w:val="auto"/>
          <w:sz w:val="48"/>
          <w:szCs w:val="48"/>
          <w:highlight w:val="none"/>
          <w:u w:val="single"/>
        </w:rPr>
        <w:t xml:space="preserve">（项目名称）   </w:t>
      </w:r>
      <w:r>
        <w:rPr>
          <w:rFonts w:hint="eastAsia" w:asciiTheme="minorEastAsia" w:hAnsiTheme="minorEastAsia" w:eastAsiaTheme="minorEastAsia" w:cstheme="minorEastAsia"/>
          <w:b/>
          <w:snapToGrid w:val="0"/>
          <w:color w:val="auto"/>
          <w:sz w:val="48"/>
          <w:szCs w:val="48"/>
          <w:highlight w:val="none"/>
        </w:rPr>
        <w:t>招标</w:t>
      </w:r>
    </w:p>
    <w:p w14:paraId="7A3218C4">
      <w:pPr>
        <w:pStyle w:val="49"/>
        <w:widowControl w:val="0"/>
        <w:wordWrap w:val="0"/>
        <w:adjustRightInd w:val="0"/>
        <w:snapToGrid w:val="0"/>
        <w:ind w:firstLine="0"/>
        <w:jc w:val="center"/>
        <w:rPr>
          <w:rFonts w:asciiTheme="minorEastAsia" w:hAnsiTheme="minorEastAsia" w:eastAsiaTheme="minorEastAsia" w:cstheme="minorEastAsia"/>
          <w:b/>
          <w:snapToGrid w:val="0"/>
          <w:color w:val="auto"/>
          <w:sz w:val="32"/>
          <w:highlight w:val="none"/>
        </w:rPr>
      </w:pPr>
    </w:p>
    <w:p w14:paraId="4E0ED63F">
      <w:pPr>
        <w:pStyle w:val="49"/>
        <w:widowControl w:val="0"/>
        <w:wordWrap w:val="0"/>
        <w:adjustRightInd w:val="0"/>
        <w:snapToGrid w:val="0"/>
        <w:ind w:firstLine="0"/>
        <w:jc w:val="center"/>
        <w:rPr>
          <w:rFonts w:asciiTheme="minorEastAsia" w:hAnsiTheme="minorEastAsia" w:eastAsiaTheme="minorEastAsia" w:cstheme="minorEastAsia"/>
          <w:b/>
          <w:snapToGrid w:val="0"/>
          <w:color w:val="auto"/>
          <w:sz w:val="32"/>
          <w:highlight w:val="none"/>
        </w:rPr>
      </w:pPr>
    </w:p>
    <w:p w14:paraId="5DF8F994">
      <w:pPr>
        <w:pStyle w:val="49"/>
        <w:widowControl w:val="0"/>
        <w:wordWrap w:val="0"/>
        <w:adjustRightInd w:val="0"/>
        <w:snapToGrid w:val="0"/>
        <w:ind w:firstLine="0"/>
        <w:jc w:val="center"/>
        <w:rPr>
          <w:rFonts w:asciiTheme="minorEastAsia" w:hAnsiTheme="minorEastAsia" w:eastAsiaTheme="minorEastAsia" w:cstheme="minorEastAsia"/>
          <w:b/>
          <w:snapToGrid w:val="0"/>
          <w:color w:val="auto"/>
          <w:sz w:val="32"/>
          <w:highlight w:val="none"/>
        </w:rPr>
      </w:pPr>
    </w:p>
    <w:p w14:paraId="0AD97CA6">
      <w:pPr>
        <w:pStyle w:val="49"/>
        <w:widowControl w:val="0"/>
        <w:wordWrap w:val="0"/>
        <w:adjustRightInd w:val="0"/>
        <w:snapToGrid w:val="0"/>
        <w:ind w:firstLine="0"/>
        <w:jc w:val="center"/>
        <w:rPr>
          <w:rFonts w:asciiTheme="minorEastAsia" w:hAnsiTheme="minorEastAsia" w:eastAsiaTheme="minorEastAsia" w:cstheme="minorEastAsia"/>
          <w:b/>
          <w:snapToGrid w:val="0"/>
          <w:color w:val="auto"/>
          <w:sz w:val="32"/>
          <w:highlight w:val="none"/>
        </w:rPr>
      </w:pPr>
    </w:p>
    <w:p w14:paraId="56CE0D14">
      <w:pPr>
        <w:pStyle w:val="49"/>
        <w:widowControl w:val="0"/>
        <w:wordWrap w:val="0"/>
        <w:adjustRightInd w:val="0"/>
        <w:snapToGrid w:val="0"/>
        <w:ind w:firstLine="0"/>
        <w:jc w:val="center"/>
        <w:rPr>
          <w:rFonts w:hint="eastAsia" w:asciiTheme="minorEastAsia" w:hAnsiTheme="minorEastAsia" w:eastAsiaTheme="minorEastAsia" w:cstheme="minorEastAsia"/>
          <w:b/>
          <w:snapToGrid w:val="0"/>
          <w:color w:val="auto"/>
          <w:sz w:val="72"/>
          <w:highlight w:val="none"/>
        </w:rPr>
      </w:pPr>
      <w:r>
        <w:rPr>
          <w:rFonts w:hint="eastAsia" w:asciiTheme="minorEastAsia" w:hAnsiTheme="minorEastAsia" w:eastAsiaTheme="minorEastAsia" w:cstheme="minorEastAsia"/>
          <w:b/>
          <w:snapToGrid w:val="0"/>
          <w:color w:val="auto"/>
          <w:sz w:val="72"/>
          <w:highlight w:val="none"/>
        </w:rPr>
        <w:t>投  标  文  件</w:t>
      </w:r>
    </w:p>
    <w:p w14:paraId="7ECE6589">
      <w:pPr>
        <w:pStyle w:val="49"/>
        <w:widowControl w:val="0"/>
        <w:wordWrap w:val="0"/>
        <w:adjustRightInd w:val="0"/>
        <w:snapToGrid w:val="0"/>
        <w:ind w:firstLine="0"/>
        <w:jc w:val="center"/>
        <w:rPr>
          <w:rFonts w:hint="default" w:asciiTheme="minorEastAsia" w:hAnsiTheme="minorEastAsia" w:eastAsiaTheme="minorEastAsia" w:cstheme="minorEastAsia"/>
          <w:b/>
          <w:snapToGrid w:val="0"/>
          <w:color w:val="auto"/>
          <w:sz w:val="44"/>
          <w:szCs w:val="44"/>
          <w:highlight w:val="none"/>
          <w:lang w:val="en-US" w:eastAsia="zh-CN"/>
        </w:rPr>
      </w:pPr>
      <w:r>
        <w:rPr>
          <w:rFonts w:hint="eastAsia" w:ascii="宋体" w:hAnsi="宋体" w:eastAsia="宋体" w:cs="宋体"/>
          <w:b w:val="0"/>
          <w:bCs/>
          <w:color w:val="auto"/>
          <w:sz w:val="44"/>
          <w:szCs w:val="44"/>
          <w:highlight w:val="none"/>
          <w:lang w:eastAsia="zh-CN"/>
        </w:rPr>
        <w:t>（</w:t>
      </w:r>
      <w:r>
        <w:rPr>
          <w:rFonts w:hint="eastAsia" w:hAnsi="宋体" w:cs="宋体"/>
          <w:b w:val="0"/>
          <w:bCs/>
          <w:color w:val="auto"/>
          <w:sz w:val="44"/>
          <w:szCs w:val="44"/>
          <w:highlight w:val="none"/>
          <w:lang w:val="en-US" w:eastAsia="zh-CN"/>
        </w:rPr>
        <w:t>商务经济标书</w:t>
      </w:r>
      <w:r>
        <w:rPr>
          <w:rFonts w:hint="eastAsia" w:ascii="宋体" w:hAnsi="宋体" w:eastAsia="宋体" w:cs="宋体"/>
          <w:b w:val="0"/>
          <w:bCs/>
          <w:color w:val="auto"/>
          <w:sz w:val="44"/>
          <w:szCs w:val="44"/>
          <w:highlight w:val="none"/>
          <w:lang w:val="en-US" w:eastAsia="zh-CN"/>
        </w:rPr>
        <w:t>/技术标书/定标文件</w:t>
      </w:r>
      <w:r>
        <w:rPr>
          <w:rFonts w:hint="eastAsia" w:ascii="宋体" w:hAnsi="宋体" w:eastAsia="宋体" w:cs="宋体"/>
          <w:b w:val="0"/>
          <w:bCs/>
          <w:color w:val="auto"/>
          <w:sz w:val="44"/>
          <w:szCs w:val="44"/>
          <w:highlight w:val="none"/>
          <w:lang w:eastAsia="zh-CN"/>
        </w:rPr>
        <w:t>）</w:t>
      </w:r>
    </w:p>
    <w:p w14:paraId="52F8227B">
      <w:pPr>
        <w:pStyle w:val="49"/>
        <w:widowControl w:val="0"/>
        <w:wordWrap w:val="0"/>
        <w:adjustRightInd w:val="0"/>
        <w:snapToGrid w:val="0"/>
        <w:ind w:firstLine="0"/>
        <w:jc w:val="center"/>
        <w:rPr>
          <w:rFonts w:asciiTheme="minorEastAsia" w:hAnsiTheme="minorEastAsia" w:eastAsiaTheme="minorEastAsia" w:cstheme="minorEastAsia"/>
          <w:b/>
          <w:snapToGrid w:val="0"/>
          <w:color w:val="auto"/>
          <w:sz w:val="32"/>
          <w:highlight w:val="none"/>
        </w:rPr>
      </w:pPr>
    </w:p>
    <w:p w14:paraId="6523A1C1">
      <w:pPr>
        <w:pStyle w:val="49"/>
        <w:widowControl w:val="0"/>
        <w:wordWrap w:val="0"/>
        <w:adjustRightInd w:val="0"/>
        <w:snapToGrid w:val="0"/>
        <w:ind w:firstLine="0"/>
        <w:rPr>
          <w:rFonts w:asciiTheme="minorEastAsia" w:hAnsiTheme="minorEastAsia" w:eastAsiaTheme="minorEastAsia" w:cstheme="minorEastAsia"/>
          <w:b/>
          <w:snapToGrid w:val="0"/>
          <w:color w:val="auto"/>
          <w:sz w:val="32"/>
          <w:highlight w:val="none"/>
        </w:rPr>
      </w:pPr>
    </w:p>
    <w:p w14:paraId="7483C92B">
      <w:pPr>
        <w:pStyle w:val="49"/>
        <w:widowControl w:val="0"/>
        <w:wordWrap w:val="0"/>
        <w:adjustRightInd w:val="0"/>
        <w:snapToGrid w:val="0"/>
        <w:ind w:firstLine="0"/>
        <w:rPr>
          <w:rFonts w:asciiTheme="minorEastAsia" w:hAnsiTheme="minorEastAsia" w:eastAsiaTheme="minorEastAsia" w:cstheme="minorEastAsia"/>
          <w:b/>
          <w:snapToGrid w:val="0"/>
          <w:color w:val="auto"/>
          <w:sz w:val="32"/>
          <w:highlight w:val="none"/>
        </w:rPr>
      </w:pPr>
    </w:p>
    <w:p w14:paraId="75E7C5C2">
      <w:pPr>
        <w:pStyle w:val="49"/>
        <w:widowControl w:val="0"/>
        <w:wordWrap w:val="0"/>
        <w:adjustRightInd w:val="0"/>
        <w:snapToGrid w:val="0"/>
        <w:rPr>
          <w:rFonts w:asciiTheme="minorEastAsia" w:hAnsiTheme="minorEastAsia" w:eastAsiaTheme="minorEastAsia" w:cstheme="minorEastAsia"/>
          <w:b/>
          <w:snapToGrid w:val="0"/>
          <w:color w:val="auto"/>
          <w:sz w:val="32"/>
          <w:highlight w:val="none"/>
        </w:rPr>
      </w:pPr>
    </w:p>
    <w:p w14:paraId="551B12FC">
      <w:pPr>
        <w:pStyle w:val="49"/>
        <w:widowControl w:val="0"/>
        <w:wordWrap w:val="0"/>
        <w:adjustRightInd w:val="0"/>
        <w:snapToGrid w:val="0"/>
        <w:rPr>
          <w:rFonts w:asciiTheme="minorEastAsia" w:hAnsiTheme="minorEastAsia" w:eastAsiaTheme="minorEastAsia" w:cstheme="minorEastAsia"/>
          <w:b/>
          <w:snapToGrid w:val="0"/>
          <w:color w:val="auto"/>
          <w:sz w:val="32"/>
          <w:highlight w:val="none"/>
        </w:rPr>
      </w:pPr>
    </w:p>
    <w:p w14:paraId="1BA0BBBE">
      <w:pPr>
        <w:pStyle w:val="49"/>
        <w:widowControl w:val="0"/>
        <w:wordWrap w:val="0"/>
        <w:adjustRightInd w:val="0"/>
        <w:snapToGrid w:val="0"/>
        <w:ind w:firstLine="0"/>
        <w:jc w:val="center"/>
        <w:rPr>
          <w:rFonts w:hAnsi="宋体" w:eastAsia="宋体" w:cs="宋体"/>
          <w:bCs/>
          <w:snapToGrid w:val="0"/>
          <w:color w:val="auto"/>
          <w:sz w:val="32"/>
          <w:highlight w:val="none"/>
        </w:rPr>
      </w:pPr>
      <w:r>
        <w:rPr>
          <w:rFonts w:hint="eastAsia" w:hAnsi="宋体" w:eastAsia="宋体" w:cs="宋体"/>
          <w:bCs/>
          <w:snapToGrid w:val="0"/>
          <w:color w:val="auto"/>
          <w:sz w:val="32"/>
          <w:highlight w:val="none"/>
        </w:rPr>
        <w:t>投标人：（盖单位章）</w:t>
      </w:r>
    </w:p>
    <w:p w14:paraId="6C3F0232">
      <w:pPr>
        <w:pStyle w:val="49"/>
        <w:widowControl w:val="0"/>
        <w:wordWrap w:val="0"/>
        <w:adjustRightInd w:val="0"/>
        <w:snapToGrid w:val="0"/>
        <w:ind w:firstLine="0"/>
        <w:jc w:val="center"/>
        <w:rPr>
          <w:rFonts w:hAnsi="宋体" w:eastAsia="宋体" w:cs="宋体"/>
          <w:bCs/>
          <w:snapToGrid w:val="0"/>
          <w:color w:val="auto"/>
          <w:sz w:val="32"/>
          <w:highlight w:val="none"/>
        </w:rPr>
      </w:pPr>
    </w:p>
    <w:p w14:paraId="784B25EB">
      <w:pPr>
        <w:pStyle w:val="49"/>
        <w:widowControl w:val="0"/>
        <w:wordWrap w:val="0"/>
        <w:adjustRightInd w:val="0"/>
        <w:snapToGrid w:val="0"/>
        <w:ind w:firstLine="0"/>
        <w:jc w:val="center"/>
        <w:rPr>
          <w:rFonts w:hAnsi="宋体" w:eastAsia="宋体" w:cs="宋体"/>
          <w:bCs/>
          <w:snapToGrid w:val="0"/>
          <w:color w:val="auto"/>
          <w:sz w:val="32"/>
          <w:highlight w:val="none"/>
        </w:rPr>
      </w:pPr>
    </w:p>
    <w:p w14:paraId="15DD4345">
      <w:pPr>
        <w:pStyle w:val="49"/>
        <w:widowControl w:val="0"/>
        <w:wordWrap w:val="0"/>
        <w:adjustRightInd w:val="0"/>
        <w:snapToGrid w:val="0"/>
        <w:ind w:firstLine="0"/>
        <w:jc w:val="center"/>
        <w:rPr>
          <w:rFonts w:hAnsi="宋体" w:eastAsia="宋体" w:cs="宋体"/>
          <w:bCs/>
          <w:snapToGrid w:val="0"/>
          <w:color w:val="auto"/>
          <w:sz w:val="32"/>
          <w:highlight w:val="none"/>
        </w:rPr>
      </w:pPr>
    </w:p>
    <w:p w14:paraId="14576AD9">
      <w:pPr>
        <w:pStyle w:val="49"/>
        <w:widowControl w:val="0"/>
        <w:wordWrap w:val="0"/>
        <w:adjustRightInd w:val="0"/>
        <w:snapToGrid w:val="0"/>
        <w:ind w:firstLine="0"/>
        <w:jc w:val="center"/>
        <w:rPr>
          <w:rFonts w:hAnsi="宋体" w:eastAsia="宋体" w:cs="宋体"/>
          <w:bCs/>
          <w:snapToGrid w:val="0"/>
          <w:color w:val="auto"/>
          <w:sz w:val="32"/>
          <w:highlight w:val="none"/>
        </w:rPr>
      </w:pPr>
      <w:r>
        <w:rPr>
          <w:rFonts w:hint="eastAsia" w:hAnsi="宋体" w:eastAsia="宋体" w:cs="宋体"/>
          <w:bCs/>
          <w:snapToGrid w:val="0"/>
          <w:color w:val="auto"/>
          <w:sz w:val="32"/>
          <w:highlight w:val="none"/>
        </w:rPr>
        <w:t>法定代表人或其委托代理人：（签字或盖章）</w:t>
      </w:r>
    </w:p>
    <w:p w14:paraId="6D8BFFE3">
      <w:pPr>
        <w:pStyle w:val="49"/>
        <w:widowControl w:val="0"/>
        <w:wordWrap w:val="0"/>
        <w:adjustRightInd w:val="0"/>
        <w:snapToGrid w:val="0"/>
        <w:ind w:firstLine="0"/>
        <w:jc w:val="center"/>
        <w:rPr>
          <w:rFonts w:hAnsi="宋体" w:eastAsia="宋体" w:cs="宋体"/>
          <w:bCs/>
          <w:snapToGrid w:val="0"/>
          <w:color w:val="auto"/>
          <w:sz w:val="32"/>
          <w:highlight w:val="none"/>
        </w:rPr>
      </w:pPr>
    </w:p>
    <w:p w14:paraId="6C0E3582">
      <w:pPr>
        <w:pStyle w:val="49"/>
        <w:widowControl w:val="0"/>
        <w:wordWrap w:val="0"/>
        <w:adjustRightInd w:val="0"/>
        <w:snapToGrid w:val="0"/>
        <w:ind w:firstLine="0"/>
        <w:jc w:val="center"/>
        <w:rPr>
          <w:rFonts w:hAnsi="宋体" w:eastAsia="宋体" w:cs="宋体"/>
          <w:bCs/>
          <w:snapToGrid w:val="0"/>
          <w:color w:val="auto"/>
          <w:sz w:val="32"/>
          <w:highlight w:val="none"/>
          <w:u w:val="single"/>
        </w:rPr>
      </w:pPr>
    </w:p>
    <w:p w14:paraId="7F3F24F5">
      <w:pPr>
        <w:pStyle w:val="49"/>
        <w:widowControl w:val="0"/>
        <w:wordWrap w:val="0"/>
        <w:adjustRightInd w:val="0"/>
        <w:snapToGrid w:val="0"/>
        <w:ind w:firstLine="0"/>
        <w:jc w:val="center"/>
        <w:rPr>
          <w:rFonts w:hAnsi="宋体" w:eastAsia="宋体" w:cs="宋体"/>
          <w:b/>
          <w:snapToGrid w:val="0"/>
          <w:color w:val="auto"/>
          <w:highlight w:val="none"/>
        </w:rPr>
      </w:pPr>
      <w:r>
        <w:rPr>
          <w:rFonts w:hint="eastAsia" w:hAnsi="宋体" w:eastAsia="宋体" w:cs="宋体"/>
          <w:bCs/>
          <w:snapToGrid w:val="0"/>
          <w:color w:val="auto"/>
          <w:sz w:val="32"/>
          <w:highlight w:val="none"/>
        </w:rPr>
        <w:t>年</w:t>
      </w:r>
      <w:r>
        <w:rPr>
          <w:rFonts w:hint="eastAsia" w:hAnsi="宋体" w:eastAsia="宋体" w:cs="宋体"/>
          <w:bCs/>
          <w:snapToGrid w:val="0"/>
          <w:color w:val="auto"/>
          <w:sz w:val="32"/>
          <w:highlight w:val="none"/>
          <w:lang w:val="en-US" w:eastAsia="zh-CN"/>
        </w:rPr>
        <w:t xml:space="preserve">  </w:t>
      </w:r>
      <w:r>
        <w:rPr>
          <w:rFonts w:hint="eastAsia" w:hAnsi="宋体" w:eastAsia="宋体" w:cs="宋体"/>
          <w:bCs/>
          <w:snapToGrid w:val="0"/>
          <w:color w:val="auto"/>
          <w:sz w:val="32"/>
          <w:highlight w:val="none"/>
        </w:rPr>
        <w:t>月</w:t>
      </w:r>
      <w:r>
        <w:rPr>
          <w:rFonts w:hint="eastAsia" w:hAnsi="宋体" w:eastAsia="宋体" w:cs="宋体"/>
          <w:bCs/>
          <w:snapToGrid w:val="0"/>
          <w:color w:val="auto"/>
          <w:sz w:val="32"/>
          <w:highlight w:val="none"/>
          <w:lang w:val="en-US" w:eastAsia="zh-CN"/>
        </w:rPr>
        <w:t xml:space="preserve">  </w:t>
      </w:r>
      <w:r>
        <w:rPr>
          <w:rFonts w:hint="eastAsia" w:hAnsi="宋体" w:eastAsia="宋体" w:cs="宋体"/>
          <w:bCs/>
          <w:snapToGrid w:val="0"/>
          <w:color w:val="auto"/>
          <w:sz w:val="32"/>
          <w:highlight w:val="none"/>
        </w:rPr>
        <w:t>日</w:t>
      </w:r>
    </w:p>
    <w:p w14:paraId="44710DE2">
      <w:pPr>
        <w:spacing w:before="120"/>
        <w:rPr>
          <w:rFonts w:hint="default" w:asciiTheme="minorEastAsia" w:hAnsiTheme="minorEastAsia" w:eastAsiaTheme="minorEastAsia" w:cstheme="minorEastAsia"/>
          <w:b/>
          <w:bCs/>
          <w:color w:val="auto"/>
          <w:szCs w:val="24"/>
          <w:highlight w:val="none"/>
        </w:rPr>
      </w:pPr>
    </w:p>
    <w:p w14:paraId="20B926B4">
      <w:pPr>
        <w:spacing w:before="120"/>
        <w:rPr>
          <w:rFonts w:hint="default" w:asciiTheme="minorEastAsia" w:hAnsiTheme="minorEastAsia" w:eastAsiaTheme="minorEastAsia" w:cstheme="minorEastAsia"/>
          <w:b/>
          <w:bCs/>
          <w:color w:val="auto"/>
          <w:szCs w:val="24"/>
          <w:highlight w:val="none"/>
        </w:rPr>
      </w:pPr>
    </w:p>
    <w:p w14:paraId="19574CCE">
      <w:pPr>
        <w:spacing w:before="120"/>
        <w:rPr>
          <w:rFonts w:hint="default" w:asciiTheme="minorEastAsia" w:hAnsiTheme="minorEastAsia" w:eastAsiaTheme="minorEastAsia" w:cstheme="minorEastAsia"/>
          <w:b/>
          <w:bCs/>
          <w:color w:val="auto"/>
          <w:szCs w:val="24"/>
          <w:highlight w:val="none"/>
        </w:rPr>
      </w:pPr>
    </w:p>
    <w:p w14:paraId="638DC99C">
      <w:pPr>
        <w:rPr>
          <w:rFonts w:hint="default"/>
          <w:color w:val="auto"/>
          <w:highlight w:val="none"/>
        </w:rPr>
      </w:pPr>
    </w:p>
    <w:p w14:paraId="134394A9">
      <w:pPr>
        <w:rPr>
          <w:rFonts w:asciiTheme="minorEastAsia" w:hAnsiTheme="minorEastAsia" w:eastAsiaTheme="minorEastAsia" w:cstheme="minorEastAsia"/>
          <w:b/>
          <w:bCs/>
          <w:color w:val="auto"/>
          <w:szCs w:val="24"/>
          <w:highlight w:val="none"/>
        </w:rPr>
      </w:pPr>
      <w:bookmarkStart w:id="531" w:name="_Toc1823"/>
      <w:r>
        <w:rPr>
          <w:rFonts w:asciiTheme="minorEastAsia" w:hAnsiTheme="minorEastAsia" w:eastAsiaTheme="minorEastAsia" w:cstheme="minorEastAsia"/>
          <w:b/>
          <w:bCs/>
          <w:color w:val="auto"/>
          <w:szCs w:val="24"/>
          <w:highlight w:val="none"/>
        </w:rPr>
        <w:br w:type="page"/>
      </w:r>
    </w:p>
    <w:p w14:paraId="5B4FEDB5">
      <w:pPr>
        <w:pStyle w:val="4"/>
        <w:spacing w:before="120"/>
        <w:rPr>
          <w:rFonts w:hint="default" w:asciiTheme="minorEastAsia" w:hAnsiTheme="minorEastAsia" w:eastAsiaTheme="minorEastAsia" w:cstheme="minorEastAsia"/>
          <w:b/>
          <w:bCs/>
          <w:color w:val="auto"/>
          <w:szCs w:val="24"/>
          <w:highlight w:val="none"/>
        </w:rPr>
      </w:pPr>
      <w:r>
        <w:rPr>
          <w:rFonts w:asciiTheme="minorEastAsia" w:hAnsiTheme="minorEastAsia" w:eastAsiaTheme="minorEastAsia" w:cstheme="minorEastAsia"/>
          <w:b/>
          <w:bCs/>
          <w:color w:val="auto"/>
          <w:szCs w:val="24"/>
          <w:highlight w:val="none"/>
        </w:rPr>
        <w:t xml:space="preserve">格式二 </w:t>
      </w:r>
      <w:bookmarkEnd w:id="521"/>
      <w:bookmarkEnd w:id="522"/>
      <w:bookmarkEnd w:id="523"/>
      <w:r>
        <w:rPr>
          <w:rFonts w:asciiTheme="minorEastAsia" w:hAnsiTheme="minorEastAsia" w:eastAsiaTheme="minorEastAsia" w:cstheme="minorEastAsia"/>
          <w:b/>
          <w:bCs/>
          <w:color w:val="auto"/>
          <w:szCs w:val="24"/>
          <w:highlight w:val="none"/>
        </w:rPr>
        <w:t>《投标函》及《工程项目总价表》</w:t>
      </w:r>
      <w:bookmarkEnd w:id="524"/>
      <w:bookmarkEnd w:id="525"/>
      <w:bookmarkEnd w:id="531"/>
    </w:p>
    <w:p w14:paraId="0CFA3A68">
      <w:pPr>
        <w:jc w:val="center"/>
        <w:rPr>
          <w:rFonts w:hint="eastAsia" w:ascii="宋体" w:hAnsi="宋体" w:eastAsia="宋体" w:cs="宋体"/>
          <w:b/>
          <w:bCs/>
          <w:color w:val="auto"/>
          <w:highlight w:val="none"/>
        </w:rPr>
      </w:pPr>
      <w:bookmarkStart w:id="532" w:name="_Toc27121"/>
      <w:bookmarkStart w:id="533" w:name="_Toc28636"/>
      <w:bookmarkStart w:id="534" w:name="_Toc8657"/>
      <w:bookmarkStart w:id="535" w:name="_Toc21577"/>
      <w:bookmarkStart w:id="536" w:name="_Toc10604"/>
      <w:bookmarkStart w:id="537" w:name="_Toc18294"/>
      <w:bookmarkStart w:id="538" w:name="_Toc39136362"/>
      <w:bookmarkStart w:id="539" w:name="_Toc6739"/>
      <w:bookmarkStart w:id="540" w:name="_Toc9280"/>
      <w:bookmarkStart w:id="541" w:name="_Toc29375"/>
    </w:p>
    <w:p w14:paraId="018264DB">
      <w:pPr>
        <w:jc w:val="center"/>
        <w:rPr>
          <w:rFonts w:hint="eastAsia" w:ascii="宋体" w:hAnsi="宋体" w:eastAsia="宋体" w:cs="宋体"/>
          <w:b/>
          <w:bCs/>
          <w:color w:val="auto"/>
          <w:highlight w:val="none"/>
        </w:rPr>
      </w:pPr>
      <w:r>
        <w:rPr>
          <w:rFonts w:hint="eastAsia" w:ascii="宋体" w:hAnsi="宋体" w:eastAsia="宋体" w:cs="宋体"/>
          <w:b/>
          <w:bCs/>
          <w:color w:val="auto"/>
          <w:highlight w:val="none"/>
        </w:rPr>
        <w:t>投  标  函</w:t>
      </w:r>
      <w:bookmarkEnd w:id="532"/>
      <w:bookmarkEnd w:id="533"/>
      <w:bookmarkEnd w:id="534"/>
      <w:bookmarkEnd w:id="535"/>
      <w:bookmarkEnd w:id="536"/>
      <w:bookmarkEnd w:id="537"/>
      <w:bookmarkEnd w:id="538"/>
      <w:bookmarkEnd w:id="539"/>
      <w:bookmarkEnd w:id="540"/>
      <w:bookmarkEnd w:id="541"/>
    </w:p>
    <w:p w14:paraId="2FD21D4D">
      <w:pPr>
        <w:wordWrap w:val="0"/>
        <w:adjustRightInd w:val="0"/>
        <w:snapToGrid w:val="0"/>
        <w:spacing w:line="440" w:lineRule="exact"/>
        <w:rPr>
          <w:rFonts w:hint="default" w:asciiTheme="minorEastAsia" w:hAnsiTheme="minorEastAsia" w:eastAsiaTheme="minorEastAsia" w:cstheme="minorEastAsia"/>
          <w:snapToGrid w:val="0"/>
          <w:color w:val="auto"/>
          <w:kern w:val="0"/>
          <w:szCs w:val="24"/>
          <w:highlight w:val="none"/>
        </w:rPr>
      </w:pPr>
    </w:p>
    <w:p w14:paraId="11506B91">
      <w:pPr>
        <w:keepNext w:val="0"/>
        <w:keepLines w:val="0"/>
        <w:pageBreakBefore w:val="0"/>
        <w:widowControl w:val="0"/>
        <w:kinsoku/>
        <w:wordWrap w:val="0"/>
        <w:overflowPunct/>
        <w:topLinePunct w:val="0"/>
        <w:autoSpaceDE/>
        <w:autoSpaceDN/>
        <w:bidi w:val="0"/>
        <w:adjustRightInd w:val="0"/>
        <w:snapToGrid w:val="0"/>
        <w:spacing w:line="440" w:lineRule="exact"/>
        <w:textAlignment w:val="auto"/>
        <w:rPr>
          <w:rFonts w:hint="default"/>
          <w:color w:val="auto"/>
          <w:highlight w:val="none"/>
        </w:rPr>
      </w:pPr>
      <w:r>
        <w:rPr>
          <w:rFonts w:asciiTheme="minorEastAsia" w:hAnsiTheme="minorEastAsia" w:eastAsiaTheme="minorEastAsia" w:cstheme="minorEastAsia"/>
          <w:snapToGrid w:val="0"/>
          <w:color w:val="auto"/>
          <w:kern w:val="0"/>
          <w:szCs w:val="24"/>
          <w:highlight w:val="none"/>
        </w:rPr>
        <w:t>致：（招标人名称）</w:t>
      </w:r>
    </w:p>
    <w:p w14:paraId="2D7B2579">
      <w:pPr>
        <w:keepNext w:val="0"/>
        <w:keepLines w:val="0"/>
        <w:pageBreakBefore w:val="0"/>
        <w:widowControl w:val="0"/>
        <w:kinsoku/>
        <w:wordWrap w:val="0"/>
        <w:overflowPunct/>
        <w:topLinePunct w:val="0"/>
        <w:autoSpaceDE/>
        <w:autoSpaceDN/>
        <w:bidi w:val="0"/>
        <w:adjustRightInd w:val="0"/>
        <w:snapToGrid w:val="0"/>
        <w:spacing w:line="440" w:lineRule="exact"/>
        <w:ind w:firstLine="570"/>
        <w:textAlignment w:val="auto"/>
        <w:rPr>
          <w:rFonts w:hint="default" w:asciiTheme="minorEastAsia" w:hAnsiTheme="minorEastAsia" w:eastAsiaTheme="minorEastAsia" w:cstheme="minorEastAsia"/>
          <w:color w:val="auto"/>
          <w:szCs w:val="22"/>
          <w:highlight w:val="none"/>
        </w:rPr>
      </w:pPr>
      <w:r>
        <w:rPr>
          <w:rFonts w:asciiTheme="minorEastAsia" w:hAnsiTheme="minorEastAsia" w:eastAsiaTheme="minorEastAsia" w:cstheme="minorEastAsia"/>
          <w:color w:val="auto"/>
          <w:szCs w:val="22"/>
          <w:highlight w:val="none"/>
        </w:rPr>
        <w:t>1.在研</w:t>
      </w:r>
      <w:r>
        <w:rPr>
          <w:rFonts w:asciiTheme="minorEastAsia" w:hAnsiTheme="minorEastAsia" w:eastAsiaTheme="minorEastAsia" w:cstheme="minorEastAsia"/>
          <w:color w:val="auto"/>
          <w:szCs w:val="22"/>
          <w:highlight w:val="none"/>
          <w:u w:val="none"/>
        </w:rPr>
        <w:t>究</w:t>
      </w:r>
      <w:r>
        <w:rPr>
          <w:rFonts w:asciiTheme="minorEastAsia" w:hAnsiTheme="minorEastAsia" w:eastAsiaTheme="minorEastAsia" w:cstheme="minorEastAsia"/>
          <w:color w:val="auto"/>
          <w:szCs w:val="22"/>
          <w:highlight w:val="none"/>
          <w:u w:val="single"/>
        </w:rPr>
        <w:t xml:space="preserve">        （项目名称）        </w:t>
      </w:r>
      <w:r>
        <w:rPr>
          <w:rFonts w:asciiTheme="minorEastAsia" w:hAnsiTheme="minorEastAsia" w:eastAsiaTheme="minorEastAsia" w:cstheme="minorEastAsia"/>
          <w:color w:val="auto"/>
          <w:szCs w:val="22"/>
          <w:highlight w:val="none"/>
        </w:rPr>
        <w:t>招标文件和</w:t>
      </w:r>
      <w:r>
        <w:rPr>
          <w:rFonts w:hint="eastAsia" w:asciiTheme="minorEastAsia" w:hAnsiTheme="minorEastAsia" w:eastAsiaTheme="minorEastAsia" w:cstheme="minorEastAsia"/>
          <w:color w:val="auto"/>
          <w:szCs w:val="22"/>
          <w:highlight w:val="none"/>
          <w:lang w:eastAsia="zh-CN"/>
        </w:rPr>
        <w:t>其他</w:t>
      </w:r>
      <w:r>
        <w:rPr>
          <w:rFonts w:asciiTheme="minorEastAsia" w:hAnsiTheme="minorEastAsia" w:eastAsiaTheme="minorEastAsia" w:cstheme="minorEastAsia"/>
          <w:color w:val="auto"/>
          <w:szCs w:val="22"/>
          <w:highlight w:val="none"/>
        </w:rPr>
        <w:t>相关文件，并对现场进行深入了解后，我方（即文末签名人），考虑了本企业的实力和特点，愿意接受招标文件的全部内容和条件，兹以人民币（大写）：</w:t>
      </w:r>
      <w:r>
        <w:rPr>
          <w:rFonts w:hint="eastAsia" w:asciiTheme="minorEastAsia" w:hAnsiTheme="minorEastAsia" w:eastAsiaTheme="minorEastAsia" w:cstheme="minorEastAsia"/>
          <w:color w:val="auto"/>
          <w:szCs w:val="22"/>
          <w:highlight w:val="none"/>
          <w:u w:val="single"/>
          <w:lang w:val="en-US" w:eastAsia="zh-CN"/>
        </w:rPr>
        <w:t xml:space="preserve">        </w:t>
      </w:r>
      <w:r>
        <w:rPr>
          <w:rFonts w:asciiTheme="minorEastAsia" w:hAnsiTheme="minorEastAsia" w:eastAsiaTheme="minorEastAsia" w:cstheme="minorEastAsia"/>
          <w:color w:val="auto"/>
          <w:szCs w:val="22"/>
          <w:highlight w:val="none"/>
        </w:rPr>
        <w:t>小写：（¥）</w:t>
      </w:r>
      <w:r>
        <w:rPr>
          <w:rFonts w:hint="eastAsia" w:asciiTheme="minorEastAsia" w:hAnsiTheme="minorEastAsia" w:eastAsiaTheme="minorEastAsia" w:cstheme="minorEastAsia"/>
          <w:color w:val="auto"/>
          <w:szCs w:val="22"/>
          <w:highlight w:val="none"/>
          <w:u w:val="single"/>
          <w:lang w:val="en-US" w:eastAsia="zh-CN"/>
        </w:rPr>
        <w:t xml:space="preserve">         </w:t>
      </w:r>
      <w:r>
        <w:rPr>
          <w:rFonts w:asciiTheme="minorEastAsia" w:hAnsiTheme="minorEastAsia" w:eastAsiaTheme="minorEastAsia" w:cstheme="minorEastAsia"/>
          <w:color w:val="auto"/>
          <w:szCs w:val="22"/>
          <w:highlight w:val="none"/>
        </w:rPr>
        <w:t>的投标总价竞投本项目。</w:t>
      </w:r>
    </w:p>
    <w:p w14:paraId="65CF8420">
      <w:pPr>
        <w:keepNext w:val="0"/>
        <w:keepLines w:val="0"/>
        <w:pageBreakBefore w:val="0"/>
        <w:widowControl w:val="0"/>
        <w:kinsoku/>
        <w:wordWrap w:val="0"/>
        <w:overflowPunct/>
        <w:topLinePunct w:val="0"/>
        <w:autoSpaceDE/>
        <w:autoSpaceDN/>
        <w:bidi w:val="0"/>
        <w:adjustRightInd w:val="0"/>
        <w:snapToGrid w:val="0"/>
        <w:spacing w:line="440" w:lineRule="exact"/>
        <w:ind w:firstLine="570"/>
        <w:textAlignment w:val="auto"/>
        <w:rPr>
          <w:rFonts w:hint="default" w:asciiTheme="minorEastAsia" w:hAnsiTheme="minorEastAsia" w:eastAsiaTheme="minorEastAsia" w:cstheme="minorEastAsia"/>
          <w:snapToGrid w:val="0"/>
          <w:color w:val="auto"/>
          <w:kern w:val="0"/>
          <w:szCs w:val="24"/>
          <w:highlight w:val="none"/>
        </w:rPr>
      </w:pPr>
      <w:r>
        <w:rPr>
          <w:rFonts w:asciiTheme="minorEastAsia" w:hAnsiTheme="minorEastAsia" w:eastAsiaTheme="minorEastAsia" w:cstheme="minorEastAsia"/>
          <w:snapToGrid w:val="0"/>
          <w:color w:val="auto"/>
          <w:kern w:val="0"/>
          <w:szCs w:val="24"/>
          <w:highlight w:val="none"/>
        </w:rPr>
        <w:t xml:space="preserve">2. </w:t>
      </w:r>
      <w:r>
        <w:rPr>
          <w:rFonts w:asciiTheme="minorEastAsia" w:hAnsiTheme="minorEastAsia" w:eastAsiaTheme="minorEastAsia" w:cstheme="minorEastAsia"/>
          <w:color w:val="auto"/>
          <w:szCs w:val="22"/>
          <w:highlight w:val="none"/>
        </w:rPr>
        <w:t>如果我方中标，我方保证按照合同约定的开工日期开始本项目的设计、施工，本工程设计、施工招标工期为</w:t>
      </w:r>
      <w:r>
        <w:rPr>
          <w:rFonts w:hint="eastAsia" w:asciiTheme="minorEastAsia" w:hAnsiTheme="minorEastAsia" w:eastAsiaTheme="minorEastAsia" w:cstheme="minorEastAsia"/>
          <w:color w:val="auto"/>
          <w:szCs w:val="22"/>
          <w:highlight w:val="none"/>
          <w:u w:val="single"/>
          <w:lang w:val="en-US" w:eastAsia="zh-CN"/>
        </w:rPr>
        <w:t xml:space="preserve">    </w:t>
      </w:r>
      <w:r>
        <w:rPr>
          <w:rFonts w:asciiTheme="minorEastAsia" w:hAnsiTheme="minorEastAsia" w:eastAsiaTheme="minorEastAsia" w:cstheme="minorEastAsia"/>
          <w:color w:val="auto"/>
          <w:szCs w:val="22"/>
          <w:highlight w:val="none"/>
        </w:rPr>
        <w:t>个日历天（其中：设计工期为</w:t>
      </w:r>
      <w:r>
        <w:rPr>
          <w:rFonts w:hint="eastAsia" w:asciiTheme="minorEastAsia" w:hAnsiTheme="minorEastAsia" w:eastAsiaTheme="minorEastAsia" w:cstheme="minorEastAsia"/>
          <w:color w:val="auto"/>
          <w:szCs w:val="22"/>
          <w:highlight w:val="none"/>
          <w:u w:val="single"/>
          <w:lang w:val="en-US" w:eastAsia="zh-CN"/>
        </w:rPr>
        <w:t xml:space="preserve">   </w:t>
      </w:r>
      <w:r>
        <w:rPr>
          <w:rFonts w:asciiTheme="minorEastAsia" w:hAnsiTheme="minorEastAsia" w:eastAsiaTheme="minorEastAsia" w:cstheme="minorEastAsia"/>
          <w:color w:val="auto"/>
          <w:szCs w:val="22"/>
          <w:highlight w:val="none"/>
        </w:rPr>
        <w:t>日历天，施工工期为</w:t>
      </w:r>
      <w:r>
        <w:rPr>
          <w:rFonts w:hint="eastAsia" w:asciiTheme="minorEastAsia" w:hAnsiTheme="minorEastAsia" w:eastAsiaTheme="minorEastAsia" w:cstheme="minorEastAsia"/>
          <w:color w:val="auto"/>
          <w:szCs w:val="22"/>
          <w:highlight w:val="none"/>
          <w:u w:val="single"/>
          <w:lang w:val="en-US" w:eastAsia="zh-CN"/>
        </w:rPr>
        <w:t xml:space="preserve">   </w:t>
      </w:r>
      <w:r>
        <w:rPr>
          <w:rFonts w:asciiTheme="minorEastAsia" w:hAnsiTheme="minorEastAsia" w:eastAsiaTheme="minorEastAsia" w:cstheme="minorEastAsia"/>
          <w:color w:val="auto"/>
          <w:szCs w:val="22"/>
          <w:highlight w:val="none"/>
        </w:rPr>
        <w:t>日历天）内竣工，并确保工程质量达到</w:t>
      </w:r>
      <w:r>
        <w:rPr>
          <w:rFonts w:hint="eastAsia" w:asciiTheme="minorEastAsia" w:hAnsiTheme="minorEastAsia" w:eastAsiaTheme="minorEastAsia" w:cstheme="minorEastAsia"/>
          <w:color w:val="auto"/>
          <w:szCs w:val="22"/>
          <w:highlight w:val="none"/>
          <w:u w:val="single"/>
          <w:lang w:val="en-US" w:eastAsia="zh-CN"/>
        </w:rPr>
        <w:t xml:space="preserve">            </w:t>
      </w:r>
      <w:r>
        <w:rPr>
          <w:rFonts w:asciiTheme="minorEastAsia" w:hAnsiTheme="minorEastAsia" w:eastAsiaTheme="minorEastAsia" w:cstheme="minorEastAsia"/>
          <w:color w:val="auto"/>
          <w:szCs w:val="22"/>
          <w:highlight w:val="none"/>
        </w:rPr>
        <w:t>标准和维修其中的任何缺陷</w:t>
      </w:r>
      <w:r>
        <w:rPr>
          <w:rFonts w:asciiTheme="minorEastAsia" w:hAnsiTheme="minorEastAsia" w:eastAsiaTheme="minorEastAsia" w:cstheme="minorEastAsia"/>
          <w:snapToGrid w:val="0"/>
          <w:color w:val="auto"/>
          <w:kern w:val="0"/>
          <w:szCs w:val="24"/>
          <w:highlight w:val="none"/>
        </w:rPr>
        <w:t>。</w:t>
      </w:r>
    </w:p>
    <w:p w14:paraId="7560C5A0">
      <w:pPr>
        <w:keepNext w:val="0"/>
        <w:keepLines w:val="0"/>
        <w:pageBreakBefore w:val="0"/>
        <w:widowControl w:val="0"/>
        <w:kinsoku/>
        <w:wordWrap w:val="0"/>
        <w:overflowPunct/>
        <w:topLinePunct w:val="0"/>
        <w:autoSpaceDE/>
        <w:autoSpaceDN/>
        <w:bidi w:val="0"/>
        <w:adjustRightInd w:val="0"/>
        <w:snapToGrid w:val="0"/>
        <w:spacing w:line="440" w:lineRule="exact"/>
        <w:ind w:firstLine="570"/>
        <w:textAlignment w:val="auto"/>
        <w:rPr>
          <w:rFonts w:hint="default" w:asciiTheme="minorEastAsia" w:hAnsiTheme="minorEastAsia" w:eastAsiaTheme="minorEastAsia" w:cstheme="minorEastAsia"/>
          <w:snapToGrid w:val="0"/>
          <w:color w:val="auto"/>
          <w:kern w:val="0"/>
          <w:szCs w:val="24"/>
          <w:highlight w:val="none"/>
        </w:rPr>
      </w:pPr>
      <w:r>
        <w:rPr>
          <w:rFonts w:asciiTheme="minorEastAsia" w:hAnsiTheme="minorEastAsia" w:eastAsiaTheme="minorEastAsia" w:cstheme="minorEastAsia"/>
          <w:snapToGrid w:val="0"/>
          <w:color w:val="auto"/>
          <w:kern w:val="0"/>
          <w:szCs w:val="24"/>
          <w:highlight w:val="none"/>
        </w:rPr>
        <w:t>3. 本投标函在你方接</w:t>
      </w:r>
      <w:r>
        <w:rPr>
          <w:rFonts w:hint="eastAsia" w:asciiTheme="minorEastAsia" w:hAnsiTheme="minorEastAsia" w:eastAsiaTheme="minorEastAsia" w:cstheme="minorEastAsia"/>
          <w:snapToGrid w:val="0"/>
          <w:color w:val="auto"/>
          <w:kern w:val="0"/>
          <w:szCs w:val="24"/>
          <w:highlight w:val="none"/>
          <w:lang w:eastAsia="zh-CN"/>
        </w:rPr>
        <w:t>收到</w:t>
      </w:r>
      <w:r>
        <w:rPr>
          <w:rFonts w:asciiTheme="minorEastAsia" w:hAnsiTheme="minorEastAsia" w:eastAsiaTheme="minorEastAsia" w:cstheme="minorEastAsia"/>
          <w:snapToGrid w:val="0"/>
          <w:color w:val="auto"/>
          <w:kern w:val="0"/>
          <w:szCs w:val="24"/>
          <w:highlight w:val="none"/>
        </w:rPr>
        <w:t>我方递交的投标文件之日起、到招标文件规定的投标有效期期满前对我方具有约束力。我方随时准备</w:t>
      </w:r>
      <w:r>
        <w:rPr>
          <w:rFonts w:hint="eastAsia" w:asciiTheme="minorEastAsia" w:hAnsiTheme="minorEastAsia" w:eastAsiaTheme="minorEastAsia" w:cstheme="minorEastAsia"/>
          <w:snapToGrid w:val="0"/>
          <w:color w:val="auto"/>
          <w:kern w:val="0"/>
          <w:szCs w:val="24"/>
          <w:highlight w:val="none"/>
          <w:lang w:eastAsia="zh-CN"/>
        </w:rPr>
        <w:t>接收</w:t>
      </w:r>
      <w:r>
        <w:rPr>
          <w:rFonts w:asciiTheme="minorEastAsia" w:hAnsiTheme="minorEastAsia" w:eastAsiaTheme="minorEastAsia" w:cstheme="minorEastAsia"/>
          <w:snapToGrid w:val="0"/>
          <w:color w:val="auto"/>
          <w:kern w:val="0"/>
          <w:szCs w:val="24"/>
          <w:highlight w:val="none"/>
        </w:rPr>
        <w:t>你方发出的中标通知书。</w:t>
      </w:r>
    </w:p>
    <w:p w14:paraId="3A744EB0">
      <w:pPr>
        <w:keepNext w:val="0"/>
        <w:keepLines w:val="0"/>
        <w:pageBreakBefore w:val="0"/>
        <w:widowControl w:val="0"/>
        <w:kinsoku/>
        <w:wordWrap w:val="0"/>
        <w:overflowPunct/>
        <w:topLinePunct w:val="0"/>
        <w:autoSpaceDE/>
        <w:autoSpaceDN/>
        <w:bidi w:val="0"/>
        <w:adjustRightInd w:val="0"/>
        <w:snapToGrid w:val="0"/>
        <w:spacing w:line="440" w:lineRule="exact"/>
        <w:ind w:firstLine="570"/>
        <w:textAlignment w:val="auto"/>
        <w:rPr>
          <w:rFonts w:hint="default" w:asciiTheme="minorEastAsia" w:hAnsiTheme="minorEastAsia" w:eastAsiaTheme="minorEastAsia" w:cstheme="minorEastAsia"/>
          <w:snapToGrid w:val="0"/>
          <w:color w:val="auto"/>
          <w:kern w:val="0"/>
          <w:szCs w:val="24"/>
          <w:highlight w:val="none"/>
        </w:rPr>
      </w:pPr>
      <w:r>
        <w:rPr>
          <w:rFonts w:hint="eastAsia" w:asciiTheme="minorEastAsia" w:hAnsiTheme="minorEastAsia" w:eastAsiaTheme="minorEastAsia" w:cstheme="minorEastAsia"/>
          <w:snapToGrid w:val="0"/>
          <w:color w:val="auto"/>
          <w:kern w:val="0"/>
          <w:szCs w:val="24"/>
          <w:highlight w:val="none"/>
          <w:lang w:eastAsia="zh-CN"/>
        </w:rPr>
        <w:t>4.</w:t>
      </w:r>
      <w:r>
        <w:rPr>
          <w:rFonts w:asciiTheme="minorEastAsia" w:hAnsiTheme="minorEastAsia" w:eastAsiaTheme="minorEastAsia" w:cstheme="minorEastAsia"/>
          <w:snapToGrid w:val="0"/>
          <w:color w:val="auto"/>
          <w:kern w:val="0"/>
          <w:szCs w:val="24"/>
          <w:highlight w:val="none"/>
        </w:rPr>
        <w:t>我方在此声明，我方不存在本工程招标文件所列示的“禁止投标条款”所列出的任何一种情形，并愿意承担因我方就此弄虚作假所引起的一切法律后果。</w:t>
      </w:r>
    </w:p>
    <w:p w14:paraId="3365A57C">
      <w:pPr>
        <w:keepNext w:val="0"/>
        <w:keepLines w:val="0"/>
        <w:pageBreakBefore w:val="0"/>
        <w:widowControl w:val="0"/>
        <w:kinsoku/>
        <w:wordWrap w:val="0"/>
        <w:overflowPunct/>
        <w:topLinePunct w:val="0"/>
        <w:autoSpaceDE/>
        <w:autoSpaceDN/>
        <w:bidi w:val="0"/>
        <w:adjustRightInd w:val="0"/>
        <w:snapToGrid w:val="0"/>
        <w:spacing w:line="440" w:lineRule="exact"/>
        <w:ind w:firstLine="570"/>
        <w:textAlignment w:val="auto"/>
        <w:rPr>
          <w:rFonts w:hint="default" w:asciiTheme="minorEastAsia" w:hAnsiTheme="minorEastAsia" w:eastAsiaTheme="minorEastAsia" w:cstheme="minorEastAsia"/>
          <w:snapToGrid w:val="0"/>
          <w:color w:val="auto"/>
          <w:kern w:val="0"/>
          <w:szCs w:val="24"/>
          <w:highlight w:val="none"/>
        </w:rPr>
      </w:pPr>
      <w:r>
        <w:rPr>
          <w:rFonts w:hint="eastAsia" w:asciiTheme="minorEastAsia" w:hAnsiTheme="minorEastAsia" w:eastAsiaTheme="minorEastAsia" w:cstheme="minorEastAsia"/>
          <w:snapToGrid w:val="0"/>
          <w:color w:val="auto"/>
          <w:kern w:val="0"/>
          <w:szCs w:val="24"/>
          <w:highlight w:val="none"/>
          <w:lang w:eastAsia="zh-CN"/>
        </w:rPr>
        <w:t>5.</w:t>
      </w:r>
      <w:r>
        <w:rPr>
          <w:rFonts w:asciiTheme="minorEastAsia" w:hAnsiTheme="minorEastAsia" w:eastAsiaTheme="minorEastAsia" w:cstheme="minorEastAsia"/>
          <w:snapToGrid w:val="0"/>
          <w:color w:val="auto"/>
          <w:kern w:val="0"/>
          <w:szCs w:val="24"/>
          <w:highlight w:val="none"/>
        </w:rPr>
        <w:t>我方在此承诺，所递交投标文件的全部内容均为真实、有效、准确的，并愿意承担因我方就此弄虚作假所引起的一切法律后果，同时理解和同意有可能被要求提供更多的资料。</w:t>
      </w:r>
    </w:p>
    <w:p w14:paraId="4CB9B24B">
      <w:pPr>
        <w:keepNext w:val="0"/>
        <w:keepLines w:val="0"/>
        <w:pageBreakBefore w:val="0"/>
        <w:widowControl w:val="0"/>
        <w:kinsoku/>
        <w:wordWrap w:val="0"/>
        <w:overflowPunct/>
        <w:topLinePunct w:val="0"/>
        <w:autoSpaceDE/>
        <w:autoSpaceDN/>
        <w:bidi w:val="0"/>
        <w:adjustRightInd w:val="0"/>
        <w:snapToGrid w:val="0"/>
        <w:spacing w:line="440" w:lineRule="exact"/>
        <w:ind w:firstLine="570"/>
        <w:textAlignment w:val="auto"/>
        <w:rPr>
          <w:rFonts w:hint="default" w:asciiTheme="minorEastAsia" w:hAnsiTheme="minorEastAsia" w:eastAsiaTheme="minorEastAsia" w:cstheme="minorEastAsia"/>
          <w:snapToGrid w:val="0"/>
          <w:color w:val="auto"/>
          <w:kern w:val="0"/>
          <w:szCs w:val="24"/>
          <w:highlight w:val="none"/>
        </w:rPr>
      </w:pPr>
      <w:r>
        <w:rPr>
          <w:rFonts w:asciiTheme="minorEastAsia" w:hAnsiTheme="minorEastAsia" w:eastAsiaTheme="minorEastAsia" w:cstheme="minorEastAsia"/>
          <w:snapToGrid w:val="0"/>
          <w:color w:val="auto"/>
          <w:kern w:val="0"/>
          <w:szCs w:val="24"/>
          <w:highlight w:val="none"/>
        </w:rPr>
        <w:t>6. 我方理解你方不一定要接纳收到的最低投标总价或任何投标总价的投标人中标，也不要求你方解释我方是否中标的原因。</w:t>
      </w:r>
    </w:p>
    <w:p w14:paraId="7A04DEE4">
      <w:pPr>
        <w:keepNext w:val="0"/>
        <w:keepLines w:val="0"/>
        <w:pageBreakBefore w:val="0"/>
        <w:widowControl w:val="0"/>
        <w:kinsoku/>
        <w:wordWrap w:val="0"/>
        <w:overflowPunct/>
        <w:topLinePunct w:val="0"/>
        <w:autoSpaceDE/>
        <w:autoSpaceDN/>
        <w:bidi w:val="0"/>
        <w:adjustRightInd w:val="0"/>
        <w:snapToGrid w:val="0"/>
        <w:spacing w:line="440" w:lineRule="exact"/>
        <w:ind w:firstLine="570"/>
        <w:textAlignment w:val="auto"/>
        <w:rPr>
          <w:rFonts w:hint="default" w:asciiTheme="minorEastAsia" w:hAnsiTheme="minorEastAsia" w:eastAsiaTheme="minorEastAsia" w:cstheme="minorEastAsia"/>
          <w:snapToGrid w:val="0"/>
          <w:color w:val="auto"/>
          <w:kern w:val="0"/>
          <w:szCs w:val="24"/>
          <w:highlight w:val="none"/>
        </w:rPr>
      </w:pPr>
    </w:p>
    <w:p w14:paraId="3EAA0C13">
      <w:pPr>
        <w:keepNext w:val="0"/>
        <w:keepLines w:val="0"/>
        <w:pageBreakBefore w:val="0"/>
        <w:widowControl w:val="0"/>
        <w:kinsoku/>
        <w:wordWrap w:val="0"/>
        <w:overflowPunct/>
        <w:topLinePunct w:val="0"/>
        <w:autoSpaceDE/>
        <w:autoSpaceDN/>
        <w:bidi w:val="0"/>
        <w:adjustRightInd w:val="0"/>
        <w:snapToGrid w:val="0"/>
        <w:spacing w:line="440" w:lineRule="exact"/>
        <w:jc w:val="right"/>
        <w:textAlignment w:val="auto"/>
        <w:rPr>
          <w:rFonts w:hint="default" w:asciiTheme="minorEastAsia" w:hAnsiTheme="minorEastAsia" w:eastAsiaTheme="minorEastAsia" w:cstheme="minorEastAsia"/>
          <w:snapToGrid w:val="0"/>
          <w:color w:val="auto"/>
          <w:kern w:val="0"/>
          <w:szCs w:val="24"/>
          <w:highlight w:val="none"/>
        </w:rPr>
      </w:pPr>
      <w:r>
        <w:rPr>
          <w:rFonts w:asciiTheme="minorEastAsia" w:hAnsiTheme="minorEastAsia" w:eastAsiaTheme="minorEastAsia" w:cstheme="minorEastAsia"/>
          <w:snapToGrid w:val="0"/>
          <w:color w:val="auto"/>
          <w:kern w:val="0"/>
          <w:szCs w:val="24"/>
          <w:highlight w:val="none"/>
        </w:rPr>
        <w:t xml:space="preserve">    投标人：（盖单位章）</w:t>
      </w:r>
    </w:p>
    <w:p w14:paraId="4C9D0F4E">
      <w:pPr>
        <w:keepNext w:val="0"/>
        <w:keepLines w:val="0"/>
        <w:pageBreakBefore w:val="0"/>
        <w:widowControl w:val="0"/>
        <w:kinsoku/>
        <w:wordWrap w:val="0"/>
        <w:overflowPunct/>
        <w:topLinePunct w:val="0"/>
        <w:autoSpaceDE/>
        <w:autoSpaceDN/>
        <w:bidi w:val="0"/>
        <w:adjustRightInd w:val="0"/>
        <w:snapToGrid w:val="0"/>
        <w:spacing w:line="440" w:lineRule="exact"/>
        <w:ind w:firstLine="480" w:firstLineChars="200"/>
        <w:jc w:val="right"/>
        <w:textAlignment w:val="auto"/>
        <w:rPr>
          <w:rFonts w:hint="default" w:asciiTheme="minorEastAsia" w:hAnsiTheme="minorEastAsia" w:eastAsiaTheme="minorEastAsia" w:cstheme="minorEastAsia"/>
          <w:snapToGrid w:val="0"/>
          <w:color w:val="auto"/>
          <w:kern w:val="0"/>
          <w:szCs w:val="24"/>
          <w:highlight w:val="none"/>
        </w:rPr>
      </w:pPr>
      <w:r>
        <w:rPr>
          <w:rFonts w:asciiTheme="minorEastAsia" w:hAnsiTheme="minorEastAsia" w:eastAsiaTheme="minorEastAsia" w:cstheme="minorEastAsia"/>
          <w:snapToGrid w:val="0"/>
          <w:color w:val="auto"/>
          <w:kern w:val="0"/>
          <w:szCs w:val="24"/>
          <w:highlight w:val="none"/>
        </w:rPr>
        <w:t>法定代表人或其委托代理人：（签字或盖章）</w:t>
      </w:r>
    </w:p>
    <w:p w14:paraId="3DAA8EA9">
      <w:pPr>
        <w:keepNext w:val="0"/>
        <w:keepLines w:val="0"/>
        <w:pageBreakBefore w:val="0"/>
        <w:widowControl w:val="0"/>
        <w:kinsoku/>
        <w:wordWrap w:val="0"/>
        <w:overflowPunct/>
        <w:topLinePunct w:val="0"/>
        <w:autoSpaceDE/>
        <w:autoSpaceDN/>
        <w:bidi w:val="0"/>
        <w:adjustRightInd w:val="0"/>
        <w:snapToGrid w:val="0"/>
        <w:spacing w:line="440" w:lineRule="exact"/>
        <w:ind w:firstLine="6960" w:firstLineChars="2900"/>
        <w:jc w:val="left"/>
        <w:textAlignment w:val="auto"/>
        <w:rPr>
          <w:rFonts w:hint="default" w:asciiTheme="minorEastAsia" w:hAnsiTheme="minorEastAsia" w:eastAsiaTheme="minorEastAsia" w:cstheme="minorEastAsia"/>
          <w:snapToGrid w:val="0"/>
          <w:color w:val="auto"/>
          <w:kern w:val="0"/>
          <w:szCs w:val="24"/>
          <w:highlight w:val="none"/>
        </w:rPr>
      </w:pPr>
      <w:r>
        <w:rPr>
          <w:rFonts w:asciiTheme="minorEastAsia" w:hAnsiTheme="minorEastAsia" w:eastAsiaTheme="minorEastAsia" w:cstheme="minorEastAsia"/>
          <w:snapToGrid w:val="0"/>
          <w:color w:val="auto"/>
          <w:kern w:val="0"/>
          <w:szCs w:val="24"/>
          <w:highlight w:val="none"/>
        </w:rPr>
        <w:t>年</w:t>
      </w:r>
      <w:r>
        <w:rPr>
          <w:rFonts w:hint="eastAsia" w:asciiTheme="minorEastAsia" w:hAnsiTheme="minorEastAsia" w:eastAsiaTheme="minorEastAsia" w:cstheme="minorEastAsia"/>
          <w:snapToGrid w:val="0"/>
          <w:color w:val="auto"/>
          <w:kern w:val="0"/>
          <w:szCs w:val="24"/>
          <w:highlight w:val="none"/>
          <w:lang w:val="en-US" w:eastAsia="zh-CN"/>
        </w:rPr>
        <w:t xml:space="preserve">  </w:t>
      </w:r>
      <w:r>
        <w:rPr>
          <w:rFonts w:asciiTheme="minorEastAsia" w:hAnsiTheme="minorEastAsia" w:eastAsiaTheme="minorEastAsia" w:cstheme="minorEastAsia"/>
          <w:snapToGrid w:val="0"/>
          <w:color w:val="auto"/>
          <w:kern w:val="0"/>
          <w:szCs w:val="24"/>
          <w:highlight w:val="none"/>
        </w:rPr>
        <w:t>月</w:t>
      </w:r>
      <w:r>
        <w:rPr>
          <w:rFonts w:hint="eastAsia" w:asciiTheme="minorEastAsia" w:hAnsiTheme="minorEastAsia" w:eastAsiaTheme="minorEastAsia" w:cstheme="minorEastAsia"/>
          <w:snapToGrid w:val="0"/>
          <w:color w:val="auto"/>
          <w:kern w:val="0"/>
          <w:szCs w:val="24"/>
          <w:highlight w:val="none"/>
          <w:lang w:val="en-US" w:eastAsia="zh-CN"/>
        </w:rPr>
        <w:t xml:space="preserve">  </w:t>
      </w:r>
      <w:r>
        <w:rPr>
          <w:rFonts w:asciiTheme="minorEastAsia" w:hAnsiTheme="minorEastAsia" w:eastAsiaTheme="minorEastAsia" w:cstheme="minorEastAsia"/>
          <w:snapToGrid w:val="0"/>
          <w:color w:val="auto"/>
          <w:kern w:val="0"/>
          <w:szCs w:val="24"/>
          <w:highlight w:val="none"/>
        </w:rPr>
        <w:t>日</w:t>
      </w:r>
    </w:p>
    <w:p w14:paraId="32BFD5D3">
      <w:pPr>
        <w:jc w:val="left"/>
        <w:rPr>
          <w:rFonts w:hint="default" w:asciiTheme="minorEastAsia" w:hAnsiTheme="minorEastAsia" w:eastAsiaTheme="minorEastAsia" w:cstheme="minorEastAsia"/>
          <w:snapToGrid w:val="0"/>
          <w:color w:val="auto"/>
          <w:kern w:val="0"/>
          <w:szCs w:val="24"/>
          <w:highlight w:val="none"/>
        </w:rPr>
      </w:pPr>
      <w:r>
        <w:rPr>
          <w:rFonts w:asciiTheme="minorEastAsia" w:hAnsiTheme="minorEastAsia" w:eastAsiaTheme="minorEastAsia" w:cstheme="minorEastAsia"/>
          <w:snapToGrid w:val="0"/>
          <w:color w:val="auto"/>
          <w:kern w:val="0"/>
          <w:szCs w:val="24"/>
          <w:highlight w:val="none"/>
        </w:rPr>
        <w:br w:type="page"/>
      </w:r>
    </w:p>
    <w:p w14:paraId="500E70EB">
      <w:pPr>
        <w:jc w:val="left"/>
        <w:rPr>
          <w:rFonts w:hint="default" w:asciiTheme="minorEastAsia" w:hAnsiTheme="minorEastAsia" w:eastAsiaTheme="minorEastAsia" w:cstheme="minorEastAsia"/>
          <w:snapToGrid w:val="0"/>
          <w:color w:val="auto"/>
          <w:kern w:val="0"/>
          <w:szCs w:val="24"/>
          <w:highlight w:val="none"/>
        </w:rPr>
      </w:pPr>
    </w:p>
    <w:p w14:paraId="658E9ECC">
      <w:pPr>
        <w:jc w:val="center"/>
        <w:rPr>
          <w:rFonts w:hint="eastAsia" w:ascii="宋体" w:hAnsi="宋体" w:eastAsia="宋体" w:cs="宋体"/>
          <w:b/>
          <w:bCs/>
          <w:color w:val="auto"/>
          <w:highlight w:val="none"/>
        </w:rPr>
      </w:pPr>
      <w:bookmarkStart w:id="542" w:name="_Toc25829"/>
      <w:bookmarkStart w:id="543" w:name="_Toc3900"/>
      <w:bookmarkStart w:id="544" w:name="_Toc453"/>
      <w:bookmarkStart w:id="545" w:name="_Toc5052"/>
      <w:bookmarkStart w:id="546" w:name="_Toc20338"/>
      <w:bookmarkStart w:id="547" w:name="_Toc25629"/>
      <w:bookmarkStart w:id="548" w:name="_Toc39136364"/>
      <w:bookmarkStart w:id="549" w:name="_Toc7915"/>
      <w:r>
        <w:rPr>
          <w:rFonts w:hint="eastAsia" w:ascii="宋体" w:hAnsi="宋体" w:eastAsia="宋体" w:cs="宋体"/>
          <w:b/>
          <w:bCs/>
          <w:color w:val="auto"/>
          <w:highlight w:val="none"/>
        </w:rPr>
        <w:t>工程项目总价表</w:t>
      </w:r>
      <w:bookmarkEnd w:id="542"/>
      <w:bookmarkEnd w:id="543"/>
      <w:bookmarkEnd w:id="544"/>
      <w:bookmarkEnd w:id="545"/>
      <w:bookmarkEnd w:id="546"/>
      <w:bookmarkEnd w:id="547"/>
    </w:p>
    <w:tbl>
      <w:tblPr>
        <w:tblStyle w:val="23"/>
        <w:tblW w:w="9426"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770"/>
        <w:gridCol w:w="1440"/>
        <w:gridCol w:w="1508"/>
        <w:gridCol w:w="975"/>
        <w:gridCol w:w="1450"/>
        <w:gridCol w:w="3283"/>
      </w:tblGrid>
      <w:tr w14:paraId="6CD8254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955" w:hRule="atLeast"/>
          <w:jc w:val="center"/>
        </w:trPr>
        <w:tc>
          <w:tcPr>
            <w:tcW w:w="770" w:type="dxa"/>
            <w:vAlign w:val="center"/>
          </w:tcPr>
          <w:p w14:paraId="074FC296">
            <w:pPr>
              <w:keepNext w:val="0"/>
              <w:keepLines w:val="0"/>
              <w:pageBreakBefore w:val="0"/>
              <w:suppressLineNumbers w:val="0"/>
              <w:kinsoku/>
              <w:overflowPunct/>
              <w:topLinePunct w:val="0"/>
              <w:autoSpaceDE/>
              <w:autoSpaceDN/>
              <w:bidi w:val="0"/>
              <w:spacing w:before="0" w:beforeAutospacing="0" w:after="0" w:afterAutospacing="0" w:line="440" w:lineRule="exact"/>
              <w:ind w:left="0" w:right="0"/>
              <w:jc w:val="center"/>
              <w:textAlignment w:val="auto"/>
              <w:rPr>
                <w:rFonts w:hint="default" w:asciiTheme="minorEastAsia" w:hAnsiTheme="minorEastAsia" w:eastAsiaTheme="minorEastAsia" w:cstheme="minorEastAsia"/>
                <w:color w:val="auto"/>
                <w:kern w:val="1"/>
                <w:sz w:val="24"/>
                <w:szCs w:val="24"/>
                <w:highlight w:val="none"/>
              </w:rPr>
            </w:pPr>
            <w:r>
              <w:rPr>
                <w:rFonts w:asciiTheme="minorEastAsia" w:hAnsiTheme="minorEastAsia" w:eastAsiaTheme="minorEastAsia" w:cstheme="minorEastAsia"/>
                <w:color w:val="auto"/>
                <w:kern w:val="1"/>
                <w:sz w:val="24"/>
                <w:szCs w:val="24"/>
                <w:highlight w:val="none"/>
              </w:rPr>
              <w:t>序号</w:t>
            </w:r>
          </w:p>
        </w:tc>
        <w:tc>
          <w:tcPr>
            <w:tcW w:w="1440" w:type="dxa"/>
            <w:vAlign w:val="center"/>
          </w:tcPr>
          <w:p w14:paraId="41A809A7">
            <w:pPr>
              <w:keepNext w:val="0"/>
              <w:keepLines w:val="0"/>
              <w:pageBreakBefore w:val="0"/>
              <w:suppressLineNumbers w:val="0"/>
              <w:kinsoku/>
              <w:overflowPunct/>
              <w:topLinePunct w:val="0"/>
              <w:autoSpaceDE/>
              <w:autoSpaceDN/>
              <w:bidi w:val="0"/>
              <w:spacing w:before="0" w:beforeAutospacing="0" w:after="0" w:afterAutospacing="0" w:line="440" w:lineRule="exact"/>
              <w:ind w:left="0" w:right="0"/>
              <w:jc w:val="center"/>
              <w:textAlignment w:val="auto"/>
              <w:rPr>
                <w:rFonts w:hint="default" w:asciiTheme="minorEastAsia" w:hAnsiTheme="minorEastAsia" w:eastAsiaTheme="minorEastAsia" w:cstheme="minorEastAsia"/>
                <w:color w:val="auto"/>
                <w:kern w:val="1"/>
                <w:sz w:val="24"/>
                <w:szCs w:val="24"/>
                <w:highlight w:val="none"/>
              </w:rPr>
            </w:pPr>
            <w:r>
              <w:rPr>
                <w:rFonts w:asciiTheme="minorEastAsia" w:hAnsiTheme="minorEastAsia" w:eastAsiaTheme="minorEastAsia" w:cstheme="minorEastAsia"/>
                <w:color w:val="auto"/>
                <w:kern w:val="1"/>
                <w:sz w:val="24"/>
                <w:szCs w:val="24"/>
                <w:highlight w:val="none"/>
              </w:rPr>
              <w:t>项目名称</w:t>
            </w:r>
          </w:p>
        </w:tc>
        <w:tc>
          <w:tcPr>
            <w:tcW w:w="1508" w:type="dxa"/>
            <w:vAlign w:val="center"/>
          </w:tcPr>
          <w:p w14:paraId="2699E736">
            <w:pPr>
              <w:keepNext w:val="0"/>
              <w:keepLines w:val="0"/>
              <w:pageBreakBefore w:val="0"/>
              <w:suppressLineNumbers w:val="0"/>
              <w:kinsoku/>
              <w:overflowPunct/>
              <w:topLinePunct w:val="0"/>
              <w:autoSpaceDE/>
              <w:autoSpaceDN/>
              <w:bidi w:val="0"/>
              <w:spacing w:before="0" w:beforeAutospacing="0" w:after="0" w:afterAutospacing="0" w:line="440" w:lineRule="exact"/>
              <w:ind w:left="0" w:right="0"/>
              <w:jc w:val="center"/>
              <w:textAlignment w:val="auto"/>
              <w:rPr>
                <w:rFonts w:hint="default" w:asciiTheme="minorEastAsia" w:hAnsiTheme="minorEastAsia" w:eastAsiaTheme="minorEastAsia" w:cstheme="minorEastAsia"/>
                <w:color w:val="auto"/>
                <w:sz w:val="24"/>
                <w:szCs w:val="24"/>
                <w:highlight w:val="none"/>
              </w:rPr>
            </w:pPr>
            <w:r>
              <w:rPr>
                <w:rFonts w:asciiTheme="minorEastAsia" w:hAnsiTheme="minorEastAsia" w:eastAsiaTheme="minorEastAsia" w:cstheme="minorEastAsia"/>
                <w:color w:val="auto"/>
                <w:sz w:val="24"/>
                <w:szCs w:val="24"/>
                <w:highlight w:val="none"/>
              </w:rPr>
              <w:t>计算基数（元）</w:t>
            </w:r>
          </w:p>
        </w:tc>
        <w:tc>
          <w:tcPr>
            <w:tcW w:w="975" w:type="dxa"/>
            <w:vAlign w:val="center"/>
          </w:tcPr>
          <w:p w14:paraId="6078CC57">
            <w:pPr>
              <w:keepNext w:val="0"/>
              <w:keepLines w:val="0"/>
              <w:pageBreakBefore w:val="0"/>
              <w:suppressLineNumbers w:val="0"/>
              <w:kinsoku/>
              <w:overflowPunct/>
              <w:topLinePunct w:val="0"/>
              <w:autoSpaceDE/>
              <w:autoSpaceDN/>
              <w:bidi w:val="0"/>
              <w:spacing w:before="0" w:beforeAutospacing="0" w:after="0" w:afterAutospacing="0" w:line="440" w:lineRule="exact"/>
              <w:ind w:left="0" w:right="0"/>
              <w:jc w:val="center"/>
              <w:textAlignment w:val="auto"/>
              <w:rPr>
                <w:rFonts w:hint="default" w:asciiTheme="minorEastAsia" w:hAnsiTheme="minorEastAsia" w:eastAsiaTheme="minorEastAsia" w:cstheme="minorEastAsia"/>
                <w:color w:val="auto"/>
                <w:sz w:val="24"/>
                <w:szCs w:val="24"/>
                <w:highlight w:val="none"/>
              </w:rPr>
            </w:pPr>
            <w:r>
              <w:rPr>
                <w:rFonts w:asciiTheme="minorEastAsia" w:hAnsiTheme="minorEastAsia" w:eastAsiaTheme="minorEastAsia" w:cstheme="minorEastAsia"/>
                <w:color w:val="auto"/>
                <w:sz w:val="24"/>
                <w:szCs w:val="24"/>
                <w:highlight w:val="none"/>
              </w:rPr>
              <w:t>投标</w:t>
            </w:r>
            <w:r>
              <w:rPr>
                <w:rFonts w:asciiTheme="minorEastAsia" w:hAnsiTheme="minorEastAsia" w:eastAsiaTheme="minorEastAsia" w:cstheme="minorEastAsia"/>
                <w:color w:val="auto"/>
                <w:sz w:val="24"/>
                <w:szCs w:val="24"/>
                <w:highlight w:val="none"/>
                <w:lang w:val="zh-CN"/>
              </w:rPr>
              <w:t>下</w:t>
            </w:r>
            <w:r>
              <w:rPr>
                <w:rFonts w:asciiTheme="minorEastAsia" w:hAnsiTheme="minorEastAsia" w:eastAsiaTheme="minorEastAsia" w:cstheme="minorEastAsia"/>
                <w:color w:val="auto"/>
                <w:sz w:val="24"/>
                <w:szCs w:val="24"/>
                <w:highlight w:val="none"/>
              </w:rPr>
              <w:t>浮率</w:t>
            </w:r>
          </w:p>
        </w:tc>
        <w:tc>
          <w:tcPr>
            <w:tcW w:w="1450" w:type="dxa"/>
            <w:vAlign w:val="center"/>
          </w:tcPr>
          <w:p w14:paraId="55976F45">
            <w:pPr>
              <w:keepNext w:val="0"/>
              <w:keepLines w:val="0"/>
              <w:pageBreakBefore w:val="0"/>
              <w:suppressLineNumbers w:val="0"/>
              <w:kinsoku/>
              <w:overflowPunct/>
              <w:topLinePunct w:val="0"/>
              <w:autoSpaceDE/>
              <w:autoSpaceDN/>
              <w:bidi w:val="0"/>
              <w:spacing w:before="0" w:beforeAutospacing="0" w:after="0" w:afterAutospacing="0" w:line="440" w:lineRule="exact"/>
              <w:ind w:left="0" w:right="0"/>
              <w:jc w:val="center"/>
              <w:textAlignment w:val="auto"/>
              <w:rPr>
                <w:rFonts w:hint="default" w:asciiTheme="minorEastAsia" w:hAnsiTheme="minorEastAsia" w:eastAsiaTheme="minorEastAsia" w:cstheme="minorEastAsia"/>
                <w:color w:val="auto"/>
                <w:sz w:val="24"/>
                <w:szCs w:val="24"/>
                <w:highlight w:val="none"/>
              </w:rPr>
            </w:pPr>
            <w:r>
              <w:rPr>
                <w:rFonts w:asciiTheme="minorEastAsia" w:hAnsiTheme="minorEastAsia" w:eastAsiaTheme="minorEastAsia" w:cstheme="minorEastAsia"/>
                <w:color w:val="auto"/>
                <w:sz w:val="24"/>
                <w:szCs w:val="24"/>
                <w:highlight w:val="none"/>
              </w:rPr>
              <w:t>投标报价（元）</w:t>
            </w:r>
          </w:p>
        </w:tc>
        <w:tc>
          <w:tcPr>
            <w:tcW w:w="3283" w:type="dxa"/>
            <w:vAlign w:val="center"/>
          </w:tcPr>
          <w:p w14:paraId="3C83561F">
            <w:pPr>
              <w:keepNext w:val="0"/>
              <w:keepLines w:val="0"/>
              <w:pageBreakBefore w:val="0"/>
              <w:suppressLineNumbers w:val="0"/>
              <w:kinsoku/>
              <w:overflowPunct/>
              <w:topLinePunct w:val="0"/>
              <w:autoSpaceDE/>
              <w:autoSpaceDN/>
              <w:bidi w:val="0"/>
              <w:spacing w:before="0" w:beforeAutospacing="0" w:after="0" w:afterAutospacing="0" w:line="440" w:lineRule="exact"/>
              <w:ind w:left="0" w:right="0"/>
              <w:jc w:val="center"/>
              <w:textAlignment w:val="auto"/>
              <w:rPr>
                <w:rFonts w:hint="default" w:asciiTheme="minorEastAsia" w:hAnsiTheme="minorEastAsia" w:eastAsiaTheme="minorEastAsia" w:cstheme="minorEastAsia"/>
                <w:color w:val="auto"/>
                <w:sz w:val="24"/>
                <w:szCs w:val="24"/>
                <w:highlight w:val="none"/>
              </w:rPr>
            </w:pPr>
            <w:r>
              <w:rPr>
                <w:rFonts w:asciiTheme="minorEastAsia" w:hAnsiTheme="minorEastAsia" w:eastAsiaTheme="minorEastAsia" w:cstheme="minorEastAsia"/>
                <w:color w:val="auto"/>
                <w:kern w:val="1"/>
                <w:sz w:val="24"/>
                <w:szCs w:val="24"/>
                <w:highlight w:val="none"/>
              </w:rPr>
              <w:t>报价要求</w:t>
            </w:r>
          </w:p>
        </w:tc>
      </w:tr>
      <w:tr w14:paraId="562ABD1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321" w:hRule="atLeast"/>
          <w:jc w:val="center"/>
        </w:trPr>
        <w:tc>
          <w:tcPr>
            <w:tcW w:w="770" w:type="dxa"/>
            <w:vAlign w:val="center"/>
          </w:tcPr>
          <w:p w14:paraId="044C3644">
            <w:pPr>
              <w:keepNext w:val="0"/>
              <w:keepLines w:val="0"/>
              <w:pageBreakBefore w:val="0"/>
              <w:suppressLineNumbers w:val="0"/>
              <w:kinsoku/>
              <w:overflowPunct/>
              <w:topLinePunct w:val="0"/>
              <w:autoSpaceDE/>
              <w:autoSpaceDN/>
              <w:bidi w:val="0"/>
              <w:spacing w:before="0" w:beforeAutospacing="0" w:after="0" w:afterAutospacing="0" w:line="440" w:lineRule="exact"/>
              <w:ind w:left="0" w:right="0"/>
              <w:jc w:val="center"/>
              <w:textAlignment w:val="auto"/>
              <w:rPr>
                <w:rFonts w:hint="default" w:asciiTheme="minorEastAsia" w:hAnsiTheme="minorEastAsia" w:eastAsiaTheme="minorEastAsia" w:cstheme="minorEastAsia"/>
                <w:color w:val="auto"/>
                <w:kern w:val="1"/>
                <w:sz w:val="24"/>
                <w:szCs w:val="24"/>
                <w:highlight w:val="none"/>
              </w:rPr>
            </w:pPr>
            <w:r>
              <w:rPr>
                <w:rFonts w:asciiTheme="minorEastAsia" w:hAnsiTheme="minorEastAsia" w:eastAsiaTheme="minorEastAsia" w:cstheme="minorEastAsia"/>
                <w:color w:val="auto"/>
                <w:kern w:val="1"/>
                <w:sz w:val="24"/>
                <w:szCs w:val="24"/>
                <w:highlight w:val="none"/>
              </w:rPr>
              <w:t>1</w:t>
            </w:r>
          </w:p>
        </w:tc>
        <w:tc>
          <w:tcPr>
            <w:tcW w:w="1440" w:type="dxa"/>
            <w:vAlign w:val="center"/>
          </w:tcPr>
          <w:p w14:paraId="4C22D2E7">
            <w:pPr>
              <w:keepNext w:val="0"/>
              <w:keepLines w:val="0"/>
              <w:pageBreakBefore w:val="0"/>
              <w:suppressLineNumbers w:val="0"/>
              <w:kinsoku/>
              <w:overflowPunct/>
              <w:topLinePunct w:val="0"/>
              <w:autoSpaceDE/>
              <w:autoSpaceDN/>
              <w:bidi w:val="0"/>
              <w:spacing w:before="0" w:beforeAutospacing="0" w:after="0" w:afterAutospacing="0" w:line="440" w:lineRule="exact"/>
              <w:ind w:left="0" w:right="0"/>
              <w:jc w:val="center"/>
              <w:textAlignment w:val="auto"/>
              <w:rPr>
                <w:rFonts w:hint="default" w:asciiTheme="minorEastAsia" w:hAnsiTheme="minorEastAsia" w:eastAsiaTheme="minorEastAsia" w:cstheme="minorEastAsia"/>
                <w:color w:val="auto"/>
                <w:kern w:val="1"/>
                <w:sz w:val="24"/>
                <w:szCs w:val="24"/>
                <w:highlight w:val="none"/>
              </w:rPr>
            </w:pPr>
            <w:r>
              <w:rPr>
                <w:rFonts w:asciiTheme="minorEastAsia" w:hAnsiTheme="minorEastAsia" w:eastAsiaTheme="minorEastAsia" w:cstheme="minorEastAsia"/>
                <w:color w:val="auto"/>
                <w:kern w:val="1"/>
                <w:sz w:val="24"/>
                <w:szCs w:val="24"/>
                <w:highlight w:val="none"/>
              </w:rPr>
              <w:t>设计费</w:t>
            </w:r>
          </w:p>
        </w:tc>
        <w:tc>
          <w:tcPr>
            <w:tcW w:w="1508" w:type="dxa"/>
            <w:vAlign w:val="center"/>
          </w:tcPr>
          <w:p w14:paraId="596D3C1F">
            <w:pPr>
              <w:keepNext w:val="0"/>
              <w:keepLines w:val="0"/>
              <w:pageBreakBefore w:val="0"/>
              <w:widowControl/>
              <w:suppressLineNumbers w:val="0"/>
              <w:kinsoku/>
              <w:overflowPunct/>
              <w:topLinePunct w:val="0"/>
              <w:autoSpaceDE/>
              <w:autoSpaceDN/>
              <w:bidi w:val="0"/>
              <w:spacing w:before="0" w:beforeAutospacing="0" w:after="0" w:afterAutospacing="0" w:line="440" w:lineRule="exact"/>
              <w:ind w:left="0" w:right="0"/>
              <w:jc w:val="center"/>
              <w:textAlignment w:val="auto"/>
              <w:rPr>
                <w:rFonts w:hint="default"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w:t>
            </w:r>
          </w:p>
        </w:tc>
        <w:tc>
          <w:tcPr>
            <w:tcW w:w="975" w:type="dxa"/>
            <w:vAlign w:val="center"/>
          </w:tcPr>
          <w:p w14:paraId="7DB2C153">
            <w:pPr>
              <w:keepNext w:val="0"/>
              <w:keepLines w:val="0"/>
              <w:pageBreakBefore w:val="0"/>
              <w:suppressLineNumbers w:val="0"/>
              <w:kinsoku/>
              <w:overflowPunct/>
              <w:topLinePunct w:val="0"/>
              <w:autoSpaceDE/>
              <w:autoSpaceDN/>
              <w:bidi w:val="0"/>
              <w:spacing w:before="0" w:beforeAutospacing="0" w:after="0" w:afterAutospacing="0" w:line="440" w:lineRule="exact"/>
              <w:ind w:left="0" w:right="0"/>
              <w:jc w:val="center"/>
              <w:textAlignment w:val="auto"/>
              <w:rPr>
                <w:rFonts w:hint="default" w:asciiTheme="minorEastAsia" w:hAnsiTheme="minorEastAsia" w:eastAsiaTheme="minorEastAsia" w:cstheme="minorEastAsia"/>
                <w:color w:val="auto"/>
                <w:sz w:val="24"/>
                <w:szCs w:val="24"/>
                <w:highlight w:val="none"/>
              </w:rPr>
            </w:pPr>
            <w:r>
              <w:rPr>
                <w:rFonts w:asciiTheme="minorEastAsia" w:hAnsiTheme="minorEastAsia" w:eastAsiaTheme="minorEastAsia" w:cstheme="minorEastAsia"/>
                <w:color w:val="auto"/>
                <w:sz w:val="24"/>
                <w:szCs w:val="24"/>
                <w:highlight w:val="none"/>
              </w:rPr>
              <w:t>/</w:t>
            </w:r>
          </w:p>
        </w:tc>
        <w:tc>
          <w:tcPr>
            <w:tcW w:w="1450" w:type="dxa"/>
            <w:vAlign w:val="center"/>
          </w:tcPr>
          <w:p w14:paraId="24E91BD8">
            <w:pPr>
              <w:keepNext w:val="0"/>
              <w:keepLines w:val="0"/>
              <w:pageBreakBefore w:val="0"/>
              <w:suppressLineNumbers w:val="0"/>
              <w:kinsoku/>
              <w:overflowPunct/>
              <w:topLinePunct w:val="0"/>
              <w:autoSpaceDE/>
              <w:autoSpaceDN/>
              <w:bidi w:val="0"/>
              <w:spacing w:before="0" w:beforeAutospacing="0" w:after="0" w:afterAutospacing="0" w:line="440" w:lineRule="exact"/>
              <w:ind w:left="0" w:right="0"/>
              <w:jc w:val="center"/>
              <w:textAlignment w:val="auto"/>
              <w:rPr>
                <w:rFonts w:hint="default" w:asciiTheme="minorEastAsia" w:hAnsiTheme="minorEastAsia" w:eastAsiaTheme="minorEastAsia" w:cstheme="minorEastAsia"/>
                <w:color w:val="auto"/>
                <w:sz w:val="24"/>
                <w:szCs w:val="24"/>
                <w:highlight w:val="none"/>
              </w:rPr>
            </w:pPr>
          </w:p>
        </w:tc>
        <w:tc>
          <w:tcPr>
            <w:tcW w:w="3283" w:type="dxa"/>
            <w:vAlign w:val="center"/>
          </w:tcPr>
          <w:p w14:paraId="3AE4CC78">
            <w:pPr>
              <w:keepNext w:val="0"/>
              <w:keepLines w:val="0"/>
              <w:pageBreakBefore w:val="0"/>
              <w:suppressLineNumbers w:val="0"/>
              <w:kinsoku/>
              <w:wordWrap w:val="0"/>
              <w:overflowPunct/>
              <w:topLinePunct w:val="0"/>
              <w:autoSpaceDE/>
              <w:autoSpaceDN/>
              <w:bidi w:val="0"/>
              <w:adjustRightInd w:val="0"/>
              <w:snapToGrid w:val="0"/>
              <w:spacing w:before="0" w:beforeAutospacing="0" w:after="0" w:afterAutospacing="0" w:line="440" w:lineRule="exact"/>
              <w:ind w:left="0" w:right="0" w:firstLine="480" w:firstLineChars="200"/>
              <w:textAlignment w:val="auto"/>
              <w:rPr>
                <w:rFonts w:hint="default" w:asciiTheme="minorEastAsia" w:hAnsiTheme="minorEastAsia" w:eastAsiaTheme="minorEastAsia" w:cstheme="minorEastAsia"/>
                <w:color w:val="auto"/>
                <w:sz w:val="24"/>
                <w:szCs w:val="24"/>
                <w:highlight w:val="none"/>
              </w:rPr>
            </w:pPr>
            <w:r>
              <w:rPr>
                <w:rFonts w:asciiTheme="minorEastAsia" w:hAnsiTheme="minorEastAsia" w:eastAsiaTheme="minorEastAsia" w:cstheme="minorEastAsia"/>
                <w:color w:val="auto"/>
                <w:sz w:val="24"/>
                <w:szCs w:val="24"/>
                <w:highlight w:val="none"/>
              </w:rPr>
              <w:t>设计费自行报价，结算按设计费的中标价包干不作任何调整。设计费的报价应包含各个不同专业的设计费用、进行优化设计或修改设计所增加的设计费用、各项专家评审的专家费用、预算编制费</w:t>
            </w:r>
            <w:r>
              <w:rPr>
                <w:rFonts w:hint="eastAsia" w:asciiTheme="minorEastAsia" w:hAnsiTheme="minorEastAsia" w:eastAsiaTheme="minorEastAsia" w:cstheme="minorEastAsia"/>
                <w:color w:val="auto"/>
                <w:sz w:val="24"/>
                <w:szCs w:val="24"/>
                <w:highlight w:val="none"/>
                <w:lang w:eastAsia="zh-CN"/>
              </w:rPr>
              <w:t>、</w:t>
            </w:r>
            <w:r>
              <w:rPr>
                <w:rFonts w:hint="eastAsia" w:asciiTheme="minorEastAsia" w:hAnsiTheme="minorEastAsia" w:eastAsiaTheme="minorEastAsia" w:cstheme="minorEastAsia"/>
                <w:color w:val="auto"/>
                <w:sz w:val="24"/>
                <w:szCs w:val="24"/>
                <w:highlight w:val="none"/>
              </w:rPr>
              <w:t>第三方施工图审查费</w:t>
            </w:r>
            <w:r>
              <w:rPr>
                <w:rFonts w:asciiTheme="minorEastAsia" w:hAnsiTheme="minorEastAsia" w:eastAsiaTheme="minorEastAsia" w:cstheme="minorEastAsia"/>
                <w:color w:val="auto"/>
                <w:sz w:val="24"/>
                <w:szCs w:val="24"/>
                <w:highlight w:val="none"/>
              </w:rPr>
              <w:t>等。</w:t>
            </w:r>
          </w:p>
        </w:tc>
      </w:tr>
      <w:tr w14:paraId="6AE4EF4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975" w:hRule="atLeast"/>
          <w:jc w:val="center"/>
        </w:trPr>
        <w:tc>
          <w:tcPr>
            <w:tcW w:w="770" w:type="dxa"/>
            <w:vAlign w:val="center"/>
          </w:tcPr>
          <w:p w14:paraId="0DD7918D">
            <w:pPr>
              <w:keepNext w:val="0"/>
              <w:keepLines w:val="0"/>
              <w:pageBreakBefore w:val="0"/>
              <w:suppressLineNumbers w:val="0"/>
              <w:kinsoku/>
              <w:overflowPunct/>
              <w:topLinePunct w:val="0"/>
              <w:autoSpaceDE/>
              <w:autoSpaceDN/>
              <w:bidi w:val="0"/>
              <w:spacing w:before="0" w:beforeAutospacing="0" w:after="0" w:afterAutospacing="0" w:line="440" w:lineRule="exact"/>
              <w:ind w:left="0" w:right="0"/>
              <w:jc w:val="center"/>
              <w:textAlignment w:val="auto"/>
              <w:rPr>
                <w:rFonts w:hint="default" w:asciiTheme="minorEastAsia" w:hAnsiTheme="minorEastAsia" w:eastAsiaTheme="minorEastAsia" w:cstheme="minorEastAsia"/>
                <w:color w:val="auto"/>
                <w:kern w:val="1"/>
                <w:sz w:val="24"/>
                <w:szCs w:val="24"/>
                <w:highlight w:val="none"/>
              </w:rPr>
            </w:pPr>
            <w:r>
              <w:rPr>
                <w:rFonts w:asciiTheme="minorEastAsia" w:hAnsiTheme="minorEastAsia" w:eastAsiaTheme="minorEastAsia" w:cstheme="minorEastAsia"/>
                <w:color w:val="auto"/>
                <w:kern w:val="1"/>
                <w:sz w:val="24"/>
                <w:szCs w:val="24"/>
                <w:highlight w:val="none"/>
              </w:rPr>
              <w:t>2</w:t>
            </w:r>
          </w:p>
        </w:tc>
        <w:tc>
          <w:tcPr>
            <w:tcW w:w="1440" w:type="dxa"/>
            <w:vAlign w:val="center"/>
          </w:tcPr>
          <w:p w14:paraId="3B517D50">
            <w:pPr>
              <w:keepNext w:val="0"/>
              <w:keepLines w:val="0"/>
              <w:pageBreakBefore w:val="0"/>
              <w:suppressLineNumbers w:val="0"/>
              <w:kinsoku/>
              <w:overflowPunct/>
              <w:topLinePunct w:val="0"/>
              <w:autoSpaceDE/>
              <w:autoSpaceDN/>
              <w:bidi w:val="0"/>
              <w:spacing w:before="0" w:beforeAutospacing="0" w:after="0" w:afterAutospacing="0" w:line="440" w:lineRule="exact"/>
              <w:ind w:left="0" w:right="0"/>
              <w:jc w:val="center"/>
              <w:textAlignment w:val="auto"/>
              <w:rPr>
                <w:rFonts w:hint="default" w:asciiTheme="minorEastAsia" w:hAnsiTheme="minorEastAsia" w:eastAsiaTheme="minorEastAsia" w:cstheme="minorEastAsia"/>
                <w:color w:val="auto"/>
                <w:sz w:val="24"/>
                <w:szCs w:val="24"/>
                <w:highlight w:val="none"/>
              </w:rPr>
            </w:pPr>
            <w:r>
              <w:rPr>
                <w:rFonts w:asciiTheme="minorEastAsia" w:hAnsiTheme="minorEastAsia" w:eastAsiaTheme="minorEastAsia" w:cstheme="minorEastAsia"/>
                <w:color w:val="auto"/>
                <w:kern w:val="1"/>
                <w:sz w:val="24"/>
                <w:szCs w:val="24"/>
                <w:highlight w:val="none"/>
              </w:rPr>
              <w:t>建安工程费</w:t>
            </w:r>
          </w:p>
        </w:tc>
        <w:tc>
          <w:tcPr>
            <w:tcW w:w="1508" w:type="dxa"/>
            <w:vAlign w:val="center"/>
          </w:tcPr>
          <w:p w14:paraId="719634F3">
            <w:pPr>
              <w:keepNext w:val="0"/>
              <w:keepLines w:val="0"/>
              <w:pageBreakBefore w:val="0"/>
              <w:suppressLineNumbers w:val="0"/>
              <w:kinsoku/>
              <w:overflowPunct/>
              <w:topLinePunct w:val="0"/>
              <w:autoSpaceDE/>
              <w:autoSpaceDN/>
              <w:bidi w:val="0"/>
              <w:spacing w:before="0" w:beforeAutospacing="0" w:after="0" w:afterAutospacing="0" w:line="440" w:lineRule="exact"/>
              <w:ind w:left="0" w:right="0"/>
              <w:jc w:val="center"/>
              <w:textAlignment w:val="auto"/>
              <w:rPr>
                <w:rFonts w:hint="default" w:asciiTheme="minorEastAsia" w:hAnsiTheme="minorEastAsia" w:eastAsiaTheme="minorEastAsia" w:cstheme="minorEastAsia"/>
                <w:color w:val="auto"/>
                <w:sz w:val="24"/>
                <w:szCs w:val="24"/>
                <w:highlight w:val="none"/>
                <w:lang w:val="en-US" w:eastAsia="zh-CN"/>
              </w:rPr>
            </w:pPr>
          </w:p>
        </w:tc>
        <w:tc>
          <w:tcPr>
            <w:tcW w:w="975" w:type="dxa"/>
            <w:vAlign w:val="center"/>
          </w:tcPr>
          <w:p w14:paraId="442BB5DF">
            <w:pPr>
              <w:keepNext w:val="0"/>
              <w:keepLines w:val="0"/>
              <w:pageBreakBefore w:val="0"/>
              <w:suppressLineNumbers w:val="0"/>
              <w:kinsoku/>
              <w:overflowPunct/>
              <w:topLinePunct w:val="0"/>
              <w:autoSpaceDE/>
              <w:autoSpaceDN/>
              <w:bidi w:val="0"/>
              <w:spacing w:before="0" w:beforeAutospacing="0" w:after="0" w:afterAutospacing="0" w:line="440" w:lineRule="exact"/>
              <w:ind w:left="0" w:right="0"/>
              <w:jc w:val="center"/>
              <w:textAlignment w:val="auto"/>
              <w:rPr>
                <w:rFonts w:hint="default" w:asciiTheme="minorEastAsia" w:hAnsiTheme="minorEastAsia" w:eastAsiaTheme="minorEastAsia" w:cstheme="minorEastAsia"/>
                <w:color w:val="auto"/>
                <w:kern w:val="1"/>
                <w:sz w:val="24"/>
                <w:szCs w:val="24"/>
                <w:highlight w:val="none"/>
              </w:rPr>
            </w:pPr>
            <w:r>
              <w:rPr>
                <w:rFonts w:hint="eastAsia" w:asciiTheme="minorEastAsia" w:hAnsiTheme="minorEastAsia" w:eastAsiaTheme="minorEastAsia" w:cstheme="minorEastAsia"/>
                <w:color w:val="auto"/>
                <w:sz w:val="24"/>
                <w:szCs w:val="24"/>
                <w:highlight w:val="none"/>
                <w:u w:val="single"/>
                <w:lang w:val="en-US" w:eastAsia="zh-CN"/>
              </w:rPr>
              <w:t xml:space="preserve">   </w:t>
            </w:r>
            <w:r>
              <w:rPr>
                <w:rFonts w:asciiTheme="minorEastAsia" w:hAnsiTheme="minorEastAsia" w:eastAsiaTheme="minorEastAsia" w:cstheme="minorEastAsia"/>
                <w:color w:val="auto"/>
                <w:sz w:val="24"/>
                <w:szCs w:val="24"/>
                <w:highlight w:val="none"/>
              </w:rPr>
              <w:t>%</w:t>
            </w:r>
          </w:p>
        </w:tc>
        <w:tc>
          <w:tcPr>
            <w:tcW w:w="1450" w:type="dxa"/>
            <w:vAlign w:val="center"/>
          </w:tcPr>
          <w:p w14:paraId="01594F5B">
            <w:pPr>
              <w:keepNext w:val="0"/>
              <w:keepLines w:val="0"/>
              <w:pageBreakBefore w:val="0"/>
              <w:suppressLineNumbers w:val="0"/>
              <w:kinsoku/>
              <w:overflowPunct/>
              <w:topLinePunct w:val="0"/>
              <w:autoSpaceDE/>
              <w:autoSpaceDN/>
              <w:bidi w:val="0"/>
              <w:spacing w:before="0" w:beforeAutospacing="0" w:after="0" w:afterAutospacing="0" w:line="440" w:lineRule="exact"/>
              <w:ind w:left="0" w:right="0"/>
              <w:jc w:val="center"/>
              <w:textAlignment w:val="auto"/>
              <w:rPr>
                <w:rFonts w:hint="default" w:asciiTheme="minorEastAsia" w:hAnsiTheme="minorEastAsia" w:eastAsiaTheme="minorEastAsia" w:cstheme="minorEastAsia"/>
                <w:color w:val="auto"/>
                <w:kern w:val="1"/>
                <w:sz w:val="24"/>
                <w:szCs w:val="24"/>
                <w:highlight w:val="none"/>
              </w:rPr>
            </w:pPr>
          </w:p>
        </w:tc>
        <w:tc>
          <w:tcPr>
            <w:tcW w:w="3283" w:type="dxa"/>
            <w:vAlign w:val="center"/>
          </w:tcPr>
          <w:p w14:paraId="73DF5301">
            <w:pPr>
              <w:keepNext w:val="0"/>
              <w:keepLines w:val="0"/>
              <w:pageBreakBefore w:val="0"/>
              <w:suppressLineNumbers w:val="0"/>
              <w:kinsoku/>
              <w:overflowPunct/>
              <w:topLinePunct w:val="0"/>
              <w:autoSpaceDE/>
              <w:autoSpaceDN/>
              <w:bidi w:val="0"/>
              <w:spacing w:before="0" w:beforeAutospacing="0" w:after="0" w:afterAutospacing="0" w:line="440" w:lineRule="exact"/>
              <w:ind w:left="0" w:right="0"/>
              <w:jc w:val="center"/>
              <w:textAlignment w:val="auto"/>
              <w:rPr>
                <w:rFonts w:hint="default" w:asciiTheme="minorEastAsia" w:hAnsiTheme="minorEastAsia" w:eastAsiaTheme="minorEastAsia" w:cstheme="minorEastAsia"/>
                <w:color w:val="auto"/>
                <w:kern w:val="1"/>
                <w:sz w:val="24"/>
                <w:szCs w:val="24"/>
                <w:highlight w:val="none"/>
                <w:lang w:val="zh-CN"/>
              </w:rPr>
            </w:pPr>
            <w:r>
              <w:rPr>
                <w:rFonts w:hint="eastAsia" w:asciiTheme="minorEastAsia" w:hAnsiTheme="minorEastAsia" w:eastAsiaTheme="minorEastAsia" w:cstheme="minorEastAsia"/>
                <w:color w:val="auto"/>
                <w:sz w:val="24"/>
                <w:szCs w:val="24"/>
                <w:highlight w:val="none"/>
                <w:lang w:eastAsia="zh-CN"/>
              </w:rPr>
              <w:t>建安工程费下浮率≥</w:t>
            </w:r>
            <w:r>
              <w:rPr>
                <w:rFonts w:hint="eastAsia" w:asciiTheme="minorEastAsia" w:hAnsiTheme="minorEastAsia" w:eastAsiaTheme="minorEastAsia" w:cstheme="minorEastAsia"/>
                <w:color w:val="auto"/>
                <w:sz w:val="24"/>
                <w:szCs w:val="24"/>
                <w:highlight w:val="none"/>
                <w:lang w:val="en-US" w:eastAsia="zh-CN"/>
              </w:rPr>
              <w:t>0.00%</w:t>
            </w:r>
          </w:p>
        </w:tc>
      </w:tr>
      <w:tr w14:paraId="64ADB2A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65" w:hRule="atLeast"/>
          <w:jc w:val="center"/>
        </w:trPr>
        <w:tc>
          <w:tcPr>
            <w:tcW w:w="2210" w:type="dxa"/>
            <w:gridSpan w:val="2"/>
            <w:vAlign w:val="center"/>
          </w:tcPr>
          <w:p w14:paraId="4BEA6325">
            <w:pPr>
              <w:keepNext w:val="0"/>
              <w:keepLines w:val="0"/>
              <w:pageBreakBefore w:val="0"/>
              <w:suppressLineNumbers w:val="0"/>
              <w:kinsoku/>
              <w:overflowPunct/>
              <w:topLinePunct w:val="0"/>
              <w:autoSpaceDE/>
              <w:autoSpaceDN/>
              <w:bidi w:val="0"/>
              <w:spacing w:before="0" w:beforeAutospacing="0" w:after="0" w:afterAutospacing="0" w:line="440" w:lineRule="exact"/>
              <w:ind w:left="0" w:right="0"/>
              <w:jc w:val="center"/>
              <w:textAlignment w:val="auto"/>
              <w:rPr>
                <w:rFonts w:hint="default" w:asciiTheme="minorEastAsia" w:hAnsiTheme="minorEastAsia" w:eastAsiaTheme="minorEastAsia" w:cstheme="minorEastAsia"/>
                <w:color w:val="auto"/>
                <w:kern w:val="1"/>
                <w:sz w:val="24"/>
                <w:szCs w:val="24"/>
                <w:highlight w:val="none"/>
              </w:rPr>
            </w:pPr>
            <w:r>
              <w:rPr>
                <w:rFonts w:asciiTheme="minorEastAsia" w:hAnsiTheme="minorEastAsia" w:eastAsiaTheme="minorEastAsia" w:cstheme="minorEastAsia"/>
                <w:color w:val="auto"/>
                <w:kern w:val="1"/>
                <w:sz w:val="24"/>
                <w:szCs w:val="24"/>
                <w:highlight w:val="none"/>
              </w:rPr>
              <w:t>合计</w:t>
            </w:r>
            <w:r>
              <w:rPr>
                <w:rFonts w:hint="eastAsia" w:asciiTheme="minorEastAsia" w:hAnsiTheme="minorEastAsia" w:eastAsiaTheme="minorEastAsia" w:cstheme="minorEastAsia"/>
                <w:color w:val="auto"/>
                <w:kern w:val="0"/>
                <w:sz w:val="24"/>
                <w:szCs w:val="24"/>
                <w:highlight w:val="none"/>
              </w:rPr>
              <w:t>（1+</w:t>
            </w:r>
            <w:r>
              <w:rPr>
                <w:rFonts w:hint="eastAsia" w:asciiTheme="minorEastAsia" w:hAnsiTheme="minorEastAsia" w:eastAsiaTheme="minorEastAsia" w:cstheme="minorEastAsia"/>
                <w:color w:val="auto"/>
                <w:kern w:val="0"/>
                <w:sz w:val="24"/>
                <w:szCs w:val="24"/>
                <w:highlight w:val="none"/>
                <w:lang w:val="en-US" w:eastAsia="zh-CN"/>
              </w:rPr>
              <w:t>2</w:t>
            </w:r>
            <w:r>
              <w:rPr>
                <w:rFonts w:hint="eastAsia" w:asciiTheme="minorEastAsia" w:hAnsiTheme="minorEastAsia" w:eastAsiaTheme="minorEastAsia" w:cstheme="minorEastAsia"/>
                <w:color w:val="auto"/>
                <w:kern w:val="0"/>
                <w:sz w:val="24"/>
                <w:szCs w:val="24"/>
                <w:highlight w:val="none"/>
              </w:rPr>
              <w:t>）</w:t>
            </w:r>
          </w:p>
        </w:tc>
        <w:tc>
          <w:tcPr>
            <w:tcW w:w="1508" w:type="dxa"/>
            <w:vAlign w:val="center"/>
          </w:tcPr>
          <w:p w14:paraId="0F830463">
            <w:pPr>
              <w:keepNext w:val="0"/>
              <w:keepLines w:val="0"/>
              <w:pageBreakBefore w:val="0"/>
              <w:suppressLineNumbers w:val="0"/>
              <w:kinsoku/>
              <w:overflowPunct/>
              <w:topLinePunct w:val="0"/>
              <w:autoSpaceDE/>
              <w:autoSpaceDN/>
              <w:bidi w:val="0"/>
              <w:spacing w:before="0" w:beforeAutospacing="0" w:after="0" w:afterAutospacing="0" w:line="440" w:lineRule="exact"/>
              <w:ind w:left="0" w:right="0"/>
              <w:jc w:val="center"/>
              <w:textAlignment w:val="auto"/>
              <w:rPr>
                <w:rFonts w:hint="default" w:asciiTheme="minorEastAsia" w:hAnsiTheme="minorEastAsia" w:eastAsiaTheme="minorEastAsia" w:cstheme="minorEastAsia"/>
                <w:color w:val="auto"/>
                <w:kern w:val="1"/>
                <w:sz w:val="24"/>
                <w:szCs w:val="24"/>
                <w:highlight w:val="none"/>
                <w:lang w:val="en-US" w:eastAsia="zh-CN"/>
              </w:rPr>
            </w:pPr>
          </w:p>
        </w:tc>
        <w:tc>
          <w:tcPr>
            <w:tcW w:w="975" w:type="dxa"/>
            <w:vAlign w:val="center"/>
          </w:tcPr>
          <w:p w14:paraId="4316E598">
            <w:pPr>
              <w:keepNext w:val="0"/>
              <w:keepLines w:val="0"/>
              <w:pageBreakBefore w:val="0"/>
              <w:suppressLineNumbers w:val="0"/>
              <w:kinsoku/>
              <w:overflowPunct/>
              <w:topLinePunct w:val="0"/>
              <w:autoSpaceDE/>
              <w:autoSpaceDN/>
              <w:bidi w:val="0"/>
              <w:spacing w:before="0" w:beforeAutospacing="0" w:after="0" w:afterAutospacing="0" w:line="440" w:lineRule="exact"/>
              <w:ind w:left="0" w:right="0"/>
              <w:jc w:val="center"/>
              <w:textAlignment w:val="auto"/>
              <w:rPr>
                <w:rFonts w:hint="default" w:asciiTheme="minorEastAsia" w:hAnsiTheme="minorEastAsia" w:eastAsiaTheme="minorEastAsia" w:cstheme="minorEastAsia"/>
                <w:color w:val="auto"/>
                <w:sz w:val="24"/>
                <w:szCs w:val="24"/>
                <w:highlight w:val="none"/>
              </w:rPr>
            </w:pPr>
            <w:r>
              <w:rPr>
                <w:rFonts w:asciiTheme="minorEastAsia" w:hAnsiTheme="minorEastAsia" w:eastAsiaTheme="minorEastAsia" w:cstheme="minorEastAsia"/>
                <w:color w:val="auto"/>
                <w:kern w:val="1"/>
                <w:sz w:val="24"/>
                <w:szCs w:val="24"/>
                <w:highlight w:val="none"/>
              </w:rPr>
              <w:t>/</w:t>
            </w:r>
          </w:p>
        </w:tc>
        <w:tc>
          <w:tcPr>
            <w:tcW w:w="1450" w:type="dxa"/>
            <w:vAlign w:val="center"/>
          </w:tcPr>
          <w:p w14:paraId="4708F8BF">
            <w:pPr>
              <w:keepNext w:val="0"/>
              <w:keepLines w:val="0"/>
              <w:pageBreakBefore w:val="0"/>
              <w:suppressLineNumbers w:val="0"/>
              <w:kinsoku/>
              <w:overflowPunct/>
              <w:topLinePunct w:val="0"/>
              <w:autoSpaceDE/>
              <w:autoSpaceDN/>
              <w:bidi w:val="0"/>
              <w:spacing w:before="0" w:beforeAutospacing="0" w:after="0" w:afterAutospacing="0" w:line="440" w:lineRule="exact"/>
              <w:ind w:left="0" w:right="0"/>
              <w:jc w:val="right"/>
              <w:textAlignment w:val="auto"/>
              <w:rPr>
                <w:rFonts w:hint="default" w:asciiTheme="minorEastAsia" w:hAnsiTheme="minorEastAsia" w:eastAsiaTheme="minorEastAsia" w:cstheme="minorEastAsia"/>
                <w:color w:val="auto"/>
                <w:sz w:val="24"/>
                <w:szCs w:val="24"/>
                <w:highlight w:val="none"/>
              </w:rPr>
            </w:pPr>
          </w:p>
        </w:tc>
        <w:tc>
          <w:tcPr>
            <w:tcW w:w="3283" w:type="dxa"/>
            <w:vAlign w:val="center"/>
          </w:tcPr>
          <w:p w14:paraId="6010A158">
            <w:pPr>
              <w:keepNext w:val="0"/>
              <w:keepLines w:val="0"/>
              <w:pageBreakBefore w:val="0"/>
              <w:suppressLineNumbers w:val="0"/>
              <w:kinsoku/>
              <w:overflowPunct/>
              <w:topLinePunct w:val="0"/>
              <w:autoSpaceDE/>
              <w:autoSpaceDN/>
              <w:bidi w:val="0"/>
              <w:spacing w:before="0" w:beforeAutospacing="0" w:after="0" w:afterAutospacing="0" w:line="440" w:lineRule="exact"/>
              <w:ind w:left="0" w:right="0"/>
              <w:jc w:val="center"/>
              <w:textAlignment w:val="auto"/>
              <w:rPr>
                <w:rFonts w:hint="default" w:asciiTheme="minorEastAsia" w:hAnsiTheme="minorEastAsia" w:eastAsiaTheme="minorEastAsia" w:cstheme="minorEastAsia"/>
                <w:color w:val="auto"/>
                <w:kern w:val="1"/>
                <w:sz w:val="24"/>
                <w:szCs w:val="24"/>
                <w:highlight w:val="none"/>
              </w:rPr>
            </w:pPr>
            <w:r>
              <w:rPr>
                <w:rFonts w:asciiTheme="minorEastAsia" w:hAnsiTheme="minorEastAsia" w:eastAsiaTheme="minorEastAsia" w:cstheme="minorEastAsia"/>
                <w:color w:val="auto"/>
                <w:kern w:val="1"/>
                <w:sz w:val="24"/>
                <w:szCs w:val="24"/>
                <w:highlight w:val="none"/>
              </w:rPr>
              <w:t>/</w:t>
            </w:r>
          </w:p>
        </w:tc>
      </w:tr>
    </w:tbl>
    <w:p w14:paraId="5CF73DC4">
      <w:pPr>
        <w:rPr>
          <w:rFonts w:hint="default" w:asciiTheme="minorEastAsia" w:hAnsiTheme="minorEastAsia" w:eastAsiaTheme="minorEastAsia" w:cstheme="minorEastAsia"/>
          <w:color w:val="auto"/>
          <w:szCs w:val="24"/>
          <w:highlight w:val="none"/>
        </w:rPr>
      </w:pPr>
    </w:p>
    <w:p w14:paraId="7A516A7D">
      <w:pPr>
        <w:wordWrap w:val="0"/>
        <w:adjustRightInd w:val="0"/>
        <w:snapToGrid w:val="0"/>
        <w:spacing w:line="440" w:lineRule="exact"/>
        <w:rPr>
          <w:rFonts w:hint="default" w:asciiTheme="minorEastAsia" w:hAnsiTheme="minorEastAsia" w:eastAsiaTheme="minorEastAsia" w:cstheme="minorEastAsia"/>
          <w:snapToGrid w:val="0"/>
          <w:color w:val="auto"/>
          <w:szCs w:val="24"/>
          <w:highlight w:val="none"/>
        </w:rPr>
      </w:pPr>
      <w:r>
        <w:rPr>
          <w:rFonts w:asciiTheme="minorEastAsia" w:hAnsiTheme="minorEastAsia" w:eastAsiaTheme="minorEastAsia" w:cstheme="minorEastAsia"/>
          <w:snapToGrid w:val="0"/>
          <w:color w:val="auto"/>
          <w:szCs w:val="24"/>
          <w:highlight w:val="none"/>
        </w:rPr>
        <w:t>注：投标报价及投标费率均按“四舍五入”原则精确到两位小数，建安工程费投标报价=计算基数×（1-下浮率）。</w:t>
      </w:r>
    </w:p>
    <w:p w14:paraId="28144D80">
      <w:pPr>
        <w:pStyle w:val="6"/>
        <w:ind w:firstLine="0"/>
        <w:rPr>
          <w:rFonts w:hint="default" w:asciiTheme="minorEastAsia" w:hAnsiTheme="minorEastAsia" w:eastAsiaTheme="minorEastAsia" w:cstheme="minorEastAsia"/>
          <w:snapToGrid w:val="0"/>
          <w:color w:val="auto"/>
          <w:sz w:val="24"/>
          <w:szCs w:val="24"/>
          <w:highlight w:val="none"/>
        </w:rPr>
      </w:pPr>
    </w:p>
    <w:p w14:paraId="14A59EDA">
      <w:pPr>
        <w:wordWrap w:val="0"/>
        <w:adjustRightInd w:val="0"/>
        <w:snapToGrid w:val="0"/>
        <w:spacing w:line="276" w:lineRule="auto"/>
        <w:jc w:val="right"/>
        <w:rPr>
          <w:rFonts w:hint="default" w:asciiTheme="minorEastAsia" w:hAnsiTheme="minorEastAsia" w:eastAsiaTheme="minorEastAsia" w:cstheme="minorEastAsia"/>
          <w:snapToGrid w:val="0"/>
          <w:color w:val="auto"/>
          <w:kern w:val="0"/>
          <w:szCs w:val="24"/>
          <w:highlight w:val="none"/>
        </w:rPr>
      </w:pPr>
    </w:p>
    <w:p w14:paraId="0BA9F0FB">
      <w:pPr>
        <w:rPr>
          <w:rFonts w:hint="default" w:asciiTheme="minorEastAsia" w:hAnsiTheme="minorEastAsia" w:eastAsiaTheme="minorEastAsia" w:cstheme="minorEastAsia"/>
          <w:color w:val="auto"/>
          <w:highlight w:val="none"/>
        </w:rPr>
      </w:pPr>
    </w:p>
    <w:p w14:paraId="304B4D71">
      <w:pPr>
        <w:wordWrap w:val="0"/>
        <w:adjustRightInd w:val="0"/>
        <w:snapToGrid w:val="0"/>
        <w:spacing w:line="276" w:lineRule="auto"/>
        <w:jc w:val="right"/>
        <w:rPr>
          <w:rFonts w:hint="default" w:hAnsi="宋体" w:eastAsia="宋体" w:cs="宋体"/>
          <w:snapToGrid w:val="0"/>
          <w:color w:val="auto"/>
          <w:kern w:val="0"/>
          <w:szCs w:val="24"/>
          <w:highlight w:val="none"/>
        </w:rPr>
      </w:pPr>
      <w:r>
        <w:rPr>
          <w:rFonts w:hAnsi="宋体" w:eastAsia="宋体" w:cs="宋体"/>
          <w:snapToGrid w:val="0"/>
          <w:color w:val="auto"/>
          <w:kern w:val="0"/>
          <w:szCs w:val="24"/>
          <w:highlight w:val="none"/>
        </w:rPr>
        <w:t>投标人：（盖单位章）</w:t>
      </w:r>
    </w:p>
    <w:p w14:paraId="1140680A">
      <w:pPr>
        <w:wordWrap w:val="0"/>
        <w:adjustRightInd w:val="0"/>
        <w:snapToGrid w:val="0"/>
        <w:spacing w:line="276" w:lineRule="auto"/>
        <w:jc w:val="right"/>
        <w:rPr>
          <w:rFonts w:hint="default" w:hAnsi="宋体" w:eastAsia="宋体" w:cs="宋体"/>
          <w:snapToGrid w:val="0"/>
          <w:color w:val="auto"/>
          <w:kern w:val="0"/>
          <w:szCs w:val="24"/>
          <w:highlight w:val="none"/>
        </w:rPr>
      </w:pPr>
    </w:p>
    <w:p w14:paraId="1F40B614">
      <w:pPr>
        <w:wordWrap w:val="0"/>
        <w:adjustRightInd w:val="0"/>
        <w:snapToGrid w:val="0"/>
        <w:spacing w:line="276" w:lineRule="auto"/>
        <w:ind w:firstLine="480" w:firstLineChars="200"/>
        <w:jc w:val="right"/>
        <w:rPr>
          <w:rFonts w:hint="default" w:hAnsi="宋体" w:eastAsia="宋体" w:cs="宋体"/>
          <w:snapToGrid w:val="0"/>
          <w:color w:val="auto"/>
          <w:kern w:val="0"/>
          <w:szCs w:val="24"/>
          <w:highlight w:val="none"/>
        </w:rPr>
      </w:pPr>
      <w:r>
        <w:rPr>
          <w:rFonts w:hAnsi="宋体" w:eastAsia="宋体" w:cs="宋体"/>
          <w:snapToGrid w:val="0"/>
          <w:color w:val="auto"/>
          <w:kern w:val="0"/>
          <w:szCs w:val="24"/>
          <w:highlight w:val="none"/>
        </w:rPr>
        <w:t>法定代表人或其委托代理人：（签字或盖章）</w:t>
      </w:r>
    </w:p>
    <w:p w14:paraId="207C40EE">
      <w:pPr>
        <w:wordWrap w:val="0"/>
        <w:adjustRightInd w:val="0"/>
        <w:snapToGrid w:val="0"/>
        <w:spacing w:line="276" w:lineRule="auto"/>
        <w:ind w:firstLine="480" w:firstLineChars="200"/>
        <w:jc w:val="right"/>
        <w:rPr>
          <w:rFonts w:hint="default" w:hAnsi="宋体" w:eastAsia="宋体" w:cs="宋体"/>
          <w:snapToGrid w:val="0"/>
          <w:color w:val="auto"/>
          <w:kern w:val="0"/>
          <w:szCs w:val="24"/>
          <w:highlight w:val="none"/>
        </w:rPr>
      </w:pPr>
    </w:p>
    <w:p w14:paraId="628C1975">
      <w:pPr>
        <w:spacing w:line="276" w:lineRule="auto"/>
        <w:ind w:firstLine="7200" w:firstLineChars="3000"/>
        <w:rPr>
          <w:rFonts w:hint="default" w:asciiTheme="minorEastAsia" w:hAnsiTheme="minorEastAsia" w:eastAsiaTheme="minorEastAsia" w:cstheme="minorEastAsia"/>
          <w:color w:val="auto"/>
          <w:szCs w:val="24"/>
          <w:highlight w:val="none"/>
        </w:rPr>
        <w:sectPr>
          <w:endnotePr>
            <w:numFmt w:val="decimal"/>
          </w:endnotePr>
          <w:pgSz w:w="11905" w:h="16838"/>
          <w:pgMar w:top="1134" w:right="1134" w:bottom="1134" w:left="1417" w:header="850" w:footer="0" w:gutter="0"/>
          <w:pgBorders>
            <w:top w:val="none" w:sz="0" w:space="0"/>
            <w:left w:val="none" w:sz="0" w:space="0"/>
            <w:bottom w:val="none" w:sz="0" w:space="0"/>
            <w:right w:val="none" w:sz="0" w:space="0"/>
          </w:pgBorders>
          <w:pgNumType w:fmt="decimal"/>
          <w:cols w:space="0" w:num="1"/>
          <w:rtlGutter w:val="0"/>
          <w:docGrid w:linePitch="327" w:charSpace="0"/>
        </w:sectPr>
      </w:pPr>
      <w:r>
        <w:rPr>
          <w:rFonts w:hAnsi="宋体" w:eastAsia="宋体" w:cs="宋体"/>
          <w:snapToGrid w:val="0"/>
          <w:color w:val="auto"/>
          <w:kern w:val="0"/>
          <w:szCs w:val="24"/>
          <w:highlight w:val="none"/>
        </w:rPr>
        <w:t>年</w:t>
      </w:r>
      <w:r>
        <w:rPr>
          <w:rFonts w:hint="eastAsia" w:hAnsi="宋体" w:eastAsia="宋体" w:cs="宋体"/>
          <w:snapToGrid w:val="0"/>
          <w:color w:val="auto"/>
          <w:kern w:val="0"/>
          <w:szCs w:val="24"/>
          <w:highlight w:val="none"/>
          <w:lang w:val="en-US" w:eastAsia="zh-CN"/>
        </w:rPr>
        <w:t xml:space="preserve">  </w:t>
      </w:r>
      <w:r>
        <w:rPr>
          <w:rFonts w:hAnsi="宋体" w:eastAsia="宋体" w:cs="宋体"/>
          <w:snapToGrid w:val="0"/>
          <w:color w:val="auto"/>
          <w:kern w:val="0"/>
          <w:szCs w:val="24"/>
          <w:highlight w:val="none"/>
        </w:rPr>
        <w:t>月</w:t>
      </w:r>
      <w:r>
        <w:rPr>
          <w:rFonts w:hint="eastAsia" w:hAnsi="宋体" w:eastAsia="宋体" w:cs="宋体"/>
          <w:snapToGrid w:val="0"/>
          <w:color w:val="auto"/>
          <w:kern w:val="0"/>
          <w:szCs w:val="24"/>
          <w:highlight w:val="none"/>
          <w:lang w:val="en-US" w:eastAsia="zh-CN"/>
        </w:rPr>
        <w:t xml:space="preserve">  </w:t>
      </w:r>
      <w:r>
        <w:rPr>
          <w:rFonts w:hAnsi="宋体" w:eastAsia="宋体" w:cs="宋体"/>
          <w:snapToGrid w:val="0"/>
          <w:color w:val="auto"/>
          <w:kern w:val="0"/>
          <w:szCs w:val="24"/>
          <w:highlight w:val="none"/>
        </w:rPr>
        <w:t>日</w:t>
      </w:r>
    </w:p>
    <w:p w14:paraId="79779045">
      <w:pPr>
        <w:pStyle w:val="4"/>
        <w:spacing w:before="120"/>
        <w:rPr>
          <w:rStyle w:val="61"/>
          <w:rFonts w:hint="default" w:asciiTheme="minorEastAsia" w:hAnsiTheme="minorEastAsia" w:eastAsiaTheme="minorEastAsia" w:cstheme="minorEastAsia"/>
          <w:color w:val="auto"/>
          <w:sz w:val="24"/>
          <w:szCs w:val="24"/>
          <w:highlight w:val="none"/>
        </w:rPr>
      </w:pPr>
      <w:bookmarkStart w:id="550" w:name="_Toc28529"/>
      <w:bookmarkStart w:id="551" w:name="_Toc919"/>
      <w:bookmarkStart w:id="552" w:name="_Toc20987"/>
      <w:bookmarkStart w:id="553" w:name="_Toc19866"/>
      <w:bookmarkStart w:id="554" w:name="_Toc32555"/>
      <w:bookmarkStart w:id="555" w:name="_Toc1017"/>
      <w:bookmarkStart w:id="556" w:name="_Toc21928"/>
      <w:r>
        <w:rPr>
          <w:rStyle w:val="61"/>
          <w:rFonts w:asciiTheme="minorEastAsia" w:hAnsiTheme="minorEastAsia" w:eastAsiaTheme="minorEastAsia" w:cstheme="minorEastAsia"/>
          <w:color w:val="auto"/>
          <w:sz w:val="24"/>
          <w:szCs w:val="24"/>
          <w:highlight w:val="none"/>
        </w:rPr>
        <w:t>格式三 各项</w:t>
      </w:r>
      <w:r>
        <w:rPr>
          <w:rFonts w:asciiTheme="minorEastAsia" w:hAnsiTheme="minorEastAsia" w:eastAsiaTheme="minorEastAsia" w:cstheme="minorEastAsia"/>
          <w:b/>
          <w:bCs/>
          <w:color w:val="auto"/>
          <w:szCs w:val="24"/>
          <w:highlight w:val="none"/>
        </w:rPr>
        <w:t>承诺</w:t>
      </w:r>
      <w:r>
        <w:rPr>
          <w:rStyle w:val="61"/>
          <w:rFonts w:asciiTheme="minorEastAsia" w:hAnsiTheme="minorEastAsia" w:eastAsiaTheme="minorEastAsia" w:cstheme="minorEastAsia"/>
          <w:color w:val="auto"/>
          <w:sz w:val="24"/>
          <w:szCs w:val="24"/>
          <w:highlight w:val="none"/>
        </w:rPr>
        <w:t>一览表</w:t>
      </w:r>
      <w:bookmarkEnd w:id="548"/>
      <w:bookmarkEnd w:id="549"/>
      <w:bookmarkEnd w:id="550"/>
      <w:bookmarkEnd w:id="551"/>
      <w:bookmarkEnd w:id="552"/>
      <w:bookmarkEnd w:id="553"/>
    </w:p>
    <w:bookmarkEnd w:id="554"/>
    <w:bookmarkEnd w:id="555"/>
    <w:bookmarkEnd w:id="556"/>
    <w:p w14:paraId="61AB2F50">
      <w:pPr>
        <w:spacing w:line="480" w:lineRule="auto"/>
        <w:jc w:val="center"/>
        <w:rPr>
          <w:rFonts w:hint="default" w:asciiTheme="minorEastAsia" w:hAnsiTheme="minorEastAsia" w:eastAsiaTheme="minorEastAsia" w:cstheme="minorEastAsia"/>
          <w:b/>
          <w:bCs/>
          <w:color w:val="auto"/>
          <w:szCs w:val="24"/>
          <w:highlight w:val="none"/>
        </w:rPr>
      </w:pPr>
      <w:bookmarkStart w:id="557" w:name="_Toc20729"/>
      <w:bookmarkStart w:id="558" w:name="_Toc30877"/>
      <w:bookmarkStart w:id="559" w:name="_Toc21521"/>
      <w:bookmarkStart w:id="560" w:name="_Toc39136365"/>
      <w:bookmarkStart w:id="561" w:name="_Toc16438"/>
      <w:bookmarkStart w:id="562" w:name="_Toc15279"/>
      <w:bookmarkStart w:id="563" w:name="_Toc18136"/>
      <w:bookmarkStart w:id="564" w:name="_Toc31113"/>
      <w:r>
        <w:rPr>
          <w:rFonts w:asciiTheme="minorEastAsia" w:hAnsiTheme="minorEastAsia" w:eastAsiaTheme="minorEastAsia" w:cstheme="minorEastAsia"/>
          <w:b/>
          <w:bCs/>
          <w:color w:val="auto"/>
          <w:szCs w:val="24"/>
          <w:highlight w:val="none"/>
        </w:rPr>
        <w:t>各项承诺一览表</w:t>
      </w:r>
      <w:bookmarkEnd w:id="557"/>
      <w:bookmarkEnd w:id="558"/>
      <w:bookmarkEnd w:id="559"/>
      <w:bookmarkEnd w:id="560"/>
    </w:p>
    <w:bookmarkEnd w:id="561"/>
    <w:bookmarkEnd w:id="562"/>
    <w:bookmarkEnd w:id="563"/>
    <w:bookmarkEnd w:id="564"/>
    <w:tbl>
      <w:tblPr>
        <w:tblStyle w:val="23"/>
        <w:tblW w:w="993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617"/>
        <w:gridCol w:w="1133"/>
        <w:gridCol w:w="3277"/>
        <w:gridCol w:w="4911"/>
      </w:tblGrid>
      <w:tr w14:paraId="75AB2B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70" w:hRule="atLeast"/>
          <w:jc w:val="center"/>
        </w:trPr>
        <w:tc>
          <w:tcPr>
            <w:tcW w:w="617" w:type="dxa"/>
          </w:tcPr>
          <w:p w14:paraId="0C7AF2D9">
            <w:pPr>
              <w:pStyle w:val="37"/>
              <w:keepNext w:val="0"/>
              <w:keepLines w:val="0"/>
              <w:suppressLineNumbers w:val="0"/>
              <w:spacing w:before="0" w:beforeAutospacing="0" w:after="0" w:afterAutospacing="0" w:line="380" w:lineRule="exact"/>
              <w:ind w:left="0" w:right="0"/>
              <w:jc w:val="center"/>
              <w:rPr>
                <w:rFonts w:hint="default" w:asciiTheme="minorEastAsia" w:hAnsiTheme="minorEastAsia" w:eastAsiaTheme="minorEastAsia" w:cstheme="minorEastAsia"/>
                <w:b/>
                <w:color w:val="auto"/>
                <w:sz w:val="21"/>
                <w:szCs w:val="21"/>
                <w:highlight w:val="none"/>
              </w:rPr>
            </w:pPr>
            <w:r>
              <w:rPr>
                <w:rFonts w:hint="eastAsia" w:asciiTheme="minorEastAsia" w:hAnsiTheme="minorEastAsia" w:eastAsiaTheme="minorEastAsia" w:cstheme="minorEastAsia"/>
                <w:b/>
                <w:color w:val="auto"/>
                <w:sz w:val="21"/>
                <w:szCs w:val="21"/>
                <w:highlight w:val="none"/>
              </w:rPr>
              <w:t>序号</w:t>
            </w:r>
          </w:p>
        </w:tc>
        <w:tc>
          <w:tcPr>
            <w:tcW w:w="1133" w:type="dxa"/>
          </w:tcPr>
          <w:p w14:paraId="022A1819">
            <w:pPr>
              <w:pStyle w:val="37"/>
              <w:keepNext w:val="0"/>
              <w:keepLines w:val="0"/>
              <w:suppressLineNumbers w:val="0"/>
              <w:spacing w:before="0" w:beforeAutospacing="0" w:after="0" w:afterAutospacing="0" w:line="380" w:lineRule="exact"/>
              <w:ind w:left="0" w:right="0"/>
              <w:jc w:val="center"/>
              <w:rPr>
                <w:rFonts w:hint="default" w:asciiTheme="minorEastAsia" w:hAnsiTheme="minorEastAsia" w:eastAsiaTheme="minorEastAsia" w:cstheme="minorEastAsia"/>
                <w:b/>
                <w:color w:val="auto"/>
                <w:sz w:val="21"/>
                <w:szCs w:val="21"/>
                <w:highlight w:val="none"/>
              </w:rPr>
            </w:pPr>
            <w:r>
              <w:rPr>
                <w:rFonts w:hint="eastAsia" w:asciiTheme="minorEastAsia" w:hAnsiTheme="minorEastAsia" w:eastAsiaTheme="minorEastAsia" w:cstheme="minorEastAsia"/>
                <w:b/>
                <w:color w:val="auto"/>
                <w:sz w:val="21"/>
                <w:szCs w:val="21"/>
                <w:highlight w:val="none"/>
              </w:rPr>
              <w:t>承诺标题</w:t>
            </w:r>
          </w:p>
        </w:tc>
        <w:tc>
          <w:tcPr>
            <w:tcW w:w="3277" w:type="dxa"/>
          </w:tcPr>
          <w:p w14:paraId="0407C706">
            <w:pPr>
              <w:pStyle w:val="37"/>
              <w:keepNext w:val="0"/>
              <w:keepLines w:val="0"/>
              <w:suppressLineNumbers w:val="0"/>
              <w:spacing w:before="0" w:beforeAutospacing="0" w:after="0" w:afterAutospacing="0" w:line="380" w:lineRule="exact"/>
              <w:ind w:left="0" w:right="0"/>
              <w:jc w:val="center"/>
              <w:rPr>
                <w:rFonts w:hint="default" w:asciiTheme="minorEastAsia" w:hAnsiTheme="minorEastAsia" w:eastAsiaTheme="minorEastAsia" w:cstheme="minorEastAsia"/>
                <w:b/>
                <w:color w:val="auto"/>
                <w:sz w:val="21"/>
                <w:szCs w:val="21"/>
                <w:highlight w:val="none"/>
              </w:rPr>
            </w:pPr>
            <w:r>
              <w:rPr>
                <w:rFonts w:hint="eastAsia" w:asciiTheme="minorEastAsia" w:hAnsiTheme="minorEastAsia" w:eastAsiaTheme="minorEastAsia" w:cstheme="minorEastAsia"/>
                <w:b/>
                <w:color w:val="auto"/>
                <w:sz w:val="21"/>
                <w:szCs w:val="21"/>
                <w:highlight w:val="none"/>
              </w:rPr>
              <w:t>承诺内容</w:t>
            </w:r>
          </w:p>
        </w:tc>
        <w:tc>
          <w:tcPr>
            <w:tcW w:w="4911" w:type="dxa"/>
            <w:tcBorders>
              <w:bottom w:val="single" w:color="auto" w:sz="4" w:space="0"/>
            </w:tcBorders>
          </w:tcPr>
          <w:p w14:paraId="5541B266">
            <w:pPr>
              <w:pStyle w:val="37"/>
              <w:keepNext w:val="0"/>
              <w:keepLines w:val="0"/>
              <w:suppressLineNumbers w:val="0"/>
              <w:spacing w:before="0" w:beforeAutospacing="0" w:after="0" w:afterAutospacing="0" w:line="380" w:lineRule="exact"/>
              <w:ind w:left="0" w:right="0"/>
              <w:jc w:val="center"/>
              <w:rPr>
                <w:rFonts w:hint="default" w:asciiTheme="minorEastAsia" w:hAnsiTheme="minorEastAsia" w:eastAsiaTheme="minorEastAsia" w:cstheme="minorEastAsia"/>
                <w:b/>
                <w:color w:val="auto"/>
                <w:sz w:val="21"/>
                <w:szCs w:val="21"/>
                <w:highlight w:val="none"/>
              </w:rPr>
            </w:pPr>
            <w:r>
              <w:rPr>
                <w:rFonts w:hint="eastAsia" w:asciiTheme="minorEastAsia" w:hAnsiTheme="minorEastAsia" w:eastAsiaTheme="minorEastAsia" w:cstheme="minorEastAsia"/>
                <w:b/>
                <w:color w:val="auto"/>
                <w:sz w:val="21"/>
                <w:szCs w:val="21"/>
                <w:highlight w:val="none"/>
              </w:rPr>
              <w:t>违约承诺</w:t>
            </w:r>
          </w:p>
        </w:tc>
      </w:tr>
      <w:tr w14:paraId="5A8310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450" w:hRule="atLeast"/>
          <w:jc w:val="center"/>
        </w:trPr>
        <w:tc>
          <w:tcPr>
            <w:tcW w:w="617" w:type="dxa"/>
            <w:vAlign w:val="center"/>
          </w:tcPr>
          <w:p w14:paraId="2B52FABF">
            <w:pPr>
              <w:pStyle w:val="37"/>
              <w:keepNext w:val="0"/>
              <w:keepLines w:val="0"/>
              <w:suppressLineNumbers w:val="0"/>
              <w:spacing w:before="0" w:beforeAutospacing="0" w:after="0" w:afterAutospacing="0" w:line="380" w:lineRule="exact"/>
              <w:ind w:left="0" w:right="0"/>
              <w:jc w:val="center"/>
              <w:rPr>
                <w:rFonts w:hint="default"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1</w:t>
            </w:r>
          </w:p>
        </w:tc>
        <w:tc>
          <w:tcPr>
            <w:tcW w:w="1133" w:type="dxa"/>
            <w:vAlign w:val="center"/>
          </w:tcPr>
          <w:p w14:paraId="056AF836">
            <w:pPr>
              <w:pStyle w:val="63"/>
              <w:keepNext w:val="0"/>
              <w:keepLines w:val="0"/>
              <w:suppressLineNumbers w:val="0"/>
              <w:spacing w:before="0" w:beforeAutospacing="0" w:after="0" w:afterAutospacing="0" w:line="380" w:lineRule="exact"/>
              <w:ind w:left="0" w:right="0" w:firstLine="0" w:firstLineChars="0"/>
              <w:jc w:val="center"/>
              <w:rPr>
                <w:rFonts w:hint="default"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对招标文件条款自愿接受承诺书</w:t>
            </w:r>
          </w:p>
        </w:tc>
        <w:tc>
          <w:tcPr>
            <w:tcW w:w="3277" w:type="dxa"/>
            <w:vAlign w:val="center"/>
          </w:tcPr>
          <w:p w14:paraId="3DCE8851">
            <w:pPr>
              <w:pStyle w:val="63"/>
              <w:keepNext w:val="0"/>
              <w:keepLines w:val="0"/>
              <w:suppressLineNumbers w:val="0"/>
              <w:spacing w:before="0" w:beforeAutospacing="0" w:after="0" w:afterAutospacing="0" w:line="380" w:lineRule="exact"/>
              <w:ind w:left="0" w:right="0" w:firstLine="420"/>
              <w:rPr>
                <w:rFonts w:hint="default"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我方保证接受招标文件的所有条款，响应招标文件的</w:t>
            </w:r>
            <w:bookmarkStart w:id="565" w:name="_Hlt66510765"/>
            <w:bookmarkEnd w:id="565"/>
            <w:r>
              <w:rPr>
                <w:rFonts w:hint="eastAsia" w:asciiTheme="minorEastAsia" w:hAnsiTheme="minorEastAsia" w:eastAsiaTheme="minorEastAsia" w:cstheme="minorEastAsia"/>
                <w:color w:val="auto"/>
                <w:sz w:val="21"/>
                <w:szCs w:val="21"/>
                <w:highlight w:val="none"/>
              </w:rPr>
              <w:t>所有要求，并同意招标文件为施工承包合同的组成部分</w:t>
            </w:r>
          </w:p>
        </w:tc>
        <w:tc>
          <w:tcPr>
            <w:tcW w:w="4911" w:type="dxa"/>
            <w:tcBorders>
              <w:tr2bl w:val="single" w:color="auto" w:sz="4" w:space="0"/>
            </w:tcBorders>
            <w:vAlign w:val="center"/>
          </w:tcPr>
          <w:p w14:paraId="65A11516">
            <w:pPr>
              <w:pStyle w:val="63"/>
              <w:keepNext w:val="0"/>
              <w:keepLines w:val="0"/>
              <w:suppressLineNumbers w:val="0"/>
              <w:spacing w:before="0" w:beforeAutospacing="0" w:after="0" w:afterAutospacing="0" w:line="380" w:lineRule="exact"/>
              <w:ind w:left="0" w:right="0" w:firstLine="420"/>
              <w:rPr>
                <w:rFonts w:hint="default" w:asciiTheme="minorEastAsia" w:hAnsiTheme="minorEastAsia" w:eastAsiaTheme="minorEastAsia" w:cstheme="minorEastAsia"/>
                <w:color w:val="auto"/>
                <w:sz w:val="21"/>
                <w:szCs w:val="21"/>
                <w:highlight w:val="none"/>
              </w:rPr>
            </w:pPr>
          </w:p>
        </w:tc>
      </w:tr>
      <w:tr w14:paraId="5881B3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028" w:hRule="atLeast"/>
          <w:jc w:val="center"/>
        </w:trPr>
        <w:tc>
          <w:tcPr>
            <w:tcW w:w="617" w:type="dxa"/>
            <w:shd w:val="clear" w:color="auto" w:fill="auto"/>
            <w:vAlign w:val="center"/>
          </w:tcPr>
          <w:p w14:paraId="6B5C59C1">
            <w:pPr>
              <w:pStyle w:val="37"/>
              <w:keepNext w:val="0"/>
              <w:keepLines w:val="0"/>
              <w:suppressLineNumbers w:val="0"/>
              <w:spacing w:before="0" w:beforeAutospacing="0" w:after="0" w:afterAutospacing="0" w:line="380" w:lineRule="exact"/>
              <w:ind w:left="0" w:right="0"/>
              <w:jc w:val="center"/>
              <w:rPr>
                <w:rFonts w:hint="eastAsia" w:asciiTheme="minorEastAsia" w:hAnsiTheme="minorEastAsia" w:eastAsiaTheme="minorEastAsia" w:cstheme="minorEastAsia"/>
                <w:color w:val="auto"/>
                <w:kern w:val="2"/>
                <w:sz w:val="21"/>
                <w:szCs w:val="21"/>
                <w:highlight w:val="none"/>
                <w:lang w:val="en-US" w:eastAsia="zh-CN" w:bidi="ar-SA"/>
              </w:rPr>
            </w:pPr>
            <w:r>
              <w:rPr>
                <w:rFonts w:hint="eastAsia" w:asciiTheme="minorEastAsia" w:hAnsiTheme="minorEastAsia" w:eastAsiaTheme="minorEastAsia" w:cstheme="minorEastAsia"/>
                <w:color w:val="auto"/>
                <w:sz w:val="21"/>
                <w:szCs w:val="21"/>
                <w:highlight w:val="none"/>
              </w:rPr>
              <w:t>2</w:t>
            </w:r>
          </w:p>
        </w:tc>
        <w:tc>
          <w:tcPr>
            <w:tcW w:w="1133" w:type="dxa"/>
            <w:vAlign w:val="center"/>
          </w:tcPr>
          <w:p w14:paraId="3694B702">
            <w:pPr>
              <w:pStyle w:val="63"/>
              <w:keepNext w:val="0"/>
              <w:keepLines w:val="0"/>
              <w:suppressLineNumbers w:val="0"/>
              <w:wordWrap w:val="0"/>
              <w:adjustRightInd w:val="0"/>
              <w:snapToGrid w:val="0"/>
              <w:spacing w:before="0" w:beforeAutospacing="0" w:after="0" w:afterAutospacing="0" w:line="380" w:lineRule="exact"/>
              <w:ind w:left="0" w:right="0" w:firstLine="0" w:firstLineChars="0"/>
              <w:jc w:val="center"/>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rPr>
              <w:t>无禁止投标</w:t>
            </w:r>
          </w:p>
          <w:p w14:paraId="1BB98BDB">
            <w:pPr>
              <w:pStyle w:val="63"/>
              <w:keepNext w:val="0"/>
              <w:keepLines w:val="0"/>
              <w:suppressLineNumbers w:val="0"/>
              <w:wordWrap w:val="0"/>
              <w:adjustRightInd w:val="0"/>
              <w:snapToGrid w:val="0"/>
              <w:spacing w:before="0" w:beforeAutospacing="0" w:after="0" w:afterAutospacing="0" w:line="380" w:lineRule="exact"/>
              <w:ind w:left="0" w:right="0" w:firstLine="0" w:firstLineChars="0"/>
              <w:jc w:val="center"/>
              <w:rPr>
                <w:rFonts w:hint="eastAsia" w:asciiTheme="minorEastAsia" w:hAnsiTheme="minorEastAsia" w:eastAsiaTheme="minorEastAsia" w:cstheme="minorEastAsia"/>
                <w:color w:val="auto"/>
                <w:sz w:val="21"/>
                <w:szCs w:val="21"/>
                <w:highlight w:val="none"/>
              </w:rPr>
            </w:pPr>
            <w:r>
              <w:rPr>
                <w:rFonts w:hint="eastAsia" w:ascii="宋体" w:hAnsi="宋体" w:eastAsia="宋体" w:cs="宋体"/>
                <w:snapToGrid w:val="0"/>
                <w:color w:val="auto"/>
                <w:kern w:val="0"/>
                <w:sz w:val="21"/>
                <w:szCs w:val="21"/>
                <w:highlight w:val="none"/>
              </w:rPr>
              <w:t>情形的承诺</w:t>
            </w:r>
          </w:p>
        </w:tc>
        <w:tc>
          <w:tcPr>
            <w:tcW w:w="3277" w:type="dxa"/>
            <w:vAlign w:val="center"/>
          </w:tcPr>
          <w:p w14:paraId="4D2FC259">
            <w:pPr>
              <w:pStyle w:val="63"/>
              <w:keepNext w:val="0"/>
              <w:keepLines w:val="0"/>
              <w:suppressLineNumbers w:val="0"/>
              <w:wordWrap w:val="0"/>
              <w:adjustRightInd w:val="0"/>
              <w:snapToGrid w:val="0"/>
              <w:spacing w:before="0" w:beforeAutospacing="0" w:after="0" w:afterAutospacing="0" w:line="380" w:lineRule="exact"/>
              <w:ind w:left="0" w:right="0" w:firstLine="420" w:firstLineChars="200"/>
              <w:rPr>
                <w:rFonts w:hint="eastAsia" w:asciiTheme="minorEastAsia" w:hAnsiTheme="minorEastAsia" w:eastAsiaTheme="minorEastAsia" w:cstheme="minorEastAsia"/>
                <w:color w:val="auto"/>
                <w:sz w:val="21"/>
                <w:szCs w:val="21"/>
                <w:highlight w:val="none"/>
              </w:rPr>
            </w:pPr>
            <w:r>
              <w:rPr>
                <w:rFonts w:hint="eastAsia" w:ascii="宋体" w:hAnsi="宋体" w:eastAsia="宋体" w:cs="宋体"/>
                <w:snapToGrid w:val="0"/>
                <w:color w:val="auto"/>
                <w:kern w:val="0"/>
                <w:sz w:val="21"/>
                <w:szCs w:val="21"/>
                <w:highlight w:val="none"/>
              </w:rPr>
              <w:t>我方不存在招标文件第一章第三节第</w:t>
            </w:r>
            <w:r>
              <w:rPr>
                <w:rFonts w:hint="eastAsia" w:ascii="宋体" w:hAnsi="宋体" w:eastAsia="宋体" w:cs="宋体"/>
                <w:b/>
                <w:bCs/>
                <w:snapToGrid w:val="0"/>
                <w:color w:val="auto"/>
                <w:kern w:val="0"/>
                <w:sz w:val="21"/>
                <w:szCs w:val="21"/>
                <w:highlight w:val="none"/>
              </w:rPr>
              <w:t>2.4</w:t>
            </w:r>
            <w:r>
              <w:rPr>
                <w:rFonts w:hint="eastAsia" w:ascii="宋体" w:hAnsi="宋体" w:eastAsia="宋体" w:cs="宋体"/>
                <w:snapToGrid w:val="0"/>
                <w:color w:val="auto"/>
                <w:kern w:val="0"/>
                <w:sz w:val="21"/>
                <w:szCs w:val="21"/>
                <w:highlight w:val="none"/>
              </w:rPr>
              <w:t>条“禁止投标条款”规定的任何一种情形。</w:t>
            </w:r>
          </w:p>
        </w:tc>
        <w:tc>
          <w:tcPr>
            <w:tcW w:w="4911" w:type="dxa"/>
            <w:vAlign w:val="center"/>
          </w:tcPr>
          <w:p w14:paraId="34084B0D">
            <w:pPr>
              <w:pStyle w:val="63"/>
              <w:keepNext w:val="0"/>
              <w:keepLines w:val="0"/>
              <w:suppressLineNumbers w:val="0"/>
              <w:wordWrap w:val="0"/>
              <w:adjustRightInd w:val="0"/>
              <w:snapToGrid w:val="0"/>
              <w:spacing w:before="0" w:beforeAutospacing="0" w:after="0" w:afterAutospacing="0" w:line="380" w:lineRule="exact"/>
              <w:ind w:left="0" w:right="0" w:firstLine="420" w:firstLineChars="200"/>
              <w:rPr>
                <w:rFonts w:hint="default" w:asciiTheme="minorEastAsia" w:hAnsiTheme="minorEastAsia" w:eastAsiaTheme="minorEastAsia" w:cstheme="minorEastAsia"/>
                <w:color w:val="auto"/>
                <w:sz w:val="21"/>
                <w:szCs w:val="21"/>
                <w:highlight w:val="none"/>
              </w:rPr>
            </w:pPr>
            <w:r>
              <w:rPr>
                <w:rFonts w:hint="eastAsia" w:ascii="宋体" w:hAnsi="宋体" w:eastAsia="宋体" w:cs="宋体"/>
                <w:snapToGrid w:val="0"/>
                <w:color w:val="auto"/>
                <w:kern w:val="0"/>
                <w:sz w:val="21"/>
                <w:szCs w:val="21"/>
                <w:highlight w:val="none"/>
              </w:rPr>
              <w:t>如果我方有招标文件第一章第三节第</w:t>
            </w:r>
            <w:r>
              <w:rPr>
                <w:rFonts w:hint="eastAsia" w:ascii="宋体" w:hAnsi="宋体" w:eastAsia="宋体" w:cs="宋体"/>
                <w:b/>
                <w:bCs/>
                <w:snapToGrid w:val="0"/>
                <w:color w:val="auto"/>
                <w:kern w:val="0"/>
                <w:sz w:val="21"/>
                <w:szCs w:val="21"/>
                <w:highlight w:val="none"/>
              </w:rPr>
              <w:t>2.4</w:t>
            </w:r>
            <w:r>
              <w:rPr>
                <w:rFonts w:hint="eastAsia" w:ascii="宋体" w:hAnsi="宋体" w:eastAsia="宋体" w:cs="宋体"/>
                <w:snapToGrid w:val="0"/>
                <w:color w:val="auto"/>
                <w:kern w:val="0"/>
                <w:sz w:val="21"/>
                <w:szCs w:val="21"/>
                <w:highlight w:val="none"/>
              </w:rPr>
              <w:t>条“禁止投标条款”规定的任何一种情形，我方接受招标人或其授权的招标代理机构或其组建的评标委员会依据招标文件作出的相应处理以及有关监督部门作出的行政处罚，并承担由此引起的一切法律后果。</w:t>
            </w:r>
          </w:p>
        </w:tc>
      </w:tr>
      <w:tr w14:paraId="729330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224" w:hRule="atLeast"/>
          <w:jc w:val="center"/>
        </w:trPr>
        <w:tc>
          <w:tcPr>
            <w:tcW w:w="617" w:type="dxa"/>
            <w:shd w:val="clear" w:color="auto" w:fill="auto"/>
            <w:vAlign w:val="center"/>
          </w:tcPr>
          <w:p w14:paraId="2CA3F9B7">
            <w:pPr>
              <w:pStyle w:val="37"/>
              <w:keepNext w:val="0"/>
              <w:keepLines w:val="0"/>
              <w:suppressLineNumbers w:val="0"/>
              <w:spacing w:before="0" w:beforeAutospacing="0" w:after="0" w:afterAutospacing="0" w:line="380" w:lineRule="exact"/>
              <w:ind w:left="0" w:right="0"/>
              <w:jc w:val="center"/>
              <w:rPr>
                <w:rFonts w:hint="eastAsia" w:asciiTheme="minorEastAsia" w:hAnsiTheme="minorEastAsia" w:eastAsiaTheme="minorEastAsia" w:cstheme="minorEastAsia"/>
                <w:color w:val="auto"/>
                <w:kern w:val="2"/>
                <w:sz w:val="21"/>
                <w:szCs w:val="21"/>
                <w:highlight w:val="none"/>
                <w:lang w:val="en-US" w:eastAsia="zh-CN" w:bidi="ar-SA"/>
              </w:rPr>
            </w:pPr>
            <w:r>
              <w:rPr>
                <w:rFonts w:hint="eastAsia" w:asciiTheme="minorEastAsia" w:hAnsiTheme="minorEastAsia" w:eastAsiaTheme="minorEastAsia" w:cstheme="minorEastAsia"/>
                <w:color w:val="auto"/>
                <w:sz w:val="21"/>
                <w:szCs w:val="21"/>
                <w:highlight w:val="none"/>
              </w:rPr>
              <w:t>3</w:t>
            </w:r>
          </w:p>
        </w:tc>
        <w:tc>
          <w:tcPr>
            <w:tcW w:w="1133" w:type="dxa"/>
            <w:vAlign w:val="center"/>
          </w:tcPr>
          <w:p w14:paraId="539F1F04">
            <w:pPr>
              <w:pStyle w:val="63"/>
              <w:keepNext w:val="0"/>
              <w:keepLines w:val="0"/>
              <w:suppressLineNumbers w:val="0"/>
              <w:wordWrap w:val="0"/>
              <w:adjustRightInd w:val="0"/>
              <w:snapToGrid w:val="0"/>
              <w:spacing w:before="0" w:beforeAutospacing="0" w:after="0" w:afterAutospacing="0" w:line="380" w:lineRule="exact"/>
              <w:ind w:left="0" w:right="0" w:firstLine="0" w:firstLineChars="0"/>
              <w:jc w:val="center"/>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rPr>
              <w:t>自觉抵制围标串标和弄虚作假行为的承诺</w:t>
            </w:r>
          </w:p>
        </w:tc>
        <w:tc>
          <w:tcPr>
            <w:tcW w:w="3277" w:type="dxa"/>
            <w:vAlign w:val="center"/>
          </w:tcPr>
          <w:p w14:paraId="39A48179">
            <w:pPr>
              <w:pStyle w:val="63"/>
              <w:keepNext w:val="0"/>
              <w:keepLines w:val="0"/>
              <w:suppressLineNumbers w:val="0"/>
              <w:wordWrap w:val="0"/>
              <w:adjustRightInd w:val="0"/>
              <w:snapToGrid w:val="0"/>
              <w:spacing w:before="0" w:beforeAutospacing="0" w:after="0" w:afterAutospacing="0" w:line="380" w:lineRule="exact"/>
              <w:ind w:left="0" w:right="0" w:firstLine="420" w:firstLineChars="200"/>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rPr>
              <w:t>我方合法正当、诚实守信地参与投标，不组织、不参加围标串标违法行为，不通过弄虚作假行为骗取中标。</w:t>
            </w:r>
          </w:p>
        </w:tc>
        <w:tc>
          <w:tcPr>
            <w:tcW w:w="4911" w:type="dxa"/>
            <w:vAlign w:val="center"/>
          </w:tcPr>
          <w:p w14:paraId="707D655C">
            <w:pPr>
              <w:pStyle w:val="63"/>
              <w:keepNext w:val="0"/>
              <w:keepLines w:val="0"/>
              <w:suppressLineNumbers w:val="0"/>
              <w:wordWrap w:val="0"/>
              <w:adjustRightInd w:val="0"/>
              <w:snapToGrid w:val="0"/>
              <w:spacing w:before="0" w:beforeAutospacing="0" w:after="0" w:afterAutospacing="0" w:line="380" w:lineRule="exact"/>
              <w:ind w:left="0" w:right="0" w:firstLine="420" w:firstLineChars="200"/>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rPr>
              <w:t>如果我方组织或参加围标串标违法行为或通过弄虚作假行为骗取中标，我方接受招标人或其授权的招标代理机构或其组建的评标委员会依据招标文件作出的相应处理以及有关监督部门作出的行政处罚，并承担由此引起的一切法律后果。</w:t>
            </w:r>
          </w:p>
        </w:tc>
      </w:tr>
      <w:tr w14:paraId="34DF99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450" w:hRule="atLeast"/>
          <w:jc w:val="center"/>
        </w:trPr>
        <w:tc>
          <w:tcPr>
            <w:tcW w:w="617" w:type="dxa"/>
            <w:shd w:val="clear" w:color="auto" w:fill="auto"/>
            <w:vAlign w:val="center"/>
          </w:tcPr>
          <w:p w14:paraId="4392F00C">
            <w:pPr>
              <w:pStyle w:val="37"/>
              <w:keepNext w:val="0"/>
              <w:keepLines w:val="0"/>
              <w:suppressLineNumbers w:val="0"/>
              <w:spacing w:before="0" w:beforeAutospacing="0" w:after="0" w:afterAutospacing="0" w:line="380" w:lineRule="exact"/>
              <w:ind w:left="0" w:right="0"/>
              <w:jc w:val="center"/>
              <w:rPr>
                <w:rFonts w:hint="default" w:asciiTheme="minorEastAsia" w:hAnsiTheme="minorEastAsia" w:eastAsiaTheme="minorEastAsia" w:cstheme="minorEastAsia"/>
                <w:color w:val="auto"/>
                <w:kern w:val="2"/>
                <w:sz w:val="21"/>
                <w:szCs w:val="21"/>
                <w:highlight w:val="none"/>
                <w:lang w:val="en-US" w:eastAsia="zh-CN" w:bidi="ar-SA"/>
              </w:rPr>
            </w:pPr>
            <w:r>
              <w:rPr>
                <w:rFonts w:hint="eastAsia" w:asciiTheme="minorEastAsia" w:hAnsiTheme="minorEastAsia" w:eastAsiaTheme="minorEastAsia" w:cstheme="minorEastAsia"/>
                <w:color w:val="auto"/>
                <w:sz w:val="21"/>
                <w:szCs w:val="21"/>
                <w:highlight w:val="none"/>
              </w:rPr>
              <w:t>4</w:t>
            </w:r>
          </w:p>
        </w:tc>
        <w:tc>
          <w:tcPr>
            <w:tcW w:w="1133" w:type="dxa"/>
            <w:vAlign w:val="center"/>
          </w:tcPr>
          <w:p w14:paraId="66857396">
            <w:pPr>
              <w:pStyle w:val="63"/>
              <w:keepNext w:val="0"/>
              <w:keepLines w:val="0"/>
              <w:suppressLineNumbers w:val="0"/>
              <w:spacing w:before="0" w:beforeAutospacing="0" w:after="0" w:afterAutospacing="0" w:line="380" w:lineRule="exact"/>
              <w:ind w:left="0" w:right="0" w:firstLine="0" w:firstLineChars="0"/>
              <w:jc w:val="center"/>
              <w:rPr>
                <w:rFonts w:hint="default"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履约保证金承诺书</w:t>
            </w:r>
          </w:p>
        </w:tc>
        <w:tc>
          <w:tcPr>
            <w:tcW w:w="3277" w:type="dxa"/>
            <w:vAlign w:val="center"/>
          </w:tcPr>
          <w:p w14:paraId="464B8155">
            <w:pPr>
              <w:pStyle w:val="63"/>
              <w:keepNext w:val="0"/>
              <w:keepLines w:val="0"/>
              <w:suppressLineNumbers w:val="0"/>
              <w:spacing w:before="0" w:beforeAutospacing="0" w:after="0" w:afterAutospacing="0" w:line="380" w:lineRule="exact"/>
              <w:ind w:left="0" w:right="0" w:firstLine="420"/>
              <w:rPr>
                <w:rFonts w:hint="default" w:asciiTheme="minorEastAsia" w:hAnsiTheme="minorEastAsia" w:eastAsiaTheme="minorEastAsia" w:cstheme="minorEastAsia"/>
                <w:color w:val="auto"/>
                <w:sz w:val="21"/>
                <w:szCs w:val="21"/>
                <w:highlight w:val="none"/>
              </w:rPr>
            </w:pPr>
            <w:r>
              <w:rPr>
                <w:rFonts w:hint="eastAsia" w:ascii="宋体" w:hAnsi="宋体" w:eastAsia="宋体" w:cs="宋体"/>
                <w:snapToGrid w:val="0"/>
                <w:color w:val="auto"/>
                <w:kern w:val="0"/>
                <w:sz w:val="21"/>
                <w:szCs w:val="21"/>
                <w:highlight w:val="none"/>
              </w:rPr>
              <w:t>如果我方中标，</w:t>
            </w:r>
            <w:r>
              <w:rPr>
                <w:rFonts w:hint="eastAsia" w:asciiTheme="minorEastAsia" w:hAnsiTheme="minorEastAsia" w:eastAsiaTheme="minorEastAsia" w:cstheme="minorEastAsia"/>
                <w:color w:val="auto"/>
                <w:sz w:val="21"/>
                <w:szCs w:val="21"/>
                <w:highlight w:val="none"/>
              </w:rPr>
              <w:t>我方保证按时缴纳全部履约保证金</w:t>
            </w:r>
            <w:bookmarkStart w:id="566" w:name="_Hlt104711307"/>
            <w:bookmarkEnd w:id="566"/>
          </w:p>
        </w:tc>
        <w:tc>
          <w:tcPr>
            <w:tcW w:w="4911" w:type="dxa"/>
            <w:vAlign w:val="center"/>
          </w:tcPr>
          <w:p w14:paraId="2499FDAE">
            <w:pPr>
              <w:pStyle w:val="63"/>
              <w:keepNext w:val="0"/>
              <w:keepLines w:val="0"/>
              <w:suppressLineNumbers w:val="0"/>
              <w:spacing w:before="0" w:beforeAutospacing="0" w:after="0" w:afterAutospacing="0" w:line="380" w:lineRule="exact"/>
              <w:ind w:left="0" w:right="0" w:firstLine="420"/>
              <w:rPr>
                <w:rFonts w:hint="default"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在施工过程中，如由于我方自身的资金、技术、质量、非不可抗力等原因给招标人造成损失时，或未能按招标文件所承诺的各项承诺完成时，我方同意扣除全部履约保证金，并承担由此引起的所有责任。</w:t>
            </w:r>
          </w:p>
        </w:tc>
      </w:tr>
      <w:tr w14:paraId="6E92DF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3" w:hRule="atLeast"/>
          <w:jc w:val="center"/>
        </w:trPr>
        <w:tc>
          <w:tcPr>
            <w:tcW w:w="617" w:type="dxa"/>
            <w:shd w:val="clear" w:color="auto" w:fill="auto"/>
            <w:vAlign w:val="center"/>
          </w:tcPr>
          <w:p w14:paraId="7E8F61EC">
            <w:pPr>
              <w:pStyle w:val="50"/>
              <w:keepNext w:val="0"/>
              <w:keepLines w:val="0"/>
              <w:suppressLineNumbers w:val="0"/>
              <w:wordWrap w:val="0"/>
              <w:adjustRightInd w:val="0"/>
              <w:snapToGrid w:val="0"/>
              <w:spacing w:before="0" w:beforeAutospacing="0" w:after="0" w:afterAutospacing="0" w:line="380" w:lineRule="exact"/>
              <w:ind w:left="0" w:right="0"/>
              <w:jc w:val="center"/>
              <w:rPr>
                <w:rFonts w:hint="default" w:asciiTheme="minorEastAsia" w:hAnsiTheme="minorEastAsia" w:eastAsiaTheme="minorEastAsia" w:cstheme="minorEastAsia"/>
                <w:color w:val="auto"/>
                <w:kern w:val="2"/>
                <w:sz w:val="21"/>
                <w:szCs w:val="21"/>
                <w:highlight w:val="none"/>
                <w:lang w:val="en-US" w:eastAsia="zh-CN" w:bidi="ar-SA"/>
              </w:rPr>
            </w:pPr>
            <w:r>
              <w:rPr>
                <w:rFonts w:hint="eastAsia" w:asciiTheme="minorEastAsia" w:hAnsiTheme="minorEastAsia" w:eastAsiaTheme="minorEastAsia" w:cstheme="minorEastAsia"/>
                <w:snapToGrid w:val="0"/>
                <w:color w:val="auto"/>
                <w:kern w:val="0"/>
                <w:szCs w:val="21"/>
                <w:highlight w:val="none"/>
              </w:rPr>
              <w:t>5</w:t>
            </w:r>
          </w:p>
        </w:tc>
        <w:tc>
          <w:tcPr>
            <w:tcW w:w="1133" w:type="dxa"/>
            <w:vAlign w:val="center"/>
          </w:tcPr>
          <w:p w14:paraId="4672FC95">
            <w:pPr>
              <w:pStyle w:val="63"/>
              <w:keepNext w:val="0"/>
              <w:keepLines w:val="0"/>
              <w:suppressLineNumbers w:val="0"/>
              <w:spacing w:before="0" w:beforeAutospacing="0" w:after="0" w:afterAutospacing="0" w:line="380" w:lineRule="exact"/>
              <w:ind w:left="0" w:right="0" w:firstLine="0" w:firstLineChars="0"/>
              <w:jc w:val="center"/>
              <w:rPr>
                <w:rFonts w:hint="default"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工期、进度承诺书</w:t>
            </w:r>
          </w:p>
        </w:tc>
        <w:tc>
          <w:tcPr>
            <w:tcW w:w="3277" w:type="dxa"/>
            <w:vAlign w:val="center"/>
          </w:tcPr>
          <w:p w14:paraId="0577353F">
            <w:pPr>
              <w:pStyle w:val="63"/>
              <w:keepNext w:val="0"/>
              <w:keepLines w:val="0"/>
              <w:suppressLineNumbers w:val="0"/>
              <w:spacing w:before="0" w:beforeAutospacing="0" w:after="0" w:afterAutospacing="0" w:line="380" w:lineRule="exact"/>
              <w:ind w:left="0" w:right="0" w:firstLine="420"/>
              <w:rPr>
                <w:rFonts w:hint="default"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我方保证在</w:t>
            </w:r>
            <w:r>
              <w:rPr>
                <w:rFonts w:hint="eastAsia" w:asciiTheme="minorEastAsia" w:hAnsiTheme="minorEastAsia" w:eastAsiaTheme="minorEastAsia" w:cstheme="minorEastAsia"/>
                <w:color w:val="auto"/>
                <w:sz w:val="21"/>
                <w:szCs w:val="21"/>
                <w:highlight w:val="none"/>
                <w:u w:val="single"/>
                <w:lang w:val="en-US" w:eastAsia="zh-CN"/>
              </w:rPr>
              <w:t xml:space="preserve">     </w:t>
            </w:r>
            <w:r>
              <w:rPr>
                <w:rFonts w:hint="eastAsia" w:asciiTheme="minorEastAsia" w:hAnsiTheme="minorEastAsia" w:eastAsiaTheme="minorEastAsia" w:cstheme="minorEastAsia"/>
                <w:color w:val="auto"/>
                <w:sz w:val="21"/>
                <w:szCs w:val="21"/>
                <w:highlight w:val="none"/>
              </w:rPr>
              <w:t>日历天内（其中：设计工期为：</w:t>
            </w:r>
            <w:r>
              <w:rPr>
                <w:rFonts w:hint="eastAsia" w:asciiTheme="minorEastAsia" w:hAnsiTheme="minorEastAsia" w:eastAsiaTheme="minorEastAsia" w:cstheme="minorEastAsia"/>
                <w:color w:val="auto"/>
                <w:sz w:val="21"/>
                <w:szCs w:val="21"/>
                <w:highlight w:val="none"/>
                <w:u w:val="single"/>
                <w:lang w:val="en-US" w:eastAsia="zh-CN"/>
              </w:rPr>
              <w:t xml:space="preserve">     </w:t>
            </w:r>
            <w:r>
              <w:rPr>
                <w:rFonts w:hint="eastAsia" w:asciiTheme="minorEastAsia" w:hAnsiTheme="minorEastAsia" w:eastAsiaTheme="minorEastAsia" w:cstheme="minorEastAsia"/>
                <w:color w:val="auto"/>
                <w:sz w:val="21"/>
                <w:szCs w:val="21"/>
                <w:highlight w:val="none"/>
              </w:rPr>
              <w:t>日历天；施工工期为：</w:t>
            </w:r>
            <w:r>
              <w:rPr>
                <w:rFonts w:hint="eastAsia" w:asciiTheme="minorEastAsia" w:hAnsiTheme="minorEastAsia" w:eastAsiaTheme="minorEastAsia" w:cstheme="minorEastAsia"/>
                <w:color w:val="auto"/>
                <w:sz w:val="21"/>
                <w:szCs w:val="21"/>
                <w:highlight w:val="none"/>
                <w:u w:val="single"/>
                <w:lang w:val="en-US" w:eastAsia="zh-CN"/>
              </w:rPr>
              <w:t xml:space="preserve">     </w:t>
            </w:r>
            <w:r>
              <w:rPr>
                <w:rFonts w:hint="eastAsia" w:asciiTheme="minorEastAsia" w:hAnsiTheme="minorEastAsia" w:eastAsiaTheme="minorEastAsia" w:cstheme="minorEastAsia"/>
                <w:color w:val="auto"/>
                <w:sz w:val="21"/>
                <w:szCs w:val="21"/>
                <w:highlight w:val="none"/>
              </w:rPr>
              <w:t>日历天内）完成工程设计、施工并通过竣工验收。</w:t>
            </w:r>
          </w:p>
          <w:p w14:paraId="44CE2DDC">
            <w:pPr>
              <w:pStyle w:val="63"/>
              <w:keepNext w:val="0"/>
              <w:keepLines w:val="0"/>
              <w:suppressLineNumbers w:val="0"/>
              <w:spacing w:before="0" w:beforeAutospacing="0" w:after="0" w:afterAutospacing="0" w:line="380" w:lineRule="exact"/>
              <w:ind w:left="0" w:right="0" w:firstLine="420"/>
              <w:rPr>
                <w:rFonts w:hint="default"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我方保证各分部、分项工程的施工进度按我方投标文件中的施工进度计划完成施工任务。</w:t>
            </w:r>
          </w:p>
        </w:tc>
        <w:tc>
          <w:tcPr>
            <w:tcW w:w="4911" w:type="dxa"/>
            <w:vAlign w:val="center"/>
          </w:tcPr>
          <w:p w14:paraId="785B4CDA">
            <w:pPr>
              <w:pStyle w:val="9"/>
              <w:keepNext w:val="0"/>
              <w:keepLines w:val="0"/>
              <w:suppressLineNumbers w:val="0"/>
              <w:spacing w:before="0" w:beforeAutospacing="0" w:after="0" w:afterAutospacing="0" w:line="360" w:lineRule="exact"/>
              <w:ind w:left="0" w:right="0" w:firstLine="210" w:firstLineChars="100"/>
              <w:rPr>
                <w:rFonts w:hint="default" w:asciiTheme="minorEastAsia" w:hAnsiTheme="minorEastAsia" w:eastAsiaTheme="minorEastAsia" w:cstheme="minorEastAsia"/>
                <w:color w:val="auto"/>
                <w:sz w:val="21"/>
                <w:szCs w:val="20"/>
                <w:highlight w:val="none"/>
              </w:rPr>
            </w:pPr>
            <w:r>
              <w:rPr>
                <w:rFonts w:asciiTheme="minorEastAsia" w:hAnsiTheme="minorEastAsia" w:eastAsiaTheme="minorEastAsia" w:cstheme="minorEastAsia"/>
                <w:color w:val="auto"/>
                <w:sz w:val="21"/>
                <w:szCs w:val="21"/>
                <w:highlight w:val="none"/>
              </w:rPr>
              <w:t>若因我方原因，没有按期完成设计任务、工程没有按期竣工时，我方在逾期第壹天起每天分别按设计、施工合同价款的1.5‰向招标人缴纳逾期违约金，分别累计最高不超过设计、施工合同价款的10%向招标人缴纳逾期违约金。</w:t>
            </w:r>
          </w:p>
          <w:p w14:paraId="7C4AD0C2">
            <w:pPr>
              <w:pStyle w:val="9"/>
              <w:keepNext w:val="0"/>
              <w:keepLines w:val="0"/>
              <w:suppressLineNumbers w:val="0"/>
              <w:spacing w:before="0" w:beforeAutospacing="0" w:after="0" w:afterAutospacing="0" w:line="360" w:lineRule="exact"/>
              <w:ind w:left="0" w:right="0" w:firstLine="210" w:firstLineChars="100"/>
              <w:rPr>
                <w:rFonts w:hint="default" w:asciiTheme="minorEastAsia" w:hAnsiTheme="minorEastAsia" w:eastAsiaTheme="minorEastAsia" w:cstheme="minorEastAsia"/>
                <w:color w:val="auto"/>
                <w:szCs w:val="21"/>
                <w:highlight w:val="none"/>
              </w:rPr>
            </w:pPr>
            <w:r>
              <w:rPr>
                <w:rFonts w:asciiTheme="minorEastAsia" w:hAnsiTheme="minorEastAsia" w:eastAsiaTheme="minorEastAsia" w:cstheme="minorEastAsia"/>
                <w:color w:val="auto"/>
                <w:sz w:val="21"/>
                <w:szCs w:val="21"/>
                <w:highlight w:val="none"/>
              </w:rPr>
              <w:t xml:space="preserve">   若因我方原因，各分部、分项工程的施工进度未能按我方投标文件中的施工进度计划完成施工任务，延期达到30日历天，招标人有权终止合同。我方愿意承担所有由此引起的责任及经济损失。</w:t>
            </w:r>
          </w:p>
        </w:tc>
      </w:tr>
      <w:tr w14:paraId="526DCF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72" w:hRule="atLeast"/>
          <w:jc w:val="center"/>
        </w:trPr>
        <w:tc>
          <w:tcPr>
            <w:tcW w:w="617" w:type="dxa"/>
            <w:shd w:val="clear" w:color="auto" w:fill="auto"/>
            <w:vAlign w:val="center"/>
          </w:tcPr>
          <w:p w14:paraId="42D36E9A">
            <w:pPr>
              <w:pStyle w:val="37"/>
              <w:keepNext w:val="0"/>
              <w:keepLines w:val="0"/>
              <w:suppressLineNumbers w:val="0"/>
              <w:spacing w:before="0" w:beforeAutospacing="0" w:after="0" w:afterAutospacing="0" w:line="380" w:lineRule="exact"/>
              <w:ind w:left="0" w:right="0"/>
              <w:jc w:val="center"/>
              <w:rPr>
                <w:rFonts w:hint="default" w:asciiTheme="minorEastAsia" w:hAnsiTheme="minorEastAsia" w:eastAsiaTheme="minorEastAsia" w:cstheme="minorEastAsia"/>
                <w:color w:val="auto"/>
                <w:kern w:val="2"/>
                <w:sz w:val="21"/>
                <w:szCs w:val="21"/>
                <w:highlight w:val="none"/>
                <w:lang w:val="en-US" w:eastAsia="zh-CN" w:bidi="ar-SA"/>
              </w:rPr>
            </w:pPr>
            <w:r>
              <w:rPr>
                <w:rFonts w:hint="eastAsia" w:asciiTheme="minorEastAsia" w:hAnsiTheme="minorEastAsia" w:eastAsiaTheme="minorEastAsia" w:cstheme="minorEastAsia"/>
                <w:color w:val="auto"/>
                <w:sz w:val="21"/>
                <w:szCs w:val="21"/>
                <w:highlight w:val="none"/>
              </w:rPr>
              <w:t>6</w:t>
            </w:r>
          </w:p>
        </w:tc>
        <w:tc>
          <w:tcPr>
            <w:tcW w:w="1133" w:type="dxa"/>
            <w:vAlign w:val="center"/>
          </w:tcPr>
          <w:p w14:paraId="08F2EC0A">
            <w:pPr>
              <w:pStyle w:val="63"/>
              <w:keepNext w:val="0"/>
              <w:keepLines w:val="0"/>
              <w:suppressLineNumbers w:val="0"/>
              <w:spacing w:before="0" w:beforeAutospacing="0" w:after="0" w:afterAutospacing="0" w:line="380" w:lineRule="exact"/>
              <w:ind w:left="0" w:right="0" w:firstLine="0" w:firstLineChars="0"/>
              <w:rPr>
                <w:rFonts w:hint="default" w:asciiTheme="minorEastAsia" w:hAnsiTheme="minorEastAsia" w:eastAsiaTheme="minorEastAsia" w:cstheme="minorEastAsia"/>
                <w:color w:val="auto"/>
                <w:sz w:val="21"/>
                <w:szCs w:val="21"/>
                <w:highlight w:val="none"/>
              </w:rPr>
            </w:pPr>
            <w:bookmarkStart w:id="567" w:name="_Hlt98038044"/>
            <w:r>
              <w:rPr>
                <w:rFonts w:hint="eastAsia" w:asciiTheme="minorEastAsia" w:hAnsiTheme="minorEastAsia" w:eastAsiaTheme="minorEastAsia" w:cstheme="minorEastAsia"/>
                <w:color w:val="auto"/>
                <w:sz w:val="21"/>
                <w:szCs w:val="21"/>
                <w:highlight w:val="none"/>
              </w:rPr>
              <w:t>安全、文明施工承诺</w:t>
            </w:r>
            <w:bookmarkEnd w:id="567"/>
            <w:r>
              <w:rPr>
                <w:rFonts w:hint="eastAsia" w:asciiTheme="minorEastAsia" w:hAnsiTheme="minorEastAsia" w:eastAsiaTheme="minorEastAsia" w:cstheme="minorEastAsia"/>
                <w:color w:val="auto"/>
                <w:sz w:val="21"/>
                <w:szCs w:val="21"/>
                <w:highlight w:val="none"/>
              </w:rPr>
              <w:t>书</w:t>
            </w:r>
          </w:p>
        </w:tc>
        <w:tc>
          <w:tcPr>
            <w:tcW w:w="3277" w:type="dxa"/>
            <w:vAlign w:val="center"/>
          </w:tcPr>
          <w:p w14:paraId="241BB825">
            <w:pPr>
              <w:pStyle w:val="63"/>
              <w:keepNext w:val="0"/>
              <w:keepLines w:val="0"/>
              <w:suppressLineNumbers w:val="0"/>
              <w:spacing w:before="0" w:beforeAutospacing="0" w:after="0" w:afterAutospacing="0" w:line="380" w:lineRule="exact"/>
              <w:ind w:left="0" w:right="0" w:firstLine="420"/>
              <w:rPr>
                <w:rFonts w:hint="default"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我方保证在施工期间严格遵守国家、省、市有关安全、文明施工规定，确保施工安全和第三者的安全，根据施工现场情况保证绿色施工安全防护措施费投入。</w:t>
            </w:r>
          </w:p>
        </w:tc>
        <w:tc>
          <w:tcPr>
            <w:tcW w:w="4911" w:type="dxa"/>
            <w:vAlign w:val="center"/>
          </w:tcPr>
          <w:p w14:paraId="280F7E61">
            <w:pPr>
              <w:pStyle w:val="63"/>
              <w:keepNext w:val="0"/>
              <w:keepLines w:val="0"/>
              <w:suppressLineNumbers w:val="0"/>
              <w:spacing w:before="0" w:beforeAutospacing="0" w:after="0" w:afterAutospacing="0" w:line="380" w:lineRule="exact"/>
              <w:ind w:left="0" w:right="0" w:firstLine="420"/>
              <w:rPr>
                <w:rFonts w:hint="default"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若因我方原因，在施工期间发生安全事故，造成施工人员或第三者的伤亡，我方愿意承担由此造成的一切经济损失和法律责任。</w:t>
            </w:r>
          </w:p>
          <w:p w14:paraId="478FCE65">
            <w:pPr>
              <w:pStyle w:val="63"/>
              <w:keepNext w:val="0"/>
              <w:keepLines w:val="0"/>
              <w:suppressLineNumbers w:val="0"/>
              <w:spacing w:before="0" w:beforeAutospacing="0" w:after="0" w:afterAutospacing="0" w:line="380" w:lineRule="exact"/>
              <w:ind w:left="0" w:right="0" w:firstLine="420"/>
              <w:rPr>
                <w:rFonts w:hint="default"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若我方在施工中发生一般事故及以上等级生产安全事故，可扣除相当于所有“绿色施工安全防护措施费”的管理费。</w:t>
            </w:r>
          </w:p>
        </w:tc>
      </w:tr>
      <w:tr w14:paraId="517179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530" w:hRule="atLeast"/>
          <w:jc w:val="center"/>
        </w:trPr>
        <w:tc>
          <w:tcPr>
            <w:tcW w:w="617" w:type="dxa"/>
            <w:shd w:val="clear" w:color="auto" w:fill="auto"/>
            <w:vAlign w:val="center"/>
          </w:tcPr>
          <w:p w14:paraId="5CE2221A">
            <w:pPr>
              <w:pStyle w:val="37"/>
              <w:keepNext w:val="0"/>
              <w:keepLines w:val="0"/>
              <w:suppressLineNumbers w:val="0"/>
              <w:spacing w:before="0" w:beforeAutospacing="0" w:after="0" w:afterAutospacing="0" w:line="380" w:lineRule="exact"/>
              <w:ind w:left="0" w:right="0"/>
              <w:jc w:val="center"/>
              <w:rPr>
                <w:rFonts w:hint="default" w:asciiTheme="minorEastAsia" w:hAnsiTheme="minorEastAsia" w:eastAsiaTheme="minorEastAsia" w:cstheme="minorEastAsia"/>
                <w:color w:val="auto"/>
                <w:kern w:val="2"/>
                <w:sz w:val="21"/>
                <w:szCs w:val="21"/>
                <w:highlight w:val="none"/>
                <w:lang w:val="en-US" w:eastAsia="zh-CN" w:bidi="ar-SA"/>
              </w:rPr>
            </w:pPr>
            <w:r>
              <w:rPr>
                <w:rFonts w:hint="eastAsia" w:asciiTheme="minorEastAsia" w:hAnsiTheme="minorEastAsia" w:eastAsiaTheme="minorEastAsia" w:cstheme="minorEastAsia"/>
                <w:color w:val="auto"/>
                <w:sz w:val="21"/>
                <w:szCs w:val="21"/>
                <w:highlight w:val="none"/>
              </w:rPr>
              <w:t>7</w:t>
            </w:r>
          </w:p>
        </w:tc>
        <w:tc>
          <w:tcPr>
            <w:tcW w:w="1133" w:type="dxa"/>
            <w:vAlign w:val="center"/>
          </w:tcPr>
          <w:p w14:paraId="064CA04E">
            <w:pPr>
              <w:pStyle w:val="63"/>
              <w:keepNext w:val="0"/>
              <w:keepLines w:val="0"/>
              <w:suppressLineNumbers w:val="0"/>
              <w:wordWrap w:val="0"/>
              <w:adjustRightInd w:val="0"/>
              <w:snapToGrid w:val="0"/>
              <w:spacing w:before="0" w:beforeAutospacing="0" w:after="0" w:afterAutospacing="0" w:line="380" w:lineRule="exact"/>
              <w:ind w:left="0" w:right="0" w:firstLine="0" w:firstLineChars="0"/>
              <w:jc w:val="center"/>
              <w:rPr>
                <w:rFonts w:hint="default" w:asciiTheme="minorEastAsia" w:hAnsiTheme="minorEastAsia" w:eastAsiaTheme="minorEastAsia" w:cstheme="minorEastAsia"/>
                <w:snapToGrid w:val="0"/>
                <w:color w:val="auto"/>
                <w:kern w:val="0"/>
                <w:sz w:val="21"/>
                <w:szCs w:val="21"/>
                <w:highlight w:val="none"/>
              </w:rPr>
            </w:pPr>
            <w:r>
              <w:rPr>
                <w:rFonts w:hint="eastAsia" w:asciiTheme="minorEastAsia" w:hAnsiTheme="minorEastAsia" w:eastAsiaTheme="minorEastAsia" w:cstheme="minorEastAsia"/>
                <w:snapToGrid w:val="0"/>
                <w:color w:val="auto"/>
                <w:kern w:val="0"/>
                <w:sz w:val="21"/>
                <w:szCs w:val="21"/>
                <w:highlight w:val="none"/>
              </w:rPr>
              <w:t>项目经理</w:t>
            </w:r>
          </w:p>
          <w:p w14:paraId="4F4D6CD0">
            <w:pPr>
              <w:pStyle w:val="63"/>
              <w:keepNext w:val="0"/>
              <w:keepLines w:val="0"/>
              <w:suppressLineNumbers w:val="0"/>
              <w:wordWrap w:val="0"/>
              <w:adjustRightInd w:val="0"/>
              <w:snapToGrid w:val="0"/>
              <w:spacing w:before="0" w:beforeAutospacing="0" w:after="0" w:afterAutospacing="0" w:line="380" w:lineRule="exact"/>
              <w:ind w:left="0" w:right="0" w:firstLine="0" w:firstLineChars="0"/>
              <w:jc w:val="center"/>
              <w:rPr>
                <w:rFonts w:hint="default"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snapToGrid w:val="0"/>
                <w:color w:val="auto"/>
                <w:kern w:val="0"/>
                <w:sz w:val="21"/>
                <w:szCs w:val="21"/>
                <w:highlight w:val="none"/>
              </w:rPr>
              <w:t>任职承诺</w:t>
            </w:r>
          </w:p>
        </w:tc>
        <w:tc>
          <w:tcPr>
            <w:tcW w:w="3277" w:type="dxa"/>
            <w:vAlign w:val="center"/>
          </w:tcPr>
          <w:p w14:paraId="7E2CD4A7">
            <w:pPr>
              <w:pStyle w:val="63"/>
              <w:keepNext w:val="0"/>
              <w:keepLines w:val="0"/>
              <w:suppressLineNumbers w:val="0"/>
              <w:wordWrap w:val="0"/>
              <w:adjustRightInd w:val="0"/>
              <w:snapToGrid w:val="0"/>
              <w:spacing w:before="0" w:beforeAutospacing="0" w:after="0" w:afterAutospacing="0" w:line="380" w:lineRule="exact"/>
              <w:ind w:left="0" w:right="0" w:firstLine="420"/>
              <w:rPr>
                <w:rFonts w:hint="default"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snapToGrid w:val="0"/>
                <w:color w:val="auto"/>
                <w:kern w:val="0"/>
                <w:sz w:val="21"/>
                <w:szCs w:val="21"/>
                <w:highlight w:val="none"/>
              </w:rPr>
              <w:t>我方拟派项目经理现阶段没有担任任何在施（包括已中标或已签订合同未开工、已开工未竣工、已建成未竣工）建设工程项目的项目经理。</w:t>
            </w:r>
          </w:p>
        </w:tc>
        <w:tc>
          <w:tcPr>
            <w:tcW w:w="4911" w:type="dxa"/>
            <w:vAlign w:val="center"/>
          </w:tcPr>
          <w:p w14:paraId="665B674A">
            <w:pPr>
              <w:pStyle w:val="63"/>
              <w:keepNext w:val="0"/>
              <w:keepLines w:val="0"/>
              <w:suppressLineNumbers w:val="0"/>
              <w:wordWrap w:val="0"/>
              <w:adjustRightInd w:val="0"/>
              <w:snapToGrid w:val="0"/>
              <w:spacing w:before="0" w:beforeAutospacing="0" w:after="0" w:afterAutospacing="0" w:line="380" w:lineRule="exact"/>
              <w:ind w:left="0" w:right="0" w:firstLine="420"/>
              <w:rPr>
                <w:rFonts w:hint="default"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snapToGrid w:val="0"/>
                <w:color w:val="auto"/>
                <w:kern w:val="0"/>
                <w:sz w:val="21"/>
                <w:szCs w:val="21"/>
                <w:highlight w:val="none"/>
              </w:rPr>
              <w:t>如果我方拟派项目经理在本工程招标投标活动期间有担任其他任何在施（包括已中标或已签订合同未开工、已开工未竣工、已建成未竣工）建设工程项目的项目经理，我方接受招标人或其授权的招标代理机构或其组建的评标委员会依据招标文件作出的相应处理以及有关监督部门作出的行政处罚，并承担由此引起的一切法律后果。</w:t>
            </w:r>
          </w:p>
        </w:tc>
      </w:tr>
      <w:tr w14:paraId="795F13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293" w:hRule="atLeast"/>
          <w:jc w:val="center"/>
        </w:trPr>
        <w:tc>
          <w:tcPr>
            <w:tcW w:w="617" w:type="dxa"/>
            <w:shd w:val="clear" w:color="auto" w:fill="auto"/>
            <w:vAlign w:val="center"/>
          </w:tcPr>
          <w:p w14:paraId="43A9B021">
            <w:pPr>
              <w:pStyle w:val="37"/>
              <w:keepNext w:val="0"/>
              <w:keepLines w:val="0"/>
              <w:suppressLineNumbers w:val="0"/>
              <w:spacing w:before="0" w:beforeAutospacing="0" w:after="0" w:afterAutospacing="0" w:line="380" w:lineRule="exact"/>
              <w:ind w:left="0" w:right="0"/>
              <w:jc w:val="center"/>
              <w:rPr>
                <w:rFonts w:hint="default" w:asciiTheme="minorEastAsia" w:hAnsiTheme="minorEastAsia" w:eastAsiaTheme="minorEastAsia" w:cstheme="minorEastAsia"/>
                <w:color w:val="auto"/>
                <w:kern w:val="2"/>
                <w:sz w:val="21"/>
                <w:szCs w:val="21"/>
                <w:highlight w:val="none"/>
                <w:lang w:val="en-US" w:eastAsia="zh-CN" w:bidi="ar-SA"/>
              </w:rPr>
            </w:pPr>
            <w:r>
              <w:rPr>
                <w:rFonts w:hint="eastAsia" w:asciiTheme="minorEastAsia" w:hAnsiTheme="minorEastAsia" w:eastAsiaTheme="minorEastAsia" w:cstheme="minorEastAsia"/>
                <w:color w:val="auto"/>
                <w:sz w:val="21"/>
                <w:szCs w:val="21"/>
                <w:highlight w:val="none"/>
              </w:rPr>
              <w:t>8</w:t>
            </w:r>
          </w:p>
        </w:tc>
        <w:tc>
          <w:tcPr>
            <w:tcW w:w="1133" w:type="dxa"/>
            <w:vAlign w:val="center"/>
          </w:tcPr>
          <w:p w14:paraId="0C34CEA6">
            <w:pPr>
              <w:pStyle w:val="63"/>
              <w:keepNext w:val="0"/>
              <w:keepLines w:val="0"/>
              <w:suppressLineNumbers w:val="0"/>
              <w:spacing w:before="0" w:beforeAutospacing="0" w:after="0" w:afterAutospacing="0" w:line="380" w:lineRule="exact"/>
              <w:ind w:left="0" w:right="0" w:firstLine="0" w:firstLineChars="0"/>
              <w:rPr>
                <w:rFonts w:hint="default"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质量承诺书</w:t>
            </w:r>
          </w:p>
        </w:tc>
        <w:tc>
          <w:tcPr>
            <w:tcW w:w="3277" w:type="dxa"/>
            <w:vAlign w:val="center"/>
          </w:tcPr>
          <w:p w14:paraId="2863E8B8">
            <w:pPr>
              <w:pStyle w:val="37"/>
              <w:keepNext w:val="0"/>
              <w:keepLines w:val="0"/>
              <w:suppressLineNumbers w:val="0"/>
              <w:spacing w:before="0" w:beforeAutospacing="0" w:after="0" w:afterAutospacing="0" w:line="380" w:lineRule="exact"/>
              <w:ind w:left="0" w:right="0" w:firstLine="560"/>
              <w:rPr>
                <w:rFonts w:hint="default"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我方保证按照现行的国家和广东省的有关施工技术规范及现行标准，达</w:t>
            </w:r>
            <w:bookmarkStart w:id="568" w:name="_Hlt112573700"/>
            <w:bookmarkEnd w:id="568"/>
            <w:r>
              <w:rPr>
                <w:rFonts w:hint="eastAsia" w:asciiTheme="minorEastAsia" w:hAnsiTheme="minorEastAsia" w:eastAsiaTheme="minorEastAsia" w:cstheme="minorEastAsia"/>
                <w:color w:val="auto"/>
                <w:sz w:val="21"/>
                <w:szCs w:val="21"/>
                <w:highlight w:val="none"/>
              </w:rPr>
              <w:t>到</w:t>
            </w:r>
            <w:r>
              <w:rPr>
                <w:rFonts w:hint="eastAsia" w:asciiTheme="minorEastAsia" w:hAnsiTheme="minorEastAsia" w:eastAsiaTheme="minorEastAsia" w:cstheme="minorEastAsia"/>
                <w:snapToGrid/>
                <w:color w:val="auto"/>
                <w:kern w:val="2"/>
                <w:sz w:val="21"/>
                <w:szCs w:val="21"/>
                <w:highlight w:val="none"/>
              </w:rPr>
              <w:t>《建筑工程施工质量验收统一标准》</w:t>
            </w:r>
            <w:r>
              <w:rPr>
                <w:rFonts w:hint="eastAsia" w:asciiTheme="minorEastAsia" w:hAnsiTheme="minorEastAsia" w:eastAsiaTheme="minorEastAsia" w:cstheme="minorEastAsia"/>
                <w:snapToGrid/>
                <w:color w:val="auto"/>
                <w:kern w:val="2"/>
                <w:sz w:val="21"/>
                <w:szCs w:val="21"/>
                <w:highlight w:val="none"/>
                <w:lang w:eastAsia="zh-CN"/>
              </w:rPr>
              <w:t>（</w:t>
            </w:r>
            <w:r>
              <w:rPr>
                <w:rFonts w:hint="eastAsia" w:asciiTheme="minorEastAsia" w:hAnsiTheme="minorEastAsia" w:eastAsiaTheme="minorEastAsia" w:cstheme="minorEastAsia"/>
                <w:snapToGrid/>
                <w:color w:val="auto"/>
                <w:kern w:val="2"/>
                <w:sz w:val="21"/>
                <w:szCs w:val="21"/>
                <w:highlight w:val="none"/>
              </w:rPr>
              <w:t>GB50300-2013</w:t>
            </w:r>
            <w:r>
              <w:rPr>
                <w:rFonts w:hint="eastAsia" w:asciiTheme="minorEastAsia" w:hAnsiTheme="minorEastAsia" w:eastAsiaTheme="minorEastAsia" w:cstheme="minorEastAsia"/>
                <w:snapToGrid/>
                <w:color w:val="auto"/>
                <w:kern w:val="2"/>
                <w:sz w:val="21"/>
                <w:szCs w:val="21"/>
                <w:highlight w:val="none"/>
                <w:lang w:eastAsia="zh-CN"/>
              </w:rPr>
              <w:t>）、</w:t>
            </w:r>
            <w:r>
              <w:rPr>
                <w:rFonts w:hint="eastAsia" w:asciiTheme="minorEastAsia" w:hAnsiTheme="minorEastAsia" w:eastAsiaTheme="minorEastAsia" w:cstheme="minorEastAsia"/>
                <w:color w:val="auto"/>
                <w:sz w:val="21"/>
                <w:szCs w:val="21"/>
                <w:highlight w:val="none"/>
              </w:rPr>
              <w:t>《建筑与市政工程施工质量控制通用规范》（GB55032-2022）合格标准。</w:t>
            </w:r>
          </w:p>
        </w:tc>
        <w:tc>
          <w:tcPr>
            <w:tcW w:w="4911" w:type="dxa"/>
            <w:vAlign w:val="center"/>
          </w:tcPr>
          <w:p w14:paraId="36A3CD5D">
            <w:pPr>
              <w:pStyle w:val="63"/>
              <w:keepNext w:val="0"/>
              <w:keepLines w:val="0"/>
              <w:suppressLineNumbers w:val="0"/>
              <w:spacing w:before="0" w:beforeAutospacing="0" w:after="0" w:afterAutospacing="0" w:line="380" w:lineRule="exact"/>
              <w:ind w:left="0" w:right="0" w:firstLine="412"/>
              <w:rPr>
                <w:rFonts w:hint="default" w:asciiTheme="minorEastAsia" w:hAnsiTheme="minorEastAsia" w:eastAsiaTheme="minorEastAsia" w:cstheme="minorEastAsia"/>
                <w:color w:val="auto"/>
                <w:sz w:val="21"/>
                <w:szCs w:val="24"/>
                <w:highlight w:val="none"/>
              </w:rPr>
            </w:pPr>
            <w:r>
              <w:rPr>
                <w:rFonts w:hint="eastAsia" w:asciiTheme="minorEastAsia" w:hAnsiTheme="minorEastAsia" w:eastAsiaTheme="minorEastAsia" w:cstheme="minorEastAsia"/>
                <w:color w:val="auto"/>
                <w:spacing w:val="-2"/>
                <w:sz w:val="21"/>
                <w:szCs w:val="21"/>
                <w:highlight w:val="none"/>
              </w:rPr>
              <w:t>若因我方原因，工程在竣工验收或分部分项工程验收时没有达到合格标准</w:t>
            </w:r>
            <w:r>
              <w:rPr>
                <w:rFonts w:hint="eastAsia" w:asciiTheme="minorEastAsia" w:hAnsiTheme="minorEastAsia" w:eastAsiaTheme="minorEastAsia" w:cstheme="minorEastAsia"/>
                <w:color w:val="auto"/>
                <w:sz w:val="21"/>
                <w:szCs w:val="21"/>
                <w:highlight w:val="none"/>
              </w:rPr>
              <w:t>，</w:t>
            </w:r>
            <w:r>
              <w:rPr>
                <w:rFonts w:hint="eastAsia" w:asciiTheme="minorEastAsia" w:hAnsiTheme="minorEastAsia" w:eastAsiaTheme="minorEastAsia" w:cstheme="minorEastAsia"/>
                <w:color w:val="auto"/>
                <w:spacing w:val="-2"/>
                <w:sz w:val="21"/>
                <w:szCs w:val="21"/>
                <w:highlight w:val="none"/>
              </w:rPr>
              <w:t>我方每次（每分部每分项次）验收检查时按</w:t>
            </w:r>
            <w:r>
              <w:rPr>
                <w:rFonts w:hint="eastAsia" w:asciiTheme="minorEastAsia" w:hAnsiTheme="minorEastAsia" w:eastAsiaTheme="minorEastAsia" w:cstheme="minorEastAsia"/>
                <w:color w:val="auto"/>
                <w:sz w:val="21"/>
                <w:szCs w:val="21"/>
                <w:highlight w:val="none"/>
              </w:rPr>
              <w:t>合同价款的</w:t>
            </w:r>
            <w:r>
              <w:rPr>
                <w:rFonts w:hint="eastAsia" w:asciiTheme="minorEastAsia" w:hAnsiTheme="minorEastAsia" w:eastAsiaTheme="minorEastAsia" w:cstheme="minorEastAsia"/>
                <w:color w:val="auto"/>
                <w:sz w:val="21"/>
                <w:szCs w:val="21"/>
                <w:highlight w:val="none"/>
                <w:u w:val="single"/>
              </w:rPr>
              <w:t>1％</w:t>
            </w:r>
            <w:r>
              <w:rPr>
                <w:rFonts w:hint="eastAsia" w:asciiTheme="minorEastAsia" w:hAnsiTheme="minorEastAsia" w:eastAsiaTheme="minorEastAsia" w:cstheme="minorEastAsia"/>
                <w:color w:val="auto"/>
                <w:sz w:val="21"/>
                <w:szCs w:val="21"/>
                <w:highlight w:val="none"/>
              </w:rPr>
              <w:t>向招标人缴纳质量违约金。并达到合格标准为止，同时承担所有的责任及经济损失。</w:t>
            </w:r>
          </w:p>
        </w:tc>
      </w:tr>
      <w:tr w14:paraId="26F8BF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090" w:hRule="atLeast"/>
          <w:jc w:val="center"/>
        </w:trPr>
        <w:tc>
          <w:tcPr>
            <w:tcW w:w="617" w:type="dxa"/>
            <w:shd w:val="clear" w:color="auto" w:fill="auto"/>
            <w:vAlign w:val="center"/>
          </w:tcPr>
          <w:p w14:paraId="594F7E50">
            <w:pPr>
              <w:pStyle w:val="37"/>
              <w:keepNext w:val="0"/>
              <w:keepLines w:val="0"/>
              <w:suppressLineNumbers w:val="0"/>
              <w:spacing w:before="0" w:beforeAutospacing="0" w:after="0" w:afterAutospacing="0" w:line="380" w:lineRule="exact"/>
              <w:ind w:left="0" w:right="0"/>
              <w:jc w:val="center"/>
              <w:rPr>
                <w:rFonts w:hint="default" w:asciiTheme="minorEastAsia" w:hAnsiTheme="minorEastAsia" w:eastAsiaTheme="minorEastAsia" w:cstheme="minorEastAsia"/>
                <w:color w:val="auto"/>
                <w:kern w:val="2"/>
                <w:sz w:val="21"/>
                <w:szCs w:val="21"/>
                <w:highlight w:val="none"/>
                <w:lang w:val="en-US" w:eastAsia="zh-CN" w:bidi="ar-SA"/>
              </w:rPr>
            </w:pPr>
            <w:r>
              <w:rPr>
                <w:rFonts w:hint="eastAsia" w:asciiTheme="minorEastAsia" w:hAnsiTheme="minorEastAsia" w:eastAsiaTheme="minorEastAsia" w:cstheme="minorEastAsia"/>
                <w:color w:val="auto"/>
                <w:sz w:val="21"/>
                <w:szCs w:val="21"/>
                <w:highlight w:val="none"/>
              </w:rPr>
              <w:t>9</w:t>
            </w:r>
          </w:p>
        </w:tc>
        <w:tc>
          <w:tcPr>
            <w:tcW w:w="1133" w:type="dxa"/>
            <w:vAlign w:val="center"/>
          </w:tcPr>
          <w:p w14:paraId="43592D8C">
            <w:pPr>
              <w:pStyle w:val="63"/>
              <w:keepNext w:val="0"/>
              <w:keepLines w:val="0"/>
              <w:suppressLineNumbers w:val="0"/>
              <w:spacing w:before="0" w:beforeAutospacing="0" w:after="0" w:afterAutospacing="0" w:line="380" w:lineRule="exact"/>
              <w:ind w:left="0" w:right="0" w:firstLine="0" w:firstLineChars="0"/>
              <w:jc w:val="center"/>
              <w:rPr>
                <w:rFonts w:hint="default"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账户承诺</w:t>
            </w:r>
          </w:p>
        </w:tc>
        <w:tc>
          <w:tcPr>
            <w:tcW w:w="3277" w:type="dxa"/>
            <w:vAlign w:val="center"/>
          </w:tcPr>
          <w:p w14:paraId="731AE301">
            <w:pPr>
              <w:pStyle w:val="37"/>
              <w:keepNext w:val="0"/>
              <w:keepLines w:val="0"/>
              <w:suppressLineNumbers w:val="0"/>
              <w:spacing w:before="0" w:beforeAutospacing="0" w:after="0" w:afterAutospacing="0" w:line="380" w:lineRule="exact"/>
              <w:ind w:left="0" w:right="0" w:firstLine="560"/>
              <w:rPr>
                <w:rFonts w:hint="default"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pacing w:val="-2"/>
                <w:sz w:val="21"/>
                <w:szCs w:val="21"/>
                <w:highlight w:val="none"/>
              </w:rPr>
              <w:t>我方保证招标人的资金随时可划入合同中规</w:t>
            </w:r>
            <w:bookmarkStart w:id="569" w:name="_Hlt127094672"/>
            <w:bookmarkEnd w:id="569"/>
            <w:r>
              <w:rPr>
                <w:rFonts w:hint="eastAsia" w:asciiTheme="minorEastAsia" w:hAnsiTheme="minorEastAsia" w:eastAsiaTheme="minorEastAsia" w:cstheme="minorEastAsia"/>
                <w:color w:val="auto"/>
                <w:spacing w:val="-2"/>
                <w:sz w:val="21"/>
                <w:szCs w:val="21"/>
                <w:highlight w:val="none"/>
              </w:rPr>
              <w:t>定的我方</w:t>
            </w:r>
            <w:r>
              <w:rPr>
                <w:rFonts w:hint="eastAsia" w:asciiTheme="minorEastAsia" w:hAnsiTheme="minorEastAsia" w:eastAsiaTheme="minorEastAsia" w:cstheme="minorEastAsia"/>
                <w:color w:val="auto"/>
                <w:sz w:val="21"/>
                <w:szCs w:val="21"/>
                <w:highlight w:val="none"/>
              </w:rPr>
              <w:t>账</w:t>
            </w:r>
            <w:r>
              <w:rPr>
                <w:rFonts w:hint="eastAsia" w:asciiTheme="minorEastAsia" w:hAnsiTheme="minorEastAsia" w:eastAsiaTheme="minorEastAsia" w:cstheme="minorEastAsia"/>
                <w:color w:val="auto"/>
                <w:spacing w:val="-2"/>
                <w:sz w:val="21"/>
                <w:szCs w:val="21"/>
                <w:highlight w:val="none"/>
              </w:rPr>
              <w:t>户。</w:t>
            </w:r>
          </w:p>
        </w:tc>
        <w:tc>
          <w:tcPr>
            <w:tcW w:w="4911" w:type="dxa"/>
            <w:vAlign w:val="center"/>
          </w:tcPr>
          <w:p w14:paraId="4AA27B53">
            <w:pPr>
              <w:pStyle w:val="63"/>
              <w:keepNext w:val="0"/>
              <w:keepLines w:val="0"/>
              <w:suppressLineNumbers w:val="0"/>
              <w:spacing w:before="0" w:beforeAutospacing="0" w:after="0" w:afterAutospacing="0" w:line="380" w:lineRule="exact"/>
              <w:ind w:left="0" w:right="0" w:firstLine="412"/>
              <w:rPr>
                <w:rFonts w:hint="default" w:asciiTheme="minorEastAsia" w:hAnsiTheme="minorEastAsia" w:eastAsiaTheme="minorEastAsia" w:cstheme="minorEastAsia"/>
                <w:color w:val="auto"/>
                <w:spacing w:val="-2"/>
                <w:sz w:val="21"/>
                <w:szCs w:val="21"/>
                <w:highlight w:val="none"/>
              </w:rPr>
            </w:pPr>
            <w:r>
              <w:rPr>
                <w:rFonts w:hint="eastAsia" w:asciiTheme="minorEastAsia" w:hAnsiTheme="minorEastAsia" w:eastAsiaTheme="minorEastAsia" w:cstheme="minorEastAsia"/>
                <w:color w:val="auto"/>
                <w:spacing w:val="-2"/>
                <w:sz w:val="21"/>
                <w:szCs w:val="21"/>
                <w:highlight w:val="none"/>
              </w:rPr>
              <w:t>若因我方原因造成招标人的资金无法划入合同中规定的我方</w:t>
            </w:r>
            <w:r>
              <w:rPr>
                <w:rFonts w:hint="eastAsia" w:asciiTheme="minorEastAsia" w:hAnsiTheme="minorEastAsia" w:eastAsiaTheme="minorEastAsia" w:cstheme="minorEastAsia"/>
                <w:color w:val="auto"/>
                <w:sz w:val="21"/>
                <w:szCs w:val="21"/>
                <w:highlight w:val="none"/>
              </w:rPr>
              <w:t>账</w:t>
            </w:r>
            <w:r>
              <w:rPr>
                <w:rFonts w:hint="eastAsia" w:asciiTheme="minorEastAsia" w:hAnsiTheme="minorEastAsia" w:eastAsiaTheme="minorEastAsia" w:cstheme="minorEastAsia"/>
                <w:color w:val="auto"/>
                <w:spacing w:val="-2"/>
                <w:sz w:val="21"/>
                <w:szCs w:val="21"/>
                <w:highlight w:val="none"/>
              </w:rPr>
              <w:t>户，如时间达到30日历天，招标人有权终止合同。我方承担由此造成的所有责任及经济损失。</w:t>
            </w:r>
          </w:p>
        </w:tc>
      </w:tr>
      <w:tr w14:paraId="21DFCC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683" w:hRule="atLeast"/>
          <w:jc w:val="center"/>
        </w:trPr>
        <w:tc>
          <w:tcPr>
            <w:tcW w:w="617" w:type="dxa"/>
            <w:shd w:val="clear" w:color="auto" w:fill="auto"/>
            <w:vAlign w:val="center"/>
          </w:tcPr>
          <w:p w14:paraId="3D849E25">
            <w:pPr>
              <w:pStyle w:val="37"/>
              <w:keepNext w:val="0"/>
              <w:keepLines w:val="0"/>
              <w:suppressLineNumbers w:val="0"/>
              <w:spacing w:before="0" w:beforeAutospacing="0" w:after="0" w:afterAutospacing="0" w:line="380" w:lineRule="exact"/>
              <w:ind w:left="0" w:right="0"/>
              <w:jc w:val="center"/>
              <w:rPr>
                <w:rFonts w:hint="default" w:asciiTheme="minorEastAsia" w:hAnsiTheme="minorEastAsia" w:eastAsiaTheme="minorEastAsia" w:cstheme="minorEastAsia"/>
                <w:color w:val="auto"/>
                <w:kern w:val="2"/>
                <w:sz w:val="21"/>
                <w:szCs w:val="21"/>
                <w:highlight w:val="none"/>
                <w:lang w:val="en-US" w:eastAsia="zh-CN" w:bidi="ar-SA"/>
              </w:rPr>
            </w:pPr>
            <w:r>
              <w:rPr>
                <w:rFonts w:hint="eastAsia" w:asciiTheme="minorEastAsia" w:hAnsiTheme="minorEastAsia" w:eastAsiaTheme="minorEastAsia" w:cstheme="minorEastAsia"/>
                <w:color w:val="auto"/>
                <w:sz w:val="21"/>
                <w:szCs w:val="21"/>
                <w:highlight w:val="none"/>
              </w:rPr>
              <w:t>10</w:t>
            </w:r>
          </w:p>
        </w:tc>
        <w:tc>
          <w:tcPr>
            <w:tcW w:w="1133" w:type="dxa"/>
            <w:vAlign w:val="center"/>
          </w:tcPr>
          <w:p w14:paraId="227259AF">
            <w:pPr>
              <w:pStyle w:val="63"/>
              <w:keepNext w:val="0"/>
              <w:keepLines w:val="0"/>
              <w:suppressLineNumbers w:val="0"/>
              <w:spacing w:before="0" w:beforeAutospacing="0" w:after="0" w:afterAutospacing="0" w:line="380" w:lineRule="exact"/>
              <w:ind w:left="0" w:right="0" w:firstLine="0" w:firstLineChars="0"/>
              <w:jc w:val="center"/>
              <w:rPr>
                <w:rFonts w:hint="default"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工程的配合服务承诺</w:t>
            </w:r>
          </w:p>
        </w:tc>
        <w:tc>
          <w:tcPr>
            <w:tcW w:w="3277" w:type="dxa"/>
            <w:vAlign w:val="center"/>
          </w:tcPr>
          <w:p w14:paraId="7950F226">
            <w:pPr>
              <w:pStyle w:val="37"/>
              <w:keepNext w:val="0"/>
              <w:keepLines w:val="0"/>
              <w:suppressLineNumbers w:val="0"/>
              <w:spacing w:before="0" w:beforeAutospacing="0" w:after="0" w:afterAutospacing="0" w:line="380" w:lineRule="exact"/>
              <w:ind w:left="0" w:right="0" w:firstLine="560"/>
              <w:rPr>
                <w:rFonts w:hint="default" w:asciiTheme="minorEastAsia" w:hAnsiTheme="minorEastAsia" w:eastAsiaTheme="minorEastAsia" w:cstheme="minorEastAsia"/>
                <w:color w:val="auto"/>
                <w:spacing w:val="-2"/>
                <w:sz w:val="21"/>
                <w:szCs w:val="21"/>
                <w:highlight w:val="none"/>
              </w:rPr>
            </w:pPr>
            <w:r>
              <w:rPr>
                <w:rFonts w:hint="eastAsia" w:asciiTheme="minorEastAsia" w:hAnsiTheme="minorEastAsia" w:eastAsiaTheme="minorEastAsia" w:cstheme="minorEastAsia"/>
                <w:color w:val="auto"/>
                <w:spacing w:val="-2"/>
                <w:sz w:val="21"/>
                <w:szCs w:val="21"/>
                <w:highlight w:val="none"/>
              </w:rPr>
              <w:t>我方服从业主管理，保证配合与工程承包范围内相关的其他标段（工种、分项）工程施工单位的工程施工，不提出额外增加费用的要求。</w:t>
            </w:r>
          </w:p>
        </w:tc>
        <w:tc>
          <w:tcPr>
            <w:tcW w:w="4911" w:type="dxa"/>
            <w:vAlign w:val="center"/>
          </w:tcPr>
          <w:p w14:paraId="55CBD37C">
            <w:pPr>
              <w:pStyle w:val="63"/>
              <w:keepNext w:val="0"/>
              <w:keepLines w:val="0"/>
              <w:suppressLineNumbers w:val="0"/>
              <w:spacing w:before="0" w:beforeAutospacing="0" w:after="0" w:afterAutospacing="0" w:line="380" w:lineRule="exact"/>
              <w:ind w:left="0" w:right="0" w:firstLine="412"/>
              <w:rPr>
                <w:rFonts w:hint="default" w:asciiTheme="minorEastAsia" w:hAnsiTheme="minorEastAsia" w:eastAsiaTheme="minorEastAsia" w:cstheme="minorEastAsia"/>
                <w:color w:val="auto"/>
                <w:spacing w:val="-2"/>
                <w:sz w:val="21"/>
                <w:szCs w:val="21"/>
                <w:highlight w:val="none"/>
              </w:rPr>
            </w:pPr>
            <w:r>
              <w:rPr>
                <w:rFonts w:hint="eastAsia" w:asciiTheme="minorEastAsia" w:hAnsiTheme="minorEastAsia" w:eastAsiaTheme="minorEastAsia" w:cstheme="minorEastAsia"/>
                <w:color w:val="auto"/>
                <w:spacing w:val="-2"/>
                <w:sz w:val="21"/>
                <w:szCs w:val="21"/>
                <w:highlight w:val="none"/>
              </w:rPr>
              <w:t>若因我方未及时配合与工程承包范围内相关的其他标段（工种、分项）工程施工单位的工程施工，给招标人或其他施工单位造成损失的，我方承担所有的责任及经济损失。</w:t>
            </w:r>
          </w:p>
        </w:tc>
      </w:tr>
      <w:tr w14:paraId="088215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764" w:hRule="atLeast"/>
          <w:jc w:val="center"/>
        </w:trPr>
        <w:tc>
          <w:tcPr>
            <w:tcW w:w="617" w:type="dxa"/>
            <w:shd w:val="clear" w:color="auto" w:fill="auto"/>
            <w:vAlign w:val="center"/>
          </w:tcPr>
          <w:p w14:paraId="77471184">
            <w:pPr>
              <w:pStyle w:val="69"/>
              <w:keepNext w:val="0"/>
              <w:keepLines w:val="0"/>
              <w:suppressLineNumbers w:val="0"/>
              <w:spacing w:before="0" w:beforeAutospacing="0" w:after="0" w:afterAutospacing="0" w:line="300" w:lineRule="exact"/>
              <w:ind w:left="0" w:right="0"/>
              <w:jc w:val="center"/>
              <w:rPr>
                <w:rFonts w:hint="eastAsia" w:asciiTheme="minorEastAsia" w:hAnsiTheme="minorEastAsia" w:eastAsiaTheme="minorEastAsia" w:cstheme="minorEastAsia"/>
                <w:color w:val="auto"/>
                <w:kern w:val="2"/>
                <w:sz w:val="21"/>
                <w:szCs w:val="21"/>
                <w:highlight w:val="none"/>
                <w:lang w:val="en-US" w:eastAsia="zh-CN" w:bidi="ar-SA"/>
              </w:rPr>
            </w:pPr>
            <w:r>
              <w:rPr>
                <w:rFonts w:hint="eastAsia" w:asciiTheme="minorEastAsia" w:hAnsiTheme="minorEastAsia" w:eastAsiaTheme="minorEastAsia" w:cstheme="minorEastAsia"/>
                <w:color w:val="auto"/>
                <w:sz w:val="21"/>
                <w:szCs w:val="21"/>
                <w:highlight w:val="none"/>
              </w:rPr>
              <w:t>1</w:t>
            </w:r>
            <w:r>
              <w:rPr>
                <w:rFonts w:hint="eastAsia" w:asciiTheme="minorEastAsia" w:hAnsiTheme="minorEastAsia" w:eastAsiaTheme="minorEastAsia" w:cstheme="minorEastAsia"/>
                <w:color w:val="auto"/>
                <w:sz w:val="21"/>
                <w:szCs w:val="21"/>
                <w:highlight w:val="none"/>
                <w:lang w:val="en-US" w:eastAsia="zh-CN"/>
              </w:rPr>
              <w:t>1</w:t>
            </w:r>
          </w:p>
        </w:tc>
        <w:tc>
          <w:tcPr>
            <w:tcW w:w="1133" w:type="dxa"/>
            <w:vAlign w:val="center"/>
          </w:tcPr>
          <w:p w14:paraId="64079204">
            <w:pPr>
              <w:pStyle w:val="63"/>
              <w:keepNext w:val="0"/>
              <w:keepLines w:val="0"/>
              <w:suppressLineNumbers w:val="0"/>
              <w:spacing w:before="0" w:beforeAutospacing="0" w:after="0" w:afterAutospacing="0" w:line="380" w:lineRule="exact"/>
              <w:ind w:left="0" w:right="0" w:firstLine="210" w:firstLineChars="100"/>
              <w:jc w:val="center"/>
              <w:rPr>
                <w:rFonts w:hint="default"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对支付农民工工资的承诺</w:t>
            </w:r>
          </w:p>
        </w:tc>
        <w:tc>
          <w:tcPr>
            <w:tcW w:w="3277" w:type="dxa"/>
            <w:vAlign w:val="center"/>
          </w:tcPr>
          <w:p w14:paraId="38AEA1FC">
            <w:pPr>
              <w:pStyle w:val="63"/>
              <w:keepNext w:val="0"/>
              <w:keepLines w:val="0"/>
              <w:suppressLineNumbers w:val="0"/>
              <w:spacing w:before="0" w:beforeAutospacing="0" w:after="0" w:afterAutospacing="0" w:line="380" w:lineRule="exact"/>
              <w:ind w:left="0" w:right="0" w:firstLine="206" w:firstLineChars="100"/>
              <w:rPr>
                <w:rFonts w:hint="default"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pacing w:val="-2"/>
                <w:sz w:val="21"/>
                <w:szCs w:val="21"/>
                <w:highlight w:val="none"/>
              </w:rPr>
              <w:t>如我方中标，我方无条件同意按照用工合同支付</w:t>
            </w:r>
            <w:r>
              <w:rPr>
                <w:rFonts w:hint="eastAsia" w:asciiTheme="minorEastAsia" w:hAnsiTheme="minorEastAsia" w:eastAsiaTheme="minorEastAsia" w:cstheme="minorEastAsia"/>
                <w:color w:val="auto"/>
                <w:sz w:val="21"/>
                <w:szCs w:val="21"/>
                <w:highlight w:val="none"/>
              </w:rPr>
              <w:t>农民工工资。</w:t>
            </w:r>
          </w:p>
        </w:tc>
        <w:tc>
          <w:tcPr>
            <w:tcW w:w="4911" w:type="dxa"/>
            <w:vAlign w:val="center"/>
          </w:tcPr>
          <w:p w14:paraId="395DEB1F">
            <w:pPr>
              <w:pStyle w:val="63"/>
              <w:keepNext w:val="0"/>
              <w:keepLines w:val="0"/>
              <w:suppressLineNumbers w:val="0"/>
              <w:spacing w:before="0" w:beforeAutospacing="0" w:after="0" w:afterAutospacing="0" w:line="380" w:lineRule="exact"/>
              <w:ind w:left="0" w:right="0" w:firstLine="412"/>
              <w:rPr>
                <w:rFonts w:hint="default"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pacing w:val="-2"/>
                <w:sz w:val="21"/>
                <w:szCs w:val="21"/>
                <w:highlight w:val="none"/>
              </w:rPr>
              <w:t>如我方中标，我方无条件同意按照用工合同支付</w:t>
            </w:r>
            <w:r>
              <w:rPr>
                <w:rFonts w:hint="eastAsia" w:asciiTheme="minorEastAsia" w:hAnsiTheme="minorEastAsia" w:eastAsiaTheme="minorEastAsia" w:cstheme="minorEastAsia"/>
                <w:color w:val="auto"/>
                <w:sz w:val="21"/>
                <w:szCs w:val="21"/>
                <w:highlight w:val="none"/>
              </w:rPr>
              <w:t>农民工工资。否则，招标人有权终止合同，扣除履约保证金，并由招标人先行垫付农民工被拖欠的工资，数额以未结清的工程数为限。</w:t>
            </w:r>
          </w:p>
        </w:tc>
      </w:tr>
      <w:tr w14:paraId="6F9491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0" w:hRule="atLeast"/>
          <w:jc w:val="center"/>
        </w:trPr>
        <w:tc>
          <w:tcPr>
            <w:tcW w:w="617" w:type="dxa"/>
            <w:shd w:val="clear" w:color="auto" w:fill="auto"/>
            <w:vAlign w:val="center"/>
          </w:tcPr>
          <w:p w14:paraId="54F850DD">
            <w:pPr>
              <w:pStyle w:val="37"/>
              <w:keepNext w:val="0"/>
              <w:keepLines w:val="0"/>
              <w:suppressLineNumbers w:val="0"/>
              <w:spacing w:before="0" w:beforeAutospacing="0" w:after="0" w:afterAutospacing="0" w:line="380" w:lineRule="exact"/>
              <w:ind w:left="0" w:right="0"/>
              <w:jc w:val="center"/>
              <w:rPr>
                <w:rFonts w:hint="eastAsia" w:asciiTheme="minorEastAsia" w:hAnsiTheme="minorEastAsia" w:eastAsiaTheme="minorEastAsia" w:cstheme="minorEastAsia"/>
                <w:color w:val="auto"/>
                <w:kern w:val="2"/>
                <w:sz w:val="21"/>
                <w:szCs w:val="21"/>
                <w:highlight w:val="none"/>
                <w:lang w:val="en-US" w:eastAsia="zh-CN" w:bidi="ar-SA"/>
              </w:rPr>
            </w:pPr>
            <w:r>
              <w:rPr>
                <w:rFonts w:hint="eastAsia" w:asciiTheme="minorEastAsia" w:hAnsiTheme="minorEastAsia" w:eastAsiaTheme="minorEastAsia" w:cstheme="minorEastAsia"/>
                <w:color w:val="auto"/>
                <w:sz w:val="21"/>
                <w:szCs w:val="21"/>
                <w:highlight w:val="none"/>
              </w:rPr>
              <w:t>1</w:t>
            </w:r>
            <w:r>
              <w:rPr>
                <w:rFonts w:hint="eastAsia" w:asciiTheme="minorEastAsia" w:hAnsiTheme="minorEastAsia" w:eastAsiaTheme="minorEastAsia" w:cstheme="minorEastAsia"/>
                <w:color w:val="auto"/>
                <w:sz w:val="21"/>
                <w:szCs w:val="21"/>
                <w:highlight w:val="none"/>
                <w:lang w:val="en-US" w:eastAsia="zh-CN"/>
              </w:rPr>
              <w:t>2</w:t>
            </w:r>
          </w:p>
        </w:tc>
        <w:tc>
          <w:tcPr>
            <w:tcW w:w="1133" w:type="dxa"/>
            <w:vAlign w:val="center"/>
          </w:tcPr>
          <w:p w14:paraId="41369E05">
            <w:pPr>
              <w:pStyle w:val="63"/>
              <w:keepNext w:val="0"/>
              <w:keepLines w:val="0"/>
              <w:suppressLineNumbers w:val="0"/>
              <w:spacing w:before="0" w:beforeAutospacing="0" w:after="0" w:afterAutospacing="0" w:line="380" w:lineRule="exact"/>
              <w:ind w:left="0" w:right="0" w:firstLine="210" w:firstLineChars="100"/>
              <w:jc w:val="center"/>
              <w:rPr>
                <w:rFonts w:hint="default"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施工组织设计承诺</w:t>
            </w:r>
          </w:p>
        </w:tc>
        <w:tc>
          <w:tcPr>
            <w:tcW w:w="3277" w:type="dxa"/>
            <w:vAlign w:val="center"/>
          </w:tcPr>
          <w:p w14:paraId="5E44691E">
            <w:pPr>
              <w:pStyle w:val="63"/>
              <w:keepNext w:val="0"/>
              <w:keepLines w:val="0"/>
              <w:suppressLineNumbers w:val="0"/>
              <w:spacing w:before="0" w:beforeAutospacing="0" w:after="0" w:afterAutospacing="0" w:line="380" w:lineRule="exact"/>
              <w:ind w:left="0" w:right="0" w:firstLine="210" w:firstLineChars="100"/>
              <w:rPr>
                <w:rFonts w:hint="default"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我方保证施工组织设计按照国</w:t>
            </w:r>
            <w:r>
              <w:rPr>
                <w:rFonts w:hint="eastAsia" w:asciiTheme="minorEastAsia" w:hAnsiTheme="minorEastAsia" w:eastAsiaTheme="minorEastAsia" w:cstheme="minorEastAsia"/>
                <w:color w:val="auto"/>
                <w:sz w:val="21"/>
                <w:szCs w:val="21"/>
                <w:highlight w:val="none"/>
                <w:lang w:eastAsia="zh-CN"/>
              </w:rPr>
              <w:t>家和</w:t>
            </w:r>
            <w:r>
              <w:rPr>
                <w:rFonts w:hint="eastAsia" w:asciiTheme="minorEastAsia" w:hAnsiTheme="minorEastAsia" w:eastAsiaTheme="minorEastAsia" w:cstheme="minorEastAsia"/>
                <w:color w:val="auto"/>
                <w:sz w:val="21"/>
                <w:szCs w:val="21"/>
                <w:highlight w:val="none"/>
              </w:rPr>
              <w:t>省市有关规定进行编写。</w:t>
            </w:r>
          </w:p>
        </w:tc>
        <w:tc>
          <w:tcPr>
            <w:tcW w:w="4911" w:type="dxa"/>
            <w:vAlign w:val="center"/>
          </w:tcPr>
          <w:p w14:paraId="0B074CFE">
            <w:pPr>
              <w:pStyle w:val="63"/>
              <w:keepNext w:val="0"/>
              <w:keepLines w:val="0"/>
              <w:suppressLineNumbers w:val="0"/>
              <w:spacing w:before="0" w:beforeAutospacing="0" w:after="0" w:afterAutospacing="0" w:line="380" w:lineRule="exact"/>
              <w:ind w:left="0" w:right="0" w:firstLine="210" w:firstLineChars="100"/>
              <w:rPr>
                <w:rFonts w:hint="default"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如我方的施工组织设计未根据招标项目情况按照国</w:t>
            </w:r>
            <w:r>
              <w:rPr>
                <w:rFonts w:hint="eastAsia" w:asciiTheme="minorEastAsia" w:hAnsiTheme="minorEastAsia" w:eastAsiaTheme="minorEastAsia" w:cstheme="minorEastAsia"/>
                <w:color w:val="auto"/>
                <w:sz w:val="21"/>
                <w:szCs w:val="21"/>
                <w:highlight w:val="none"/>
                <w:lang w:eastAsia="zh-CN"/>
              </w:rPr>
              <w:t>家和</w:t>
            </w:r>
            <w:r>
              <w:rPr>
                <w:rFonts w:hint="eastAsia" w:asciiTheme="minorEastAsia" w:hAnsiTheme="minorEastAsia" w:eastAsiaTheme="minorEastAsia" w:cstheme="minorEastAsia"/>
                <w:color w:val="auto"/>
                <w:sz w:val="21"/>
                <w:szCs w:val="21"/>
                <w:highlight w:val="none"/>
              </w:rPr>
              <w:t>省市有关规定进行编写的，扣除全部履约保证金。</w:t>
            </w:r>
          </w:p>
        </w:tc>
      </w:tr>
      <w:tr w14:paraId="160C30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74" w:hRule="atLeast"/>
          <w:jc w:val="center"/>
        </w:trPr>
        <w:tc>
          <w:tcPr>
            <w:tcW w:w="617" w:type="dxa"/>
            <w:shd w:val="clear" w:color="auto" w:fill="auto"/>
            <w:vAlign w:val="center"/>
          </w:tcPr>
          <w:p w14:paraId="1C38BEB9">
            <w:pPr>
              <w:pStyle w:val="37"/>
              <w:keepNext w:val="0"/>
              <w:keepLines w:val="0"/>
              <w:suppressLineNumbers w:val="0"/>
              <w:spacing w:before="0" w:beforeAutospacing="0" w:after="0" w:afterAutospacing="0" w:line="380" w:lineRule="exact"/>
              <w:ind w:left="0" w:right="0"/>
              <w:jc w:val="center"/>
              <w:rPr>
                <w:rFonts w:hint="eastAsia" w:asciiTheme="minorEastAsia" w:hAnsiTheme="minorEastAsia" w:eastAsiaTheme="minorEastAsia" w:cstheme="minorEastAsia"/>
                <w:color w:val="auto"/>
                <w:kern w:val="2"/>
                <w:sz w:val="21"/>
                <w:szCs w:val="21"/>
                <w:highlight w:val="none"/>
                <w:lang w:val="en-US" w:eastAsia="zh-CN" w:bidi="ar-SA"/>
              </w:rPr>
            </w:pPr>
            <w:r>
              <w:rPr>
                <w:rFonts w:hint="eastAsia" w:asciiTheme="minorEastAsia" w:hAnsiTheme="minorEastAsia" w:eastAsiaTheme="minorEastAsia" w:cstheme="minorEastAsia"/>
                <w:color w:val="auto"/>
                <w:sz w:val="21"/>
                <w:szCs w:val="21"/>
                <w:highlight w:val="none"/>
              </w:rPr>
              <w:t>1</w:t>
            </w:r>
            <w:r>
              <w:rPr>
                <w:rFonts w:hint="eastAsia" w:asciiTheme="minorEastAsia" w:hAnsiTheme="minorEastAsia" w:eastAsiaTheme="minorEastAsia" w:cstheme="minorEastAsia"/>
                <w:color w:val="auto"/>
                <w:sz w:val="21"/>
                <w:szCs w:val="21"/>
                <w:highlight w:val="none"/>
                <w:lang w:val="en-US" w:eastAsia="zh-CN"/>
              </w:rPr>
              <w:t>3</w:t>
            </w:r>
          </w:p>
        </w:tc>
        <w:tc>
          <w:tcPr>
            <w:tcW w:w="1133" w:type="dxa"/>
            <w:vAlign w:val="center"/>
          </w:tcPr>
          <w:p w14:paraId="2D8CEDD0">
            <w:pPr>
              <w:pStyle w:val="69"/>
              <w:keepNext w:val="0"/>
              <w:keepLines w:val="0"/>
              <w:suppressLineNumbers w:val="0"/>
              <w:spacing w:before="0" w:beforeAutospacing="0" w:after="0" w:afterAutospacing="0" w:line="300" w:lineRule="exact"/>
              <w:ind w:left="0" w:right="0"/>
              <w:jc w:val="center"/>
              <w:rPr>
                <w:rFonts w:hint="default"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pacing w:val="-2"/>
                <w:sz w:val="21"/>
                <w:szCs w:val="21"/>
                <w:highlight w:val="none"/>
              </w:rPr>
              <w:t>设计承诺</w:t>
            </w:r>
          </w:p>
        </w:tc>
        <w:tc>
          <w:tcPr>
            <w:tcW w:w="3277" w:type="dxa"/>
            <w:vAlign w:val="center"/>
          </w:tcPr>
          <w:p w14:paraId="55F57784">
            <w:pPr>
              <w:pStyle w:val="70"/>
              <w:keepNext w:val="0"/>
              <w:keepLines w:val="0"/>
              <w:suppressLineNumbers w:val="0"/>
              <w:spacing w:before="0" w:beforeAutospacing="0" w:after="0" w:afterAutospacing="0" w:line="300" w:lineRule="exact"/>
              <w:ind w:left="0" w:leftChars="0" w:right="0" w:firstLine="412" w:firstLineChars="200"/>
              <w:rPr>
                <w:rFonts w:hint="default"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pacing w:val="-2"/>
                <w:sz w:val="21"/>
                <w:szCs w:val="21"/>
                <w:highlight w:val="none"/>
              </w:rPr>
              <w:t>如我方中标，我方保证按设计规范及有关法律法规进行设计，并准时提供设计文件和施工图预算，相应设计文件经审图机构审查通过</w:t>
            </w:r>
            <w:r>
              <w:rPr>
                <w:rFonts w:hint="eastAsia" w:asciiTheme="minorEastAsia" w:hAnsiTheme="minorEastAsia" w:eastAsiaTheme="minorEastAsia" w:cstheme="minorEastAsia"/>
                <w:color w:val="auto"/>
                <w:sz w:val="21"/>
                <w:szCs w:val="21"/>
                <w:highlight w:val="none"/>
              </w:rPr>
              <w:t>。</w:t>
            </w:r>
          </w:p>
        </w:tc>
        <w:tc>
          <w:tcPr>
            <w:tcW w:w="4911" w:type="dxa"/>
            <w:vAlign w:val="center"/>
          </w:tcPr>
          <w:p w14:paraId="597030BF">
            <w:pPr>
              <w:pStyle w:val="70"/>
              <w:keepNext w:val="0"/>
              <w:keepLines w:val="0"/>
              <w:suppressLineNumbers w:val="0"/>
              <w:spacing w:before="0" w:beforeAutospacing="0" w:after="0" w:afterAutospacing="0" w:line="300" w:lineRule="exact"/>
              <w:ind w:left="0" w:leftChars="0" w:right="0" w:firstLine="412" w:firstLineChars="200"/>
              <w:rPr>
                <w:rFonts w:hint="default"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pacing w:val="-2"/>
                <w:sz w:val="21"/>
                <w:szCs w:val="21"/>
                <w:highlight w:val="none"/>
              </w:rPr>
              <w:t>如我方中标，未能按招标文件要求提供设计文件和施工图预算</w:t>
            </w:r>
            <w:r>
              <w:rPr>
                <w:rFonts w:hint="eastAsia" w:asciiTheme="minorEastAsia" w:hAnsiTheme="minorEastAsia" w:eastAsiaTheme="minorEastAsia" w:cstheme="minorEastAsia"/>
                <w:color w:val="auto"/>
                <w:sz w:val="21"/>
                <w:szCs w:val="21"/>
                <w:highlight w:val="none"/>
              </w:rPr>
              <w:t>，招标人有权终止合同，扣除设计费的10%作为违约罚款，并由招标人另行委托相应资质的单位进行设计，其费用由中标人支付，施工工期不予顺延且不另外计取赶工措施费。</w:t>
            </w:r>
          </w:p>
          <w:p w14:paraId="27C293EB">
            <w:pPr>
              <w:pStyle w:val="70"/>
              <w:keepNext w:val="0"/>
              <w:keepLines w:val="0"/>
              <w:suppressLineNumbers w:val="0"/>
              <w:spacing w:before="0" w:beforeAutospacing="0" w:after="0" w:afterAutospacing="0" w:line="300" w:lineRule="exact"/>
              <w:ind w:left="0" w:leftChars="0" w:right="0" w:firstLine="420" w:firstLineChars="200"/>
              <w:rPr>
                <w:rFonts w:hint="default" w:asciiTheme="minorEastAsia" w:hAnsiTheme="minorEastAsia" w:eastAsiaTheme="minorEastAsia" w:cstheme="minorEastAsia"/>
                <w:snapToGrid w:val="0"/>
                <w:color w:val="auto"/>
                <w:sz w:val="21"/>
                <w:szCs w:val="21"/>
                <w:highlight w:val="none"/>
              </w:rPr>
            </w:pPr>
            <w:r>
              <w:rPr>
                <w:rFonts w:hint="eastAsia" w:asciiTheme="minorEastAsia" w:hAnsiTheme="minorEastAsia" w:eastAsiaTheme="minorEastAsia" w:cstheme="minorEastAsia"/>
                <w:snapToGrid w:val="0"/>
                <w:color w:val="auto"/>
                <w:sz w:val="21"/>
                <w:szCs w:val="21"/>
                <w:highlight w:val="none"/>
              </w:rPr>
              <w:t>由于设计单位设计工作错误造成工程设计质量事故，根据责任情况，按招标文件及合同相应违约条款的约定处理。负责采取补救措施。</w:t>
            </w:r>
          </w:p>
          <w:p w14:paraId="76D629CA">
            <w:pPr>
              <w:pStyle w:val="70"/>
              <w:keepNext w:val="0"/>
              <w:keepLines w:val="0"/>
              <w:suppressLineNumbers w:val="0"/>
              <w:spacing w:before="0" w:beforeAutospacing="0" w:after="0" w:afterAutospacing="0" w:line="300" w:lineRule="exact"/>
              <w:ind w:left="0" w:leftChars="0" w:right="0" w:firstLine="420" w:firstLineChars="200"/>
              <w:rPr>
                <w:rFonts w:hint="default" w:asciiTheme="minorEastAsia" w:hAnsiTheme="minorEastAsia" w:eastAsiaTheme="minorEastAsia" w:cstheme="minorEastAsia"/>
                <w:snapToGrid w:val="0"/>
                <w:color w:val="auto"/>
                <w:sz w:val="21"/>
                <w:szCs w:val="21"/>
                <w:highlight w:val="none"/>
              </w:rPr>
            </w:pPr>
            <w:r>
              <w:rPr>
                <w:rFonts w:hint="eastAsia" w:asciiTheme="minorEastAsia" w:hAnsiTheme="minorEastAsia" w:eastAsiaTheme="minorEastAsia" w:cstheme="minorEastAsia"/>
                <w:snapToGrid w:val="0"/>
                <w:color w:val="auto"/>
                <w:sz w:val="21"/>
                <w:szCs w:val="21"/>
                <w:highlight w:val="none"/>
              </w:rPr>
              <w:t>施工期间</w:t>
            </w:r>
            <w:r>
              <w:rPr>
                <w:rFonts w:hint="eastAsia" w:asciiTheme="minorEastAsia" w:hAnsiTheme="minorEastAsia" w:eastAsiaTheme="minorEastAsia" w:cstheme="minorEastAsia"/>
                <w:bCs/>
                <w:snapToGrid w:val="0"/>
                <w:color w:val="auto"/>
                <w:sz w:val="21"/>
                <w:szCs w:val="21"/>
                <w:highlight w:val="none"/>
              </w:rPr>
              <w:t>除招标人要求或特殊地质原因外，</w:t>
            </w:r>
            <w:r>
              <w:rPr>
                <w:rFonts w:hint="eastAsia" w:asciiTheme="minorEastAsia" w:hAnsiTheme="minorEastAsia" w:eastAsiaTheme="minorEastAsia" w:cstheme="minorEastAsia"/>
                <w:snapToGrid w:val="0"/>
                <w:color w:val="auto"/>
                <w:sz w:val="21"/>
                <w:szCs w:val="21"/>
                <w:highlight w:val="none"/>
              </w:rPr>
              <w:t>因设计质量和深度不够的原因引起的工程返工或需要设计变更引起工程造价增加的，每次扣减设计合同价款中设计费的2％，扣完为止。</w:t>
            </w:r>
          </w:p>
          <w:p w14:paraId="38600EA3">
            <w:pPr>
              <w:pStyle w:val="70"/>
              <w:keepNext w:val="0"/>
              <w:keepLines w:val="0"/>
              <w:suppressLineNumbers w:val="0"/>
              <w:spacing w:before="0" w:beforeAutospacing="0" w:after="0" w:afterAutospacing="0" w:line="300" w:lineRule="exact"/>
              <w:ind w:left="0" w:leftChars="0" w:right="0" w:firstLine="420" w:firstLineChars="200"/>
              <w:rPr>
                <w:rFonts w:hint="default"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snapToGrid w:val="0"/>
                <w:color w:val="auto"/>
                <w:sz w:val="21"/>
                <w:szCs w:val="21"/>
                <w:highlight w:val="none"/>
              </w:rPr>
              <w:t>因设计单位自身原因造成工程结算超施工招标中标价的，扣除应付设计合同价款中的余款。</w:t>
            </w:r>
          </w:p>
        </w:tc>
      </w:tr>
      <w:tr w14:paraId="4A9751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450" w:hRule="atLeast"/>
          <w:jc w:val="center"/>
        </w:trPr>
        <w:tc>
          <w:tcPr>
            <w:tcW w:w="617" w:type="dxa"/>
            <w:shd w:val="clear" w:color="auto" w:fill="auto"/>
            <w:vAlign w:val="center"/>
          </w:tcPr>
          <w:p w14:paraId="5E7DC27B">
            <w:pPr>
              <w:pStyle w:val="7"/>
              <w:keepNext w:val="0"/>
              <w:keepLines w:val="0"/>
              <w:suppressLineNumbers w:val="0"/>
              <w:spacing w:before="0" w:beforeAutospacing="0" w:after="0" w:afterAutospacing="0" w:line="380" w:lineRule="exact"/>
              <w:ind w:left="0" w:right="0"/>
              <w:jc w:val="center"/>
              <w:rPr>
                <w:rFonts w:hint="eastAsia" w:asciiTheme="minorEastAsia" w:hAnsiTheme="minorEastAsia" w:eastAsiaTheme="minorEastAsia" w:cstheme="minorEastAsia"/>
                <w:color w:val="auto"/>
                <w:kern w:val="2"/>
                <w:sz w:val="24"/>
                <w:szCs w:val="21"/>
                <w:highlight w:val="none"/>
                <w:lang w:val="en-US" w:eastAsia="zh-CN" w:bidi="ar-SA"/>
              </w:rPr>
            </w:pPr>
            <w:r>
              <w:rPr>
                <w:rFonts w:hint="eastAsia" w:asciiTheme="minorEastAsia" w:hAnsiTheme="minorEastAsia" w:eastAsiaTheme="minorEastAsia" w:cstheme="minorEastAsia"/>
                <w:color w:val="auto"/>
                <w:sz w:val="24"/>
                <w:szCs w:val="21"/>
                <w:highlight w:val="none"/>
              </w:rPr>
              <w:t>1</w:t>
            </w:r>
            <w:r>
              <w:rPr>
                <w:rFonts w:hint="eastAsia" w:asciiTheme="minorEastAsia" w:hAnsiTheme="minorEastAsia" w:eastAsiaTheme="minorEastAsia" w:cstheme="minorEastAsia"/>
                <w:color w:val="auto"/>
                <w:sz w:val="24"/>
                <w:szCs w:val="21"/>
                <w:highlight w:val="none"/>
                <w:lang w:val="en-US" w:eastAsia="zh-CN"/>
              </w:rPr>
              <w:t>4</w:t>
            </w:r>
          </w:p>
        </w:tc>
        <w:tc>
          <w:tcPr>
            <w:tcW w:w="1133" w:type="dxa"/>
            <w:vAlign w:val="center"/>
          </w:tcPr>
          <w:p w14:paraId="27F9AEC5">
            <w:pPr>
              <w:pStyle w:val="63"/>
              <w:keepNext w:val="0"/>
              <w:keepLines w:val="0"/>
              <w:suppressLineNumbers w:val="0"/>
              <w:spacing w:before="0" w:beforeAutospacing="0" w:after="0" w:afterAutospacing="0" w:line="380" w:lineRule="exact"/>
              <w:ind w:left="0" w:right="0" w:firstLine="0" w:firstLineChars="0"/>
              <w:jc w:val="center"/>
              <w:rPr>
                <w:rFonts w:hint="default"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综合服务能力承诺</w:t>
            </w:r>
          </w:p>
        </w:tc>
        <w:tc>
          <w:tcPr>
            <w:tcW w:w="3277" w:type="dxa"/>
            <w:vAlign w:val="center"/>
          </w:tcPr>
          <w:p w14:paraId="53D5E261">
            <w:pPr>
              <w:pStyle w:val="63"/>
              <w:keepNext w:val="0"/>
              <w:keepLines w:val="0"/>
              <w:suppressLineNumbers w:val="0"/>
              <w:spacing w:before="0" w:beforeAutospacing="0" w:after="0" w:afterAutospacing="0" w:line="380" w:lineRule="exact"/>
              <w:ind w:left="0" w:right="0" w:firstLine="420"/>
              <w:rPr>
                <w:rFonts w:hint="default"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我方保证中标后，自行解决施工中遇到的各种外部问题，协调周边企业、村民关系，并承担由此产生的所有责任及损失。</w:t>
            </w:r>
          </w:p>
        </w:tc>
        <w:tc>
          <w:tcPr>
            <w:tcW w:w="4911" w:type="dxa"/>
            <w:vAlign w:val="center"/>
          </w:tcPr>
          <w:p w14:paraId="50D1D6D8">
            <w:pPr>
              <w:pStyle w:val="63"/>
              <w:keepNext w:val="0"/>
              <w:keepLines w:val="0"/>
              <w:suppressLineNumbers w:val="0"/>
              <w:spacing w:before="0" w:beforeAutospacing="0" w:after="0" w:afterAutospacing="0" w:line="380" w:lineRule="exact"/>
              <w:ind w:left="0" w:right="0" w:firstLine="420"/>
              <w:jc w:val="left"/>
              <w:rPr>
                <w:rFonts w:hint="default"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若我方未能按招标文件所承诺的各项承诺完成时，我方同意按比例扣除相应履约保证金，并承担由此引起的所有责任。</w:t>
            </w:r>
          </w:p>
        </w:tc>
      </w:tr>
      <w:tr w14:paraId="405B66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810" w:hRule="atLeast"/>
          <w:jc w:val="center"/>
        </w:trPr>
        <w:tc>
          <w:tcPr>
            <w:tcW w:w="617" w:type="dxa"/>
            <w:shd w:val="clear" w:color="auto" w:fill="auto"/>
            <w:vAlign w:val="center"/>
          </w:tcPr>
          <w:p w14:paraId="3B60EB93">
            <w:pPr>
              <w:pStyle w:val="7"/>
              <w:keepNext w:val="0"/>
              <w:keepLines w:val="0"/>
              <w:suppressLineNumbers w:val="0"/>
              <w:spacing w:before="0" w:beforeAutospacing="0" w:after="0" w:afterAutospacing="0" w:line="380" w:lineRule="exact"/>
              <w:ind w:left="0" w:right="0"/>
              <w:jc w:val="center"/>
              <w:rPr>
                <w:rFonts w:hint="eastAsia" w:asciiTheme="minorEastAsia" w:hAnsiTheme="minorEastAsia" w:eastAsiaTheme="minorEastAsia" w:cstheme="minorEastAsia"/>
                <w:color w:val="auto"/>
                <w:kern w:val="2"/>
                <w:sz w:val="24"/>
                <w:szCs w:val="21"/>
                <w:highlight w:val="none"/>
                <w:lang w:val="en-US" w:eastAsia="zh-CN" w:bidi="ar-SA"/>
              </w:rPr>
            </w:pPr>
            <w:r>
              <w:rPr>
                <w:rFonts w:hint="eastAsia" w:asciiTheme="minorEastAsia" w:hAnsiTheme="minorEastAsia" w:eastAsiaTheme="minorEastAsia" w:cstheme="minorEastAsia"/>
                <w:color w:val="auto"/>
                <w:sz w:val="24"/>
                <w:szCs w:val="21"/>
                <w:highlight w:val="none"/>
              </w:rPr>
              <w:t>1</w:t>
            </w:r>
            <w:r>
              <w:rPr>
                <w:rFonts w:hint="eastAsia" w:asciiTheme="minorEastAsia" w:hAnsiTheme="minorEastAsia" w:eastAsiaTheme="minorEastAsia" w:cstheme="minorEastAsia"/>
                <w:color w:val="auto"/>
                <w:sz w:val="24"/>
                <w:szCs w:val="21"/>
                <w:highlight w:val="none"/>
                <w:lang w:val="en-US" w:eastAsia="zh-CN"/>
              </w:rPr>
              <w:t>5</w:t>
            </w:r>
          </w:p>
        </w:tc>
        <w:tc>
          <w:tcPr>
            <w:tcW w:w="1133" w:type="dxa"/>
            <w:vAlign w:val="center"/>
          </w:tcPr>
          <w:p w14:paraId="37A1570A">
            <w:pPr>
              <w:pStyle w:val="63"/>
              <w:keepNext w:val="0"/>
              <w:keepLines w:val="0"/>
              <w:suppressLineNumbers w:val="0"/>
              <w:spacing w:before="0" w:beforeAutospacing="0" w:after="0" w:afterAutospacing="0" w:line="380" w:lineRule="exact"/>
              <w:ind w:left="0" w:right="0" w:firstLine="210" w:firstLineChars="100"/>
              <w:rPr>
                <w:rFonts w:hint="default"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廉政承诺</w:t>
            </w:r>
          </w:p>
        </w:tc>
        <w:tc>
          <w:tcPr>
            <w:tcW w:w="3277" w:type="dxa"/>
            <w:vAlign w:val="center"/>
          </w:tcPr>
          <w:p w14:paraId="3D2B6727">
            <w:pPr>
              <w:pStyle w:val="63"/>
              <w:keepNext w:val="0"/>
              <w:keepLines w:val="0"/>
              <w:suppressLineNumbers w:val="0"/>
              <w:spacing w:before="0" w:beforeAutospacing="0" w:after="0" w:afterAutospacing="0" w:line="380" w:lineRule="exact"/>
              <w:ind w:left="0" w:right="0" w:firstLine="420"/>
              <w:rPr>
                <w:rFonts w:hint="default"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如我方中标，我方将严格执行国家、广东省、韶关市有关工程建设廉政的有关法律法规及双方签订的廉政合同。</w:t>
            </w:r>
          </w:p>
        </w:tc>
        <w:tc>
          <w:tcPr>
            <w:tcW w:w="4911" w:type="dxa"/>
            <w:vAlign w:val="center"/>
          </w:tcPr>
          <w:p w14:paraId="33D4301B">
            <w:pPr>
              <w:pStyle w:val="63"/>
              <w:keepNext w:val="0"/>
              <w:keepLines w:val="0"/>
              <w:suppressLineNumbers w:val="0"/>
              <w:spacing w:before="0" w:beforeAutospacing="0" w:after="0" w:afterAutospacing="0" w:line="380" w:lineRule="exact"/>
              <w:ind w:left="0" w:right="0" w:firstLine="420"/>
              <w:rPr>
                <w:rFonts w:hint="default"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如我方违反国家、广东省、韶关市有关工程建设廉政的有关法律法规及双方签订的廉政合同，受到相关主管部门的通报或查处，招标人可按规定对我方进行处罚，情节严重时招标人可终止合同，我方承担由此造成的所有责任和经济损失。</w:t>
            </w:r>
          </w:p>
        </w:tc>
      </w:tr>
      <w:tr w14:paraId="0CDEE6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904" w:hRule="atLeast"/>
          <w:jc w:val="center"/>
        </w:trPr>
        <w:tc>
          <w:tcPr>
            <w:tcW w:w="617" w:type="dxa"/>
            <w:shd w:val="clear" w:color="auto" w:fill="auto"/>
            <w:vAlign w:val="center"/>
          </w:tcPr>
          <w:p w14:paraId="66A77748">
            <w:pPr>
              <w:pStyle w:val="7"/>
              <w:keepNext w:val="0"/>
              <w:keepLines w:val="0"/>
              <w:suppressLineNumbers w:val="0"/>
              <w:spacing w:before="0" w:beforeAutospacing="0" w:after="0" w:afterAutospacing="0" w:line="380" w:lineRule="exact"/>
              <w:ind w:left="0" w:right="0"/>
              <w:jc w:val="center"/>
              <w:rPr>
                <w:rFonts w:hint="eastAsia" w:asciiTheme="minorEastAsia" w:hAnsiTheme="minorEastAsia" w:eastAsiaTheme="minorEastAsia" w:cstheme="minorEastAsia"/>
                <w:color w:val="auto"/>
                <w:kern w:val="2"/>
                <w:sz w:val="24"/>
                <w:szCs w:val="21"/>
                <w:highlight w:val="none"/>
                <w:lang w:val="en-US" w:eastAsia="zh-CN" w:bidi="ar-SA"/>
              </w:rPr>
            </w:pPr>
            <w:r>
              <w:rPr>
                <w:rFonts w:hint="eastAsia" w:asciiTheme="minorEastAsia" w:hAnsiTheme="minorEastAsia" w:eastAsiaTheme="minorEastAsia" w:cstheme="minorEastAsia"/>
                <w:color w:val="auto"/>
                <w:sz w:val="24"/>
                <w:szCs w:val="21"/>
                <w:highlight w:val="none"/>
              </w:rPr>
              <w:t>1</w:t>
            </w:r>
            <w:r>
              <w:rPr>
                <w:rFonts w:hint="eastAsia" w:asciiTheme="minorEastAsia" w:hAnsiTheme="minorEastAsia" w:eastAsiaTheme="minorEastAsia" w:cstheme="minorEastAsia"/>
                <w:color w:val="auto"/>
                <w:sz w:val="24"/>
                <w:szCs w:val="21"/>
                <w:highlight w:val="none"/>
                <w:lang w:val="en-US" w:eastAsia="zh-CN"/>
              </w:rPr>
              <w:t>6</w:t>
            </w:r>
          </w:p>
        </w:tc>
        <w:tc>
          <w:tcPr>
            <w:tcW w:w="1133" w:type="dxa"/>
            <w:vAlign w:val="center"/>
          </w:tcPr>
          <w:p w14:paraId="45D99D61">
            <w:pPr>
              <w:pStyle w:val="63"/>
              <w:keepNext w:val="0"/>
              <w:keepLines w:val="0"/>
              <w:suppressLineNumbers w:val="0"/>
              <w:snapToGrid w:val="0"/>
              <w:spacing w:before="0" w:beforeAutospacing="0" w:after="0" w:afterAutospacing="0" w:line="400" w:lineRule="exact"/>
              <w:ind w:left="0" w:right="0" w:firstLine="0" w:firstLineChars="0"/>
              <w:jc w:val="center"/>
              <w:rPr>
                <w:rFonts w:hint="default"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投标文件</w:t>
            </w:r>
          </w:p>
          <w:p w14:paraId="7EDBC74E">
            <w:pPr>
              <w:pStyle w:val="63"/>
              <w:keepNext w:val="0"/>
              <w:keepLines w:val="0"/>
              <w:suppressLineNumbers w:val="0"/>
              <w:snapToGrid w:val="0"/>
              <w:spacing w:before="0" w:beforeAutospacing="0" w:after="0" w:afterAutospacing="0" w:line="400" w:lineRule="exact"/>
              <w:ind w:left="0" w:right="0" w:firstLine="0" w:firstLineChars="0"/>
              <w:jc w:val="center"/>
              <w:rPr>
                <w:rFonts w:hint="default"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信息公开承诺</w:t>
            </w:r>
          </w:p>
        </w:tc>
        <w:tc>
          <w:tcPr>
            <w:tcW w:w="3277" w:type="dxa"/>
            <w:vAlign w:val="center"/>
          </w:tcPr>
          <w:p w14:paraId="55985166">
            <w:pPr>
              <w:pStyle w:val="63"/>
              <w:keepNext w:val="0"/>
              <w:keepLines w:val="0"/>
              <w:suppressLineNumbers w:val="0"/>
              <w:snapToGrid w:val="0"/>
              <w:spacing w:before="0" w:beforeAutospacing="0" w:after="0" w:afterAutospacing="0" w:line="400" w:lineRule="exact"/>
              <w:ind w:left="0" w:right="0" w:firstLine="420"/>
              <w:rPr>
                <w:rFonts w:hint="default" w:asciiTheme="minorEastAsia" w:hAnsiTheme="minorEastAsia" w:eastAsiaTheme="minorEastAsia" w:cstheme="minorEastAsia"/>
                <w:color w:val="auto"/>
                <w:sz w:val="21"/>
                <w:szCs w:val="21"/>
                <w:highlight w:val="none"/>
              </w:rPr>
            </w:pPr>
            <w:r>
              <w:rPr>
                <w:rFonts w:hint="default" w:asciiTheme="minorEastAsia" w:hAnsiTheme="minorEastAsia" w:eastAsiaTheme="minorEastAsia" w:cstheme="minorEastAsia"/>
                <w:color w:val="auto"/>
                <w:sz w:val="21"/>
                <w:szCs w:val="20"/>
                <w:highlight w:val="none"/>
              </w:rPr>
              <mc:AlternateContent>
                <mc:Choice Requires="wps">
                  <w:drawing>
                    <wp:anchor distT="0" distB="0" distL="114300" distR="114300" simplePos="0" relativeHeight="251664384" behindDoc="0" locked="0" layoutInCell="1" allowOverlap="1">
                      <wp:simplePos x="0" y="0"/>
                      <wp:positionH relativeFrom="column">
                        <wp:posOffset>2085340</wp:posOffset>
                      </wp:positionH>
                      <wp:positionV relativeFrom="paragraph">
                        <wp:posOffset>5715</wp:posOffset>
                      </wp:positionV>
                      <wp:extent cx="3129280" cy="1196340"/>
                      <wp:effectExtent l="1905" t="4445" r="12065" b="18415"/>
                      <wp:wrapNone/>
                      <wp:docPr id="5" name="直线 18"/>
                      <wp:cNvGraphicFramePr/>
                      <a:graphic xmlns:a="http://schemas.openxmlformats.org/drawingml/2006/main">
                        <a:graphicData uri="http://schemas.microsoft.com/office/word/2010/wordprocessingShape">
                          <wps:wsp>
                            <wps:cNvCnPr/>
                            <wps:spPr>
                              <a:xfrm flipV="1">
                                <a:off x="0" y="0"/>
                                <a:ext cx="3129280" cy="1196340"/>
                              </a:xfrm>
                              <a:prstGeom prst="line">
                                <a:avLst/>
                              </a:prstGeom>
                              <a:ln w="9525" cap="flat" cmpd="sng">
                                <a:solidFill>
                                  <a:srgbClr val="000000"/>
                                </a:solidFill>
                                <a:prstDash val="solid"/>
                                <a:headEnd type="none" w="med" len="med"/>
                                <a:tailEnd type="none" w="med" len="med"/>
                              </a:ln>
                              <a:effectLst/>
                            </wps:spPr>
                            <wps:bodyPr upright="1"/>
                          </wps:wsp>
                        </a:graphicData>
                      </a:graphic>
                    </wp:anchor>
                  </w:drawing>
                </mc:Choice>
                <mc:Fallback>
                  <w:pict>
                    <v:line id="直线 18" o:spid="_x0000_s1026" o:spt="20" style="position:absolute;left:0pt;flip:y;margin-left:164.2pt;margin-top:0.45pt;height:94.2pt;width:246.4pt;z-index:251664384;mso-width-relative:page;mso-height-relative:page;" filled="f" stroked="t" coordsize="21600,21600" o:gfxdata="UEsDBAoAAAAAAIdO4kAAAAAAAAAAAAAAAAAEAAAAZHJzL1BLAwQUAAAACACHTuJAiPSxGtYAAAAI&#10;AQAADwAAAGRycy9kb3ducmV2LnhtbE2PQUvEMBCF74L/IYzgzU2airTdpouIehEE1+o5bbJtMZmU&#10;Jttd/73jSY/D+3jvm3p39o6tdolTQAXZRgCz2Acz4aCgfX+6KYDFpNFoF9Aq+LYRds3lRa0rE074&#10;Ztd9GhiVYKy0gjGlueI89qP1Om7CbJGyQ1i8TnQuAzeLPlG5d1wKcce9npAWRj3bh9H2X/ujV3D/&#10;+fKYv66dD86UQ/thfCuepVLXV5nYAkv2nP5g+NUndWjIqQtHNJE5BbksbglVUAKjuJCZBNYRV5Q5&#10;8Kbm/x9ofgBQSwMEFAAAAAgAh07iQKeUgd/7AQAA+gMAAA4AAABkcnMvZTJvRG9jLnhtbK1TO47b&#10;MBDtA+QOBPtYlje7sAXLW6yzaYLEQD79mB+JAH8gacs+S66RKk2Os9fIkFKMzaZxERXEkDN8M+/p&#10;cX1/MpocRYjK2ZbWszklwjLHle1a+vXL45slJTGB5aCdFS09i0jvN69frQffiIXrneYiEASxsRl8&#10;S/uUfFNVkfXCQJw5LywmpQsGEm5DV/EAA6IbXS3m87tqcIH74JiIEU+3Y5JOiOEaQCelYmLr2MEI&#10;m0bUIDQkpBR75SPdlGmlFCx9kjKKRHRLkWkqKzbBeJ/XarOGpgvge8WmEeCaEV5wMqAsNr1AbSEB&#10;OQT1D5RRLLjoZJoxZ6qRSFEEWdTzF9p87sGLwgWljv4ievx/sOzjcReI4i29pcSCwR/+9P3H089f&#10;pF5mcQYfG6x5sLsw7aLfhcz0JIMhUiv/DV1UuCMbcirSni/SilMiDA9v6sVqsUTVGebqenV387aI&#10;X41AGdCHmN4LZ0gOWqqVzdyhgeOHmLA5lv4pycfakqGlq9sFDs4AjSjRABgaj2Si7crd6LTij0rr&#10;fCOGbv+gAzlCNkP5MkXE/assN9lC7Me6khpt0gvg7ywn6exRJouvg+YRjOCUaIGPKUcICE0Cpa+p&#10;xNba5guiWHXimTUfVc7R3vEz/qKDD6rrUZe6zJwzaIky/WTf7Lnne4yfP9nNb1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GoEAABbQ29udGVudF9U&#10;eXBlc10ueG1sUEsBAhQACgAAAAAAh07iQAAAAAAAAAAAAAAAAAYAAAAAAAAAAAAQAAAATAMAAF9y&#10;ZWxzL1BLAQIUABQAAAAIAIdO4kCKFGY80QAAAJQBAAALAAAAAAAAAAEAIAAAAHADAABfcmVscy8u&#10;cmVsc1BLAQIUAAoAAAAAAIdO4kAAAAAAAAAAAAAAAAAEAAAAAAAAAAAAEAAAAAAAAABkcnMvUEsB&#10;AhQAFAAAAAgAh07iQIj0sRrWAAAACAEAAA8AAAAAAAAAAQAgAAAAIgAAAGRycy9kb3ducmV2Lnht&#10;bFBLAQIUABQAAAAIAIdO4kCnlIHf+wEAAPoDAAAOAAAAAAAAAAEAIAAAACUBAABkcnMvZTJvRG9j&#10;LnhtbFBLBQYAAAAABgAGAFkBAACSBQAAAAA=&#10;">
                      <v:fill on="f" focussize="0,0"/>
                      <v:stroke color="#000000" joinstyle="round"/>
                      <v:imagedata o:title=""/>
                      <o:lock v:ext="edit" aspectratio="f"/>
                    </v:line>
                  </w:pict>
                </mc:Fallback>
              </mc:AlternateContent>
            </w:r>
            <w:r>
              <w:rPr>
                <w:rFonts w:hint="eastAsia" w:asciiTheme="minorEastAsia" w:hAnsiTheme="minorEastAsia" w:eastAsiaTheme="minorEastAsia" w:cstheme="minorEastAsia"/>
                <w:color w:val="auto"/>
                <w:sz w:val="21"/>
                <w:szCs w:val="21"/>
                <w:highlight w:val="none"/>
              </w:rPr>
              <w:t>我方提供完整的电子文件。如果我方成为本项目中标候选人，我方同意并授权招标人在评标结果公示期内公开我方商务部分的全部内容。</w:t>
            </w:r>
          </w:p>
        </w:tc>
        <w:tc>
          <w:tcPr>
            <w:tcW w:w="4911" w:type="dxa"/>
            <w:vAlign w:val="center"/>
          </w:tcPr>
          <w:p w14:paraId="79681F5C">
            <w:pPr>
              <w:pStyle w:val="63"/>
              <w:keepNext w:val="0"/>
              <w:keepLines w:val="0"/>
              <w:suppressLineNumbers w:val="0"/>
              <w:snapToGrid w:val="0"/>
              <w:spacing w:before="0" w:beforeAutospacing="0" w:after="0" w:afterAutospacing="0" w:line="240" w:lineRule="auto"/>
              <w:ind w:left="0" w:right="0" w:firstLine="0" w:firstLineChars="0"/>
              <w:rPr>
                <w:rFonts w:hint="default" w:asciiTheme="minorEastAsia" w:hAnsiTheme="minorEastAsia" w:eastAsiaTheme="minorEastAsia" w:cstheme="minorEastAsia"/>
                <w:color w:val="auto"/>
                <w:sz w:val="21"/>
                <w:szCs w:val="21"/>
                <w:highlight w:val="none"/>
              </w:rPr>
            </w:pPr>
          </w:p>
          <w:p w14:paraId="72782FA0">
            <w:pPr>
              <w:pStyle w:val="63"/>
              <w:keepNext w:val="0"/>
              <w:keepLines w:val="0"/>
              <w:suppressLineNumbers w:val="0"/>
              <w:snapToGrid w:val="0"/>
              <w:spacing w:before="0" w:beforeAutospacing="0" w:after="0" w:afterAutospacing="0" w:line="400" w:lineRule="exact"/>
              <w:ind w:left="0" w:right="0" w:firstLine="0" w:firstLineChars="0"/>
              <w:rPr>
                <w:rFonts w:hint="default" w:asciiTheme="minorEastAsia" w:hAnsiTheme="minorEastAsia" w:eastAsiaTheme="minorEastAsia" w:cstheme="minorEastAsia"/>
                <w:color w:val="auto"/>
                <w:sz w:val="21"/>
                <w:szCs w:val="21"/>
                <w:highlight w:val="none"/>
              </w:rPr>
            </w:pPr>
          </w:p>
        </w:tc>
      </w:tr>
      <w:tr w14:paraId="7DEDDF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331" w:hRule="atLeast"/>
          <w:jc w:val="center"/>
        </w:trPr>
        <w:tc>
          <w:tcPr>
            <w:tcW w:w="617" w:type="dxa"/>
            <w:vAlign w:val="center"/>
          </w:tcPr>
          <w:p w14:paraId="1E4F2ED4">
            <w:pPr>
              <w:pStyle w:val="7"/>
              <w:keepNext w:val="0"/>
              <w:keepLines w:val="0"/>
              <w:suppressLineNumbers w:val="0"/>
              <w:spacing w:before="0" w:beforeAutospacing="0" w:after="0" w:afterAutospacing="0" w:line="380" w:lineRule="exact"/>
              <w:ind w:left="0" w:right="0"/>
              <w:jc w:val="center"/>
              <w:rPr>
                <w:rFonts w:hint="default" w:asciiTheme="minorEastAsia" w:hAnsiTheme="minorEastAsia" w:eastAsiaTheme="minorEastAsia" w:cstheme="minorEastAsia"/>
                <w:color w:val="auto"/>
                <w:sz w:val="24"/>
                <w:szCs w:val="21"/>
                <w:highlight w:val="none"/>
                <w:lang w:val="en-US" w:eastAsia="zh-CN"/>
              </w:rPr>
            </w:pPr>
            <w:r>
              <w:rPr>
                <w:rFonts w:hint="eastAsia" w:asciiTheme="minorEastAsia" w:hAnsiTheme="minorEastAsia" w:eastAsiaTheme="minorEastAsia" w:cstheme="minorEastAsia"/>
                <w:color w:val="auto"/>
                <w:sz w:val="24"/>
                <w:szCs w:val="21"/>
                <w:highlight w:val="none"/>
                <w:lang w:val="en-US" w:eastAsia="zh-CN"/>
              </w:rPr>
              <w:t>17</w:t>
            </w:r>
          </w:p>
        </w:tc>
        <w:tc>
          <w:tcPr>
            <w:tcW w:w="1133" w:type="dxa"/>
            <w:vAlign w:val="center"/>
          </w:tcPr>
          <w:p w14:paraId="61655048">
            <w:pPr>
              <w:pStyle w:val="63"/>
              <w:keepNext w:val="0"/>
              <w:keepLines w:val="0"/>
              <w:suppressLineNumbers w:val="0"/>
              <w:snapToGrid w:val="0"/>
              <w:spacing w:before="0" w:beforeAutospacing="0" w:after="0" w:afterAutospacing="0" w:line="400" w:lineRule="exact"/>
              <w:ind w:left="0" w:right="0" w:firstLine="0" w:firstLineChars="0"/>
              <w:jc w:val="center"/>
              <w:rPr>
                <w:rFonts w:hint="default"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质量安全受检承诺</w:t>
            </w:r>
          </w:p>
        </w:tc>
        <w:tc>
          <w:tcPr>
            <w:tcW w:w="3277" w:type="dxa"/>
            <w:vAlign w:val="center"/>
          </w:tcPr>
          <w:p w14:paraId="1EE1AF23">
            <w:pPr>
              <w:pStyle w:val="63"/>
              <w:keepNext w:val="0"/>
              <w:keepLines w:val="0"/>
              <w:suppressLineNumbers w:val="0"/>
              <w:snapToGrid w:val="0"/>
              <w:spacing w:before="0" w:beforeAutospacing="0" w:after="0" w:afterAutospacing="0" w:line="400" w:lineRule="exact"/>
              <w:ind w:left="0" w:right="0" w:firstLine="420"/>
              <w:rPr>
                <w:rFonts w:hint="default"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若我方中标，我方承诺本项目在建设过程中，设计及施工的质量安全等相关实施内容按照业主单位、发包单位的相关管理规定和质量安全考核要求，随时接受业主单位、发包单位自行或委托的第三方的监督检查及考核，我方保证无条件配合。</w:t>
            </w:r>
          </w:p>
        </w:tc>
        <w:tc>
          <w:tcPr>
            <w:tcW w:w="4911" w:type="dxa"/>
            <w:vAlign w:val="center"/>
          </w:tcPr>
          <w:p w14:paraId="06C9AAE4">
            <w:pPr>
              <w:pStyle w:val="63"/>
              <w:keepNext w:val="0"/>
              <w:keepLines w:val="0"/>
              <w:suppressLineNumbers w:val="0"/>
              <w:snapToGrid w:val="0"/>
              <w:spacing w:before="0" w:beforeAutospacing="0" w:after="0" w:afterAutospacing="0" w:line="400" w:lineRule="exact"/>
              <w:ind w:left="0" w:right="0" w:firstLine="420"/>
              <w:rPr>
                <w:rFonts w:hint="default"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如我方不配合或未通过相关的监督检查及考核，我方承诺接受业主单位、发包单位的相关管理规定和处罚，并承担相应的责任。</w:t>
            </w:r>
          </w:p>
        </w:tc>
      </w:tr>
      <w:tr w14:paraId="0BB27E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346" w:hRule="atLeast"/>
          <w:jc w:val="center"/>
        </w:trPr>
        <w:tc>
          <w:tcPr>
            <w:tcW w:w="617" w:type="dxa"/>
            <w:vAlign w:val="center"/>
          </w:tcPr>
          <w:p w14:paraId="7D72DF0A">
            <w:pPr>
              <w:pStyle w:val="7"/>
              <w:keepNext w:val="0"/>
              <w:keepLines w:val="0"/>
              <w:suppressLineNumbers w:val="0"/>
              <w:spacing w:before="0" w:beforeAutospacing="0" w:after="0" w:afterAutospacing="0" w:line="380" w:lineRule="exact"/>
              <w:ind w:left="0" w:right="0"/>
              <w:jc w:val="center"/>
              <w:rPr>
                <w:rFonts w:hint="default" w:asciiTheme="minorEastAsia" w:hAnsiTheme="minorEastAsia" w:eastAsiaTheme="minorEastAsia" w:cstheme="minorEastAsia"/>
                <w:color w:val="auto"/>
                <w:sz w:val="24"/>
                <w:szCs w:val="21"/>
                <w:highlight w:val="none"/>
                <w:lang w:val="en-US" w:eastAsia="zh-CN"/>
              </w:rPr>
            </w:pPr>
            <w:r>
              <w:rPr>
                <w:rFonts w:hint="eastAsia" w:asciiTheme="minorEastAsia" w:hAnsiTheme="minorEastAsia" w:eastAsiaTheme="minorEastAsia" w:cstheme="minorEastAsia"/>
                <w:color w:val="auto"/>
                <w:sz w:val="24"/>
                <w:szCs w:val="21"/>
                <w:highlight w:val="none"/>
                <w:lang w:val="en-US" w:eastAsia="zh-CN"/>
              </w:rPr>
              <w:t>18</w:t>
            </w:r>
          </w:p>
        </w:tc>
        <w:tc>
          <w:tcPr>
            <w:tcW w:w="1133" w:type="dxa"/>
            <w:vAlign w:val="center"/>
          </w:tcPr>
          <w:p w14:paraId="2E44208D">
            <w:pPr>
              <w:pStyle w:val="63"/>
              <w:keepNext w:val="0"/>
              <w:keepLines w:val="0"/>
              <w:suppressLineNumbers w:val="0"/>
              <w:snapToGrid w:val="0"/>
              <w:spacing w:before="0" w:beforeAutospacing="0" w:after="0" w:afterAutospacing="0" w:line="400" w:lineRule="exact"/>
              <w:ind w:left="0" w:right="0" w:firstLine="0" w:firstLineChars="0"/>
              <w:jc w:val="center"/>
              <w:rPr>
                <w:rFonts w:hint="default"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对工程预付款的使用承诺</w:t>
            </w:r>
          </w:p>
        </w:tc>
        <w:tc>
          <w:tcPr>
            <w:tcW w:w="3277" w:type="dxa"/>
            <w:vAlign w:val="center"/>
          </w:tcPr>
          <w:p w14:paraId="755A90E1">
            <w:pPr>
              <w:pStyle w:val="63"/>
              <w:keepNext w:val="0"/>
              <w:keepLines w:val="0"/>
              <w:suppressLineNumbers w:val="0"/>
              <w:snapToGrid w:val="0"/>
              <w:spacing w:before="0" w:beforeAutospacing="0" w:after="0" w:afterAutospacing="0" w:line="400" w:lineRule="exact"/>
              <w:ind w:left="0" w:right="0" w:firstLine="420"/>
              <w:rPr>
                <w:rFonts w:hint="default"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我方保证工程预付款用于主要建筑材料的备料及支付工人工资。</w:t>
            </w:r>
          </w:p>
        </w:tc>
        <w:tc>
          <w:tcPr>
            <w:tcW w:w="4911" w:type="dxa"/>
            <w:vAlign w:val="center"/>
          </w:tcPr>
          <w:p w14:paraId="407293DB">
            <w:pPr>
              <w:pStyle w:val="63"/>
              <w:keepNext w:val="0"/>
              <w:keepLines w:val="0"/>
              <w:suppressLineNumbers w:val="0"/>
              <w:snapToGrid w:val="0"/>
              <w:spacing w:before="0" w:beforeAutospacing="0" w:after="0" w:afterAutospacing="0" w:line="400" w:lineRule="exact"/>
              <w:ind w:left="0" w:right="0" w:firstLine="420"/>
              <w:jc w:val="left"/>
              <w:rPr>
                <w:rFonts w:hint="default" w:asciiTheme="minorEastAsia" w:hAnsiTheme="minorEastAsia" w:eastAsiaTheme="minorEastAsia" w:cstheme="minorEastAsia"/>
                <w:color w:val="auto"/>
                <w:sz w:val="21"/>
                <w:szCs w:val="21"/>
                <w:highlight w:val="none"/>
              </w:rPr>
            </w:pPr>
            <w:r>
              <w:rPr>
                <w:rFonts w:hint="default" w:asciiTheme="minorEastAsia" w:hAnsiTheme="minorEastAsia" w:eastAsiaTheme="minorEastAsia" w:cstheme="minorEastAsia"/>
                <w:color w:val="auto"/>
                <w:sz w:val="21"/>
                <w:szCs w:val="20"/>
                <w:highlight w:val="none"/>
              </w:rPr>
              <mc:AlternateContent>
                <mc:Choice Requires="wps">
                  <w:drawing>
                    <wp:anchor distT="0" distB="0" distL="114300" distR="114300" simplePos="0" relativeHeight="251663360" behindDoc="0" locked="0" layoutInCell="1" allowOverlap="1">
                      <wp:simplePos x="0" y="0"/>
                      <wp:positionH relativeFrom="column">
                        <wp:posOffset>15240</wp:posOffset>
                      </wp:positionH>
                      <wp:positionV relativeFrom="paragraph">
                        <wp:posOffset>24765</wp:posOffset>
                      </wp:positionV>
                      <wp:extent cx="3179445" cy="841375"/>
                      <wp:effectExtent l="1270" t="4445" r="19685" b="11430"/>
                      <wp:wrapNone/>
                      <wp:docPr id="1" name="直线 18"/>
                      <wp:cNvGraphicFramePr/>
                      <a:graphic xmlns:a="http://schemas.openxmlformats.org/drawingml/2006/main">
                        <a:graphicData uri="http://schemas.microsoft.com/office/word/2010/wordprocessingShape">
                          <wps:wsp>
                            <wps:cNvCnPr/>
                            <wps:spPr>
                              <a:xfrm flipV="1">
                                <a:off x="0" y="0"/>
                                <a:ext cx="3179445" cy="841375"/>
                              </a:xfrm>
                              <a:prstGeom prst="line">
                                <a:avLst/>
                              </a:prstGeom>
                              <a:ln w="9525" cap="flat" cmpd="sng">
                                <a:solidFill>
                                  <a:srgbClr val="000000"/>
                                </a:solidFill>
                                <a:prstDash val="solid"/>
                                <a:headEnd type="none" w="med" len="med"/>
                                <a:tailEnd type="none" w="med" len="med"/>
                              </a:ln>
                              <a:effectLst/>
                            </wps:spPr>
                            <wps:bodyPr upright="1"/>
                          </wps:wsp>
                        </a:graphicData>
                      </a:graphic>
                    </wp:anchor>
                  </w:drawing>
                </mc:Choice>
                <mc:Fallback>
                  <w:pict>
                    <v:line id="直线 18" o:spid="_x0000_s1026" o:spt="20" style="position:absolute;left:0pt;flip:y;margin-left:1.2pt;margin-top:1.95pt;height:66.25pt;width:250.35pt;z-index:251663360;mso-width-relative:page;mso-height-relative:page;" filled="f" stroked="t" coordsize="21600,21600" o:gfxdata="UEsDBAoAAAAAAIdO4kAAAAAAAAAAAAAAAAAEAAAAZHJzL1BLAwQUAAAACACHTuJAicQfqNQAAAAH&#10;AQAADwAAAGRycy9kb3ducmV2LnhtbE2OwU7DMBBE70j8g7VI3KidpFQ0xKkQAi5ISJTA2YmXJMJe&#10;R7Gblr9nOcFxNE8zr9qdvBMLznEMpCFbKRBIXbAj9Rqat8erGxAxGbLGBUIN3xhhV5+fVaa04Uiv&#10;uOxTL3iEYmk0DClNpZSxG9CbuAoTEnefYfYmcZx7aWdz5HHvZK7URnozEj8MZsL7Abuv/cFruPt4&#10;fiheltYHZ7d98259o55yrS8vMnULIuEp/cHwq8/qULNTGw5ko3Aa8jWDGootCG6vVZGBaBkrNmuQ&#10;dSX/+9c/UEsDBBQAAAAIAIdO4kAFTNSO9wEAAPkDAAAOAAAAZHJzL2Uyb0RvYy54bWytUzuO2zAQ&#10;7QPkDgT7WJbXznoFy1uss2mCxEA+Pc2PRIA/kPTvLLlGqjQ5zl4jM5RibDaNi6gQhjOPj/Meh6v7&#10;kzXkIGPS3rW0nkwpkY57oV3X0q9fHt8sKUmZOcGMd7KlZ5no/fr1q9UxNHLme2+EjARIXGqOoaV9&#10;zqGpqsR7aVma+CAdFJWPlmVYxq4SkR2B3ZpqNp2+rY4+ihA9lylBdjMU6cgYryH0SmkuN57vrXR5&#10;YI3SsAySUq9DouvSrVKS509KJZmJaSkozeUPh0C8w3+1XrGmiyz0mo8tsGtaeKHJMu3g0AvVhmVG&#10;9lH/Q2U1jz55lSfc22oQUhwBFfX0hTefexZk0QJWp3AxPf0/Wv7xsI1EC5gEShyzcOFP3388/fxF&#10;6iWacwypAcyD28ZxlcI2otKTipYoo8M33IsZUENOxdrzxVp5yoRD8qa+vZvPF5RwqC3n9c3tAumr&#10;gQd3h5jye+ktwaClRjuUzhp2+JDyAP0DwbRx5NjSu8UMORnMoYL7h9AG0JJcV/Ymb7R41MbgjhS7&#10;3YOJ5MBwFso3tvAXDA/ZsNQPuFJCGGt6ycQ7J0g+B3DJweOg2IKVghIj4S1hVJCZaXMNEtQbh9Sy&#10;TOqoEy0fTMZo58UZbmgfou568KUuPWMFJqIYOE4vjtzzNcTPX+z6N1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GQEAABbQ29udGVudF9UeXBlc10u&#10;eG1sUEsBAhQACgAAAAAAh07iQAAAAAAAAAAAAAAAAAYAAAAAAAAAAAAQAAAARgMAAF9yZWxzL1BL&#10;AQIUABQAAAAIAIdO4kCKFGY80QAAAJQBAAALAAAAAAAAAAEAIAAAAGoDAABfcmVscy8ucmVsc1BL&#10;AQIUAAoAAAAAAIdO4kAAAAAAAAAAAAAAAAAEAAAAAAAAAAAAEAAAAAAAAABkcnMvUEsBAhQAFAAA&#10;AAgAh07iQInEH6jUAAAABwEAAA8AAAAAAAAAAQAgAAAAIgAAAGRycy9kb3ducmV2LnhtbFBLAQIU&#10;ABQAAAAIAIdO4kAFTNSO9wEAAPkDAAAOAAAAAAAAAAEAIAAAACMBAABkcnMvZTJvRG9jLnhtbFBL&#10;BQYAAAAABgAGAFkBAACMBQAAAAA=&#10;">
                      <v:fill on="f" focussize="0,0"/>
                      <v:stroke color="#000000" joinstyle="round"/>
                      <v:imagedata o:title=""/>
                      <o:lock v:ext="edit" aspectratio="f"/>
                    </v:line>
                  </w:pict>
                </mc:Fallback>
              </mc:AlternateContent>
            </w:r>
          </w:p>
        </w:tc>
      </w:tr>
    </w:tbl>
    <w:p w14:paraId="06D90318">
      <w:pPr>
        <w:pStyle w:val="71"/>
        <w:rPr>
          <w:rFonts w:hint="eastAsia" w:asciiTheme="minorEastAsia" w:hAnsiTheme="minorEastAsia" w:eastAsiaTheme="minorEastAsia" w:cstheme="minorEastAsia"/>
          <w:color w:val="auto"/>
          <w:sz w:val="21"/>
          <w:szCs w:val="21"/>
          <w:highlight w:val="none"/>
        </w:rPr>
      </w:pPr>
    </w:p>
    <w:p w14:paraId="447E0731">
      <w:pPr>
        <w:pStyle w:val="71"/>
        <w:rPr>
          <w:rFonts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注：所有违约金均从中标人的进度款中扣除，最终结算以扣除违约金总数后的金额为准。</w:t>
      </w:r>
    </w:p>
    <w:p w14:paraId="1FD05199">
      <w:pPr>
        <w:pStyle w:val="37"/>
        <w:spacing w:line="400" w:lineRule="exact"/>
        <w:jc w:val="left"/>
        <w:rPr>
          <w:rFonts w:asciiTheme="minorEastAsia" w:hAnsiTheme="minorEastAsia" w:eastAsiaTheme="minorEastAsia" w:cstheme="minorEastAsia"/>
          <w:color w:val="auto"/>
          <w:szCs w:val="24"/>
          <w:highlight w:val="none"/>
        </w:rPr>
      </w:pPr>
    </w:p>
    <w:p w14:paraId="68EF2E02">
      <w:pPr>
        <w:pStyle w:val="12"/>
        <w:wordWrap w:val="0"/>
        <w:adjustRightInd w:val="0"/>
        <w:snapToGrid w:val="0"/>
        <w:spacing w:line="420" w:lineRule="exact"/>
        <w:ind w:firstLine="480" w:firstLineChars="200"/>
        <w:jc w:val="right"/>
        <w:rPr>
          <w:rFonts w:hAnsi="宋体" w:eastAsia="宋体" w:cs="宋体"/>
          <w:snapToGrid w:val="0"/>
          <w:color w:val="auto"/>
          <w:kern w:val="0"/>
          <w:szCs w:val="24"/>
          <w:highlight w:val="none"/>
        </w:rPr>
      </w:pPr>
    </w:p>
    <w:p w14:paraId="0325A19D">
      <w:pPr>
        <w:pStyle w:val="12"/>
        <w:wordWrap w:val="0"/>
        <w:adjustRightInd w:val="0"/>
        <w:snapToGrid w:val="0"/>
        <w:spacing w:line="420" w:lineRule="exact"/>
        <w:ind w:firstLine="480" w:firstLineChars="200"/>
        <w:jc w:val="right"/>
        <w:rPr>
          <w:rFonts w:hint="default" w:hAnsi="宋体" w:eastAsia="宋体" w:cs="宋体"/>
          <w:snapToGrid w:val="0"/>
          <w:color w:val="auto"/>
          <w:kern w:val="0"/>
          <w:szCs w:val="24"/>
          <w:highlight w:val="none"/>
        </w:rPr>
      </w:pPr>
      <w:r>
        <w:rPr>
          <w:rFonts w:hAnsi="宋体" w:eastAsia="宋体" w:cs="宋体"/>
          <w:snapToGrid w:val="0"/>
          <w:color w:val="auto"/>
          <w:kern w:val="0"/>
          <w:szCs w:val="24"/>
          <w:highlight w:val="none"/>
        </w:rPr>
        <w:t>投标人：（盖单位章）</w:t>
      </w:r>
    </w:p>
    <w:p w14:paraId="09C230C8">
      <w:pPr>
        <w:pStyle w:val="12"/>
        <w:wordWrap w:val="0"/>
        <w:adjustRightInd w:val="0"/>
        <w:snapToGrid w:val="0"/>
        <w:spacing w:line="420" w:lineRule="exact"/>
        <w:ind w:firstLine="480" w:firstLineChars="200"/>
        <w:jc w:val="right"/>
        <w:rPr>
          <w:rFonts w:hint="default" w:hAnsi="宋体" w:eastAsia="宋体" w:cs="宋体"/>
          <w:snapToGrid w:val="0"/>
          <w:color w:val="auto"/>
          <w:kern w:val="0"/>
          <w:szCs w:val="24"/>
          <w:highlight w:val="none"/>
        </w:rPr>
      </w:pPr>
    </w:p>
    <w:p w14:paraId="45A554EE">
      <w:pPr>
        <w:pStyle w:val="12"/>
        <w:wordWrap w:val="0"/>
        <w:adjustRightInd w:val="0"/>
        <w:snapToGrid w:val="0"/>
        <w:spacing w:line="420" w:lineRule="exact"/>
        <w:ind w:firstLine="480" w:firstLineChars="200"/>
        <w:jc w:val="right"/>
        <w:rPr>
          <w:rFonts w:hint="default" w:hAnsi="宋体" w:eastAsia="宋体" w:cs="宋体"/>
          <w:snapToGrid w:val="0"/>
          <w:color w:val="auto"/>
          <w:kern w:val="0"/>
          <w:szCs w:val="24"/>
          <w:highlight w:val="none"/>
        </w:rPr>
      </w:pPr>
      <w:r>
        <w:rPr>
          <w:rFonts w:hAnsi="宋体" w:eastAsia="宋体" w:cs="宋体"/>
          <w:snapToGrid w:val="0"/>
          <w:color w:val="auto"/>
          <w:kern w:val="0"/>
          <w:szCs w:val="24"/>
          <w:highlight w:val="none"/>
        </w:rPr>
        <w:t>法定代表人或其委托代理人：（签字或盖章）</w:t>
      </w:r>
    </w:p>
    <w:p w14:paraId="33C43ED6">
      <w:pPr>
        <w:pStyle w:val="12"/>
        <w:wordWrap w:val="0"/>
        <w:adjustRightInd w:val="0"/>
        <w:snapToGrid w:val="0"/>
        <w:spacing w:line="420" w:lineRule="exact"/>
        <w:ind w:firstLine="480" w:firstLineChars="200"/>
        <w:jc w:val="right"/>
        <w:rPr>
          <w:rFonts w:hint="default" w:hAnsi="宋体" w:eastAsia="宋体" w:cs="宋体"/>
          <w:snapToGrid w:val="0"/>
          <w:color w:val="auto"/>
          <w:kern w:val="0"/>
          <w:szCs w:val="24"/>
          <w:highlight w:val="none"/>
        </w:rPr>
      </w:pPr>
    </w:p>
    <w:p w14:paraId="5519396B">
      <w:pPr>
        <w:widowControl/>
        <w:jc w:val="right"/>
        <w:rPr>
          <w:rFonts w:hint="default" w:asciiTheme="minorEastAsia" w:hAnsiTheme="minorEastAsia" w:eastAsiaTheme="minorEastAsia" w:cstheme="minorEastAsia"/>
          <w:b/>
          <w:bCs/>
          <w:snapToGrid w:val="0"/>
          <w:color w:val="auto"/>
          <w:kern w:val="0"/>
          <w:szCs w:val="24"/>
          <w:highlight w:val="none"/>
        </w:rPr>
      </w:pPr>
      <w:r>
        <w:rPr>
          <w:rFonts w:hint="eastAsia" w:hAnsi="宋体" w:eastAsia="宋体" w:cs="宋体"/>
          <w:snapToGrid w:val="0"/>
          <w:color w:val="auto"/>
          <w:kern w:val="0"/>
          <w:szCs w:val="24"/>
          <w:highlight w:val="none"/>
          <w:lang w:eastAsia="zh-CN"/>
        </w:rPr>
        <w:t xml:space="preserve"> 年   月  日</w:t>
      </w:r>
      <w:r>
        <w:rPr>
          <w:rFonts w:asciiTheme="minorEastAsia" w:hAnsiTheme="minorEastAsia" w:eastAsiaTheme="minorEastAsia" w:cstheme="minorEastAsia"/>
          <w:b/>
          <w:bCs/>
          <w:snapToGrid w:val="0"/>
          <w:color w:val="auto"/>
          <w:kern w:val="0"/>
          <w:szCs w:val="24"/>
          <w:highlight w:val="none"/>
        </w:rPr>
        <w:br w:type="page"/>
      </w:r>
    </w:p>
    <w:p w14:paraId="2A9BE21F">
      <w:pPr>
        <w:pStyle w:val="4"/>
        <w:spacing w:before="120"/>
        <w:rPr>
          <w:rFonts w:hint="default" w:asciiTheme="minorEastAsia" w:hAnsiTheme="minorEastAsia" w:eastAsiaTheme="minorEastAsia" w:cstheme="minorEastAsia"/>
          <w:b/>
          <w:bCs/>
          <w:color w:val="auto"/>
          <w:szCs w:val="24"/>
          <w:highlight w:val="none"/>
        </w:rPr>
      </w:pPr>
      <w:bookmarkStart w:id="570" w:name="_Toc30764"/>
      <w:bookmarkStart w:id="571" w:name="_Toc10981"/>
      <w:bookmarkStart w:id="572" w:name="_Toc6896"/>
      <w:bookmarkStart w:id="573" w:name="_Toc30463"/>
      <w:bookmarkStart w:id="574" w:name="_Toc18530"/>
      <w:r>
        <w:rPr>
          <w:rFonts w:asciiTheme="minorEastAsia" w:hAnsiTheme="minorEastAsia" w:eastAsiaTheme="minorEastAsia" w:cstheme="minorEastAsia"/>
          <w:b/>
          <w:bCs/>
          <w:color w:val="auto"/>
          <w:szCs w:val="24"/>
          <w:highlight w:val="none"/>
        </w:rPr>
        <w:t>格式四 授权委托书</w:t>
      </w:r>
      <w:bookmarkEnd w:id="570"/>
      <w:bookmarkEnd w:id="571"/>
      <w:bookmarkEnd w:id="572"/>
      <w:bookmarkEnd w:id="573"/>
      <w:bookmarkEnd w:id="574"/>
    </w:p>
    <w:p w14:paraId="3308F383">
      <w:pPr>
        <w:wordWrap w:val="0"/>
        <w:adjustRightInd w:val="0"/>
        <w:snapToGrid w:val="0"/>
        <w:spacing w:line="440" w:lineRule="exact"/>
        <w:rPr>
          <w:rFonts w:hint="default" w:asciiTheme="minorEastAsia" w:hAnsiTheme="minorEastAsia" w:eastAsiaTheme="minorEastAsia" w:cstheme="minorEastAsia"/>
          <w:b/>
          <w:bCs/>
          <w:snapToGrid w:val="0"/>
          <w:color w:val="auto"/>
          <w:kern w:val="0"/>
          <w:szCs w:val="24"/>
          <w:highlight w:val="none"/>
        </w:rPr>
      </w:pPr>
    </w:p>
    <w:p w14:paraId="320378A7">
      <w:pPr>
        <w:wordWrap w:val="0"/>
        <w:adjustRightInd w:val="0"/>
        <w:snapToGrid w:val="0"/>
        <w:spacing w:before="260" w:after="260" w:line="440" w:lineRule="exact"/>
        <w:jc w:val="center"/>
        <w:rPr>
          <w:rFonts w:hint="default" w:asciiTheme="minorEastAsia" w:hAnsiTheme="minorEastAsia" w:eastAsiaTheme="minorEastAsia" w:cstheme="minorEastAsia"/>
          <w:b/>
          <w:snapToGrid w:val="0"/>
          <w:color w:val="auto"/>
          <w:kern w:val="0"/>
          <w:szCs w:val="24"/>
          <w:highlight w:val="none"/>
        </w:rPr>
      </w:pPr>
      <w:r>
        <w:rPr>
          <w:rFonts w:asciiTheme="minorEastAsia" w:hAnsiTheme="minorEastAsia" w:eastAsiaTheme="minorEastAsia" w:cstheme="minorEastAsia"/>
          <w:b/>
          <w:snapToGrid w:val="0"/>
          <w:color w:val="auto"/>
          <w:kern w:val="0"/>
          <w:szCs w:val="24"/>
          <w:highlight w:val="none"/>
        </w:rPr>
        <w:t>授权委托书</w:t>
      </w:r>
    </w:p>
    <w:p w14:paraId="24C1F267">
      <w:pPr>
        <w:wordWrap w:val="0"/>
        <w:adjustRightInd w:val="0"/>
        <w:snapToGrid w:val="0"/>
        <w:spacing w:line="440" w:lineRule="exact"/>
        <w:rPr>
          <w:rFonts w:hint="default" w:asciiTheme="minorEastAsia" w:hAnsiTheme="minorEastAsia" w:eastAsiaTheme="minorEastAsia" w:cstheme="minorEastAsia"/>
          <w:snapToGrid w:val="0"/>
          <w:color w:val="auto"/>
          <w:kern w:val="0"/>
          <w:szCs w:val="24"/>
          <w:highlight w:val="none"/>
        </w:rPr>
      </w:pPr>
    </w:p>
    <w:p w14:paraId="4831C2DC">
      <w:pPr>
        <w:wordWrap w:val="0"/>
        <w:adjustRightInd w:val="0"/>
        <w:snapToGrid w:val="0"/>
        <w:spacing w:line="440" w:lineRule="exact"/>
        <w:ind w:firstLine="480" w:firstLineChars="200"/>
        <w:rPr>
          <w:rFonts w:hint="default" w:asciiTheme="minorEastAsia" w:hAnsiTheme="minorEastAsia" w:eastAsiaTheme="minorEastAsia" w:cstheme="minorEastAsia"/>
          <w:snapToGrid w:val="0"/>
          <w:color w:val="auto"/>
          <w:kern w:val="0"/>
          <w:szCs w:val="24"/>
          <w:highlight w:val="none"/>
        </w:rPr>
      </w:pPr>
      <w:r>
        <w:rPr>
          <w:rFonts w:asciiTheme="minorEastAsia" w:hAnsiTheme="minorEastAsia" w:eastAsiaTheme="minorEastAsia" w:cstheme="minorEastAsia"/>
          <w:snapToGrid w:val="0"/>
          <w:color w:val="auto"/>
          <w:kern w:val="0"/>
          <w:szCs w:val="24"/>
          <w:highlight w:val="none"/>
        </w:rPr>
        <w:t>本人（姓名）系（投标人名称）的法定代表人，现委托（姓名）为我方代理人。代理人根据授权，以我方名义签署、澄清、说明、补正、递交、撤回、修改（项目名称）投标文件、签订合同和处理有关事宜，其法律后果由我方承担。</w:t>
      </w:r>
    </w:p>
    <w:p w14:paraId="7CA2CB76">
      <w:pPr>
        <w:wordWrap w:val="0"/>
        <w:adjustRightInd w:val="0"/>
        <w:snapToGrid w:val="0"/>
        <w:spacing w:line="440" w:lineRule="exact"/>
        <w:ind w:firstLine="480" w:firstLineChars="200"/>
        <w:rPr>
          <w:rFonts w:hint="default" w:asciiTheme="minorEastAsia" w:hAnsiTheme="minorEastAsia" w:eastAsiaTheme="minorEastAsia" w:cstheme="minorEastAsia"/>
          <w:snapToGrid w:val="0"/>
          <w:color w:val="auto"/>
          <w:kern w:val="0"/>
          <w:szCs w:val="24"/>
          <w:highlight w:val="none"/>
        </w:rPr>
      </w:pPr>
      <w:r>
        <w:rPr>
          <w:rFonts w:asciiTheme="minorEastAsia" w:hAnsiTheme="minorEastAsia" w:eastAsiaTheme="minorEastAsia" w:cstheme="minorEastAsia"/>
          <w:snapToGrid w:val="0"/>
          <w:color w:val="auto"/>
          <w:kern w:val="0"/>
          <w:szCs w:val="24"/>
          <w:highlight w:val="none"/>
        </w:rPr>
        <w:t>委托期限：至</w:t>
      </w:r>
      <w:r>
        <w:rPr>
          <w:rFonts w:asciiTheme="minorEastAsia" w:hAnsiTheme="minorEastAsia" w:eastAsiaTheme="minorEastAsia" w:cstheme="minorEastAsia"/>
          <w:snapToGrid w:val="0"/>
          <w:color w:val="auto"/>
          <w:kern w:val="0"/>
          <w:szCs w:val="24"/>
          <w:highlight w:val="none"/>
          <w:u w:val="single"/>
        </w:rPr>
        <w:t xml:space="preserve">     年   月   日</w:t>
      </w:r>
      <w:r>
        <w:rPr>
          <w:rFonts w:asciiTheme="minorEastAsia" w:hAnsiTheme="minorEastAsia" w:eastAsiaTheme="minorEastAsia" w:cstheme="minorEastAsia"/>
          <w:i/>
          <w:iCs/>
          <w:snapToGrid w:val="0"/>
          <w:color w:val="auto"/>
          <w:kern w:val="0"/>
          <w:szCs w:val="24"/>
          <w:highlight w:val="none"/>
          <w:u w:val="single"/>
        </w:rPr>
        <w:t>（不得短于招标文件规定的投标有效期）</w:t>
      </w:r>
      <w:r>
        <w:rPr>
          <w:rFonts w:asciiTheme="minorEastAsia" w:hAnsiTheme="minorEastAsia" w:eastAsiaTheme="minorEastAsia" w:cstheme="minorEastAsia"/>
          <w:snapToGrid w:val="0"/>
          <w:color w:val="auto"/>
          <w:kern w:val="0"/>
          <w:szCs w:val="24"/>
          <w:highlight w:val="none"/>
        </w:rPr>
        <w:t xml:space="preserve"> 。</w:t>
      </w:r>
    </w:p>
    <w:p w14:paraId="2E9D9F85">
      <w:pPr>
        <w:wordWrap w:val="0"/>
        <w:adjustRightInd w:val="0"/>
        <w:snapToGrid w:val="0"/>
        <w:spacing w:line="440" w:lineRule="exact"/>
        <w:rPr>
          <w:rFonts w:hint="default" w:asciiTheme="minorEastAsia" w:hAnsiTheme="minorEastAsia" w:eastAsiaTheme="minorEastAsia" w:cstheme="minorEastAsia"/>
          <w:snapToGrid w:val="0"/>
          <w:color w:val="auto"/>
          <w:kern w:val="0"/>
          <w:szCs w:val="24"/>
          <w:highlight w:val="none"/>
        </w:rPr>
      </w:pPr>
      <w:r>
        <w:rPr>
          <w:rFonts w:asciiTheme="minorEastAsia" w:hAnsiTheme="minorEastAsia" w:eastAsiaTheme="minorEastAsia" w:cstheme="minorEastAsia"/>
          <w:snapToGrid w:val="0"/>
          <w:color w:val="auto"/>
          <w:kern w:val="0"/>
          <w:szCs w:val="24"/>
          <w:highlight w:val="none"/>
        </w:rPr>
        <w:t xml:space="preserve">    代理人无转委托权。</w:t>
      </w:r>
    </w:p>
    <w:p w14:paraId="4B02714C">
      <w:pPr>
        <w:wordWrap w:val="0"/>
        <w:adjustRightInd w:val="0"/>
        <w:snapToGrid w:val="0"/>
        <w:spacing w:line="440" w:lineRule="exact"/>
        <w:ind w:firstLine="480" w:firstLineChars="200"/>
        <w:rPr>
          <w:rFonts w:hint="default" w:asciiTheme="minorEastAsia" w:hAnsiTheme="minorEastAsia" w:eastAsiaTheme="minorEastAsia" w:cstheme="minorEastAsia"/>
          <w:snapToGrid w:val="0"/>
          <w:color w:val="auto"/>
          <w:kern w:val="0"/>
          <w:szCs w:val="24"/>
          <w:highlight w:val="none"/>
        </w:rPr>
      </w:pPr>
    </w:p>
    <w:p w14:paraId="6FF76EE0">
      <w:pPr>
        <w:wordWrap w:val="0"/>
        <w:adjustRightInd w:val="0"/>
        <w:snapToGrid w:val="0"/>
        <w:spacing w:line="440" w:lineRule="exact"/>
        <w:ind w:firstLine="480" w:firstLineChars="200"/>
        <w:rPr>
          <w:rFonts w:hint="default" w:asciiTheme="minorEastAsia" w:hAnsiTheme="minorEastAsia" w:eastAsiaTheme="minorEastAsia" w:cstheme="minorEastAsia"/>
          <w:snapToGrid w:val="0"/>
          <w:color w:val="auto"/>
          <w:kern w:val="0"/>
          <w:szCs w:val="24"/>
          <w:highlight w:val="none"/>
        </w:rPr>
      </w:pPr>
    </w:p>
    <w:p w14:paraId="17D0CB54">
      <w:pPr>
        <w:wordWrap w:val="0"/>
        <w:adjustRightInd w:val="0"/>
        <w:snapToGrid w:val="0"/>
        <w:spacing w:line="440" w:lineRule="exact"/>
        <w:ind w:firstLine="480" w:firstLineChars="200"/>
        <w:jc w:val="right"/>
        <w:rPr>
          <w:rFonts w:hint="default" w:asciiTheme="minorEastAsia" w:hAnsiTheme="minorEastAsia" w:eastAsiaTheme="minorEastAsia" w:cstheme="minorEastAsia"/>
          <w:snapToGrid w:val="0"/>
          <w:color w:val="auto"/>
          <w:kern w:val="0"/>
          <w:szCs w:val="24"/>
          <w:highlight w:val="none"/>
        </w:rPr>
      </w:pPr>
      <w:r>
        <w:rPr>
          <w:rFonts w:asciiTheme="minorEastAsia" w:hAnsiTheme="minorEastAsia" w:eastAsiaTheme="minorEastAsia" w:cstheme="minorEastAsia"/>
          <w:snapToGrid w:val="0"/>
          <w:color w:val="auto"/>
          <w:kern w:val="0"/>
          <w:szCs w:val="24"/>
          <w:highlight w:val="none"/>
        </w:rPr>
        <w:t>投  标  人：（盖单位章）</w:t>
      </w:r>
    </w:p>
    <w:p w14:paraId="09D43E62">
      <w:pPr>
        <w:wordWrap w:val="0"/>
        <w:adjustRightInd w:val="0"/>
        <w:snapToGrid w:val="0"/>
        <w:spacing w:line="440" w:lineRule="exact"/>
        <w:ind w:firstLine="480" w:firstLineChars="200"/>
        <w:jc w:val="right"/>
        <w:rPr>
          <w:rFonts w:hint="default" w:asciiTheme="minorEastAsia" w:hAnsiTheme="minorEastAsia" w:eastAsiaTheme="minorEastAsia" w:cstheme="minorEastAsia"/>
          <w:snapToGrid w:val="0"/>
          <w:color w:val="auto"/>
          <w:kern w:val="0"/>
          <w:szCs w:val="24"/>
          <w:highlight w:val="none"/>
        </w:rPr>
      </w:pPr>
    </w:p>
    <w:p w14:paraId="61E46266">
      <w:pPr>
        <w:wordWrap w:val="0"/>
        <w:adjustRightInd w:val="0"/>
        <w:snapToGrid w:val="0"/>
        <w:spacing w:line="440" w:lineRule="exact"/>
        <w:ind w:firstLine="480" w:firstLineChars="200"/>
        <w:jc w:val="right"/>
        <w:rPr>
          <w:rFonts w:hint="default" w:asciiTheme="minorEastAsia" w:hAnsiTheme="minorEastAsia" w:eastAsiaTheme="minorEastAsia" w:cstheme="minorEastAsia"/>
          <w:snapToGrid w:val="0"/>
          <w:color w:val="auto"/>
          <w:kern w:val="0"/>
          <w:szCs w:val="24"/>
          <w:highlight w:val="none"/>
        </w:rPr>
      </w:pPr>
      <w:r>
        <w:rPr>
          <w:rFonts w:asciiTheme="minorEastAsia" w:hAnsiTheme="minorEastAsia" w:eastAsiaTheme="minorEastAsia" w:cstheme="minorEastAsia"/>
          <w:snapToGrid w:val="0"/>
          <w:color w:val="auto"/>
          <w:kern w:val="0"/>
          <w:szCs w:val="24"/>
          <w:highlight w:val="none"/>
        </w:rPr>
        <w:t>法定代表人：（签字或盖章）</w:t>
      </w:r>
    </w:p>
    <w:p w14:paraId="18D86B15">
      <w:pPr>
        <w:wordWrap w:val="0"/>
        <w:adjustRightInd w:val="0"/>
        <w:snapToGrid w:val="0"/>
        <w:spacing w:line="440" w:lineRule="exact"/>
        <w:ind w:firstLine="480" w:firstLineChars="200"/>
        <w:jc w:val="right"/>
        <w:rPr>
          <w:rFonts w:hint="default" w:asciiTheme="minorEastAsia" w:hAnsiTheme="minorEastAsia" w:eastAsiaTheme="minorEastAsia" w:cstheme="minorEastAsia"/>
          <w:snapToGrid w:val="0"/>
          <w:color w:val="auto"/>
          <w:kern w:val="0"/>
          <w:szCs w:val="24"/>
          <w:highlight w:val="none"/>
        </w:rPr>
      </w:pPr>
    </w:p>
    <w:p w14:paraId="5B59DF83">
      <w:pPr>
        <w:wordWrap w:val="0"/>
        <w:adjustRightInd w:val="0"/>
        <w:snapToGrid w:val="0"/>
        <w:spacing w:line="440" w:lineRule="exact"/>
        <w:ind w:firstLine="480" w:firstLineChars="200"/>
        <w:jc w:val="right"/>
        <w:rPr>
          <w:rFonts w:hint="default" w:asciiTheme="minorEastAsia" w:hAnsiTheme="minorEastAsia" w:eastAsiaTheme="minorEastAsia" w:cstheme="minorEastAsia"/>
          <w:snapToGrid w:val="0"/>
          <w:color w:val="auto"/>
          <w:kern w:val="0"/>
          <w:szCs w:val="24"/>
          <w:highlight w:val="none"/>
        </w:rPr>
      </w:pPr>
      <w:r>
        <w:rPr>
          <w:rFonts w:asciiTheme="minorEastAsia" w:hAnsiTheme="minorEastAsia" w:eastAsiaTheme="minorEastAsia" w:cstheme="minorEastAsia"/>
          <w:snapToGrid w:val="0"/>
          <w:color w:val="auto"/>
          <w:kern w:val="0"/>
          <w:szCs w:val="24"/>
          <w:highlight w:val="none"/>
        </w:rPr>
        <w:t>委托代理人：（签字或盖章）</w:t>
      </w:r>
    </w:p>
    <w:p w14:paraId="1C0D6213">
      <w:pPr>
        <w:wordWrap w:val="0"/>
        <w:adjustRightInd w:val="0"/>
        <w:snapToGrid w:val="0"/>
        <w:spacing w:line="440" w:lineRule="exact"/>
        <w:ind w:firstLine="480" w:firstLineChars="200"/>
        <w:jc w:val="right"/>
        <w:rPr>
          <w:rFonts w:hint="eastAsia" w:asciiTheme="minorEastAsia" w:hAnsiTheme="minorEastAsia" w:eastAsiaTheme="minorEastAsia" w:cstheme="minorEastAsia"/>
          <w:snapToGrid w:val="0"/>
          <w:color w:val="auto"/>
          <w:kern w:val="0"/>
          <w:szCs w:val="24"/>
          <w:highlight w:val="none"/>
          <w:lang w:eastAsia="zh-CN"/>
        </w:rPr>
      </w:pPr>
      <w:r>
        <w:rPr>
          <w:rFonts w:hint="eastAsia" w:asciiTheme="minorEastAsia" w:hAnsiTheme="minorEastAsia" w:eastAsiaTheme="minorEastAsia" w:cstheme="minorEastAsia"/>
          <w:snapToGrid w:val="0"/>
          <w:color w:val="auto"/>
          <w:kern w:val="0"/>
          <w:szCs w:val="24"/>
          <w:highlight w:val="none"/>
          <w:lang w:eastAsia="zh-CN"/>
        </w:rPr>
        <w:t xml:space="preserve"> 年   月  日</w:t>
      </w:r>
    </w:p>
    <w:p w14:paraId="11C4F420">
      <w:pPr>
        <w:wordWrap w:val="0"/>
        <w:adjustRightInd w:val="0"/>
        <w:snapToGrid w:val="0"/>
        <w:spacing w:line="440" w:lineRule="exact"/>
        <w:ind w:firstLine="480" w:firstLineChars="200"/>
        <w:rPr>
          <w:rFonts w:hint="default" w:asciiTheme="minorEastAsia" w:hAnsiTheme="minorEastAsia" w:eastAsiaTheme="minorEastAsia" w:cstheme="minorEastAsia"/>
          <w:snapToGrid w:val="0"/>
          <w:color w:val="auto"/>
          <w:kern w:val="0"/>
          <w:szCs w:val="24"/>
          <w:highlight w:val="none"/>
        </w:rPr>
      </w:pPr>
    </w:p>
    <w:p w14:paraId="07171804">
      <w:pPr>
        <w:wordWrap w:val="0"/>
        <w:adjustRightInd w:val="0"/>
        <w:snapToGrid w:val="0"/>
        <w:spacing w:line="440" w:lineRule="exact"/>
        <w:ind w:firstLine="480" w:firstLineChars="200"/>
        <w:rPr>
          <w:rFonts w:hint="default" w:asciiTheme="minorEastAsia" w:hAnsiTheme="minorEastAsia" w:eastAsiaTheme="minorEastAsia" w:cstheme="minorEastAsia"/>
          <w:snapToGrid w:val="0"/>
          <w:color w:val="auto"/>
          <w:kern w:val="0"/>
          <w:szCs w:val="24"/>
          <w:highlight w:val="none"/>
        </w:rPr>
      </w:pPr>
    </w:p>
    <w:p w14:paraId="1E581D77">
      <w:pPr>
        <w:wordWrap w:val="0"/>
        <w:adjustRightInd w:val="0"/>
        <w:snapToGrid w:val="0"/>
        <w:spacing w:line="440" w:lineRule="exact"/>
        <w:ind w:firstLine="480" w:firstLineChars="200"/>
        <w:rPr>
          <w:rFonts w:hint="default" w:asciiTheme="minorEastAsia" w:hAnsiTheme="minorEastAsia" w:eastAsiaTheme="minorEastAsia" w:cstheme="minorEastAsia"/>
          <w:snapToGrid w:val="0"/>
          <w:color w:val="auto"/>
          <w:kern w:val="0"/>
          <w:szCs w:val="24"/>
          <w:highlight w:val="none"/>
        </w:rPr>
      </w:pPr>
    </w:p>
    <w:p w14:paraId="5E3C0937">
      <w:pPr>
        <w:wordWrap w:val="0"/>
        <w:adjustRightInd w:val="0"/>
        <w:snapToGrid w:val="0"/>
        <w:ind w:firstLine="5520" w:firstLineChars="2300"/>
        <w:rPr>
          <w:rFonts w:hint="default" w:asciiTheme="minorEastAsia" w:hAnsiTheme="minorEastAsia" w:eastAsiaTheme="minorEastAsia" w:cstheme="minorEastAsia"/>
          <w:snapToGrid w:val="0"/>
          <w:color w:val="auto"/>
          <w:kern w:val="0"/>
          <w:szCs w:val="24"/>
          <w:highlight w:val="none"/>
        </w:rPr>
      </w:pPr>
      <w:r>
        <w:rPr>
          <w:rFonts w:hint="default" w:asciiTheme="minorEastAsia" w:hAnsiTheme="minorEastAsia" w:eastAsiaTheme="minorEastAsia" w:cstheme="minorEastAsia"/>
          <w:snapToGrid w:val="0"/>
          <w:color w:val="auto"/>
          <w:kern w:val="0"/>
          <w:szCs w:val="24"/>
          <w:highlight w:val="none"/>
          <w:u w:val="single"/>
        </w:rPr>
        <mc:AlternateContent>
          <mc:Choice Requires="wps">
            <w:drawing>
              <wp:anchor distT="0" distB="0" distL="114300" distR="114300" simplePos="0" relativeHeight="251662336" behindDoc="0" locked="0" layoutInCell="1" allowOverlap="1">
                <wp:simplePos x="0" y="0"/>
                <wp:positionH relativeFrom="column">
                  <wp:posOffset>1466850</wp:posOffset>
                </wp:positionH>
                <wp:positionV relativeFrom="paragraph">
                  <wp:posOffset>33020</wp:posOffset>
                </wp:positionV>
                <wp:extent cx="3190875" cy="1584325"/>
                <wp:effectExtent l="4445" t="4445" r="5080" b="11430"/>
                <wp:wrapNone/>
                <wp:docPr id="10" name="流程图: 可选过程 10"/>
                <wp:cNvGraphicFramePr/>
                <a:graphic xmlns:a="http://schemas.openxmlformats.org/drawingml/2006/main">
                  <a:graphicData uri="http://schemas.microsoft.com/office/word/2010/wordprocessingShape">
                    <wps:wsp>
                      <wps:cNvSpPr/>
                      <wps:spPr>
                        <a:xfrm>
                          <a:off x="0" y="0"/>
                          <a:ext cx="3190875" cy="1584325"/>
                        </a:xfrm>
                        <a:prstGeom prst="flowChartAlternateProcess">
                          <a:avLst/>
                        </a:prstGeom>
                        <a:solidFill>
                          <a:srgbClr val="FFFFFF"/>
                        </a:solidFill>
                        <a:ln w="9525" cap="flat" cmpd="sng">
                          <a:solidFill>
                            <a:srgbClr val="000000"/>
                          </a:solidFill>
                          <a:prstDash val="solid"/>
                          <a:miter/>
                          <a:headEnd type="none" w="med" len="med"/>
                          <a:tailEnd type="none" w="med" len="med"/>
                        </a:ln>
                        <a:effectLst/>
                      </wps:spPr>
                      <wps:txbx>
                        <w:txbxContent>
                          <w:p w14:paraId="6F5C94C4">
                            <w:pPr>
                              <w:jc w:val="center"/>
                              <w:rPr>
                                <w:rFonts w:hint="default"/>
                                <w:szCs w:val="21"/>
                              </w:rPr>
                            </w:pPr>
                          </w:p>
                          <w:p w14:paraId="203BA914">
                            <w:pPr>
                              <w:jc w:val="center"/>
                              <w:rPr>
                                <w:rFonts w:hint="default"/>
                                <w:szCs w:val="21"/>
                              </w:rPr>
                            </w:pPr>
                          </w:p>
                          <w:p w14:paraId="7C9A6F2C">
                            <w:pPr>
                              <w:jc w:val="center"/>
                              <w:rPr>
                                <w:rFonts w:hint="default"/>
                                <w:szCs w:val="21"/>
                              </w:rPr>
                            </w:pPr>
                          </w:p>
                          <w:p w14:paraId="3274C64B">
                            <w:pPr>
                              <w:jc w:val="center"/>
                              <w:rPr>
                                <w:rFonts w:hint="default" w:hAnsi="宋体" w:eastAsia="宋体" w:cs="宋体"/>
                                <w:szCs w:val="21"/>
                              </w:rPr>
                            </w:pPr>
                            <w:r>
                              <w:rPr>
                                <w:rFonts w:hAnsi="宋体" w:eastAsia="宋体" w:cs="宋体"/>
                                <w:szCs w:val="21"/>
                              </w:rPr>
                              <w:t>委托代理人身份证彩色扫描件正、反面</w:t>
                            </w:r>
                          </w:p>
                        </w:txbxContent>
                      </wps:txbx>
                      <wps:bodyPr wrap="square" upright="1"/>
                    </wps:wsp>
                  </a:graphicData>
                </a:graphic>
              </wp:anchor>
            </w:drawing>
          </mc:Choice>
          <mc:Fallback>
            <w:pict>
              <v:shape id="_x0000_s1026" o:spid="_x0000_s1026" o:spt="176" type="#_x0000_t176" style="position:absolute;left:0pt;margin-left:115.5pt;margin-top:2.6pt;height:124.75pt;width:251.25pt;z-index:251662336;mso-width-relative:page;mso-height-relative:page;" fillcolor="#FFFFFF" filled="t" stroked="t" coordsize="21600,21600" o:gfxdata="UEsDBAoAAAAAAIdO4kAAAAAAAAAAAAAAAAAEAAAAZHJzL1BLAwQUAAAACACHTuJAayfTrNgAAAAJ&#10;AQAADwAAAGRycy9kb3ducmV2LnhtbE2Py07DMBBF90j8gzVI7KjzIE1J41QIBCs2hEpsnXgaR8Tj&#10;KHbSwNdjVnQ5OqN7zy0PqxnYgpPrLQmINxEwpNaqnjoBx4+Xux0w5yUpOVhCAd/o4FBdX5WyUPZM&#10;77jUvmMhhFwhBWjvx4Jz12o00m3siBTYyU5G+nBOHVeTPIdwM/AkirbcyJ5Cg5YjPmlsv+rZCFjf&#10;fpqH+TVua6932/wzXZ4fj1yI25s42gPzuPr/Z/jTD+pQBafGzqQcGwQkaRy2eAFZAizwPE0zYE0A&#10;2X0OvCr55YLqF1BLAwQUAAAACACHTuJAsfZZWzkCAABuBAAADgAAAGRycy9lMm9Eb2MueG1srVTN&#10;jtMwEL4j8Q6W7zTtLoVu1HSFtpQLgkoLDzB1nMSS/7DdJr3BCSEO+wC8ADdOXOFplp+3YOyU0l04&#10;9EAOydie+TzfNzOZnndKkg13Xhhd0NFgSAnXzJRC1wV9+WJxb0KJD6BLkEbzgm65p+ezu3emrc35&#10;iWmMLLkjCKJ93tqCNiHYPMs8a7gCPzCWazysjFMQcOnqrHTQIrqS2clw+CBrjSutM4x7j7vz/pDu&#10;EN0xgKaqBONzw9aK69CjOi4hICXfCOvpLGVbVZyF51XleSCyoMg0pDdegvYqvrPZFPLagW0E26UA&#10;x6Rwi5MCofHSPdQcApC1E39BKcGc8aYKA2ZU1hNJiiCL0fCWNpcNWJ64oNTe7kX3/w+WPdssHREl&#10;dgJKokFhxb99fvP94/vrD19ycn316efrdz++vsUNgh4oV2t9jlGXdul2K49m5N5VTsUvsiJdkni7&#10;l5h3gTDcPB2dDScPx5QwPBuNJ/dPT8YRNfsTbp0PT7hRJBoFraRpLxpw4ZEM3GkIfNk3T9IbNk99&#10;6ON/x8UUvJGiXAgp08LVqwvpyAawCRbp2V15w01q0hb0bIwJEQbY2RV2FJrKojpe1+m+GxH+EHiY&#10;nn8Bx8Tm4Js+gYQQ3SBXAhklq+FQPtYlCVuLBdA4eDQmo3hJieQ4p9FKngGEPMYTBZU6XsLTFOxU&#10;isXryxWt0K06BI3mypRbbIQWJwHJvlqDwwzW1om6wRqMEq3oh22YirUbmdjnh2u0D38Ts19QSwME&#10;CgAAAAAAh07iQAAAAAAAAAAAAAAAAAYAAABfcmVscy9QSwMEFAAAAAgAh07iQIoUZjzRAAAAlAEA&#10;AAsAAABfcmVscy8ucmVsc6WQwWrDMAyG74O9g9F9cZrDGKNOL6PQa+kewNiKYxpbRjLZ+vbzDoNl&#10;9LajfqHvE//+8JkWtSJLpGxg1/WgMDvyMQcD75fj0wsoqTZ7u1BGAzcUOIyPD/szLra2I5ljEdUo&#10;WQzMtZZXrcXNmKx0VDC3zUScbG0jB12su9qAeuj7Z82/GTBumOrkDfDJD6Aut9LMf9gpOiahqXaO&#10;kqZpiu4eVQe2ZY7uyDbhG7lGsxywGvAsGgdqWdd+BH1fv/un3tNHPuO61X6HjOuPV2+6HL8AUEsD&#10;BBQAAAAIAIdO4kB+5uUg9wAAAOEBAAATAAAAW0NvbnRlbnRfVHlwZXNdLnhtbJWRQU7DMBBF90jc&#10;wfIWJU67QAgl6YK0S0CoHGBkTxKLZGx5TGhvj5O2G0SRWNoz/78nu9wcxkFMGNg6quQqL6RA0s5Y&#10;6ir5vt9lD1JwBDIwOMJKHpHlpr69KfdHjyxSmriSfYz+USnWPY7AufNIadK6MEJMx9ApD/oDOlTr&#10;orhX2lFEilmcO2RdNtjC5xDF9pCuTyYBB5bi6bQ4syoJ3g9WQ0ymaiLzg5KdCXlKLjvcW893SUOq&#10;Xwnz5DrgnHtJTxOsQfEKIT7DmDSUCayM+6KAU/53yWw5cuba1mrMm8BNir3hdLG61o5r1zj93/Lt&#10;krp0q+WD6m9QSwECFAAUAAAACACHTuJAfublIPcAAADhAQAAEwAAAAAAAAABACAAAACqBAAAW0Nv&#10;bnRlbnRfVHlwZXNdLnhtbFBLAQIUAAoAAAAAAIdO4kAAAAAAAAAAAAAAAAAGAAAAAAAAAAAAEAAA&#10;AIwDAABfcmVscy9QSwECFAAUAAAACACHTuJAihRmPNEAAACUAQAACwAAAAAAAAABACAAAACwAwAA&#10;X3JlbHMvLnJlbHNQSwECFAAKAAAAAACHTuJAAAAAAAAAAAAAAAAABAAAAAAAAAAAABAAAAAAAAAA&#10;ZHJzL1BLAQIUABQAAAAIAIdO4kBrJ9Os2AAAAAkBAAAPAAAAAAAAAAEAIAAAACIAAABkcnMvZG93&#10;bnJldi54bWxQSwECFAAUAAAACACHTuJAsfZZWzkCAABuBAAADgAAAAAAAAABACAAAAAnAQAAZHJz&#10;L2Uyb0RvYy54bWxQSwUGAAAAAAYABgBZAQAA0gUAAAAA&#10;">
                <v:fill on="t" focussize="0,0"/>
                <v:stroke color="#000000" joinstyle="miter"/>
                <v:imagedata o:title=""/>
                <o:lock v:ext="edit" aspectratio="f"/>
                <v:textbox>
                  <w:txbxContent>
                    <w:p w14:paraId="6F5C94C4">
                      <w:pPr>
                        <w:jc w:val="center"/>
                        <w:rPr>
                          <w:rFonts w:hint="default"/>
                          <w:szCs w:val="21"/>
                        </w:rPr>
                      </w:pPr>
                    </w:p>
                    <w:p w14:paraId="203BA914">
                      <w:pPr>
                        <w:jc w:val="center"/>
                        <w:rPr>
                          <w:rFonts w:hint="default"/>
                          <w:szCs w:val="21"/>
                        </w:rPr>
                      </w:pPr>
                    </w:p>
                    <w:p w14:paraId="7C9A6F2C">
                      <w:pPr>
                        <w:jc w:val="center"/>
                        <w:rPr>
                          <w:rFonts w:hint="default"/>
                          <w:szCs w:val="21"/>
                        </w:rPr>
                      </w:pPr>
                    </w:p>
                    <w:p w14:paraId="3274C64B">
                      <w:pPr>
                        <w:jc w:val="center"/>
                        <w:rPr>
                          <w:rFonts w:hint="default" w:hAnsi="宋体" w:eastAsia="宋体" w:cs="宋体"/>
                          <w:szCs w:val="21"/>
                        </w:rPr>
                      </w:pPr>
                      <w:r>
                        <w:rPr>
                          <w:rFonts w:hAnsi="宋体" w:eastAsia="宋体" w:cs="宋体"/>
                          <w:szCs w:val="21"/>
                        </w:rPr>
                        <w:t>委托代理人身份证彩色扫描件正、反面</w:t>
                      </w:r>
                    </w:p>
                  </w:txbxContent>
                </v:textbox>
              </v:shape>
            </w:pict>
          </mc:Fallback>
        </mc:AlternateContent>
      </w:r>
    </w:p>
    <w:p w14:paraId="48B1C41D">
      <w:pPr>
        <w:pStyle w:val="8"/>
        <w:wordWrap w:val="0"/>
        <w:adjustRightInd w:val="0"/>
        <w:snapToGrid w:val="0"/>
        <w:rPr>
          <w:rFonts w:hint="default" w:asciiTheme="minorEastAsia" w:hAnsiTheme="minorEastAsia" w:eastAsiaTheme="minorEastAsia" w:cstheme="minorEastAsia"/>
          <w:snapToGrid w:val="0"/>
          <w:color w:val="auto"/>
          <w:kern w:val="0"/>
          <w:szCs w:val="24"/>
          <w:highlight w:val="none"/>
        </w:rPr>
      </w:pPr>
    </w:p>
    <w:p w14:paraId="1D0F4824">
      <w:pPr>
        <w:rPr>
          <w:rFonts w:hint="default" w:asciiTheme="minorEastAsia" w:hAnsiTheme="minorEastAsia" w:eastAsiaTheme="minorEastAsia" w:cstheme="minorEastAsia"/>
          <w:color w:val="auto"/>
          <w:szCs w:val="24"/>
          <w:highlight w:val="none"/>
        </w:rPr>
      </w:pPr>
    </w:p>
    <w:p w14:paraId="3D239929">
      <w:pPr>
        <w:wordWrap w:val="0"/>
        <w:adjustRightInd w:val="0"/>
        <w:snapToGrid w:val="0"/>
        <w:rPr>
          <w:rFonts w:hint="default" w:asciiTheme="minorEastAsia" w:hAnsiTheme="minorEastAsia" w:eastAsiaTheme="minorEastAsia" w:cstheme="minorEastAsia"/>
          <w:snapToGrid w:val="0"/>
          <w:color w:val="auto"/>
          <w:kern w:val="0"/>
          <w:szCs w:val="24"/>
          <w:highlight w:val="none"/>
        </w:rPr>
        <w:sectPr>
          <w:headerReference r:id="rId6" w:type="default"/>
          <w:footerReference r:id="rId7" w:type="default"/>
          <w:endnotePr>
            <w:numFmt w:val="decimal"/>
          </w:endnotePr>
          <w:pgSz w:w="11905" w:h="16838"/>
          <w:pgMar w:top="1134" w:right="1134" w:bottom="1134" w:left="1417" w:header="850" w:footer="113" w:gutter="0"/>
          <w:pgBorders>
            <w:top w:val="none" w:sz="0" w:space="0"/>
            <w:left w:val="none" w:sz="0" w:space="0"/>
            <w:bottom w:val="none" w:sz="0" w:space="0"/>
            <w:right w:val="none" w:sz="0" w:space="0"/>
          </w:pgBorders>
          <w:pgNumType w:fmt="decimal"/>
          <w:cols w:space="0" w:num="1"/>
          <w:rtlGutter w:val="0"/>
          <w:docGrid w:linePitch="327" w:charSpace="0"/>
        </w:sectPr>
      </w:pPr>
    </w:p>
    <w:p w14:paraId="16A83C1C">
      <w:pPr>
        <w:pStyle w:val="4"/>
        <w:spacing w:before="120"/>
        <w:rPr>
          <w:rFonts w:hint="default" w:asciiTheme="minorEastAsia" w:hAnsiTheme="minorEastAsia" w:eastAsiaTheme="minorEastAsia" w:cstheme="minorEastAsia"/>
          <w:b/>
          <w:bCs/>
          <w:color w:val="auto"/>
          <w:szCs w:val="24"/>
          <w:highlight w:val="none"/>
        </w:rPr>
      </w:pPr>
      <w:bookmarkStart w:id="575" w:name="_Toc12031"/>
      <w:bookmarkStart w:id="576" w:name="_Toc11094"/>
      <w:r>
        <w:rPr>
          <w:rFonts w:asciiTheme="minorEastAsia" w:hAnsiTheme="minorEastAsia" w:eastAsiaTheme="minorEastAsia" w:cstheme="minorEastAsia"/>
          <w:b/>
          <w:bCs/>
          <w:color w:val="auto"/>
          <w:szCs w:val="24"/>
          <w:highlight w:val="none"/>
        </w:rPr>
        <w:t>格式五 法定代表人身份证明</w:t>
      </w:r>
      <w:bookmarkEnd w:id="575"/>
      <w:bookmarkEnd w:id="576"/>
    </w:p>
    <w:p w14:paraId="402A57EB">
      <w:pPr>
        <w:wordWrap w:val="0"/>
        <w:adjustRightInd w:val="0"/>
        <w:snapToGrid w:val="0"/>
        <w:spacing w:line="440" w:lineRule="exact"/>
        <w:rPr>
          <w:rFonts w:hint="default" w:asciiTheme="minorEastAsia" w:hAnsiTheme="minorEastAsia" w:eastAsiaTheme="minorEastAsia" w:cstheme="minorEastAsia"/>
          <w:b/>
          <w:snapToGrid w:val="0"/>
          <w:color w:val="auto"/>
          <w:kern w:val="0"/>
          <w:szCs w:val="24"/>
          <w:highlight w:val="none"/>
        </w:rPr>
      </w:pPr>
    </w:p>
    <w:p w14:paraId="57016732">
      <w:pPr>
        <w:wordWrap w:val="0"/>
        <w:adjustRightInd w:val="0"/>
        <w:snapToGrid w:val="0"/>
        <w:spacing w:before="260" w:after="260" w:line="440" w:lineRule="exact"/>
        <w:jc w:val="center"/>
        <w:rPr>
          <w:rFonts w:hint="default" w:asciiTheme="minorEastAsia" w:hAnsiTheme="minorEastAsia" w:eastAsiaTheme="minorEastAsia" w:cstheme="minorEastAsia"/>
          <w:b/>
          <w:snapToGrid w:val="0"/>
          <w:color w:val="auto"/>
          <w:kern w:val="0"/>
          <w:szCs w:val="24"/>
          <w:highlight w:val="none"/>
        </w:rPr>
      </w:pPr>
      <w:r>
        <w:rPr>
          <w:rFonts w:asciiTheme="minorEastAsia" w:hAnsiTheme="minorEastAsia" w:eastAsiaTheme="minorEastAsia" w:cstheme="minorEastAsia"/>
          <w:b/>
          <w:snapToGrid w:val="0"/>
          <w:color w:val="auto"/>
          <w:kern w:val="0"/>
          <w:szCs w:val="24"/>
          <w:highlight w:val="none"/>
        </w:rPr>
        <w:t>法定代表人身份证明</w:t>
      </w:r>
    </w:p>
    <w:p w14:paraId="521BE167">
      <w:pPr>
        <w:wordWrap w:val="0"/>
        <w:adjustRightInd w:val="0"/>
        <w:snapToGrid w:val="0"/>
        <w:spacing w:line="440" w:lineRule="exact"/>
        <w:rPr>
          <w:rFonts w:hint="default" w:asciiTheme="minorEastAsia" w:hAnsiTheme="minorEastAsia" w:eastAsiaTheme="minorEastAsia" w:cstheme="minorEastAsia"/>
          <w:snapToGrid w:val="0"/>
          <w:color w:val="auto"/>
          <w:kern w:val="0"/>
          <w:szCs w:val="24"/>
          <w:highlight w:val="none"/>
        </w:rPr>
      </w:pPr>
    </w:p>
    <w:p w14:paraId="253EA0EE">
      <w:pPr>
        <w:wordWrap w:val="0"/>
        <w:adjustRightInd w:val="0"/>
        <w:snapToGrid w:val="0"/>
        <w:spacing w:line="440" w:lineRule="exact"/>
        <w:rPr>
          <w:rFonts w:hint="default" w:asciiTheme="minorEastAsia" w:hAnsiTheme="minorEastAsia" w:eastAsiaTheme="minorEastAsia" w:cstheme="minorEastAsia"/>
          <w:snapToGrid w:val="0"/>
          <w:color w:val="auto"/>
          <w:kern w:val="0"/>
          <w:szCs w:val="24"/>
          <w:highlight w:val="none"/>
          <w:u w:val="single"/>
        </w:rPr>
      </w:pPr>
      <w:r>
        <w:rPr>
          <w:rFonts w:asciiTheme="minorEastAsia" w:hAnsiTheme="minorEastAsia" w:eastAsiaTheme="minorEastAsia" w:cstheme="minorEastAsia"/>
          <w:snapToGrid w:val="0"/>
          <w:color w:val="auto"/>
          <w:kern w:val="0"/>
          <w:szCs w:val="24"/>
          <w:highlight w:val="none"/>
        </w:rPr>
        <w:t>投标人名称：</w:t>
      </w:r>
    </w:p>
    <w:p w14:paraId="6ECF292F">
      <w:pPr>
        <w:wordWrap w:val="0"/>
        <w:adjustRightInd w:val="0"/>
        <w:snapToGrid w:val="0"/>
        <w:spacing w:line="440" w:lineRule="exact"/>
        <w:rPr>
          <w:rFonts w:hint="default" w:asciiTheme="minorEastAsia" w:hAnsiTheme="minorEastAsia" w:eastAsiaTheme="minorEastAsia" w:cstheme="minorEastAsia"/>
          <w:snapToGrid w:val="0"/>
          <w:color w:val="auto"/>
          <w:kern w:val="0"/>
          <w:szCs w:val="24"/>
          <w:highlight w:val="none"/>
          <w:u w:val="single"/>
        </w:rPr>
      </w:pPr>
      <w:r>
        <w:rPr>
          <w:rFonts w:asciiTheme="minorEastAsia" w:hAnsiTheme="minorEastAsia" w:eastAsiaTheme="minorEastAsia" w:cstheme="minorEastAsia"/>
          <w:snapToGrid w:val="0"/>
          <w:color w:val="auto"/>
          <w:kern w:val="0"/>
          <w:szCs w:val="24"/>
          <w:highlight w:val="none"/>
        </w:rPr>
        <w:t>姓名：性别：年龄：职务：</w:t>
      </w:r>
    </w:p>
    <w:p w14:paraId="13408070">
      <w:pPr>
        <w:wordWrap w:val="0"/>
        <w:adjustRightInd w:val="0"/>
        <w:snapToGrid w:val="0"/>
        <w:spacing w:line="440" w:lineRule="exact"/>
        <w:rPr>
          <w:rFonts w:hint="default" w:asciiTheme="minorEastAsia" w:hAnsiTheme="minorEastAsia" w:eastAsiaTheme="minorEastAsia" w:cstheme="minorEastAsia"/>
          <w:snapToGrid w:val="0"/>
          <w:color w:val="auto"/>
          <w:kern w:val="0"/>
          <w:szCs w:val="24"/>
          <w:highlight w:val="none"/>
        </w:rPr>
      </w:pPr>
      <w:r>
        <w:rPr>
          <w:rFonts w:asciiTheme="minorEastAsia" w:hAnsiTheme="minorEastAsia" w:eastAsiaTheme="minorEastAsia" w:cstheme="minorEastAsia"/>
          <w:snapToGrid w:val="0"/>
          <w:color w:val="auto"/>
          <w:kern w:val="0"/>
          <w:szCs w:val="24"/>
          <w:highlight w:val="none"/>
        </w:rPr>
        <w:t>系（投标人名称）的法定代表人。</w:t>
      </w:r>
    </w:p>
    <w:p w14:paraId="42A16FCF">
      <w:pPr>
        <w:wordWrap w:val="0"/>
        <w:adjustRightInd w:val="0"/>
        <w:snapToGrid w:val="0"/>
        <w:spacing w:line="440" w:lineRule="exact"/>
        <w:rPr>
          <w:rFonts w:hint="default" w:asciiTheme="minorEastAsia" w:hAnsiTheme="minorEastAsia" w:eastAsiaTheme="minorEastAsia" w:cstheme="minorEastAsia"/>
          <w:snapToGrid w:val="0"/>
          <w:color w:val="auto"/>
          <w:kern w:val="0"/>
          <w:szCs w:val="24"/>
          <w:highlight w:val="none"/>
        </w:rPr>
      </w:pPr>
      <w:r>
        <w:rPr>
          <w:rFonts w:asciiTheme="minorEastAsia" w:hAnsiTheme="minorEastAsia" w:eastAsiaTheme="minorEastAsia" w:cstheme="minorEastAsia"/>
          <w:snapToGrid w:val="0"/>
          <w:color w:val="auto"/>
          <w:kern w:val="0"/>
          <w:szCs w:val="24"/>
          <w:highlight w:val="none"/>
        </w:rPr>
        <w:t xml:space="preserve">    特此证明。</w:t>
      </w:r>
    </w:p>
    <w:p w14:paraId="7506DE92">
      <w:pPr>
        <w:wordWrap w:val="0"/>
        <w:adjustRightInd w:val="0"/>
        <w:snapToGrid w:val="0"/>
        <w:spacing w:line="440" w:lineRule="exact"/>
        <w:rPr>
          <w:rFonts w:hint="default" w:asciiTheme="minorEastAsia" w:hAnsiTheme="minorEastAsia" w:eastAsiaTheme="minorEastAsia" w:cstheme="minorEastAsia"/>
          <w:snapToGrid w:val="0"/>
          <w:color w:val="auto"/>
          <w:kern w:val="0"/>
          <w:szCs w:val="24"/>
          <w:highlight w:val="none"/>
        </w:rPr>
      </w:pPr>
    </w:p>
    <w:p w14:paraId="40992A34">
      <w:pPr>
        <w:wordWrap w:val="0"/>
        <w:adjustRightInd w:val="0"/>
        <w:snapToGrid w:val="0"/>
        <w:spacing w:line="440" w:lineRule="exact"/>
        <w:rPr>
          <w:rFonts w:hint="default" w:asciiTheme="minorEastAsia" w:hAnsiTheme="minorEastAsia" w:eastAsiaTheme="minorEastAsia" w:cstheme="minorEastAsia"/>
          <w:snapToGrid w:val="0"/>
          <w:color w:val="auto"/>
          <w:kern w:val="0"/>
          <w:szCs w:val="24"/>
          <w:highlight w:val="none"/>
        </w:rPr>
      </w:pPr>
    </w:p>
    <w:p w14:paraId="224B06E2">
      <w:pPr>
        <w:wordWrap w:val="0"/>
        <w:adjustRightInd w:val="0"/>
        <w:snapToGrid w:val="0"/>
        <w:spacing w:line="440" w:lineRule="exact"/>
        <w:jc w:val="right"/>
        <w:rPr>
          <w:rFonts w:hint="default" w:asciiTheme="minorEastAsia" w:hAnsiTheme="minorEastAsia" w:eastAsiaTheme="minorEastAsia" w:cstheme="minorEastAsia"/>
          <w:snapToGrid w:val="0"/>
          <w:color w:val="auto"/>
          <w:kern w:val="0"/>
          <w:szCs w:val="24"/>
          <w:highlight w:val="none"/>
        </w:rPr>
      </w:pPr>
      <w:r>
        <w:rPr>
          <w:rFonts w:asciiTheme="minorEastAsia" w:hAnsiTheme="minorEastAsia" w:eastAsiaTheme="minorEastAsia" w:cstheme="minorEastAsia"/>
          <w:snapToGrid w:val="0"/>
          <w:color w:val="auto"/>
          <w:kern w:val="0"/>
          <w:szCs w:val="24"/>
          <w:highlight w:val="none"/>
        </w:rPr>
        <w:t>投标人：（盖单位章）</w:t>
      </w:r>
    </w:p>
    <w:p w14:paraId="7EF31D96">
      <w:pPr>
        <w:wordWrap w:val="0"/>
        <w:adjustRightInd w:val="0"/>
        <w:snapToGrid w:val="0"/>
        <w:spacing w:line="440" w:lineRule="exact"/>
        <w:jc w:val="right"/>
        <w:rPr>
          <w:rFonts w:hint="default" w:asciiTheme="minorEastAsia" w:hAnsiTheme="minorEastAsia" w:eastAsiaTheme="minorEastAsia" w:cstheme="minorEastAsia"/>
          <w:snapToGrid w:val="0"/>
          <w:color w:val="auto"/>
          <w:kern w:val="0"/>
          <w:szCs w:val="24"/>
          <w:highlight w:val="none"/>
        </w:rPr>
      </w:pPr>
    </w:p>
    <w:p w14:paraId="1CCE3FC2">
      <w:pPr>
        <w:wordWrap w:val="0"/>
        <w:adjustRightInd w:val="0"/>
        <w:snapToGrid w:val="0"/>
        <w:spacing w:line="440" w:lineRule="exact"/>
        <w:jc w:val="right"/>
        <w:rPr>
          <w:rFonts w:hint="default" w:asciiTheme="minorEastAsia" w:hAnsiTheme="minorEastAsia" w:eastAsiaTheme="minorEastAsia" w:cstheme="minorEastAsia"/>
          <w:snapToGrid w:val="0"/>
          <w:color w:val="auto"/>
          <w:kern w:val="0"/>
          <w:szCs w:val="24"/>
          <w:highlight w:val="none"/>
        </w:rPr>
      </w:pPr>
    </w:p>
    <w:p w14:paraId="21A11D6B">
      <w:pPr>
        <w:wordWrap w:val="0"/>
        <w:adjustRightInd w:val="0"/>
        <w:snapToGrid w:val="0"/>
        <w:spacing w:line="440" w:lineRule="exact"/>
        <w:jc w:val="right"/>
        <w:rPr>
          <w:rFonts w:hint="default" w:asciiTheme="minorEastAsia" w:hAnsiTheme="minorEastAsia" w:eastAsiaTheme="minorEastAsia" w:cstheme="minorEastAsia"/>
          <w:snapToGrid w:val="0"/>
          <w:color w:val="auto"/>
          <w:kern w:val="0"/>
          <w:szCs w:val="24"/>
          <w:highlight w:val="none"/>
        </w:rPr>
      </w:pPr>
      <w:r>
        <w:rPr>
          <w:rFonts w:asciiTheme="minorEastAsia" w:hAnsiTheme="minorEastAsia" w:eastAsiaTheme="minorEastAsia" w:cstheme="minorEastAsia"/>
          <w:snapToGrid w:val="0"/>
          <w:color w:val="auto"/>
          <w:kern w:val="0"/>
          <w:szCs w:val="24"/>
          <w:highlight w:val="none"/>
        </w:rPr>
        <w:t>法定代表人：（签字或盖章）</w:t>
      </w:r>
    </w:p>
    <w:p w14:paraId="577097A7">
      <w:pPr>
        <w:wordWrap w:val="0"/>
        <w:adjustRightInd w:val="0"/>
        <w:snapToGrid w:val="0"/>
        <w:spacing w:line="440" w:lineRule="exact"/>
        <w:jc w:val="right"/>
        <w:rPr>
          <w:rFonts w:hint="default" w:asciiTheme="minorEastAsia" w:hAnsiTheme="minorEastAsia" w:eastAsiaTheme="minorEastAsia" w:cstheme="minorEastAsia"/>
          <w:snapToGrid w:val="0"/>
          <w:color w:val="auto"/>
          <w:kern w:val="0"/>
          <w:szCs w:val="24"/>
          <w:highlight w:val="none"/>
        </w:rPr>
      </w:pPr>
    </w:p>
    <w:p w14:paraId="089CC07D">
      <w:pPr>
        <w:wordWrap w:val="0"/>
        <w:adjustRightInd w:val="0"/>
        <w:snapToGrid w:val="0"/>
        <w:spacing w:line="440" w:lineRule="exact"/>
        <w:jc w:val="right"/>
        <w:rPr>
          <w:rFonts w:hint="default" w:asciiTheme="minorEastAsia" w:hAnsiTheme="minorEastAsia" w:eastAsiaTheme="minorEastAsia" w:cstheme="minorEastAsia"/>
          <w:snapToGrid w:val="0"/>
          <w:color w:val="auto"/>
          <w:kern w:val="0"/>
          <w:szCs w:val="24"/>
          <w:highlight w:val="none"/>
        </w:rPr>
      </w:pPr>
      <w:r>
        <w:rPr>
          <w:rFonts w:hint="eastAsia" w:asciiTheme="minorEastAsia" w:hAnsiTheme="minorEastAsia" w:eastAsiaTheme="minorEastAsia" w:cstheme="minorEastAsia"/>
          <w:snapToGrid w:val="0"/>
          <w:color w:val="auto"/>
          <w:kern w:val="0"/>
          <w:szCs w:val="24"/>
          <w:highlight w:val="none"/>
          <w:lang w:eastAsia="zh-CN"/>
        </w:rPr>
        <w:t xml:space="preserve"> 年   月  日</w:t>
      </w:r>
      <w:r>
        <w:rPr>
          <w:rFonts w:asciiTheme="minorEastAsia" w:hAnsiTheme="minorEastAsia" w:eastAsiaTheme="minorEastAsia" w:cstheme="minorEastAsia"/>
          <w:snapToGrid w:val="0"/>
          <w:color w:val="auto"/>
          <w:kern w:val="0"/>
          <w:szCs w:val="24"/>
          <w:highlight w:val="none"/>
        </w:rPr>
        <w:t xml:space="preserve">       </w:t>
      </w:r>
    </w:p>
    <w:p w14:paraId="4CB21834">
      <w:pPr>
        <w:wordWrap w:val="0"/>
        <w:adjustRightInd w:val="0"/>
        <w:snapToGrid w:val="0"/>
        <w:spacing w:line="440" w:lineRule="exact"/>
        <w:ind w:firstLine="720" w:firstLineChars="300"/>
        <w:rPr>
          <w:rFonts w:hint="default" w:asciiTheme="minorEastAsia" w:hAnsiTheme="minorEastAsia" w:eastAsiaTheme="minorEastAsia" w:cstheme="minorEastAsia"/>
          <w:i/>
          <w:iCs/>
          <w:snapToGrid w:val="0"/>
          <w:color w:val="auto"/>
          <w:kern w:val="0"/>
          <w:szCs w:val="24"/>
          <w:highlight w:val="none"/>
        </w:rPr>
      </w:pPr>
    </w:p>
    <w:p w14:paraId="41254475">
      <w:pPr>
        <w:wordWrap w:val="0"/>
        <w:adjustRightInd w:val="0"/>
        <w:snapToGrid w:val="0"/>
        <w:spacing w:line="440" w:lineRule="exact"/>
        <w:ind w:firstLine="720" w:firstLineChars="300"/>
        <w:rPr>
          <w:rFonts w:hint="default" w:asciiTheme="minorEastAsia" w:hAnsiTheme="minorEastAsia" w:eastAsiaTheme="minorEastAsia" w:cstheme="minorEastAsia"/>
          <w:i/>
          <w:iCs/>
          <w:snapToGrid w:val="0"/>
          <w:color w:val="auto"/>
          <w:kern w:val="0"/>
          <w:szCs w:val="24"/>
          <w:highlight w:val="none"/>
        </w:rPr>
      </w:pPr>
    </w:p>
    <w:p w14:paraId="26356276">
      <w:pPr>
        <w:wordWrap w:val="0"/>
        <w:adjustRightInd w:val="0"/>
        <w:snapToGrid w:val="0"/>
        <w:rPr>
          <w:rFonts w:hint="default" w:asciiTheme="minorEastAsia" w:hAnsiTheme="minorEastAsia" w:eastAsiaTheme="minorEastAsia" w:cstheme="minorEastAsia"/>
          <w:b/>
          <w:snapToGrid w:val="0"/>
          <w:color w:val="auto"/>
          <w:kern w:val="0"/>
          <w:szCs w:val="24"/>
          <w:highlight w:val="none"/>
        </w:rPr>
      </w:pPr>
      <w:r>
        <w:rPr>
          <w:rFonts w:hint="default" w:asciiTheme="minorEastAsia" w:hAnsiTheme="minorEastAsia" w:eastAsiaTheme="minorEastAsia" w:cstheme="minorEastAsia"/>
          <w:b/>
          <w:snapToGrid w:val="0"/>
          <w:color w:val="auto"/>
          <w:kern w:val="0"/>
          <w:szCs w:val="24"/>
          <w:highlight w:val="none"/>
        </w:rPr>
        <mc:AlternateContent>
          <mc:Choice Requires="wps">
            <w:drawing>
              <wp:anchor distT="0" distB="0" distL="114300" distR="114300" simplePos="0" relativeHeight="251661312" behindDoc="0" locked="0" layoutInCell="1" allowOverlap="1">
                <wp:simplePos x="0" y="0"/>
                <wp:positionH relativeFrom="column">
                  <wp:posOffset>1619250</wp:posOffset>
                </wp:positionH>
                <wp:positionV relativeFrom="paragraph">
                  <wp:posOffset>20320</wp:posOffset>
                </wp:positionV>
                <wp:extent cx="2825115" cy="1584325"/>
                <wp:effectExtent l="4445" t="4445" r="5080" b="11430"/>
                <wp:wrapNone/>
                <wp:docPr id="9" name="流程图: 可选过程 9"/>
                <wp:cNvGraphicFramePr/>
                <a:graphic xmlns:a="http://schemas.openxmlformats.org/drawingml/2006/main">
                  <a:graphicData uri="http://schemas.microsoft.com/office/word/2010/wordprocessingShape">
                    <wps:wsp>
                      <wps:cNvSpPr/>
                      <wps:spPr>
                        <a:xfrm>
                          <a:off x="0" y="0"/>
                          <a:ext cx="2825115" cy="1584325"/>
                        </a:xfrm>
                        <a:prstGeom prst="flowChartAlternateProcess">
                          <a:avLst/>
                        </a:prstGeom>
                        <a:solidFill>
                          <a:srgbClr val="FFFFFF"/>
                        </a:solidFill>
                        <a:ln w="9525" cap="flat" cmpd="sng">
                          <a:solidFill>
                            <a:srgbClr val="000000"/>
                          </a:solidFill>
                          <a:prstDash val="solid"/>
                          <a:miter/>
                          <a:headEnd type="none" w="med" len="med"/>
                          <a:tailEnd type="none" w="med" len="med"/>
                        </a:ln>
                        <a:effectLst/>
                      </wps:spPr>
                      <wps:txbx>
                        <w:txbxContent>
                          <w:p w14:paraId="2745AFE3">
                            <w:pPr>
                              <w:jc w:val="center"/>
                              <w:rPr>
                                <w:rFonts w:hint="default"/>
                                <w:szCs w:val="21"/>
                              </w:rPr>
                            </w:pPr>
                          </w:p>
                          <w:p w14:paraId="72E39525">
                            <w:pPr>
                              <w:jc w:val="center"/>
                              <w:rPr>
                                <w:rFonts w:hint="default"/>
                                <w:szCs w:val="21"/>
                              </w:rPr>
                            </w:pPr>
                          </w:p>
                          <w:p w14:paraId="5015AFD4">
                            <w:pPr>
                              <w:jc w:val="center"/>
                              <w:rPr>
                                <w:rFonts w:hint="default"/>
                                <w:szCs w:val="21"/>
                              </w:rPr>
                            </w:pPr>
                          </w:p>
                          <w:p w14:paraId="5B17321E">
                            <w:pPr>
                              <w:jc w:val="center"/>
                              <w:rPr>
                                <w:rFonts w:hint="default" w:hAnsi="宋体" w:eastAsia="宋体" w:cs="宋体"/>
                                <w:szCs w:val="21"/>
                              </w:rPr>
                            </w:pPr>
                            <w:r>
                              <w:rPr>
                                <w:rFonts w:hAnsi="宋体" w:eastAsia="宋体" w:cs="宋体"/>
                                <w:szCs w:val="21"/>
                              </w:rPr>
                              <w:t>法定代表人身份证彩色扫描件正、反面</w:t>
                            </w:r>
                          </w:p>
                        </w:txbxContent>
                      </wps:txbx>
                      <wps:bodyPr wrap="square" upright="1"/>
                    </wps:wsp>
                  </a:graphicData>
                </a:graphic>
              </wp:anchor>
            </w:drawing>
          </mc:Choice>
          <mc:Fallback>
            <w:pict>
              <v:shape id="_x0000_s1026" o:spid="_x0000_s1026" o:spt="176" type="#_x0000_t176" style="position:absolute;left:0pt;margin-left:127.5pt;margin-top:1.6pt;height:124.75pt;width:222.45pt;z-index:251661312;mso-width-relative:page;mso-height-relative:page;" fillcolor="#FFFFFF" filled="t" stroked="t" coordsize="21600,21600" o:gfxdata="UEsDBAoAAAAAAIdO4kAAAAAAAAAAAAAAAAAEAAAAZHJzL1BLAwQUAAAACACHTuJAHhXUptgAAAAJ&#10;AQAADwAAAGRycy9kb3ducmV2LnhtbE2PwW6DMBBE75XyD9ZG6q0xEIUEiomiVO2pl9JIvRq8xah4&#10;jbAhtF9f59QeV28186Y4LqZnM46usyQg3kTAkBqrOmoFXN6fHw7AnJekZG8JBXyjg2O5uitkruyV&#10;3nCufMtCCLlcCtDeDznnrtFopNvYASmwTzsa6cM5tlyN8hrCTc+TKEq5kR2FBi0HPGtsvqrJCFhe&#10;f+pseombyutDuv/Yzk+nCxfifh1Hj8A8Lv7vGW76QR3K4FTbiZRjvYBktwtbvIBtAizwNMsyYPUN&#10;JHvgZcH/Lyh/AVBLAwQUAAAACACHTuJATPtqxjcCAABsBAAADgAAAGRycy9lMm9Eb2MueG1srVTN&#10;jtMwEL4j8Q6W7zRNoagbNV2hLeWCoNLCA0wdp7HkP2y3aW9wQogDD7AvwI0TV3ia5ectGDuhdBcO&#10;PZBDMrZnvpnv80ym5zslyZY7L4wuaT4YUsI1M5XQ65K+fLG4N6HEB9AVSKN5Sffc0/PZ3TvT1hZ8&#10;ZBojK+4IgmhftLakTQi2yDLPGq7AD4zlGg9r4xQEXLp1VjloEV3JbDQcPsxa4yrrDOPe4+68O6Q9&#10;ojsF0NS1YHxu2EZxHTpUxyUEpOQbYT2dpWrrmrPwvK49D0SWFJmG9MYkaK/iO5tNoVg7sI1gfQlw&#10;Sgm3OCkQGpMeoOYQgGyc+AtKCeaMN3UYMKOyjkhSBFnkw1vaXDZgeeKCUnt7EN3/P1j2bLt0RFQl&#10;PaNEg8IL//b5zfeP76+vvhTk+sOnn6/f/fj6FjfIWRSrtb7AmEu7dP3KoxmZ72qn4hc5kV0SeH8Q&#10;mO8CYbg5mozGeT6mhOFZPp48uD8aR9TsT7h1PjzhRpFolLSWpr1owIVHMnCnIfBl1zpJbdg+9aGL&#10;/x0XS/BGimohpEwLt15dSEe2gC2wSE+f8oab1KRFEcZYEGGAfV1jP6GpLGrj9TrluxHhj4GH6fkX&#10;cCxsDr7pCkgI0Q0KJZBRshoO1WNdkbC3qL/GsaOxGMUrSiTHKY1W8gwg5CmeKKjUMQlPM9CrFC+v&#10;u65ohd1qh6DRXJlqj23Q4hwg2VcbcFjBxjqxbvAO8kQr+mETpsvqByZ2+fEa7eOfxOwXUEsDBAoA&#10;AAAAAIdO4kAAAAAAAAAAAAAAAAAGAAAAX3JlbHMvUEsDBBQAAAAIAIdO4kCKFGY80QAAAJQBAAAL&#10;AAAAX3JlbHMvLnJlbHOlkMFqwzAMhu+DvYPRfXGawxijTi+j0GvpHsDYimMaW0Yy2fr28w6DZfS2&#10;o36h7xP//vCZFrUiS6RsYNf1oDA78jEHA++X49MLKKk2e7tQRgM3FDiMjw/7My62tiOZYxHVKFkM&#10;zLWWV63FzZisdFQwt81EnGxtIwddrLvagHro+2fNvxkwbpjq5A3wyQ+gLrfSzH/YKTomoal2jpKm&#10;aYruHlUHtmWO7sg24Ru5RrMcsBrwLBoHalnXfgR9X7/7p97TRz7jutV+h4zrj1dvuhy/AFBLAwQU&#10;AAAACACHTuJAfublIPcAAADhAQAAEwAAAFtDb250ZW50X1R5cGVzXS54bWyVkUFOwzAQRfdI3MHy&#10;FiVOu0AIJemCtEtAqBxgZE8Si2RseUxob4+TthtEkVjaM/+/J7vcHMZBTBjYOqrkKi+kQNLOWOoq&#10;+b7fZQ9ScAQyMDjCSh6R5aa+vSn3R48sUpq4kn2M/lEp1j2OwLnzSGnSujBCTMfQKQ/6AzpU66K4&#10;V9pRRIpZnDtkXTbYwucQxfaQrk8mAQeW4um0OLMqCd4PVkNMpmoi84OSnQl5Si473FvPd0lDql8J&#10;8+Q64Jx7SU8TrEHxCiE+w5g0lAmsjPuigFP+d8lsOXLm2tZqzJvATYq94XSxutaOa9c4/d/y7ZK6&#10;dKvlg+pvUEsBAhQAFAAAAAgAh07iQH7m5SD3AAAA4QEAABMAAAAAAAAAAQAgAAAAqAQAAFtDb250&#10;ZW50X1R5cGVzXS54bWxQSwECFAAKAAAAAACHTuJAAAAAAAAAAAAAAAAABgAAAAAAAAAAABAAAACK&#10;AwAAX3JlbHMvUEsBAhQAFAAAAAgAh07iQIoUZjzRAAAAlAEAAAsAAAAAAAAAAQAgAAAArgMAAF9y&#10;ZWxzLy5yZWxzUEsBAhQACgAAAAAAh07iQAAAAAAAAAAAAAAAAAQAAAAAAAAAAAAQAAAAAAAAAGRy&#10;cy9QSwECFAAUAAAACACHTuJAHhXUptgAAAAJAQAADwAAAAAAAAABACAAAAAiAAAAZHJzL2Rvd25y&#10;ZXYueG1sUEsBAhQAFAAAAAgAh07iQEz7asY3AgAAbAQAAA4AAAAAAAAAAQAgAAAAJwEAAGRycy9l&#10;Mm9Eb2MueG1sUEsFBgAAAAAGAAYAWQEAANAFAAAAAA==&#10;">
                <v:fill on="t" focussize="0,0"/>
                <v:stroke color="#000000" joinstyle="miter"/>
                <v:imagedata o:title=""/>
                <o:lock v:ext="edit" aspectratio="f"/>
                <v:textbox>
                  <w:txbxContent>
                    <w:p w14:paraId="2745AFE3">
                      <w:pPr>
                        <w:jc w:val="center"/>
                        <w:rPr>
                          <w:rFonts w:hint="default"/>
                          <w:szCs w:val="21"/>
                        </w:rPr>
                      </w:pPr>
                    </w:p>
                    <w:p w14:paraId="72E39525">
                      <w:pPr>
                        <w:jc w:val="center"/>
                        <w:rPr>
                          <w:rFonts w:hint="default"/>
                          <w:szCs w:val="21"/>
                        </w:rPr>
                      </w:pPr>
                    </w:p>
                    <w:p w14:paraId="5015AFD4">
                      <w:pPr>
                        <w:jc w:val="center"/>
                        <w:rPr>
                          <w:rFonts w:hint="default"/>
                          <w:szCs w:val="21"/>
                        </w:rPr>
                      </w:pPr>
                    </w:p>
                    <w:p w14:paraId="5B17321E">
                      <w:pPr>
                        <w:jc w:val="center"/>
                        <w:rPr>
                          <w:rFonts w:hint="default" w:hAnsi="宋体" w:eastAsia="宋体" w:cs="宋体"/>
                          <w:szCs w:val="21"/>
                        </w:rPr>
                      </w:pPr>
                      <w:r>
                        <w:rPr>
                          <w:rFonts w:hAnsi="宋体" w:eastAsia="宋体" w:cs="宋体"/>
                          <w:szCs w:val="21"/>
                        </w:rPr>
                        <w:t>法定代表人身份证彩色扫描件正、反面</w:t>
                      </w:r>
                    </w:p>
                  </w:txbxContent>
                </v:textbox>
              </v:shape>
            </w:pict>
          </mc:Fallback>
        </mc:AlternateContent>
      </w:r>
    </w:p>
    <w:p w14:paraId="2128EDBE">
      <w:pPr>
        <w:tabs>
          <w:tab w:val="left" w:pos="654"/>
          <w:tab w:val="left" w:pos="1734"/>
          <w:tab w:val="left" w:pos="2814"/>
          <w:tab w:val="left" w:pos="3894"/>
          <w:tab w:val="left" w:pos="5334"/>
          <w:tab w:val="left" w:pos="6414"/>
          <w:tab w:val="left" w:pos="7254"/>
          <w:tab w:val="left" w:pos="8574"/>
          <w:tab w:val="left" w:pos="9654"/>
        </w:tabs>
        <w:wordWrap w:val="0"/>
        <w:adjustRightInd w:val="0"/>
        <w:snapToGrid w:val="0"/>
        <w:rPr>
          <w:rFonts w:hint="default" w:asciiTheme="minorEastAsia" w:hAnsiTheme="minorEastAsia" w:eastAsiaTheme="minorEastAsia" w:cstheme="minorEastAsia"/>
          <w:snapToGrid w:val="0"/>
          <w:color w:val="auto"/>
          <w:kern w:val="0"/>
          <w:szCs w:val="24"/>
          <w:highlight w:val="none"/>
        </w:rPr>
      </w:pPr>
    </w:p>
    <w:p w14:paraId="29D1024B">
      <w:pPr>
        <w:wordWrap w:val="0"/>
        <w:adjustRightInd w:val="0"/>
        <w:snapToGrid w:val="0"/>
        <w:spacing w:line="480" w:lineRule="exact"/>
        <w:jc w:val="center"/>
        <w:rPr>
          <w:rFonts w:hint="default" w:asciiTheme="minorEastAsia" w:hAnsiTheme="minorEastAsia" w:eastAsiaTheme="minorEastAsia" w:cstheme="minorEastAsia"/>
          <w:b/>
          <w:snapToGrid w:val="0"/>
          <w:color w:val="auto"/>
          <w:kern w:val="0"/>
          <w:szCs w:val="24"/>
          <w:highlight w:val="none"/>
        </w:rPr>
      </w:pPr>
    </w:p>
    <w:p w14:paraId="681DDAAA">
      <w:pPr>
        <w:wordWrap w:val="0"/>
        <w:adjustRightInd w:val="0"/>
        <w:snapToGrid w:val="0"/>
        <w:spacing w:line="480" w:lineRule="exact"/>
        <w:jc w:val="center"/>
        <w:rPr>
          <w:rFonts w:hint="default" w:asciiTheme="minorEastAsia" w:hAnsiTheme="minorEastAsia" w:eastAsiaTheme="minorEastAsia" w:cstheme="minorEastAsia"/>
          <w:b/>
          <w:snapToGrid w:val="0"/>
          <w:color w:val="auto"/>
          <w:kern w:val="0"/>
          <w:szCs w:val="24"/>
          <w:highlight w:val="none"/>
        </w:rPr>
      </w:pPr>
    </w:p>
    <w:p w14:paraId="005E6DCD">
      <w:pPr>
        <w:wordWrap w:val="0"/>
        <w:adjustRightInd w:val="0"/>
        <w:snapToGrid w:val="0"/>
        <w:spacing w:line="480" w:lineRule="exact"/>
        <w:jc w:val="center"/>
        <w:rPr>
          <w:rFonts w:hint="default" w:asciiTheme="minorEastAsia" w:hAnsiTheme="minorEastAsia" w:eastAsiaTheme="minorEastAsia" w:cstheme="minorEastAsia"/>
          <w:b/>
          <w:snapToGrid w:val="0"/>
          <w:color w:val="auto"/>
          <w:kern w:val="0"/>
          <w:szCs w:val="24"/>
          <w:highlight w:val="none"/>
        </w:rPr>
        <w:sectPr>
          <w:endnotePr>
            <w:numFmt w:val="decimal"/>
          </w:endnotePr>
          <w:pgSz w:w="11905" w:h="16838"/>
          <w:pgMar w:top="1134" w:right="1134" w:bottom="1134" w:left="1417" w:header="850" w:footer="992" w:gutter="0"/>
          <w:pgBorders>
            <w:top w:val="none" w:sz="0" w:space="0"/>
            <w:left w:val="none" w:sz="0" w:space="0"/>
            <w:bottom w:val="none" w:sz="0" w:space="0"/>
            <w:right w:val="none" w:sz="0" w:space="0"/>
          </w:pgBorders>
          <w:pgNumType w:fmt="decimal"/>
          <w:cols w:space="0" w:num="1"/>
          <w:rtlGutter w:val="0"/>
          <w:docGrid w:linePitch="327" w:charSpace="0"/>
        </w:sectPr>
      </w:pPr>
    </w:p>
    <w:p w14:paraId="0B005D29">
      <w:pPr>
        <w:pStyle w:val="4"/>
        <w:spacing w:before="120"/>
        <w:rPr>
          <w:rFonts w:hint="default" w:asciiTheme="minorEastAsia" w:hAnsiTheme="minorEastAsia" w:eastAsiaTheme="minorEastAsia" w:cstheme="minorEastAsia"/>
          <w:b/>
          <w:bCs/>
          <w:color w:val="auto"/>
          <w:szCs w:val="24"/>
          <w:highlight w:val="none"/>
        </w:rPr>
      </w:pPr>
      <w:bookmarkStart w:id="577" w:name="_Toc3782"/>
      <w:bookmarkStart w:id="578" w:name="_Toc26395"/>
      <w:bookmarkStart w:id="579" w:name="_Toc16430"/>
      <w:bookmarkStart w:id="580" w:name="_Toc30665"/>
      <w:bookmarkStart w:id="581" w:name="_Toc26875"/>
      <w:r>
        <w:rPr>
          <w:rFonts w:asciiTheme="minorEastAsia" w:hAnsiTheme="minorEastAsia" w:eastAsiaTheme="minorEastAsia" w:cstheme="minorEastAsia"/>
          <w:b/>
          <w:bCs/>
          <w:color w:val="auto"/>
          <w:szCs w:val="24"/>
          <w:highlight w:val="none"/>
        </w:rPr>
        <w:t>格式六 联合体协议书</w:t>
      </w:r>
      <w:bookmarkEnd w:id="577"/>
      <w:bookmarkEnd w:id="578"/>
      <w:bookmarkEnd w:id="579"/>
      <w:bookmarkEnd w:id="580"/>
      <w:bookmarkEnd w:id="581"/>
    </w:p>
    <w:p w14:paraId="717ED2A4">
      <w:pPr>
        <w:pStyle w:val="49"/>
        <w:widowControl w:val="0"/>
        <w:wordWrap w:val="0"/>
        <w:adjustRightInd w:val="0"/>
        <w:snapToGrid w:val="0"/>
        <w:spacing w:before="240" w:after="240" w:line="440" w:lineRule="exact"/>
        <w:ind w:firstLine="0"/>
        <w:jc w:val="center"/>
        <w:rPr>
          <w:rFonts w:asciiTheme="minorEastAsia" w:hAnsiTheme="minorEastAsia" w:eastAsiaTheme="minorEastAsia" w:cstheme="minorEastAsia"/>
          <w:snapToGrid w:val="0"/>
          <w:color w:val="auto"/>
          <w:sz w:val="24"/>
          <w:szCs w:val="24"/>
          <w:highlight w:val="none"/>
        </w:rPr>
      </w:pPr>
      <w:r>
        <w:rPr>
          <w:rFonts w:hint="eastAsia" w:asciiTheme="minorEastAsia" w:hAnsiTheme="minorEastAsia" w:eastAsiaTheme="minorEastAsia" w:cstheme="minorEastAsia"/>
          <w:b/>
          <w:snapToGrid w:val="0"/>
          <w:color w:val="auto"/>
          <w:sz w:val="24"/>
          <w:szCs w:val="24"/>
          <w:highlight w:val="none"/>
        </w:rPr>
        <w:t>联合体协议书</w:t>
      </w:r>
    </w:p>
    <w:p w14:paraId="06427822">
      <w:pPr>
        <w:pStyle w:val="49"/>
        <w:widowControl w:val="0"/>
        <w:wordWrap w:val="0"/>
        <w:adjustRightInd w:val="0"/>
        <w:snapToGrid w:val="0"/>
        <w:spacing w:line="440" w:lineRule="exact"/>
        <w:rPr>
          <w:rFonts w:asciiTheme="minorEastAsia" w:hAnsiTheme="minorEastAsia" w:eastAsiaTheme="minorEastAsia" w:cstheme="minorEastAsia"/>
          <w:snapToGrid w:val="0"/>
          <w:color w:val="auto"/>
          <w:sz w:val="24"/>
          <w:szCs w:val="24"/>
          <w:highlight w:val="none"/>
        </w:rPr>
      </w:pPr>
    </w:p>
    <w:p w14:paraId="11E9B711">
      <w:pPr>
        <w:pStyle w:val="49"/>
        <w:widowControl w:val="0"/>
        <w:wordWrap w:val="0"/>
        <w:adjustRightInd w:val="0"/>
        <w:snapToGrid w:val="0"/>
        <w:spacing w:line="440" w:lineRule="exact"/>
        <w:rPr>
          <w:rFonts w:asciiTheme="minorEastAsia" w:hAnsiTheme="minorEastAsia" w:eastAsiaTheme="minorEastAsia" w:cstheme="minorEastAsia"/>
          <w:snapToGrid w:val="0"/>
          <w:color w:val="auto"/>
          <w:sz w:val="24"/>
          <w:szCs w:val="24"/>
          <w:highlight w:val="none"/>
        </w:rPr>
      </w:pPr>
    </w:p>
    <w:p w14:paraId="0714B551">
      <w:pPr>
        <w:pStyle w:val="49"/>
        <w:widowControl w:val="0"/>
        <w:wordWrap w:val="0"/>
        <w:adjustRightInd w:val="0"/>
        <w:snapToGrid w:val="0"/>
        <w:spacing w:line="440" w:lineRule="exact"/>
        <w:rPr>
          <w:rFonts w:asciiTheme="minorEastAsia" w:hAnsiTheme="minorEastAsia" w:eastAsiaTheme="minorEastAsia" w:cstheme="minorEastAsia"/>
          <w:snapToGrid w:val="0"/>
          <w:color w:val="auto"/>
          <w:sz w:val="24"/>
          <w:szCs w:val="24"/>
          <w:highlight w:val="none"/>
          <w:u w:val="single"/>
        </w:rPr>
      </w:pPr>
      <w:r>
        <w:rPr>
          <w:rFonts w:hint="eastAsia" w:asciiTheme="minorEastAsia" w:hAnsiTheme="minorEastAsia" w:eastAsiaTheme="minorEastAsia" w:cstheme="minorEastAsia"/>
          <w:snapToGrid w:val="0"/>
          <w:color w:val="auto"/>
          <w:sz w:val="24"/>
          <w:szCs w:val="24"/>
          <w:highlight w:val="none"/>
        </w:rPr>
        <w:t>牵头人名称：</w:t>
      </w:r>
    </w:p>
    <w:p w14:paraId="6E7A172D">
      <w:pPr>
        <w:pStyle w:val="49"/>
        <w:widowControl w:val="0"/>
        <w:wordWrap w:val="0"/>
        <w:adjustRightInd w:val="0"/>
        <w:snapToGrid w:val="0"/>
        <w:spacing w:line="440" w:lineRule="exact"/>
        <w:rPr>
          <w:rFonts w:asciiTheme="minorEastAsia" w:hAnsiTheme="minorEastAsia" w:eastAsiaTheme="minorEastAsia" w:cstheme="minorEastAsia"/>
          <w:snapToGrid w:val="0"/>
          <w:color w:val="auto"/>
          <w:sz w:val="24"/>
          <w:szCs w:val="24"/>
          <w:highlight w:val="none"/>
          <w:u w:val="single"/>
        </w:rPr>
      </w:pPr>
      <w:r>
        <w:rPr>
          <w:rFonts w:hint="eastAsia" w:asciiTheme="minorEastAsia" w:hAnsiTheme="minorEastAsia" w:eastAsiaTheme="minorEastAsia" w:cstheme="minorEastAsia"/>
          <w:snapToGrid w:val="0"/>
          <w:color w:val="auto"/>
          <w:sz w:val="24"/>
          <w:szCs w:val="24"/>
          <w:highlight w:val="none"/>
        </w:rPr>
        <w:t>法定代表人：</w:t>
      </w:r>
    </w:p>
    <w:p w14:paraId="54760A5A">
      <w:pPr>
        <w:pStyle w:val="49"/>
        <w:widowControl w:val="0"/>
        <w:wordWrap w:val="0"/>
        <w:adjustRightInd w:val="0"/>
        <w:snapToGrid w:val="0"/>
        <w:spacing w:line="440" w:lineRule="exact"/>
        <w:rPr>
          <w:rFonts w:asciiTheme="minorEastAsia" w:hAnsiTheme="minorEastAsia" w:eastAsiaTheme="minorEastAsia" w:cstheme="minorEastAsia"/>
          <w:snapToGrid w:val="0"/>
          <w:color w:val="auto"/>
          <w:sz w:val="24"/>
          <w:szCs w:val="24"/>
          <w:highlight w:val="none"/>
        </w:rPr>
      </w:pPr>
      <w:r>
        <w:rPr>
          <w:rFonts w:hint="eastAsia" w:asciiTheme="minorEastAsia" w:hAnsiTheme="minorEastAsia" w:eastAsiaTheme="minorEastAsia" w:cstheme="minorEastAsia"/>
          <w:snapToGrid w:val="0"/>
          <w:color w:val="auto"/>
          <w:sz w:val="24"/>
          <w:szCs w:val="24"/>
          <w:highlight w:val="none"/>
        </w:rPr>
        <w:t>法定住所：</w:t>
      </w:r>
    </w:p>
    <w:p w14:paraId="1929F7EF">
      <w:pPr>
        <w:pStyle w:val="49"/>
        <w:widowControl w:val="0"/>
        <w:wordWrap w:val="0"/>
        <w:adjustRightInd w:val="0"/>
        <w:snapToGrid w:val="0"/>
        <w:spacing w:line="440" w:lineRule="exact"/>
        <w:rPr>
          <w:rFonts w:asciiTheme="minorEastAsia" w:hAnsiTheme="minorEastAsia" w:eastAsiaTheme="minorEastAsia" w:cstheme="minorEastAsia"/>
          <w:snapToGrid w:val="0"/>
          <w:color w:val="auto"/>
          <w:sz w:val="24"/>
          <w:szCs w:val="24"/>
          <w:highlight w:val="none"/>
        </w:rPr>
      </w:pPr>
    </w:p>
    <w:p w14:paraId="0ED87A46">
      <w:pPr>
        <w:pStyle w:val="49"/>
        <w:widowControl w:val="0"/>
        <w:wordWrap w:val="0"/>
        <w:adjustRightInd w:val="0"/>
        <w:snapToGrid w:val="0"/>
        <w:spacing w:line="440" w:lineRule="exact"/>
        <w:rPr>
          <w:rFonts w:asciiTheme="minorEastAsia" w:hAnsiTheme="minorEastAsia" w:eastAsiaTheme="minorEastAsia" w:cstheme="minorEastAsia"/>
          <w:snapToGrid w:val="0"/>
          <w:color w:val="auto"/>
          <w:sz w:val="24"/>
          <w:szCs w:val="24"/>
          <w:highlight w:val="none"/>
          <w:u w:val="single"/>
        </w:rPr>
      </w:pPr>
      <w:r>
        <w:rPr>
          <w:rFonts w:hint="eastAsia" w:asciiTheme="minorEastAsia" w:hAnsiTheme="minorEastAsia" w:eastAsiaTheme="minorEastAsia" w:cstheme="minorEastAsia"/>
          <w:snapToGrid w:val="0"/>
          <w:color w:val="auto"/>
          <w:sz w:val="24"/>
          <w:szCs w:val="24"/>
          <w:highlight w:val="none"/>
        </w:rPr>
        <w:t>成员二名称：</w:t>
      </w:r>
    </w:p>
    <w:p w14:paraId="6F58D5D2">
      <w:pPr>
        <w:pStyle w:val="49"/>
        <w:widowControl w:val="0"/>
        <w:wordWrap w:val="0"/>
        <w:adjustRightInd w:val="0"/>
        <w:snapToGrid w:val="0"/>
        <w:spacing w:line="440" w:lineRule="exact"/>
        <w:rPr>
          <w:rFonts w:asciiTheme="minorEastAsia" w:hAnsiTheme="minorEastAsia" w:eastAsiaTheme="minorEastAsia" w:cstheme="minorEastAsia"/>
          <w:snapToGrid w:val="0"/>
          <w:color w:val="auto"/>
          <w:sz w:val="24"/>
          <w:szCs w:val="24"/>
          <w:highlight w:val="none"/>
          <w:u w:val="single"/>
        </w:rPr>
      </w:pPr>
      <w:r>
        <w:rPr>
          <w:rFonts w:hint="eastAsia" w:asciiTheme="minorEastAsia" w:hAnsiTheme="minorEastAsia" w:eastAsiaTheme="minorEastAsia" w:cstheme="minorEastAsia"/>
          <w:snapToGrid w:val="0"/>
          <w:color w:val="auto"/>
          <w:sz w:val="24"/>
          <w:szCs w:val="24"/>
          <w:highlight w:val="none"/>
        </w:rPr>
        <w:t>法定代表人：</w:t>
      </w:r>
    </w:p>
    <w:p w14:paraId="1FE167B3">
      <w:pPr>
        <w:pStyle w:val="49"/>
        <w:widowControl w:val="0"/>
        <w:wordWrap w:val="0"/>
        <w:adjustRightInd w:val="0"/>
        <w:snapToGrid w:val="0"/>
        <w:spacing w:line="440" w:lineRule="exact"/>
        <w:rPr>
          <w:rFonts w:asciiTheme="minorEastAsia" w:hAnsiTheme="minorEastAsia" w:eastAsiaTheme="minorEastAsia" w:cstheme="minorEastAsia"/>
          <w:snapToGrid w:val="0"/>
          <w:color w:val="auto"/>
          <w:sz w:val="24"/>
          <w:szCs w:val="24"/>
          <w:highlight w:val="none"/>
          <w:u w:val="single"/>
        </w:rPr>
      </w:pPr>
      <w:r>
        <w:rPr>
          <w:rFonts w:hint="eastAsia" w:asciiTheme="minorEastAsia" w:hAnsiTheme="minorEastAsia" w:eastAsiaTheme="minorEastAsia" w:cstheme="minorEastAsia"/>
          <w:snapToGrid w:val="0"/>
          <w:color w:val="auto"/>
          <w:sz w:val="24"/>
          <w:szCs w:val="24"/>
          <w:highlight w:val="none"/>
        </w:rPr>
        <w:t>法定住所：</w:t>
      </w:r>
    </w:p>
    <w:p w14:paraId="31E45A33">
      <w:pPr>
        <w:pStyle w:val="49"/>
        <w:widowControl w:val="0"/>
        <w:wordWrap w:val="0"/>
        <w:adjustRightInd w:val="0"/>
        <w:snapToGrid w:val="0"/>
        <w:spacing w:line="440" w:lineRule="exact"/>
        <w:rPr>
          <w:rFonts w:asciiTheme="minorEastAsia" w:hAnsiTheme="minorEastAsia" w:eastAsiaTheme="minorEastAsia" w:cstheme="minorEastAsia"/>
          <w:snapToGrid w:val="0"/>
          <w:color w:val="auto"/>
          <w:sz w:val="24"/>
          <w:szCs w:val="24"/>
          <w:highlight w:val="none"/>
        </w:rPr>
      </w:pPr>
    </w:p>
    <w:p w14:paraId="0FDEDAF9">
      <w:pPr>
        <w:pStyle w:val="49"/>
        <w:widowControl w:val="0"/>
        <w:wordWrap w:val="0"/>
        <w:adjustRightInd w:val="0"/>
        <w:snapToGrid w:val="0"/>
        <w:spacing w:line="440" w:lineRule="exact"/>
        <w:rPr>
          <w:rFonts w:asciiTheme="minorEastAsia" w:hAnsiTheme="minorEastAsia" w:eastAsiaTheme="minorEastAsia" w:cstheme="minorEastAsia"/>
          <w:snapToGrid w:val="0"/>
          <w:color w:val="auto"/>
          <w:sz w:val="24"/>
          <w:szCs w:val="24"/>
          <w:highlight w:val="none"/>
        </w:rPr>
      </w:pPr>
    </w:p>
    <w:p w14:paraId="27D49A00">
      <w:pPr>
        <w:pStyle w:val="49"/>
        <w:widowControl w:val="0"/>
        <w:wordWrap w:val="0"/>
        <w:adjustRightInd w:val="0"/>
        <w:snapToGrid w:val="0"/>
        <w:spacing w:line="440" w:lineRule="exact"/>
        <w:rPr>
          <w:rFonts w:asciiTheme="minorEastAsia" w:hAnsiTheme="minorEastAsia" w:eastAsiaTheme="minorEastAsia" w:cstheme="minorEastAsia"/>
          <w:snapToGrid w:val="0"/>
          <w:color w:val="auto"/>
          <w:sz w:val="24"/>
          <w:szCs w:val="24"/>
          <w:highlight w:val="none"/>
        </w:rPr>
      </w:pPr>
      <w:r>
        <w:rPr>
          <w:rFonts w:hint="eastAsia" w:asciiTheme="minorEastAsia" w:hAnsiTheme="minorEastAsia" w:eastAsiaTheme="minorEastAsia" w:cstheme="minorEastAsia"/>
          <w:snapToGrid w:val="0"/>
          <w:color w:val="auto"/>
          <w:sz w:val="24"/>
          <w:szCs w:val="24"/>
          <w:highlight w:val="none"/>
        </w:rPr>
        <w:t>……</w:t>
      </w:r>
    </w:p>
    <w:p w14:paraId="4031EEE3">
      <w:pPr>
        <w:pStyle w:val="49"/>
        <w:widowControl w:val="0"/>
        <w:wordWrap w:val="0"/>
        <w:adjustRightInd w:val="0"/>
        <w:snapToGrid w:val="0"/>
        <w:spacing w:line="440" w:lineRule="exact"/>
        <w:rPr>
          <w:rFonts w:asciiTheme="minorEastAsia" w:hAnsiTheme="minorEastAsia" w:eastAsiaTheme="minorEastAsia" w:cstheme="minorEastAsia"/>
          <w:snapToGrid w:val="0"/>
          <w:color w:val="auto"/>
          <w:sz w:val="24"/>
          <w:szCs w:val="24"/>
          <w:highlight w:val="none"/>
        </w:rPr>
      </w:pPr>
      <w:r>
        <w:rPr>
          <w:rFonts w:hint="eastAsia" w:asciiTheme="minorEastAsia" w:hAnsiTheme="minorEastAsia" w:eastAsiaTheme="minorEastAsia" w:cstheme="minorEastAsia"/>
          <w:snapToGrid w:val="0"/>
          <w:color w:val="auto"/>
          <w:sz w:val="24"/>
          <w:szCs w:val="24"/>
          <w:highlight w:val="none"/>
        </w:rPr>
        <w:t>上述各成员单位经过友好协商，自愿组成联合体，共同参加（项目名称）（以下简称“本项目”）的投标并争取赢得本项目EPC总承包合同（以下简称合同）。现就联合体投标事宜订立如下协议：</w:t>
      </w:r>
    </w:p>
    <w:p w14:paraId="62F5A0DA">
      <w:pPr>
        <w:pStyle w:val="49"/>
        <w:widowControl w:val="0"/>
        <w:wordWrap w:val="0"/>
        <w:adjustRightInd w:val="0"/>
        <w:snapToGrid w:val="0"/>
        <w:spacing w:line="440" w:lineRule="exact"/>
        <w:ind w:firstLine="0"/>
        <w:rPr>
          <w:rFonts w:asciiTheme="minorEastAsia" w:hAnsiTheme="minorEastAsia" w:eastAsiaTheme="minorEastAsia" w:cstheme="minorEastAsia"/>
          <w:snapToGrid w:val="0"/>
          <w:color w:val="auto"/>
          <w:sz w:val="24"/>
          <w:szCs w:val="24"/>
          <w:highlight w:val="none"/>
        </w:rPr>
      </w:pPr>
      <w:r>
        <w:rPr>
          <w:rFonts w:hint="eastAsia" w:asciiTheme="minorEastAsia" w:hAnsiTheme="minorEastAsia" w:eastAsiaTheme="minorEastAsia" w:cstheme="minorEastAsia"/>
          <w:snapToGrid w:val="0"/>
          <w:color w:val="auto"/>
          <w:sz w:val="24"/>
          <w:szCs w:val="24"/>
          <w:highlight w:val="none"/>
        </w:rPr>
        <w:t xml:space="preserve">    </w:t>
      </w:r>
      <w:r>
        <w:rPr>
          <w:rFonts w:hint="eastAsia" w:asciiTheme="minorEastAsia" w:hAnsiTheme="minorEastAsia" w:eastAsiaTheme="minorEastAsia" w:cstheme="minorEastAsia"/>
          <w:snapToGrid w:val="0"/>
          <w:color w:val="auto"/>
          <w:sz w:val="24"/>
          <w:szCs w:val="24"/>
          <w:highlight w:val="none"/>
          <w:lang w:eastAsia="zh-CN"/>
        </w:rPr>
        <w:t>1.</w:t>
      </w:r>
      <w:r>
        <w:rPr>
          <w:rFonts w:hint="eastAsia" w:asciiTheme="minorEastAsia" w:hAnsiTheme="minorEastAsia" w:eastAsiaTheme="minorEastAsia" w:cstheme="minorEastAsia"/>
          <w:snapToGrid w:val="0"/>
          <w:color w:val="auto"/>
          <w:sz w:val="24"/>
          <w:szCs w:val="24"/>
          <w:highlight w:val="none"/>
        </w:rPr>
        <w:t>（某成员单位名称）为联合体牵头人。</w:t>
      </w:r>
    </w:p>
    <w:p w14:paraId="49C516E3">
      <w:pPr>
        <w:pStyle w:val="49"/>
        <w:widowControl w:val="0"/>
        <w:wordWrap w:val="0"/>
        <w:adjustRightInd w:val="0"/>
        <w:snapToGrid w:val="0"/>
        <w:spacing w:line="440" w:lineRule="exact"/>
        <w:ind w:firstLine="0"/>
        <w:rPr>
          <w:rFonts w:asciiTheme="minorEastAsia" w:hAnsiTheme="minorEastAsia" w:eastAsiaTheme="minorEastAsia" w:cstheme="minorEastAsia"/>
          <w:snapToGrid w:val="0"/>
          <w:color w:val="auto"/>
          <w:sz w:val="24"/>
          <w:szCs w:val="24"/>
          <w:highlight w:val="none"/>
        </w:rPr>
      </w:pPr>
      <w:r>
        <w:rPr>
          <w:rFonts w:hint="eastAsia" w:asciiTheme="minorEastAsia" w:hAnsiTheme="minorEastAsia" w:eastAsiaTheme="minorEastAsia" w:cstheme="minorEastAsia"/>
          <w:snapToGrid w:val="0"/>
          <w:color w:val="auto"/>
          <w:sz w:val="24"/>
          <w:szCs w:val="24"/>
          <w:highlight w:val="none"/>
        </w:rPr>
        <w:t xml:space="preserve">    </w:t>
      </w:r>
      <w:r>
        <w:rPr>
          <w:rFonts w:hint="eastAsia" w:asciiTheme="minorEastAsia" w:hAnsiTheme="minorEastAsia" w:eastAsiaTheme="minorEastAsia" w:cstheme="minorEastAsia"/>
          <w:snapToGrid w:val="0"/>
          <w:color w:val="auto"/>
          <w:sz w:val="24"/>
          <w:szCs w:val="24"/>
          <w:highlight w:val="none"/>
          <w:lang w:eastAsia="zh-CN"/>
        </w:rPr>
        <w:t>2.</w:t>
      </w:r>
      <w:r>
        <w:rPr>
          <w:rFonts w:hint="eastAsia" w:asciiTheme="minorEastAsia" w:hAnsiTheme="minorEastAsia" w:eastAsiaTheme="minorEastAsia" w:cstheme="minorEastAsia"/>
          <w:snapToGrid w:val="0"/>
          <w:color w:val="auto"/>
          <w:sz w:val="24"/>
          <w:szCs w:val="24"/>
          <w:highlight w:val="none"/>
        </w:rPr>
        <w:t>在本项目投标阶段，联合体牵头人合法代表联合体各成员负责本项目投标文件编制活动，代表联合体提交和接收相关的资料、信息及指示，并处理与投标和中标有关的一切事务；联合体中标后，联合体牵头人负责合同订立和合同实施阶段的主办、组织和协调工作。</w:t>
      </w:r>
    </w:p>
    <w:p w14:paraId="38546C5A">
      <w:pPr>
        <w:pStyle w:val="49"/>
        <w:widowControl w:val="0"/>
        <w:wordWrap w:val="0"/>
        <w:adjustRightInd w:val="0"/>
        <w:snapToGrid w:val="0"/>
        <w:spacing w:line="440" w:lineRule="exact"/>
        <w:ind w:firstLine="0"/>
        <w:rPr>
          <w:rFonts w:asciiTheme="minorEastAsia" w:hAnsiTheme="minorEastAsia" w:eastAsiaTheme="minorEastAsia" w:cstheme="minorEastAsia"/>
          <w:snapToGrid w:val="0"/>
          <w:color w:val="auto"/>
          <w:sz w:val="24"/>
          <w:szCs w:val="24"/>
          <w:highlight w:val="none"/>
        </w:rPr>
      </w:pPr>
      <w:r>
        <w:rPr>
          <w:rFonts w:hint="eastAsia" w:asciiTheme="minorEastAsia" w:hAnsiTheme="minorEastAsia" w:eastAsiaTheme="minorEastAsia" w:cstheme="minorEastAsia"/>
          <w:snapToGrid w:val="0"/>
          <w:color w:val="auto"/>
          <w:sz w:val="24"/>
          <w:szCs w:val="24"/>
          <w:highlight w:val="none"/>
        </w:rPr>
        <w:t xml:space="preserve">    </w:t>
      </w:r>
      <w:r>
        <w:rPr>
          <w:rFonts w:hint="eastAsia" w:asciiTheme="minorEastAsia" w:hAnsiTheme="minorEastAsia" w:eastAsiaTheme="minorEastAsia" w:cstheme="minorEastAsia"/>
          <w:snapToGrid w:val="0"/>
          <w:color w:val="auto"/>
          <w:sz w:val="24"/>
          <w:szCs w:val="24"/>
          <w:highlight w:val="none"/>
          <w:lang w:eastAsia="zh-CN"/>
        </w:rPr>
        <w:t>3.</w:t>
      </w:r>
      <w:r>
        <w:rPr>
          <w:rFonts w:hint="eastAsia" w:asciiTheme="minorEastAsia" w:hAnsiTheme="minorEastAsia" w:eastAsiaTheme="minorEastAsia" w:cstheme="minorEastAsia"/>
          <w:snapToGrid w:val="0"/>
          <w:color w:val="auto"/>
          <w:sz w:val="24"/>
          <w:szCs w:val="24"/>
          <w:highlight w:val="none"/>
        </w:rPr>
        <w:t>联合体将严格按照招标文件的各项要求，递交投标文件，履行投标义务和中标后的合同，共同承担合同规定的一切义务和责任，联合体各成员单位按照内部职责的部分，承担各自所负的责任和风险，并向招标人承担相关责任。</w:t>
      </w:r>
    </w:p>
    <w:p w14:paraId="6AB5D7D5">
      <w:pPr>
        <w:pStyle w:val="49"/>
        <w:widowControl w:val="0"/>
        <w:wordWrap w:val="0"/>
        <w:adjustRightInd w:val="0"/>
        <w:snapToGrid w:val="0"/>
        <w:spacing w:line="440" w:lineRule="exact"/>
        <w:ind w:firstLine="480"/>
        <w:rPr>
          <w:rFonts w:hint="eastAsia" w:asciiTheme="minorEastAsia" w:hAnsiTheme="minorEastAsia" w:eastAsiaTheme="minorEastAsia" w:cstheme="minorEastAsia"/>
          <w:snapToGrid w:val="0"/>
          <w:color w:val="auto"/>
          <w:sz w:val="24"/>
          <w:szCs w:val="24"/>
          <w:highlight w:val="none"/>
          <w:lang w:eastAsia="zh-CN"/>
        </w:rPr>
      </w:pPr>
      <w:r>
        <w:rPr>
          <w:rFonts w:hint="eastAsia" w:asciiTheme="minorEastAsia" w:hAnsiTheme="minorEastAsia" w:eastAsiaTheme="minorEastAsia" w:cstheme="minorEastAsia"/>
          <w:snapToGrid w:val="0"/>
          <w:color w:val="auto"/>
          <w:sz w:val="24"/>
          <w:szCs w:val="24"/>
          <w:highlight w:val="none"/>
          <w:lang w:eastAsia="zh-CN"/>
        </w:rPr>
        <w:t>4.</w:t>
      </w:r>
      <w:r>
        <w:rPr>
          <w:rFonts w:hint="eastAsia" w:asciiTheme="minorEastAsia" w:hAnsiTheme="minorEastAsia" w:eastAsiaTheme="minorEastAsia" w:cstheme="minorEastAsia"/>
          <w:snapToGrid w:val="0"/>
          <w:color w:val="auto"/>
          <w:sz w:val="24"/>
          <w:szCs w:val="24"/>
          <w:highlight w:val="none"/>
        </w:rPr>
        <w:t>联合体各成员单位内部的职责分工如下</w:t>
      </w:r>
      <w:r>
        <w:rPr>
          <w:rFonts w:hint="eastAsia" w:asciiTheme="minorEastAsia" w:hAnsiTheme="minorEastAsia" w:eastAsiaTheme="minorEastAsia" w:cstheme="minorEastAsia"/>
          <w:snapToGrid w:val="0"/>
          <w:color w:val="auto"/>
          <w:sz w:val="24"/>
          <w:szCs w:val="24"/>
          <w:highlight w:val="none"/>
          <w:lang w:eastAsia="zh-CN"/>
        </w:rPr>
        <w:t>：</w:t>
      </w:r>
    </w:p>
    <w:p w14:paraId="162E0B02">
      <w:pPr>
        <w:pStyle w:val="49"/>
        <w:widowControl w:val="0"/>
        <w:wordWrap w:val="0"/>
        <w:adjustRightInd w:val="0"/>
        <w:snapToGrid w:val="0"/>
        <w:spacing w:line="440" w:lineRule="exact"/>
        <w:ind w:firstLine="480"/>
        <w:rPr>
          <w:rFonts w:hint="eastAsia" w:asciiTheme="minorEastAsia" w:hAnsiTheme="minorEastAsia" w:eastAsiaTheme="minorEastAsia" w:cstheme="minorEastAsia"/>
          <w:snapToGrid w:val="0"/>
          <w:color w:val="auto"/>
          <w:sz w:val="24"/>
          <w:szCs w:val="24"/>
          <w:highlight w:val="none"/>
          <w:lang w:eastAsia="zh-CN"/>
        </w:rPr>
      </w:pPr>
    </w:p>
    <w:p w14:paraId="07F14CFC">
      <w:pPr>
        <w:pStyle w:val="49"/>
        <w:widowControl w:val="0"/>
        <w:wordWrap w:val="0"/>
        <w:adjustRightInd w:val="0"/>
        <w:snapToGrid w:val="0"/>
        <w:spacing w:line="440" w:lineRule="exact"/>
        <w:ind w:firstLine="0"/>
        <w:rPr>
          <w:rFonts w:asciiTheme="minorEastAsia" w:hAnsiTheme="minorEastAsia" w:eastAsiaTheme="minorEastAsia" w:cstheme="minorEastAsia"/>
          <w:snapToGrid w:val="0"/>
          <w:color w:val="auto"/>
          <w:sz w:val="24"/>
          <w:szCs w:val="24"/>
          <w:highlight w:val="none"/>
        </w:rPr>
      </w:pPr>
      <w:r>
        <w:rPr>
          <w:rFonts w:hint="eastAsia" w:asciiTheme="minorEastAsia" w:hAnsiTheme="minorEastAsia" w:eastAsiaTheme="minorEastAsia" w:cstheme="minorEastAsia"/>
          <w:snapToGrid w:val="0"/>
          <w:color w:val="auto"/>
          <w:sz w:val="24"/>
          <w:szCs w:val="24"/>
          <w:highlight w:val="none"/>
        </w:rPr>
        <w:t xml:space="preserve">    </w:t>
      </w:r>
      <w:r>
        <w:rPr>
          <w:rFonts w:hint="eastAsia" w:asciiTheme="minorEastAsia" w:hAnsiTheme="minorEastAsia" w:eastAsiaTheme="minorEastAsia" w:cstheme="minorEastAsia"/>
          <w:snapToGrid w:val="0"/>
          <w:color w:val="auto"/>
          <w:sz w:val="24"/>
          <w:szCs w:val="24"/>
          <w:highlight w:val="none"/>
          <w:lang w:eastAsia="zh-CN"/>
        </w:rPr>
        <w:t>5.</w:t>
      </w:r>
      <w:r>
        <w:rPr>
          <w:rFonts w:hint="eastAsia" w:asciiTheme="minorEastAsia" w:hAnsiTheme="minorEastAsia" w:eastAsiaTheme="minorEastAsia" w:cstheme="minorEastAsia"/>
          <w:snapToGrid w:val="0"/>
          <w:color w:val="auto"/>
          <w:sz w:val="24"/>
          <w:szCs w:val="24"/>
          <w:highlight w:val="none"/>
        </w:rPr>
        <w:t>投标工作和联合体在中标后工程实施过程中的有关费用按各自承担的工作量分摊。</w:t>
      </w:r>
    </w:p>
    <w:p w14:paraId="4269AC6B">
      <w:pPr>
        <w:pStyle w:val="49"/>
        <w:widowControl w:val="0"/>
        <w:wordWrap w:val="0"/>
        <w:adjustRightInd w:val="0"/>
        <w:snapToGrid w:val="0"/>
        <w:spacing w:line="440" w:lineRule="exact"/>
        <w:ind w:firstLine="0"/>
        <w:rPr>
          <w:rFonts w:asciiTheme="minorEastAsia" w:hAnsiTheme="minorEastAsia" w:eastAsiaTheme="minorEastAsia" w:cstheme="minorEastAsia"/>
          <w:snapToGrid w:val="0"/>
          <w:color w:val="auto"/>
          <w:sz w:val="24"/>
          <w:szCs w:val="24"/>
          <w:highlight w:val="none"/>
        </w:rPr>
      </w:pPr>
      <w:r>
        <w:rPr>
          <w:rFonts w:hint="eastAsia" w:asciiTheme="minorEastAsia" w:hAnsiTheme="minorEastAsia" w:eastAsiaTheme="minorEastAsia" w:cstheme="minorEastAsia"/>
          <w:snapToGrid w:val="0"/>
          <w:color w:val="auto"/>
          <w:sz w:val="24"/>
          <w:szCs w:val="24"/>
          <w:highlight w:val="none"/>
        </w:rPr>
        <w:t xml:space="preserve">    </w:t>
      </w:r>
      <w:r>
        <w:rPr>
          <w:rFonts w:hint="eastAsia" w:asciiTheme="minorEastAsia" w:hAnsiTheme="minorEastAsia" w:eastAsiaTheme="minorEastAsia" w:cstheme="minorEastAsia"/>
          <w:snapToGrid w:val="0"/>
          <w:color w:val="auto"/>
          <w:sz w:val="24"/>
          <w:szCs w:val="24"/>
          <w:highlight w:val="none"/>
          <w:lang w:eastAsia="zh-CN"/>
        </w:rPr>
        <w:t>6.</w:t>
      </w:r>
      <w:r>
        <w:rPr>
          <w:rFonts w:hint="eastAsia" w:asciiTheme="minorEastAsia" w:hAnsiTheme="minorEastAsia" w:eastAsiaTheme="minorEastAsia" w:cstheme="minorEastAsia"/>
          <w:snapToGrid w:val="0"/>
          <w:color w:val="auto"/>
          <w:sz w:val="24"/>
          <w:szCs w:val="24"/>
          <w:highlight w:val="none"/>
        </w:rPr>
        <w:t>联合体中标后，本联合体协议是合同的附件，对联合体各成员单位有合同约束力。</w:t>
      </w:r>
    </w:p>
    <w:p w14:paraId="6FD81151">
      <w:pPr>
        <w:pStyle w:val="49"/>
        <w:widowControl w:val="0"/>
        <w:wordWrap w:val="0"/>
        <w:adjustRightInd w:val="0"/>
        <w:snapToGrid w:val="0"/>
        <w:spacing w:line="440" w:lineRule="exact"/>
        <w:ind w:firstLine="0"/>
        <w:rPr>
          <w:rFonts w:asciiTheme="minorEastAsia" w:hAnsiTheme="minorEastAsia" w:eastAsiaTheme="minorEastAsia" w:cstheme="minorEastAsia"/>
          <w:snapToGrid w:val="0"/>
          <w:color w:val="auto"/>
          <w:sz w:val="24"/>
          <w:szCs w:val="24"/>
          <w:highlight w:val="none"/>
        </w:rPr>
      </w:pPr>
      <w:r>
        <w:rPr>
          <w:rFonts w:hint="eastAsia" w:asciiTheme="minorEastAsia" w:hAnsiTheme="minorEastAsia" w:eastAsiaTheme="minorEastAsia" w:cstheme="minorEastAsia"/>
          <w:snapToGrid w:val="0"/>
          <w:color w:val="auto"/>
          <w:sz w:val="24"/>
          <w:szCs w:val="24"/>
          <w:highlight w:val="none"/>
        </w:rPr>
        <w:t xml:space="preserve">    </w:t>
      </w:r>
      <w:r>
        <w:rPr>
          <w:rFonts w:hint="eastAsia" w:asciiTheme="minorEastAsia" w:hAnsiTheme="minorEastAsia" w:eastAsiaTheme="minorEastAsia" w:cstheme="minorEastAsia"/>
          <w:snapToGrid w:val="0"/>
          <w:color w:val="auto"/>
          <w:sz w:val="24"/>
          <w:szCs w:val="24"/>
          <w:highlight w:val="none"/>
          <w:lang w:eastAsia="zh-CN"/>
        </w:rPr>
        <w:t>7.</w:t>
      </w:r>
      <w:r>
        <w:rPr>
          <w:rFonts w:hint="eastAsia" w:asciiTheme="minorEastAsia" w:hAnsiTheme="minorEastAsia" w:eastAsiaTheme="minorEastAsia" w:cstheme="minorEastAsia"/>
          <w:snapToGrid w:val="0"/>
          <w:color w:val="auto"/>
          <w:sz w:val="24"/>
          <w:szCs w:val="24"/>
          <w:highlight w:val="none"/>
        </w:rPr>
        <w:t>本协议书自签署之日起生效，联合体未中标或者中标时合同履行完毕后自动失效。</w:t>
      </w:r>
    </w:p>
    <w:p w14:paraId="1D9FCA11">
      <w:pPr>
        <w:pStyle w:val="49"/>
        <w:widowControl w:val="0"/>
        <w:wordWrap w:val="0"/>
        <w:adjustRightInd w:val="0"/>
        <w:snapToGrid w:val="0"/>
        <w:spacing w:line="440" w:lineRule="exact"/>
        <w:ind w:firstLine="0"/>
        <w:rPr>
          <w:rFonts w:asciiTheme="minorEastAsia" w:hAnsiTheme="minorEastAsia" w:eastAsiaTheme="minorEastAsia" w:cstheme="minorEastAsia"/>
          <w:snapToGrid w:val="0"/>
          <w:color w:val="auto"/>
          <w:sz w:val="24"/>
          <w:szCs w:val="24"/>
          <w:highlight w:val="none"/>
        </w:rPr>
      </w:pPr>
      <w:r>
        <w:rPr>
          <w:rFonts w:hint="eastAsia" w:asciiTheme="minorEastAsia" w:hAnsiTheme="minorEastAsia" w:eastAsiaTheme="minorEastAsia" w:cstheme="minorEastAsia"/>
          <w:snapToGrid w:val="0"/>
          <w:color w:val="auto"/>
          <w:sz w:val="24"/>
          <w:szCs w:val="24"/>
          <w:highlight w:val="none"/>
        </w:rPr>
        <w:t xml:space="preserve">    </w:t>
      </w:r>
      <w:r>
        <w:rPr>
          <w:rFonts w:hint="eastAsia" w:asciiTheme="minorEastAsia" w:hAnsiTheme="minorEastAsia" w:eastAsiaTheme="minorEastAsia" w:cstheme="minorEastAsia"/>
          <w:snapToGrid w:val="0"/>
          <w:color w:val="auto"/>
          <w:sz w:val="24"/>
          <w:szCs w:val="24"/>
          <w:highlight w:val="none"/>
          <w:lang w:eastAsia="zh-CN"/>
        </w:rPr>
        <w:t>8.</w:t>
      </w:r>
      <w:r>
        <w:rPr>
          <w:rFonts w:hint="eastAsia" w:asciiTheme="minorEastAsia" w:hAnsiTheme="minorEastAsia" w:eastAsiaTheme="minorEastAsia" w:cstheme="minorEastAsia"/>
          <w:snapToGrid w:val="0"/>
          <w:color w:val="auto"/>
          <w:sz w:val="24"/>
          <w:szCs w:val="24"/>
          <w:highlight w:val="none"/>
        </w:rPr>
        <w:t>本协议书一式</w:t>
      </w:r>
      <w:r>
        <w:rPr>
          <w:rFonts w:hint="eastAsia" w:asciiTheme="minorEastAsia" w:hAnsiTheme="minorEastAsia" w:eastAsiaTheme="minorEastAsia" w:cstheme="minorEastAsia"/>
          <w:snapToGrid w:val="0"/>
          <w:color w:val="auto"/>
          <w:sz w:val="24"/>
          <w:szCs w:val="24"/>
          <w:highlight w:val="none"/>
          <w:lang w:val="en-US" w:eastAsia="zh-CN"/>
        </w:rPr>
        <w:t xml:space="preserve">  </w:t>
      </w:r>
      <w:r>
        <w:rPr>
          <w:rFonts w:hint="eastAsia" w:asciiTheme="minorEastAsia" w:hAnsiTheme="minorEastAsia" w:eastAsiaTheme="minorEastAsia" w:cstheme="minorEastAsia"/>
          <w:snapToGrid w:val="0"/>
          <w:color w:val="auto"/>
          <w:sz w:val="24"/>
          <w:szCs w:val="24"/>
          <w:highlight w:val="none"/>
        </w:rPr>
        <w:t>份，联合体成员和招标人各执一份。</w:t>
      </w:r>
    </w:p>
    <w:p w14:paraId="64637A91">
      <w:pPr>
        <w:pStyle w:val="49"/>
        <w:widowControl w:val="0"/>
        <w:wordWrap w:val="0"/>
        <w:adjustRightInd w:val="0"/>
        <w:snapToGrid w:val="0"/>
        <w:spacing w:line="440" w:lineRule="exact"/>
        <w:rPr>
          <w:rFonts w:asciiTheme="minorEastAsia" w:hAnsiTheme="minorEastAsia" w:eastAsiaTheme="minorEastAsia" w:cstheme="minorEastAsia"/>
          <w:snapToGrid w:val="0"/>
          <w:color w:val="auto"/>
          <w:sz w:val="24"/>
          <w:szCs w:val="24"/>
          <w:highlight w:val="none"/>
        </w:rPr>
      </w:pPr>
    </w:p>
    <w:p w14:paraId="0D89ED90">
      <w:pPr>
        <w:pStyle w:val="49"/>
        <w:widowControl w:val="0"/>
        <w:wordWrap w:val="0"/>
        <w:adjustRightInd w:val="0"/>
        <w:snapToGrid w:val="0"/>
        <w:spacing w:line="440" w:lineRule="exact"/>
        <w:rPr>
          <w:rFonts w:asciiTheme="minorEastAsia" w:hAnsiTheme="minorEastAsia" w:eastAsiaTheme="minorEastAsia" w:cstheme="minorEastAsia"/>
          <w:snapToGrid w:val="0"/>
          <w:color w:val="auto"/>
          <w:sz w:val="24"/>
          <w:szCs w:val="24"/>
          <w:highlight w:val="none"/>
        </w:rPr>
      </w:pPr>
    </w:p>
    <w:p w14:paraId="632EBD07">
      <w:pPr>
        <w:pStyle w:val="49"/>
        <w:widowControl w:val="0"/>
        <w:wordWrap w:val="0"/>
        <w:adjustRightInd w:val="0"/>
        <w:snapToGrid w:val="0"/>
        <w:spacing w:line="440" w:lineRule="exact"/>
        <w:jc w:val="right"/>
        <w:rPr>
          <w:rFonts w:asciiTheme="minorEastAsia" w:hAnsiTheme="minorEastAsia" w:eastAsiaTheme="minorEastAsia" w:cstheme="minorEastAsia"/>
          <w:snapToGrid w:val="0"/>
          <w:color w:val="auto"/>
          <w:sz w:val="24"/>
          <w:szCs w:val="24"/>
          <w:highlight w:val="none"/>
        </w:rPr>
      </w:pPr>
      <w:r>
        <w:rPr>
          <w:rFonts w:hint="eastAsia" w:asciiTheme="minorEastAsia" w:hAnsiTheme="minorEastAsia" w:eastAsiaTheme="minorEastAsia" w:cstheme="minorEastAsia"/>
          <w:snapToGrid w:val="0"/>
          <w:color w:val="auto"/>
          <w:sz w:val="24"/>
          <w:szCs w:val="24"/>
          <w:highlight w:val="none"/>
        </w:rPr>
        <w:t>牵头人名称：（盖单位章）</w:t>
      </w:r>
    </w:p>
    <w:p w14:paraId="6AB241A9">
      <w:pPr>
        <w:pStyle w:val="49"/>
        <w:widowControl w:val="0"/>
        <w:wordWrap w:val="0"/>
        <w:adjustRightInd w:val="0"/>
        <w:snapToGrid w:val="0"/>
        <w:spacing w:line="440" w:lineRule="exact"/>
        <w:jc w:val="right"/>
        <w:rPr>
          <w:rFonts w:asciiTheme="minorEastAsia" w:hAnsiTheme="minorEastAsia" w:eastAsiaTheme="minorEastAsia" w:cstheme="minorEastAsia"/>
          <w:snapToGrid w:val="0"/>
          <w:color w:val="auto"/>
          <w:sz w:val="24"/>
          <w:szCs w:val="24"/>
          <w:highlight w:val="none"/>
        </w:rPr>
      </w:pPr>
      <w:r>
        <w:rPr>
          <w:rFonts w:hint="eastAsia" w:asciiTheme="minorEastAsia" w:hAnsiTheme="minorEastAsia" w:eastAsiaTheme="minorEastAsia" w:cstheme="minorEastAsia"/>
          <w:snapToGrid w:val="0"/>
          <w:color w:val="auto"/>
          <w:sz w:val="24"/>
          <w:szCs w:val="24"/>
          <w:highlight w:val="none"/>
        </w:rPr>
        <w:t>　　　　　　　　</w:t>
      </w:r>
    </w:p>
    <w:p w14:paraId="2CB1C6B5">
      <w:pPr>
        <w:pStyle w:val="49"/>
        <w:widowControl w:val="0"/>
        <w:wordWrap w:val="0"/>
        <w:adjustRightInd w:val="0"/>
        <w:snapToGrid w:val="0"/>
        <w:spacing w:line="440" w:lineRule="exact"/>
        <w:jc w:val="right"/>
        <w:rPr>
          <w:rFonts w:asciiTheme="minorEastAsia" w:hAnsiTheme="minorEastAsia" w:eastAsiaTheme="minorEastAsia" w:cstheme="minorEastAsia"/>
          <w:snapToGrid w:val="0"/>
          <w:color w:val="auto"/>
          <w:sz w:val="24"/>
          <w:szCs w:val="24"/>
          <w:highlight w:val="none"/>
        </w:rPr>
      </w:pPr>
      <w:r>
        <w:rPr>
          <w:rFonts w:hint="eastAsia" w:asciiTheme="minorEastAsia" w:hAnsiTheme="minorEastAsia" w:eastAsiaTheme="minorEastAsia" w:cstheme="minorEastAsia"/>
          <w:snapToGrid w:val="0"/>
          <w:color w:val="auto"/>
          <w:sz w:val="24"/>
          <w:szCs w:val="24"/>
          <w:highlight w:val="none"/>
        </w:rPr>
        <w:t>法定代表人或其委托代理人：（签字或盖章）</w:t>
      </w:r>
    </w:p>
    <w:p w14:paraId="3FCA030D">
      <w:pPr>
        <w:pStyle w:val="49"/>
        <w:widowControl w:val="0"/>
        <w:wordWrap w:val="0"/>
        <w:adjustRightInd w:val="0"/>
        <w:snapToGrid w:val="0"/>
        <w:spacing w:line="440" w:lineRule="exact"/>
        <w:ind w:firstLine="0"/>
        <w:jc w:val="both"/>
        <w:rPr>
          <w:rFonts w:asciiTheme="minorEastAsia" w:hAnsiTheme="minorEastAsia" w:eastAsiaTheme="minorEastAsia" w:cstheme="minorEastAsia"/>
          <w:snapToGrid w:val="0"/>
          <w:color w:val="auto"/>
          <w:sz w:val="24"/>
          <w:szCs w:val="24"/>
          <w:highlight w:val="none"/>
        </w:rPr>
      </w:pPr>
    </w:p>
    <w:p w14:paraId="12B7BAD7">
      <w:pPr>
        <w:pStyle w:val="49"/>
        <w:widowControl w:val="0"/>
        <w:wordWrap w:val="0"/>
        <w:adjustRightInd w:val="0"/>
        <w:snapToGrid w:val="0"/>
        <w:spacing w:line="440" w:lineRule="exact"/>
        <w:jc w:val="right"/>
        <w:rPr>
          <w:rFonts w:asciiTheme="minorEastAsia" w:hAnsiTheme="minorEastAsia" w:eastAsiaTheme="minorEastAsia" w:cstheme="minorEastAsia"/>
          <w:snapToGrid w:val="0"/>
          <w:color w:val="auto"/>
          <w:sz w:val="24"/>
          <w:szCs w:val="24"/>
          <w:highlight w:val="none"/>
        </w:rPr>
      </w:pPr>
      <w:r>
        <w:rPr>
          <w:rFonts w:hint="eastAsia" w:asciiTheme="minorEastAsia" w:hAnsiTheme="minorEastAsia" w:eastAsiaTheme="minorEastAsia" w:cstheme="minorEastAsia"/>
          <w:snapToGrid w:val="0"/>
          <w:color w:val="auto"/>
          <w:sz w:val="24"/>
          <w:szCs w:val="24"/>
          <w:highlight w:val="none"/>
        </w:rPr>
        <w:t>成员二名称：（盖单位章）</w:t>
      </w:r>
    </w:p>
    <w:p w14:paraId="669BF040">
      <w:pPr>
        <w:pStyle w:val="49"/>
        <w:widowControl w:val="0"/>
        <w:wordWrap w:val="0"/>
        <w:adjustRightInd w:val="0"/>
        <w:snapToGrid w:val="0"/>
        <w:spacing w:line="440" w:lineRule="exact"/>
        <w:ind w:firstLine="0"/>
        <w:jc w:val="both"/>
        <w:rPr>
          <w:rFonts w:asciiTheme="minorEastAsia" w:hAnsiTheme="minorEastAsia" w:eastAsiaTheme="minorEastAsia" w:cstheme="minorEastAsia"/>
          <w:snapToGrid w:val="0"/>
          <w:color w:val="auto"/>
          <w:sz w:val="24"/>
          <w:szCs w:val="24"/>
          <w:highlight w:val="none"/>
        </w:rPr>
      </w:pPr>
    </w:p>
    <w:p w14:paraId="782A6330">
      <w:pPr>
        <w:pStyle w:val="49"/>
        <w:widowControl w:val="0"/>
        <w:wordWrap w:val="0"/>
        <w:adjustRightInd w:val="0"/>
        <w:snapToGrid w:val="0"/>
        <w:spacing w:line="440" w:lineRule="exact"/>
        <w:jc w:val="right"/>
        <w:rPr>
          <w:rFonts w:asciiTheme="minorEastAsia" w:hAnsiTheme="minorEastAsia" w:eastAsiaTheme="minorEastAsia" w:cstheme="minorEastAsia"/>
          <w:snapToGrid w:val="0"/>
          <w:color w:val="auto"/>
          <w:sz w:val="24"/>
          <w:szCs w:val="24"/>
          <w:highlight w:val="none"/>
        </w:rPr>
      </w:pPr>
      <w:r>
        <w:rPr>
          <w:rFonts w:hint="eastAsia" w:asciiTheme="minorEastAsia" w:hAnsiTheme="minorEastAsia" w:eastAsiaTheme="minorEastAsia" w:cstheme="minorEastAsia"/>
          <w:snapToGrid w:val="0"/>
          <w:color w:val="auto"/>
          <w:sz w:val="24"/>
          <w:szCs w:val="24"/>
          <w:highlight w:val="none"/>
        </w:rPr>
        <w:t>法定代表人或其委托代理人：（签字或盖章）</w:t>
      </w:r>
    </w:p>
    <w:p w14:paraId="1A4433B4">
      <w:pPr>
        <w:pStyle w:val="49"/>
        <w:widowControl w:val="0"/>
        <w:adjustRightInd w:val="0"/>
        <w:snapToGrid w:val="0"/>
        <w:spacing w:line="440" w:lineRule="exact"/>
        <w:jc w:val="right"/>
        <w:rPr>
          <w:rFonts w:asciiTheme="minorEastAsia" w:hAnsiTheme="minorEastAsia" w:eastAsiaTheme="minorEastAsia" w:cstheme="minorEastAsia"/>
          <w:snapToGrid w:val="0"/>
          <w:color w:val="auto"/>
          <w:sz w:val="24"/>
          <w:szCs w:val="24"/>
          <w:highlight w:val="none"/>
        </w:rPr>
      </w:pPr>
    </w:p>
    <w:p w14:paraId="61BBC73D">
      <w:pPr>
        <w:pStyle w:val="49"/>
        <w:widowControl w:val="0"/>
        <w:wordWrap w:val="0"/>
        <w:adjustRightInd w:val="0"/>
        <w:snapToGrid w:val="0"/>
        <w:spacing w:line="440" w:lineRule="exact"/>
        <w:ind w:firstLine="3840" w:firstLineChars="1600"/>
        <w:rPr>
          <w:rFonts w:asciiTheme="minorEastAsia" w:hAnsiTheme="minorEastAsia" w:eastAsiaTheme="minorEastAsia" w:cstheme="minorEastAsia"/>
          <w:snapToGrid w:val="0"/>
          <w:color w:val="auto"/>
          <w:sz w:val="24"/>
          <w:szCs w:val="24"/>
          <w:highlight w:val="none"/>
        </w:rPr>
      </w:pPr>
      <w:r>
        <w:rPr>
          <w:rFonts w:hint="eastAsia" w:asciiTheme="minorEastAsia" w:hAnsiTheme="minorEastAsia" w:eastAsiaTheme="minorEastAsia" w:cstheme="minorEastAsia"/>
          <w:snapToGrid w:val="0"/>
          <w:color w:val="auto"/>
          <w:sz w:val="24"/>
          <w:szCs w:val="24"/>
          <w:highlight w:val="none"/>
        </w:rPr>
        <w:t xml:space="preserve"> ……</w:t>
      </w:r>
    </w:p>
    <w:p w14:paraId="2FFAE848">
      <w:pPr>
        <w:pStyle w:val="49"/>
        <w:widowControl w:val="0"/>
        <w:wordWrap w:val="0"/>
        <w:adjustRightInd w:val="0"/>
        <w:snapToGrid w:val="0"/>
        <w:spacing w:line="440" w:lineRule="exact"/>
        <w:rPr>
          <w:rFonts w:asciiTheme="minorEastAsia" w:hAnsiTheme="minorEastAsia" w:eastAsiaTheme="minorEastAsia" w:cstheme="minorEastAsia"/>
          <w:snapToGrid w:val="0"/>
          <w:color w:val="auto"/>
          <w:sz w:val="24"/>
          <w:szCs w:val="24"/>
          <w:highlight w:val="none"/>
        </w:rPr>
      </w:pPr>
    </w:p>
    <w:p w14:paraId="6DAD3544">
      <w:pPr>
        <w:pStyle w:val="49"/>
        <w:widowControl w:val="0"/>
        <w:wordWrap w:val="0"/>
        <w:adjustRightInd w:val="0"/>
        <w:snapToGrid w:val="0"/>
        <w:spacing w:line="440" w:lineRule="exact"/>
        <w:jc w:val="right"/>
        <w:rPr>
          <w:rFonts w:asciiTheme="minorEastAsia" w:hAnsiTheme="minorEastAsia" w:eastAsiaTheme="minorEastAsia" w:cstheme="minorEastAsia"/>
          <w:snapToGrid w:val="0"/>
          <w:color w:val="auto"/>
          <w:sz w:val="24"/>
          <w:szCs w:val="24"/>
          <w:highlight w:val="none"/>
          <w:u w:val="none"/>
        </w:rPr>
      </w:pPr>
      <w:r>
        <w:rPr>
          <w:rFonts w:hint="eastAsia" w:asciiTheme="minorEastAsia" w:hAnsiTheme="minorEastAsia" w:eastAsiaTheme="minorEastAsia" w:cstheme="minorEastAsia"/>
          <w:snapToGrid w:val="0"/>
          <w:color w:val="auto"/>
          <w:sz w:val="24"/>
          <w:szCs w:val="24"/>
          <w:highlight w:val="none"/>
          <w:u w:val="none"/>
          <w:lang w:val="en-US" w:eastAsia="zh-CN"/>
        </w:rPr>
        <w:t xml:space="preserve"> </w:t>
      </w:r>
      <w:r>
        <w:rPr>
          <w:rFonts w:asciiTheme="minorEastAsia" w:hAnsiTheme="minorEastAsia" w:eastAsiaTheme="minorEastAsia" w:cstheme="minorEastAsia"/>
          <w:snapToGrid w:val="0"/>
          <w:color w:val="auto"/>
          <w:sz w:val="24"/>
          <w:szCs w:val="24"/>
          <w:highlight w:val="none"/>
          <w:u w:val="none"/>
        </w:rPr>
        <w:t>年</w:t>
      </w:r>
      <w:r>
        <w:rPr>
          <w:rFonts w:hint="eastAsia" w:asciiTheme="minorEastAsia" w:hAnsiTheme="minorEastAsia" w:eastAsiaTheme="minorEastAsia" w:cstheme="minorEastAsia"/>
          <w:snapToGrid w:val="0"/>
          <w:color w:val="auto"/>
          <w:sz w:val="24"/>
          <w:szCs w:val="24"/>
          <w:highlight w:val="none"/>
          <w:u w:val="none"/>
          <w:lang w:val="en-US" w:eastAsia="zh-CN"/>
        </w:rPr>
        <w:t xml:space="preserve">   </w:t>
      </w:r>
      <w:r>
        <w:rPr>
          <w:rFonts w:asciiTheme="minorEastAsia" w:hAnsiTheme="minorEastAsia" w:eastAsiaTheme="minorEastAsia" w:cstheme="minorEastAsia"/>
          <w:snapToGrid w:val="0"/>
          <w:color w:val="auto"/>
          <w:sz w:val="24"/>
          <w:szCs w:val="24"/>
          <w:highlight w:val="none"/>
          <w:u w:val="none"/>
        </w:rPr>
        <w:t>月</w:t>
      </w:r>
      <w:r>
        <w:rPr>
          <w:rFonts w:hint="eastAsia" w:asciiTheme="minorEastAsia" w:hAnsiTheme="minorEastAsia" w:eastAsiaTheme="minorEastAsia" w:cstheme="minorEastAsia"/>
          <w:snapToGrid w:val="0"/>
          <w:color w:val="auto"/>
          <w:sz w:val="24"/>
          <w:szCs w:val="24"/>
          <w:highlight w:val="none"/>
          <w:u w:val="none"/>
          <w:lang w:val="en-US" w:eastAsia="zh-CN"/>
        </w:rPr>
        <w:t xml:space="preserve">  </w:t>
      </w:r>
      <w:r>
        <w:rPr>
          <w:rFonts w:asciiTheme="minorEastAsia" w:hAnsiTheme="minorEastAsia" w:eastAsiaTheme="minorEastAsia" w:cstheme="minorEastAsia"/>
          <w:snapToGrid w:val="0"/>
          <w:color w:val="auto"/>
          <w:sz w:val="24"/>
          <w:szCs w:val="24"/>
          <w:highlight w:val="none"/>
          <w:u w:val="none"/>
        </w:rPr>
        <w:t>日</w:t>
      </w:r>
    </w:p>
    <w:p w14:paraId="425CA148">
      <w:pPr>
        <w:pStyle w:val="49"/>
        <w:widowControl w:val="0"/>
        <w:wordWrap w:val="0"/>
        <w:adjustRightInd w:val="0"/>
        <w:snapToGrid w:val="0"/>
        <w:spacing w:line="440" w:lineRule="exact"/>
        <w:jc w:val="center"/>
        <w:rPr>
          <w:rFonts w:asciiTheme="minorEastAsia" w:hAnsiTheme="minorEastAsia" w:eastAsiaTheme="minorEastAsia" w:cstheme="minorEastAsia"/>
          <w:snapToGrid w:val="0"/>
          <w:color w:val="auto"/>
          <w:sz w:val="24"/>
          <w:szCs w:val="24"/>
          <w:highlight w:val="none"/>
        </w:rPr>
      </w:pPr>
    </w:p>
    <w:p w14:paraId="0F2037E0">
      <w:pPr>
        <w:pStyle w:val="49"/>
        <w:widowControl w:val="0"/>
        <w:wordWrap w:val="0"/>
        <w:adjustRightInd w:val="0"/>
        <w:snapToGrid w:val="0"/>
        <w:spacing w:line="440" w:lineRule="exact"/>
        <w:rPr>
          <w:rFonts w:asciiTheme="minorEastAsia" w:hAnsiTheme="minorEastAsia" w:eastAsiaTheme="minorEastAsia" w:cstheme="minorEastAsia"/>
          <w:snapToGrid w:val="0"/>
          <w:color w:val="auto"/>
          <w:sz w:val="24"/>
          <w:szCs w:val="24"/>
          <w:highlight w:val="none"/>
        </w:rPr>
      </w:pPr>
    </w:p>
    <w:p w14:paraId="6388A96A">
      <w:pPr>
        <w:pStyle w:val="49"/>
        <w:widowControl w:val="0"/>
        <w:wordWrap w:val="0"/>
        <w:adjustRightInd w:val="0"/>
        <w:snapToGrid w:val="0"/>
        <w:spacing w:line="440" w:lineRule="exact"/>
        <w:rPr>
          <w:rFonts w:asciiTheme="minorEastAsia" w:hAnsiTheme="minorEastAsia" w:eastAsiaTheme="minorEastAsia" w:cstheme="minorEastAsia"/>
          <w:snapToGrid w:val="0"/>
          <w:color w:val="auto"/>
          <w:sz w:val="24"/>
          <w:szCs w:val="24"/>
          <w:highlight w:val="none"/>
        </w:rPr>
      </w:pPr>
    </w:p>
    <w:p w14:paraId="1843F26F">
      <w:pPr>
        <w:pStyle w:val="49"/>
        <w:widowControl w:val="0"/>
        <w:wordWrap w:val="0"/>
        <w:adjustRightInd w:val="0"/>
        <w:snapToGrid w:val="0"/>
        <w:spacing w:line="440" w:lineRule="exact"/>
        <w:rPr>
          <w:rFonts w:asciiTheme="minorEastAsia" w:hAnsiTheme="minorEastAsia" w:eastAsiaTheme="minorEastAsia" w:cstheme="minorEastAsia"/>
          <w:snapToGrid w:val="0"/>
          <w:color w:val="auto"/>
          <w:sz w:val="24"/>
          <w:szCs w:val="24"/>
          <w:highlight w:val="none"/>
        </w:rPr>
      </w:pPr>
    </w:p>
    <w:p w14:paraId="3C157F23">
      <w:pPr>
        <w:pStyle w:val="49"/>
        <w:widowControl w:val="0"/>
        <w:wordWrap w:val="0"/>
        <w:adjustRightInd w:val="0"/>
        <w:snapToGrid w:val="0"/>
        <w:spacing w:line="440" w:lineRule="exact"/>
        <w:rPr>
          <w:rFonts w:asciiTheme="minorEastAsia" w:hAnsiTheme="minorEastAsia" w:eastAsiaTheme="minorEastAsia" w:cstheme="minorEastAsia"/>
          <w:snapToGrid w:val="0"/>
          <w:color w:val="auto"/>
          <w:sz w:val="24"/>
          <w:szCs w:val="24"/>
          <w:highlight w:val="none"/>
        </w:rPr>
      </w:pPr>
      <w:r>
        <w:rPr>
          <w:rFonts w:hint="eastAsia" w:asciiTheme="minorEastAsia" w:hAnsiTheme="minorEastAsia" w:eastAsiaTheme="minorEastAsia" w:cstheme="minorEastAsia"/>
          <w:snapToGrid w:val="0"/>
          <w:color w:val="auto"/>
          <w:sz w:val="24"/>
          <w:szCs w:val="24"/>
          <w:highlight w:val="none"/>
        </w:rPr>
        <w:t>说明：《联合体协议书》由委托代理人签字或盖章的，应附法定代表人签字或盖章的授权委托书。</w:t>
      </w:r>
    </w:p>
    <w:p w14:paraId="682C7D0E">
      <w:pPr>
        <w:pStyle w:val="49"/>
        <w:widowControl w:val="0"/>
        <w:wordWrap w:val="0"/>
        <w:adjustRightInd w:val="0"/>
        <w:snapToGrid w:val="0"/>
        <w:spacing w:line="440" w:lineRule="exact"/>
        <w:rPr>
          <w:rFonts w:asciiTheme="minorEastAsia" w:hAnsiTheme="minorEastAsia" w:eastAsiaTheme="minorEastAsia" w:cstheme="minorEastAsia"/>
          <w:snapToGrid w:val="0"/>
          <w:color w:val="auto"/>
          <w:sz w:val="24"/>
          <w:szCs w:val="24"/>
          <w:highlight w:val="none"/>
        </w:rPr>
        <w:sectPr>
          <w:endnotePr>
            <w:numFmt w:val="decimal"/>
          </w:endnotePr>
          <w:pgSz w:w="11905" w:h="16838"/>
          <w:pgMar w:top="1134" w:right="1134" w:bottom="1134" w:left="1417" w:header="850" w:footer="992" w:gutter="0"/>
          <w:pgBorders>
            <w:top w:val="none" w:sz="0" w:space="0"/>
            <w:left w:val="none" w:sz="0" w:space="0"/>
            <w:bottom w:val="none" w:sz="0" w:space="0"/>
            <w:right w:val="none" w:sz="0" w:space="0"/>
          </w:pgBorders>
          <w:pgNumType w:fmt="decimal"/>
          <w:cols w:space="0" w:num="1"/>
          <w:rtlGutter w:val="0"/>
          <w:docGrid w:linePitch="327" w:charSpace="0"/>
        </w:sectPr>
      </w:pPr>
    </w:p>
    <w:p w14:paraId="3881466C">
      <w:pPr>
        <w:pStyle w:val="4"/>
        <w:spacing w:before="120"/>
        <w:rPr>
          <w:rFonts w:hint="default" w:asciiTheme="minorEastAsia" w:hAnsiTheme="minorEastAsia" w:eastAsiaTheme="minorEastAsia" w:cstheme="minorEastAsia"/>
          <w:b/>
          <w:bCs/>
          <w:color w:val="auto"/>
          <w:szCs w:val="24"/>
          <w:highlight w:val="none"/>
        </w:rPr>
      </w:pPr>
      <w:bookmarkStart w:id="582" w:name="_Toc31264"/>
      <w:bookmarkStart w:id="583" w:name="_Toc27903"/>
      <w:r>
        <w:rPr>
          <w:rFonts w:asciiTheme="minorEastAsia" w:hAnsiTheme="minorEastAsia" w:eastAsiaTheme="minorEastAsia" w:cstheme="minorEastAsia"/>
          <w:b/>
          <w:bCs/>
          <w:color w:val="auto"/>
          <w:szCs w:val="24"/>
          <w:highlight w:val="none"/>
        </w:rPr>
        <w:t>格式七 投标人基本情况表</w:t>
      </w:r>
      <w:bookmarkEnd w:id="582"/>
      <w:bookmarkEnd w:id="583"/>
    </w:p>
    <w:p w14:paraId="35E30483">
      <w:pPr>
        <w:pStyle w:val="49"/>
        <w:widowControl w:val="0"/>
        <w:wordWrap w:val="0"/>
        <w:adjustRightInd w:val="0"/>
        <w:snapToGrid w:val="0"/>
        <w:spacing w:before="260" w:after="260" w:line="400" w:lineRule="exact"/>
        <w:ind w:firstLine="0"/>
        <w:jc w:val="center"/>
        <w:rPr>
          <w:rFonts w:asciiTheme="minorEastAsia" w:hAnsiTheme="minorEastAsia" w:eastAsiaTheme="minorEastAsia" w:cstheme="minorEastAsia"/>
          <w:snapToGrid w:val="0"/>
          <w:color w:val="auto"/>
          <w:sz w:val="24"/>
          <w:szCs w:val="24"/>
          <w:highlight w:val="none"/>
        </w:rPr>
      </w:pPr>
      <w:r>
        <w:rPr>
          <w:rFonts w:hint="eastAsia" w:asciiTheme="minorEastAsia" w:hAnsiTheme="minorEastAsia" w:eastAsiaTheme="minorEastAsia" w:cstheme="minorEastAsia"/>
          <w:b/>
          <w:snapToGrid w:val="0"/>
          <w:color w:val="auto"/>
          <w:sz w:val="24"/>
          <w:szCs w:val="24"/>
          <w:highlight w:val="none"/>
        </w:rPr>
        <w:t>投标人基本情况表</w:t>
      </w:r>
    </w:p>
    <w:tbl>
      <w:tblPr>
        <w:tblStyle w:val="23"/>
        <w:tblW w:w="882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40"/>
        <w:gridCol w:w="1541"/>
        <w:gridCol w:w="1140"/>
        <w:gridCol w:w="833"/>
        <w:gridCol w:w="460"/>
        <w:gridCol w:w="832"/>
        <w:gridCol w:w="269"/>
        <w:gridCol w:w="735"/>
        <w:gridCol w:w="1470"/>
      </w:tblGrid>
      <w:tr w14:paraId="7D9C84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9" w:hRule="exact"/>
          <w:jc w:val="center"/>
        </w:trPr>
        <w:tc>
          <w:tcPr>
            <w:tcW w:w="1540" w:type="dxa"/>
            <w:vAlign w:val="center"/>
          </w:tcPr>
          <w:p w14:paraId="261FF35A">
            <w:pPr>
              <w:pStyle w:val="45"/>
              <w:keepNext w:val="0"/>
              <w:keepLines w:val="0"/>
              <w:suppressLineNumbers w:val="0"/>
              <w:wordWrap w:val="0"/>
              <w:adjustRightInd w:val="0"/>
              <w:snapToGrid w:val="0"/>
              <w:spacing w:before="0" w:beforeAutospacing="0" w:after="0" w:afterAutospacing="0"/>
              <w:ind w:left="0" w:right="0"/>
              <w:jc w:val="center"/>
              <w:rPr>
                <w:rFonts w:hint="default" w:asciiTheme="minorEastAsia" w:hAnsiTheme="minorEastAsia" w:eastAsiaTheme="minorEastAsia" w:cstheme="minorEastAsia"/>
                <w:snapToGrid w:val="0"/>
                <w:color w:val="auto"/>
                <w:kern w:val="0"/>
                <w:sz w:val="24"/>
                <w:highlight w:val="none"/>
              </w:rPr>
            </w:pPr>
            <w:r>
              <w:rPr>
                <w:rFonts w:hint="eastAsia" w:asciiTheme="minorEastAsia" w:hAnsiTheme="minorEastAsia" w:eastAsiaTheme="minorEastAsia" w:cstheme="minorEastAsia"/>
                <w:snapToGrid w:val="0"/>
                <w:color w:val="auto"/>
                <w:kern w:val="0"/>
                <w:sz w:val="24"/>
                <w:highlight w:val="none"/>
              </w:rPr>
              <w:t>投标人名称</w:t>
            </w:r>
          </w:p>
        </w:tc>
        <w:tc>
          <w:tcPr>
            <w:tcW w:w="7280" w:type="dxa"/>
            <w:gridSpan w:val="8"/>
            <w:vAlign w:val="center"/>
          </w:tcPr>
          <w:p w14:paraId="0641A0B1">
            <w:pPr>
              <w:pStyle w:val="45"/>
              <w:keepNext w:val="0"/>
              <w:keepLines w:val="0"/>
              <w:suppressLineNumbers w:val="0"/>
              <w:wordWrap w:val="0"/>
              <w:adjustRightInd w:val="0"/>
              <w:snapToGrid w:val="0"/>
              <w:spacing w:before="0" w:beforeAutospacing="0" w:after="0" w:afterAutospacing="0"/>
              <w:ind w:left="0" w:right="0"/>
              <w:jc w:val="center"/>
              <w:rPr>
                <w:rFonts w:hint="default" w:asciiTheme="minorEastAsia" w:hAnsiTheme="minorEastAsia" w:eastAsiaTheme="minorEastAsia" w:cstheme="minorEastAsia"/>
                <w:snapToGrid w:val="0"/>
                <w:color w:val="auto"/>
                <w:kern w:val="0"/>
                <w:sz w:val="24"/>
                <w:highlight w:val="none"/>
              </w:rPr>
            </w:pPr>
          </w:p>
        </w:tc>
      </w:tr>
      <w:tr w14:paraId="07287B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9" w:hRule="exact"/>
          <w:jc w:val="center"/>
        </w:trPr>
        <w:tc>
          <w:tcPr>
            <w:tcW w:w="1540" w:type="dxa"/>
            <w:vAlign w:val="center"/>
          </w:tcPr>
          <w:p w14:paraId="7258A4C7">
            <w:pPr>
              <w:pStyle w:val="45"/>
              <w:keepNext w:val="0"/>
              <w:keepLines w:val="0"/>
              <w:suppressLineNumbers w:val="0"/>
              <w:wordWrap w:val="0"/>
              <w:adjustRightInd w:val="0"/>
              <w:snapToGrid w:val="0"/>
              <w:spacing w:before="0" w:beforeAutospacing="0" w:after="0" w:afterAutospacing="0"/>
              <w:ind w:left="0" w:right="0"/>
              <w:jc w:val="center"/>
              <w:rPr>
                <w:rFonts w:hint="default" w:asciiTheme="minorEastAsia" w:hAnsiTheme="minorEastAsia" w:eastAsiaTheme="minorEastAsia" w:cstheme="minorEastAsia"/>
                <w:snapToGrid w:val="0"/>
                <w:color w:val="auto"/>
                <w:kern w:val="0"/>
                <w:sz w:val="24"/>
                <w:highlight w:val="none"/>
              </w:rPr>
            </w:pPr>
            <w:r>
              <w:rPr>
                <w:rFonts w:hint="eastAsia" w:asciiTheme="minorEastAsia" w:hAnsiTheme="minorEastAsia" w:eastAsiaTheme="minorEastAsia" w:cstheme="minorEastAsia"/>
                <w:snapToGrid w:val="0"/>
                <w:color w:val="auto"/>
                <w:kern w:val="0"/>
                <w:sz w:val="24"/>
                <w:highlight w:val="none"/>
              </w:rPr>
              <w:t>注册地址</w:t>
            </w:r>
          </w:p>
        </w:tc>
        <w:tc>
          <w:tcPr>
            <w:tcW w:w="3514" w:type="dxa"/>
            <w:gridSpan w:val="3"/>
            <w:vAlign w:val="center"/>
          </w:tcPr>
          <w:p w14:paraId="02CEA51A">
            <w:pPr>
              <w:pStyle w:val="45"/>
              <w:keepNext w:val="0"/>
              <w:keepLines w:val="0"/>
              <w:suppressLineNumbers w:val="0"/>
              <w:wordWrap w:val="0"/>
              <w:adjustRightInd w:val="0"/>
              <w:snapToGrid w:val="0"/>
              <w:spacing w:before="0" w:beforeAutospacing="0" w:after="0" w:afterAutospacing="0"/>
              <w:ind w:left="0" w:right="0"/>
              <w:jc w:val="center"/>
              <w:rPr>
                <w:rFonts w:hint="default" w:asciiTheme="minorEastAsia" w:hAnsiTheme="minorEastAsia" w:eastAsiaTheme="minorEastAsia" w:cstheme="minorEastAsia"/>
                <w:snapToGrid w:val="0"/>
                <w:color w:val="auto"/>
                <w:kern w:val="0"/>
                <w:sz w:val="24"/>
                <w:highlight w:val="none"/>
              </w:rPr>
            </w:pPr>
          </w:p>
        </w:tc>
        <w:tc>
          <w:tcPr>
            <w:tcW w:w="1292" w:type="dxa"/>
            <w:gridSpan w:val="2"/>
            <w:vAlign w:val="center"/>
          </w:tcPr>
          <w:p w14:paraId="3737CCE0">
            <w:pPr>
              <w:pStyle w:val="45"/>
              <w:keepNext w:val="0"/>
              <w:keepLines w:val="0"/>
              <w:suppressLineNumbers w:val="0"/>
              <w:wordWrap w:val="0"/>
              <w:adjustRightInd w:val="0"/>
              <w:snapToGrid w:val="0"/>
              <w:spacing w:before="0" w:beforeAutospacing="0" w:after="0" w:afterAutospacing="0"/>
              <w:ind w:left="0" w:right="0"/>
              <w:jc w:val="center"/>
              <w:rPr>
                <w:rFonts w:hint="default" w:asciiTheme="minorEastAsia" w:hAnsiTheme="minorEastAsia" w:eastAsiaTheme="minorEastAsia" w:cstheme="minorEastAsia"/>
                <w:snapToGrid w:val="0"/>
                <w:color w:val="auto"/>
                <w:kern w:val="0"/>
                <w:sz w:val="24"/>
                <w:highlight w:val="none"/>
              </w:rPr>
            </w:pPr>
            <w:r>
              <w:rPr>
                <w:rFonts w:hint="eastAsia" w:asciiTheme="minorEastAsia" w:hAnsiTheme="minorEastAsia" w:eastAsiaTheme="minorEastAsia" w:cstheme="minorEastAsia"/>
                <w:snapToGrid w:val="0"/>
                <w:color w:val="auto"/>
                <w:kern w:val="0"/>
                <w:sz w:val="24"/>
                <w:highlight w:val="none"/>
              </w:rPr>
              <w:t>邮政编码</w:t>
            </w:r>
          </w:p>
        </w:tc>
        <w:tc>
          <w:tcPr>
            <w:tcW w:w="2474" w:type="dxa"/>
            <w:gridSpan w:val="3"/>
            <w:vAlign w:val="center"/>
          </w:tcPr>
          <w:p w14:paraId="723187DE">
            <w:pPr>
              <w:pStyle w:val="45"/>
              <w:keepNext w:val="0"/>
              <w:keepLines w:val="0"/>
              <w:suppressLineNumbers w:val="0"/>
              <w:wordWrap w:val="0"/>
              <w:adjustRightInd w:val="0"/>
              <w:snapToGrid w:val="0"/>
              <w:spacing w:before="0" w:beforeAutospacing="0" w:after="0" w:afterAutospacing="0"/>
              <w:ind w:left="0" w:right="0"/>
              <w:jc w:val="center"/>
              <w:rPr>
                <w:rFonts w:hint="default" w:asciiTheme="minorEastAsia" w:hAnsiTheme="minorEastAsia" w:eastAsiaTheme="minorEastAsia" w:cstheme="minorEastAsia"/>
                <w:snapToGrid w:val="0"/>
                <w:color w:val="auto"/>
                <w:kern w:val="0"/>
                <w:sz w:val="24"/>
                <w:highlight w:val="none"/>
              </w:rPr>
            </w:pPr>
          </w:p>
        </w:tc>
      </w:tr>
      <w:tr w14:paraId="28766F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9" w:hRule="exact"/>
          <w:jc w:val="center"/>
        </w:trPr>
        <w:tc>
          <w:tcPr>
            <w:tcW w:w="1540" w:type="dxa"/>
            <w:vMerge w:val="restart"/>
            <w:vAlign w:val="center"/>
          </w:tcPr>
          <w:p w14:paraId="2A22C420">
            <w:pPr>
              <w:pStyle w:val="45"/>
              <w:keepNext w:val="0"/>
              <w:keepLines w:val="0"/>
              <w:suppressLineNumbers w:val="0"/>
              <w:wordWrap w:val="0"/>
              <w:adjustRightInd w:val="0"/>
              <w:snapToGrid w:val="0"/>
              <w:spacing w:before="0" w:beforeAutospacing="0" w:after="0" w:afterAutospacing="0"/>
              <w:ind w:left="0" w:right="0"/>
              <w:jc w:val="center"/>
              <w:rPr>
                <w:rFonts w:hint="default" w:asciiTheme="minorEastAsia" w:hAnsiTheme="minorEastAsia" w:eastAsiaTheme="minorEastAsia" w:cstheme="minorEastAsia"/>
                <w:snapToGrid w:val="0"/>
                <w:color w:val="auto"/>
                <w:kern w:val="0"/>
                <w:sz w:val="24"/>
                <w:highlight w:val="none"/>
              </w:rPr>
            </w:pPr>
            <w:r>
              <w:rPr>
                <w:rFonts w:hint="eastAsia" w:asciiTheme="minorEastAsia" w:hAnsiTheme="minorEastAsia" w:eastAsiaTheme="minorEastAsia" w:cstheme="minorEastAsia"/>
                <w:snapToGrid w:val="0"/>
                <w:color w:val="auto"/>
                <w:kern w:val="0"/>
                <w:sz w:val="24"/>
                <w:highlight w:val="none"/>
              </w:rPr>
              <w:t>联系方式</w:t>
            </w:r>
          </w:p>
        </w:tc>
        <w:tc>
          <w:tcPr>
            <w:tcW w:w="1541" w:type="dxa"/>
            <w:vAlign w:val="center"/>
          </w:tcPr>
          <w:p w14:paraId="70D96851">
            <w:pPr>
              <w:pStyle w:val="45"/>
              <w:keepNext w:val="0"/>
              <w:keepLines w:val="0"/>
              <w:suppressLineNumbers w:val="0"/>
              <w:wordWrap w:val="0"/>
              <w:adjustRightInd w:val="0"/>
              <w:snapToGrid w:val="0"/>
              <w:spacing w:before="0" w:beforeAutospacing="0" w:after="0" w:afterAutospacing="0"/>
              <w:ind w:left="0" w:right="0"/>
              <w:jc w:val="center"/>
              <w:rPr>
                <w:rFonts w:hint="default" w:asciiTheme="minorEastAsia" w:hAnsiTheme="minorEastAsia" w:eastAsiaTheme="minorEastAsia" w:cstheme="minorEastAsia"/>
                <w:snapToGrid w:val="0"/>
                <w:color w:val="auto"/>
                <w:kern w:val="0"/>
                <w:sz w:val="24"/>
                <w:highlight w:val="none"/>
              </w:rPr>
            </w:pPr>
            <w:r>
              <w:rPr>
                <w:rFonts w:hint="eastAsia" w:asciiTheme="minorEastAsia" w:hAnsiTheme="minorEastAsia" w:eastAsiaTheme="minorEastAsia" w:cstheme="minorEastAsia"/>
                <w:snapToGrid w:val="0"/>
                <w:color w:val="auto"/>
                <w:kern w:val="0"/>
                <w:sz w:val="24"/>
                <w:highlight w:val="none"/>
              </w:rPr>
              <w:t>联系人</w:t>
            </w:r>
          </w:p>
        </w:tc>
        <w:tc>
          <w:tcPr>
            <w:tcW w:w="1973" w:type="dxa"/>
            <w:gridSpan w:val="2"/>
            <w:vAlign w:val="center"/>
          </w:tcPr>
          <w:p w14:paraId="0CD1B8CD">
            <w:pPr>
              <w:pStyle w:val="45"/>
              <w:keepNext w:val="0"/>
              <w:keepLines w:val="0"/>
              <w:suppressLineNumbers w:val="0"/>
              <w:wordWrap w:val="0"/>
              <w:adjustRightInd w:val="0"/>
              <w:snapToGrid w:val="0"/>
              <w:spacing w:before="0" w:beforeAutospacing="0" w:after="0" w:afterAutospacing="0"/>
              <w:ind w:left="0" w:right="0"/>
              <w:jc w:val="center"/>
              <w:rPr>
                <w:rFonts w:hint="default" w:asciiTheme="minorEastAsia" w:hAnsiTheme="minorEastAsia" w:eastAsiaTheme="minorEastAsia" w:cstheme="minorEastAsia"/>
                <w:snapToGrid w:val="0"/>
                <w:color w:val="auto"/>
                <w:kern w:val="0"/>
                <w:sz w:val="24"/>
                <w:highlight w:val="none"/>
              </w:rPr>
            </w:pPr>
          </w:p>
        </w:tc>
        <w:tc>
          <w:tcPr>
            <w:tcW w:w="1292" w:type="dxa"/>
            <w:gridSpan w:val="2"/>
            <w:vAlign w:val="center"/>
          </w:tcPr>
          <w:p w14:paraId="5ACDCCCA">
            <w:pPr>
              <w:pStyle w:val="45"/>
              <w:keepNext w:val="0"/>
              <w:keepLines w:val="0"/>
              <w:suppressLineNumbers w:val="0"/>
              <w:wordWrap w:val="0"/>
              <w:adjustRightInd w:val="0"/>
              <w:snapToGrid w:val="0"/>
              <w:spacing w:before="0" w:beforeAutospacing="0" w:after="0" w:afterAutospacing="0"/>
              <w:ind w:left="0" w:right="0"/>
              <w:jc w:val="center"/>
              <w:rPr>
                <w:rFonts w:hint="default" w:asciiTheme="minorEastAsia" w:hAnsiTheme="minorEastAsia" w:eastAsiaTheme="minorEastAsia" w:cstheme="minorEastAsia"/>
                <w:snapToGrid w:val="0"/>
                <w:color w:val="auto"/>
                <w:kern w:val="0"/>
                <w:sz w:val="24"/>
                <w:highlight w:val="none"/>
              </w:rPr>
            </w:pPr>
            <w:r>
              <w:rPr>
                <w:rFonts w:hint="eastAsia" w:asciiTheme="minorEastAsia" w:hAnsiTheme="minorEastAsia" w:eastAsiaTheme="minorEastAsia" w:cstheme="minorEastAsia"/>
                <w:snapToGrid w:val="0"/>
                <w:color w:val="auto"/>
                <w:kern w:val="0"/>
                <w:sz w:val="24"/>
                <w:highlight w:val="none"/>
              </w:rPr>
              <w:t>电  话</w:t>
            </w:r>
          </w:p>
        </w:tc>
        <w:tc>
          <w:tcPr>
            <w:tcW w:w="2474" w:type="dxa"/>
            <w:gridSpan w:val="3"/>
            <w:vAlign w:val="center"/>
          </w:tcPr>
          <w:p w14:paraId="5394A724">
            <w:pPr>
              <w:pStyle w:val="45"/>
              <w:keepNext w:val="0"/>
              <w:keepLines w:val="0"/>
              <w:suppressLineNumbers w:val="0"/>
              <w:wordWrap w:val="0"/>
              <w:adjustRightInd w:val="0"/>
              <w:snapToGrid w:val="0"/>
              <w:spacing w:before="0" w:beforeAutospacing="0" w:after="0" w:afterAutospacing="0"/>
              <w:ind w:left="0" w:right="0"/>
              <w:jc w:val="center"/>
              <w:rPr>
                <w:rFonts w:hint="default" w:asciiTheme="minorEastAsia" w:hAnsiTheme="minorEastAsia" w:eastAsiaTheme="minorEastAsia" w:cstheme="minorEastAsia"/>
                <w:snapToGrid w:val="0"/>
                <w:color w:val="auto"/>
                <w:kern w:val="0"/>
                <w:sz w:val="24"/>
                <w:highlight w:val="none"/>
              </w:rPr>
            </w:pPr>
          </w:p>
        </w:tc>
      </w:tr>
      <w:tr w14:paraId="020438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9" w:hRule="exact"/>
          <w:jc w:val="center"/>
        </w:trPr>
        <w:tc>
          <w:tcPr>
            <w:tcW w:w="1540" w:type="dxa"/>
            <w:vMerge w:val="continue"/>
            <w:vAlign w:val="center"/>
          </w:tcPr>
          <w:p w14:paraId="70866FB3">
            <w:pPr>
              <w:pStyle w:val="45"/>
              <w:keepNext w:val="0"/>
              <w:keepLines w:val="0"/>
              <w:suppressLineNumbers w:val="0"/>
              <w:wordWrap w:val="0"/>
              <w:adjustRightInd w:val="0"/>
              <w:snapToGrid w:val="0"/>
              <w:spacing w:before="0" w:beforeAutospacing="0" w:after="0" w:afterAutospacing="0"/>
              <w:ind w:left="0" w:right="0"/>
              <w:jc w:val="center"/>
              <w:rPr>
                <w:rFonts w:hint="default" w:asciiTheme="minorEastAsia" w:hAnsiTheme="minorEastAsia" w:eastAsiaTheme="minorEastAsia" w:cstheme="minorEastAsia"/>
                <w:snapToGrid w:val="0"/>
                <w:color w:val="auto"/>
                <w:kern w:val="0"/>
                <w:sz w:val="24"/>
                <w:highlight w:val="none"/>
              </w:rPr>
            </w:pPr>
          </w:p>
        </w:tc>
        <w:tc>
          <w:tcPr>
            <w:tcW w:w="1541" w:type="dxa"/>
            <w:vAlign w:val="center"/>
          </w:tcPr>
          <w:p w14:paraId="2D4CA6C2">
            <w:pPr>
              <w:pStyle w:val="45"/>
              <w:keepNext w:val="0"/>
              <w:keepLines w:val="0"/>
              <w:suppressLineNumbers w:val="0"/>
              <w:wordWrap w:val="0"/>
              <w:adjustRightInd w:val="0"/>
              <w:snapToGrid w:val="0"/>
              <w:spacing w:before="0" w:beforeAutospacing="0" w:after="0" w:afterAutospacing="0"/>
              <w:ind w:left="0" w:right="0"/>
              <w:jc w:val="center"/>
              <w:rPr>
                <w:rFonts w:hint="default" w:asciiTheme="minorEastAsia" w:hAnsiTheme="minorEastAsia" w:eastAsiaTheme="minorEastAsia" w:cstheme="minorEastAsia"/>
                <w:snapToGrid w:val="0"/>
                <w:color w:val="auto"/>
                <w:kern w:val="0"/>
                <w:sz w:val="24"/>
                <w:highlight w:val="none"/>
              </w:rPr>
            </w:pPr>
            <w:r>
              <w:rPr>
                <w:rFonts w:hint="eastAsia" w:asciiTheme="minorEastAsia" w:hAnsiTheme="minorEastAsia" w:eastAsiaTheme="minorEastAsia" w:cstheme="minorEastAsia"/>
                <w:snapToGrid w:val="0"/>
                <w:color w:val="auto"/>
                <w:kern w:val="0"/>
                <w:sz w:val="24"/>
                <w:highlight w:val="none"/>
              </w:rPr>
              <w:t>传  真</w:t>
            </w:r>
          </w:p>
        </w:tc>
        <w:tc>
          <w:tcPr>
            <w:tcW w:w="1973" w:type="dxa"/>
            <w:gridSpan w:val="2"/>
            <w:vAlign w:val="center"/>
          </w:tcPr>
          <w:p w14:paraId="2837AA8D">
            <w:pPr>
              <w:pStyle w:val="45"/>
              <w:keepNext w:val="0"/>
              <w:keepLines w:val="0"/>
              <w:suppressLineNumbers w:val="0"/>
              <w:wordWrap w:val="0"/>
              <w:adjustRightInd w:val="0"/>
              <w:snapToGrid w:val="0"/>
              <w:spacing w:before="0" w:beforeAutospacing="0" w:after="0" w:afterAutospacing="0"/>
              <w:ind w:left="0" w:right="0"/>
              <w:jc w:val="center"/>
              <w:rPr>
                <w:rFonts w:hint="default" w:asciiTheme="minorEastAsia" w:hAnsiTheme="minorEastAsia" w:eastAsiaTheme="minorEastAsia" w:cstheme="minorEastAsia"/>
                <w:snapToGrid w:val="0"/>
                <w:color w:val="auto"/>
                <w:kern w:val="0"/>
                <w:sz w:val="24"/>
                <w:highlight w:val="none"/>
              </w:rPr>
            </w:pPr>
          </w:p>
        </w:tc>
        <w:tc>
          <w:tcPr>
            <w:tcW w:w="1292" w:type="dxa"/>
            <w:gridSpan w:val="2"/>
            <w:vAlign w:val="center"/>
          </w:tcPr>
          <w:p w14:paraId="77A68831">
            <w:pPr>
              <w:pStyle w:val="45"/>
              <w:keepNext w:val="0"/>
              <w:keepLines w:val="0"/>
              <w:suppressLineNumbers w:val="0"/>
              <w:wordWrap w:val="0"/>
              <w:adjustRightInd w:val="0"/>
              <w:snapToGrid w:val="0"/>
              <w:spacing w:before="0" w:beforeAutospacing="0" w:after="0" w:afterAutospacing="0"/>
              <w:ind w:left="0" w:right="0"/>
              <w:jc w:val="center"/>
              <w:rPr>
                <w:rFonts w:hint="default" w:asciiTheme="minorEastAsia" w:hAnsiTheme="minorEastAsia" w:eastAsiaTheme="minorEastAsia" w:cstheme="minorEastAsia"/>
                <w:snapToGrid w:val="0"/>
                <w:color w:val="auto"/>
                <w:kern w:val="0"/>
                <w:sz w:val="24"/>
                <w:highlight w:val="none"/>
              </w:rPr>
            </w:pPr>
            <w:r>
              <w:rPr>
                <w:rFonts w:hint="eastAsia" w:asciiTheme="minorEastAsia" w:hAnsiTheme="minorEastAsia" w:eastAsiaTheme="minorEastAsia" w:cstheme="minorEastAsia"/>
                <w:snapToGrid w:val="0"/>
                <w:color w:val="auto"/>
                <w:kern w:val="0"/>
                <w:sz w:val="24"/>
                <w:highlight w:val="none"/>
              </w:rPr>
              <w:t>电子邮箱</w:t>
            </w:r>
          </w:p>
        </w:tc>
        <w:tc>
          <w:tcPr>
            <w:tcW w:w="2474" w:type="dxa"/>
            <w:gridSpan w:val="3"/>
            <w:vAlign w:val="center"/>
          </w:tcPr>
          <w:p w14:paraId="594D1A77">
            <w:pPr>
              <w:pStyle w:val="45"/>
              <w:keepNext w:val="0"/>
              <w:keepLines w:val="0"/>
              <w:suppressLineNumbers w:val="0"/>
              <w:wordWrap w:val="0"/>
              <w:adjustRightInd w:val="0"/>
              <w:snapToGrid w:val="0"/>
              <w:spacing w:before="0" w:beforeAutospacing="0" w:after="0" w:afterAutospacing="0"/>
              <w:ind w:left="0" w:right="0"/>
              <w:jc w:val="center"/>
              <w:rPr>
                <w:rFonts w:hint="default" w:asciiTheme="minorEastAsia" w:hAnsiTheme="minorEastAsia" w:eastAsiaTheme="minorEastAsia" w:cstheme="minorEastAsia"/>
                <w:snapToGrid w:val="0"/>
                <w:color w:val="auto"/>
                <w:kern w:val="0"/>
                <w:sz w:val="24"/>
                <w:highlight w:val="none"/>
              </w:rPr>
            </w:pPr>
          </w:p>
        </w:tc>
      </w:tr>
      <w:tr w14:paraId="4F4C9C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9" w:hRule="exact"/>
          <w:jc w:val="center"/>
        </w:trPr>
        <w:tc>
          <w:tcPr>
            <w:tcW w:w="1540" w:type="dxa"/>
            <w:vAlign w:val="center"/>
          </w:tcPr>
          <w:p w14:paraId="2F3EFD85">
            <w:pPr>
              <w:pStyle w:val="45"/>
              <w:keepNext w:val="0"/>
              <w:keepLines w:val="0"/>
              <w:suppressLineNumbers w:val="0"/>
              <w:wordWrap w:val="0"/>
              <w:adjustRightInd w:val="0"/>
              <w:snapToGrid w:val="0"/>
              <w:spacing w:before="0" w:beforeAutospacing="0" w:after="0" w:afterAutospacing="0"/>
              <w:ind w:left="0" w:right="0"/>
              <w:jc w:val="center"/>
              <w:rPr>
                <w:rFonts w:hint="default" w:asciiTheme="minorEastAsia" w:hAnsiTheme="minorEastAsia" w:eastAsiaTheme="minorEastAsia" w:cstheme="minorEastAsia"/>
                <w:snapToGrid w:val="0"/>
                <w:color w:val="auto"/>
                <w:kern w:val="0"/>
                <w:sz w:val="24"/>
                <w:highlight w:val="none"/>
              </w:rPr>
            </w:pPr>
            <w:r>
              <w:rPr>
                <w:rFonts w:hint="eastAsia" w:asciiTheme="minorEastAsia" w:hAnsiTheme="minorEastAsia" w:eastAsiaTheme="minorEastAsia" w:cstheme="minorEastAsia"/>
                <w:snapToGrid w:val="0"/>
                <w:color w:val="auto"/>
                <w:kern w:val="0"/>
                <w:sz w:val="24"/>
                <w:highlight w:val="none"/>
              </w:rPr>
              <w:t>单位性质</w:t>
            </w:r>
          </w:p>
        </w:tc>
        <w:tc>
          <w:tcPr>
            <w:tcW w:w="7280" w:type="dxa"/>
            <w:gridSpan w:val="8"/>
            <w:vAlign w:val="center"/>
          </w:tcPr>
          <w:p w14:paraId="14B8E68F">
            <w:pPr>
              <w:pStyle w:val="45"/>
              <w:keepNext w:val="0"/>
              <w:keepLines w:val="0"/>
              <w:suppressLineNumbers w:val="0"/>
              <w:wordWrap w:val="0"/>
              <w:adjustRightInd w:val="0"/>
              <w:snapToGrid w:val="0"/>
              <w:spacing w:before="0" w:beforeAutospacing="0" w:after="0" w:afterAutospacing="0"/>
              <w:ind w:left="0" w:right="0"/>
              <w:jc w:val="center"/>
              <w:rPr>
                <w:rFonts w:hint="default" w:asciiTheme="minorEastAsia" w:hAnsiTheme="minorEastAsia" w:eastAsiaTheme="minorEastAsia" w:cstheme="minorEastAsia"/>
                <w:snapToGrid w:val="0"/>
                <w:color w:val="auto"/>
                <w:kern w:val="0"/>
                <w:sz w:val="24"/>
                <w:highlight w:val="none"/>
              </w:rPr>
            </w:pPr>
          </w:p>
        </w:tc>
      </w:tr>
      <w:tr w14:paraId="4800E9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9" w:hRule="exact"/>
          <w:jc w:val="center"/>
        </w:trPr>
        <w:tc>
          <w:tcPr>
            <w:tcW w:w="1540" w:type="dxa"/>
            <w:vAlign w:val="center"/>
          </w:tcPr>
          <w:p w14:paraId="6096CD0A">
            <w:pPr>
              <w:pStyle w:val="45"/>
              <w:keepNext w:val="0"/>
              <w:keepLines w:val="0"/>
              <w:suppressLineNumbers w:val="0"/>
              <w:wordWrap w:val="0"/>
              <w:adjustRightInd w:val="0"/>
              <w:snapToGrid w:val="0"/>
              <w:spacing w:before="0" w:beforeAutospacing="0" w:after="0" w:afterAutospacing="0"/>
              <w:ind w:left="0" w:right="0"/>
              <w:jc w:val="center"/>
              <w:rPr>
                <w:rFonts w:hint="default" w:asciiTheme="minorEastAsia" w:hAnsiTheme="minorEastAsia" w:eastAsiaTheme="minorEastAsia" w:cstheme="minorEastAsia"/>
                <w:snapToGrid w:val="0"/>
                <w:color w:val="auto"/>
                <w:kern w:val="0"/>
                <w:sz w:val="24"/>
                <w:highlight w:val="none"/>
              </w:rPr>
            </w:pPr>
            <w:r>
              <w:rPr>
                <w:rFonts w:hint="eastAsia" w:asciiTheme="minorEastAsia" w:hAnsiTheme="minorEastAsia" w:eastAsiaTheme="minorEastAsia" w:cstheme="minorEastAsia"/>
                <w:snapToGrid w:val="0"/>
                <w:color w:val="auto"/>
                <w:kern w:val="0"/>
                <w:sz w:val="24"/>
                <w:highlight w:val="none"/>
              </w:rPr>
              <w:t>法定代表人</w:t>
            </w:r>
          </w:p>
        </w:tc>
        <w:tc>
          <w:tcPr>
            <w:tcW w:w="1541" w:type="dxa"/>
            <w:vAlign w:val="center"/>
          </w:tcPr>
          <w:p w14:paraId="6215B58D">
            <w:pPr>
              <w:pStyle w:val="45"/>
              <w:keepNext w:val="0"/>
              <w:keepLines w:val="0"/>
              <w:suppressLineNumbers w:val="0"/>
              <w:wordWrap w:val="0"/>
              <w:adjustRightInd w:val="0"/>
              <w:snapToGrid w:val="0"/>
              <w:spacing w:before="0" w:beforeAutospacing="0" w:after="0" w:afterAutospacing="0"/>
              <w:ind w:left="0" w:right="0"/>
              <w:jc w:val="center"/>
              <w:rPr>
                <w:rFonts w:hint="default" w:asciiTheme="minorEastAsia" w:hAnsiTheme="minorEastAsia" w:eastAsiaTheme="minorEastAsia" w:cstheme="minorEastAsia"/>
                <w:snapToGrid w:val="0"/>
                <w:color w:val="auto"/>
                <w:kern w:val="0"/>
                <w:sz w:val="24"/>
                <w:highlight w:val="none"/>
              </w:rPr>
            </w:pPr>
            <w:r>
              <w:rPr>
                <w:rFonts w:hint="eastAsia" w:asciiTheme="minorEastAsia" w:hAnsiTheme="minorEastAsia" w:eastAsiaTheme="minorEastAsia" w:cstheme="minorEastAsia"/>
                <w:snapToGrid w:val="0"/>
                <w:color w:val="auto"/>
                <w:kern w:val="0"/>
                <w:sz w:val="24"/>
                <w:highlight w:val="none"/>
              </w:rPr>
              <w:t>姓名</w:t>
            </w:r>
          </w:p>
        </w:tc>
        <w:tc>
          <w:tcPr>
            <w:tcW w:w="1140" w:type="dxa"/>
            <w:vAlign w:val="center"/>
          </w:tcPr>
          <w:p w14:paraId="07218BA7">
            <w:pPr>
              <w:pStyle w:val="45"/>
              <w:keepNext w:val="0"/>
              <w:keepLines w:val="0"/>
              <w:suppressLineNumbers w:val="0"/>
              <w:wordWrap w:val="0"/>
              <w:adjustRightInd w:val="0"/>
              <w:snapToGrid w:val="0"/>
              <w:spacing w:before="0" w:beforeAutospacing="0" w:after="0" w:afterAutospacing="0"/>
              <w:ind w:left="0" w:right="0"/>
              <w:jc w:val="center"/>
              <w:rPr>
                <w:rFonts w:hint="default" w:asciiTheme="minorEastAsia" w:hAnsiTheme="minorEastAsia" w:eastAsiaTheme="minorEastAsia" w:cstheme="minorEastAsia"/>
                <w:snapToGrid w:val="0"/>
                <w:color w:val="auto"/>
                <w:kern w:val="0"/>
                <w:sz w:val="24"/>
                <w:highlight w:val="none"/>
              </w:rPr>
            </w:pPr>
          </w:p>
        </w:tc>
        <w:tc>
          <w:tcPr>
            <w:tcW w:w="1293" w:type="dxa"/>
            <w:gridSpan w:val="2"/>
            <w:vAlign w:val="center"/>
          </w:tcPr>
          <w:p w14:paraId="7266A276">
            <w:pPr>
              <w:pStyle w:val="45"/>
              <w:keepNext w:val="0"/>
              <w:keepLines w:val="0"/>
              <w:suppressLineNumbers w:val="0"/>
              <w:wordWrap w:val="0"/>
              <w:adjustRightInd w:val="0"/>
              <w:snapToGrid w:val="0"/>
              <w:spacing w:before="0" w:beforeAutospacing="0" w:after="0" w:afterAutospacing="0"/>
              <w:ind w:left="0" w:right="0"/>
              <w:jc w:val="center"/>
              <w:rPr>
                <w:rFonts w:hint="default" w:asciiTheme="minorEastAsia" w:hAnsiTheme="minorEastAsia" w:eastAsiaTheme="minorEastAsia" w:cstheme="minorEastAsia"/>
                <w:snapToGrid w:val="0"/>
                <w:color w:val="auto"/>
                <w:kern w:val="0"/>
                <w:sz w:val="24"/>
                <w:highlight w:val="none"/>
              </w:rPr>
            </w:pPr>
            <w:r>
              <w:rPr>
                <w:rFonts w:hint="eastAsia" w:asciiTheme="minorEastAsia" w:hAnsiTheme="minorEastAsia" w:eastAsiaTheme="minorEastAsia" w:cstheme="minorEastAsia"/>
                <w:snapToGrid w:val="0"/>
                <w:color w:val="auto"/>
                <w:kern w:val="0"/>
                <w:sz w:val="24"/>
                <w:highlight w:val="none"/>
              </w:rPr>
              <w:t>技术职称</w:t>
            </w:r>
          </w:p>
        </w:tc>
        <w:tc>
          <w:tcPr>
            <w:tcW w:w="1101" w:type="dxa"/>
            <w:gridSpan w:val="2"/>
            <w:vAlign w:val="center"/>
          </w:tcPr>
          <w:p w14:paraId="5453AED5">
            <w:pPr>
              <w:pStyle w:val="45"/>
              <w:keepNext w:val="0"/>
              <w:keepLines w:val="0"/>
              <w:suppressLineNumbers w:val="0"/>
              <w:wordWrap w:val="0"/>
              <w:adjustRightInd w:val="0"/>
              <w:snapToGrid w:val="0"/>
              <w:spacing w:before="0" w:beforeAutospacing="0" w:after="0" w:afterAutospacing="0"/>
              <w:ind w:left="0" w:right="0"/>
              <w:jc w:val="center"/>
              <w:rPr>
                <w:rFonts w:hint="default" w:asciiTheme="minorEastAsia" w:hAnsiTheme="minorEastAsia" w:eastAsiaTheme="minorEastAsia" w:cstheme="minorEastAsia"/>
                <w:snapToGrid w:val="0"/>
                <w:color w:val="auto"/>
                <w:kern w:val="0"/>
                <w:sz w:val="24"/>
                <w:highlight w:val="none"/>
              </w:rPr>
            </w:pPr>
          </w:p>
        </w:tc>
        <w:tc>
          <w:tcPr>
            <w:tcW w:w="735" w:type="dxa"/>
            <w:vAlign w:val="center"/>
          </w:tcPr>
          <w:p w14:paraId="0775E4D3">
            <w:pPr>
              <w:pStyle w:val="45"/>
              <w:keepNext w:val="0"/>
              <w:keepLines w:val="0"/>
              <w:suppressLineNumbers w:val="0"/>
              <w:wordWrap w:val="0"/>
              <w:adjustRightInd w:val="0"/>
              <w:snapToGrid w:val="0"/>
              <w:spacing w:before="0" w:beforeAutospacing="0" w:after="0" w:afterAutospacing="0"/>
              <w:ind w:left="0" w:right="0"/>
              <w:jc w:val="center"/>
              <w:rPr>
                <w:rFonts w:hint="default" w:asciiTheme="minorEastAsia" w:hAnsiTheme="minorEastAsia" w:eastAsiaTheme="minorEastAsia" w:cstheme="minorEastAsia"/>
                <w:snapToGrid w:val="0"/>
                <w:color w:val="auto"/>
                <w:kern w:val="0"/>
                <w:sz w:val="24"/>
                <w:highlight w:val="none"/>
              </w:rPr>
            </w:pPr>
            <w:r>
              <w:rPr>
                <w:rFonts w:hint="eastAsia" w:asciiTheme="minorEastAsia" w:hAnsiTheme="minorEastAsia" w:eastAsiaTheme="minorEastAsia" w:cstheme="minorEastAsia"/>
                <w:snapToGrid w:val="0"/>
                <w:color w:val="auto"/>
                <w:kern w:val="0"/>
                <w:sz w:val="24"/>
                <w:highlight w:val="none"/>
              </w:rPr>
              <w:t>电话</w:t>
            </w:r>
          </w:p>
        </w:tc>
        <w:tc>
          <w:tcPr>
            <w:tcW w:w="1470" w:type="dxa"/>
            <w:vAlign w:val="center"/>
          </w:tcPr>
          <w:p w14:paraId="6690A568">
            <w:pPr>
              <w:pStyle w:val="45"/>
              <w:keepNext w:val="0"/>
              <w:keepLines w:val="0"/>
              <w:suppressLineNumbers w:val="0"/>
              <w:wordWrap w:val="0"/>
              <w:adjustRightInd w:val="0"/>
              <w:snapToGrid w:val="0"/>
              <w:spacing w:before="0" w:beforeAutospacing="0" w:after="0" w:afterAutospacing="0"/>
              <w:ind w:left="0" w:right="0"/>
              <w:jc w:val="center"/>
              <w:rPr>
                <w:rFonts w:hint="default" w:asciiTheme="minorEastAsia" w:hAnsiTheme="minorEastAsia" w:eastAsiaTheme="minorEastAsia" w:cstheme="minorEastAsia"/>
                <w:snapToGrid w:val="0"/>
                <w:color w:val="auto"/>
                <w:kern w:val="0"/>
                <w:sz w:val="24"/>
                <w:highlight w:val="none"/>
              </w:rPr>
            </w:pPr>
          </w:p>
        </w:tc>
      </w:tr>
      <w:tr w14:paraId="02F4BC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9" w:hRule="exact"/>
          <w:jc w:val="center"/>
        </w:trPr>
        <w:tc>
          <w:tcPr>
            <w:tcW w:w="1540" w:type="dxa"/>
            <w:vAlign w:val="center"/>
          </w:tcPr>
          <w:p w14:paraId="3AE23100">
            <w:pPr>
              <w:pStyle w:val="45"/>
              <w:keepNext w:val="0"/>
              <w:keepLines w:val="0"/>
              <w:suppressLineNumbers w:val="0"/>
              <w:wordWrap w:val="0"/>
              <w:adjustRightInd w:val="0"/>
              <w:snapToGrid w:val="0"/>
              <w:spacing w:before="0" w:beforeAutospacing="0" w:after="0" w:afterAutospacing="0"/>
              <w:ind w:left="0" w:right="0"/>
              <w:jc w:val="center"/>
              <w:rPr>
                <w:rFonts w:hint="default" w:asciiTheme="minorEastAsia" w:hAnsiTheme="minorEastAsia" w:eastAsiaTheme="minorEastAsia" w:cstheme="minorEastAsia"/>
                <w:snapToGrid w:val="0"/>
                <w:color w:val="auto"/>
                <w:kern w:val="0"/>
                <w:sz w:val="24"/>
                <w:highlight w:val="none"/>
              </w:rPr>
            </w:pPr>
            <w:r>
              <w:rPr>
                <w:rFonts w:hint="eastAsia" w:asciiTheme="minorEastAsia" w:hAnsiTheme="minorEastAsia" w:eastAsiaTheme="minorEastAsia" w:cstheme="minorEastAsia"/>
                <w:snapToGrid w:val="0"/>
                <w:color w:val="auto"/>
                <w:kern w:val="0"/>
                <w:sz w:val="24"/>
                <w:highlight w:val="none"/>
              </w:rPr>
              <w:t>成立时间</w:t>
            </w:r>
          </w:p>
        </w:tc>
        <w:tc>
          <w:tcPr>
            <w:tcW w:w="2681" w:type="dxa"/>
            <w:gridSpan w:val="2"/>
            <w:vAlign w:val="center"/>
          </w:tcPr>
          <w:p w14:paraId="20814E56">
            <w:pPr>
              <w:pStyle w:val="45"/>
              <w:keepNext w:val="0"/>
              <w:keepLines w:val="0"/>
              <w:suppressLineNumbers w:val="0"/>
              <w:wordWrap w:val="0"/>
              <w:adjustRightInd w:val="0"/>
              <w:snapToGrid w:val="0"/>
              <w:spacing w:before="0" w:beforeAutospacing="0" w:after="0" w:afterAutospacing="0"/>
              <w:ind w:left="0" w:right="0"/>
              <w:jc w:val="center"/>
              <w:rPr>
                <w:rFonts w:hint="default" w:asciiTheme="minorEastAsia" w:hAnsiTheme="minorEastAsia" w:eastAsiaTheme="minorEastAsia" w:cstheme="minorEastAsia"/>
                <w:snapToGrid w:val="0"/>
                <w:color w:val="auto"/>
                <w:kern w:val="0"/>
                <w:sz w:val="24"/>
                <w:highlight w:val="none"/>
              </w:rPr>
            </w:pPr>
          </w:p>
        </w:tc>
        <w:tc>
          <w:tcPr>
            <w:tcW w:w="4599" w:type="dxa"/>
            <w:gridSpan w:val="6"/>
            <w:vAlign w:val="center"/>
          </w:tcPr>
          <w:p w14:paraId="4A87834B">
            <w:pPr>
              <w:pStyle w:val="45"/>
              <w:keepNext w:val="0"/>
              <w:keepLines w:val="0"/>
              <w:suppressLineNumbers w:val="0"/>
              <w:wordWrap w:val="0"/>
              <w:adjustRightInd w:val="0"/>
              <w:snapToGrid w:val="0"/>
              <w:spacing w:before="0" w:beforeAutospacing="0" w:after="0" w:afterAutospacing="0"/>
              <w:ind w:left="0" w:right="0"/>
              <w:jc w:val="center"/>
              <w:rPr>
                <w:rFonts w:hint="default" w:asciiTheme="minorEastAsia" w:hAnsiTheme="minorEastAsia" w:eastAsiaTheme="minorEastAsia" w:cstheme="minorEastAsia"/>
                <w:snapToGrid w:val="0"/>
                <w:color w:val="auto"/>
                <w:kern w:val="0"/>
                <w:sz w:val="24"/>
                <w:highlight w:val="none"/>
              </w:rPr>
            </w:pPr>
            <w:r>
              <w:rPr>
                <w:rFonts w:hint="eastAsia" w:asciiTheme="minorEastAsia" w:hAnsiTheme="minorEastAsia" w:eastAsiaTheme="minorEastAsia" w:cstheme="minorEastAsia"/>
                <w:snapToGrid w:val="0"/>
                <w:color w:val="auto"/>
                <w:kern w:val="0"/>
                <w:sz w:val="24"/>
                <w:highlight w:val="none"/>
              </w:rPr>
              <w:t>员工总人数（个）：</w:t>
            </w:r>
          </w:p>
        </w:tc>
      </w:tr>
      <w:tr w14:paraId="7A979F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8" w:hRule="exact"/>
          <w:jc w:val="center"/>
        </w:trPr>
        <w:tc>
          <w:tcPr>
            <w:tcW w:w="1540" w:type="dxa"/>
            <w:vAlign w:val="center"/>
          </w:tcPr>
          <w:p w14:paraId="402CB3D4">
            <w:pPr>
              <w:pStyle w:val="45"/>
              <w:keepNext w:val="0"/>
              <w:keepLines w:val="0"/>
              <w:suppressLineNumbers w:val="0"/>
              <w:wordWrap w:val="0"/>
              <w:adjustRightInd w:val="0"/>
              <w:snapToGrid w:val="0"/>
              <w:spacing w:before="0" w:beforeAutospacing="0" w:after="0" w:afterAutospacing="0"/>
              <w:ind w:left="0" w:right="0"/>
              <w:jc w:val="center"/>
              <w:rPr>
                <w:rFonts w:hint="default" w:asciiTheme="minorEastAsia" w:hAnsiTheme="minorEastAsia" w:eastAsiaTheme="minorEastAsia" w:cstheme="minorEastAsia"/>
                <w:snapToGrid w:val="0"/>
                <w:color w:val="auto"/>
                <w:kern w:val="0"/>
                <w:sz w:val="24"/>
                <w:highlight w:val="none"/>
              </w:rPr>
            </w:pPr>
            <w:r>
              <w:rPr>
                <w:rFonts w:hint="eastAsia" w:asciiTheme="minorEastAsia" w:hAnsiTheme="minorEastAsia" w:eastAsiaTheme="minorEastAsia" w:cstheme="minorEastAsia"/>
                <w:snapToGrid w:val="0"/>
                <w:color w:val="auto"/>
                <w:kern w:val="0"/>
                <w:sz w:val="24"/>
                <w:highlight w:val="none"/>
              </w:rPr>
              <w:t>企业资质</w:t>
            </w:r>
          </w:p>
          <w:p w14:paraId="2AC70F72">
            <w:pPr>
              <w:pStyle w:val="45"/>
              <w:keepNext w:val="0"/>
              <w:keepLines w:val="0"/>
              <w:suppressLineNumbers w:val="0"/>
              <w:wordWrap w:val="0"/>
              <w:adjustRightInd w:val="0"/>
              <w:snapToGrid w:val="0"/>
              <w:spacing w:before="0" w:beforeAutospacing="0" w:after="0" w:afterAutospacing="0"/>
              <w:ind w:left="0" w:right="0"/>
              <w:jc w:val="center"/>
              <w:rPr>
                <w:rFonts w:hint="default" w:asciiTheme="minorEastAsia" w:hAnsiTheme="minorEastAsia" w:eastAsiaTheme="minorEastAsia" w:cstheme="minorEastAsia"/>
                <w:snapToGrid w:val="0"/>
                <w:color w:val="auto"/>
                <w:kern w:val="0"/>
                <w:sz w:val="24"/>
                <w:highlight w:val="none"/>
              </w:rPr>
            </w:pPr>
            <w:r>
              <w:rPr>
                <w:rFonts w:hint="eastAsia" w:asciiTheme="minorEastAsia" w:hAnsiTheme="minorEastAsia" w:eastAsiaTheme="minorEastAsia" w:cstheme="minorEastAsia"/>
                <w:snapToGrid w:val="0"/>
                <w:color w:val="auto"/>
                <w:kern w:val="0"/>
                <w:sz w:val="24"/>
                <w:highlight w:val="none"/>
              </w:rPr>
              <w:t>类型和等级</w:t>
            </w:r>
          </w:p>
        </w:tc>
        <w:tc>
          <w:tcPr>
            <w:tcW w:w="2681" w:type="dxa"/>
            <w:gridSpan w:val="2"/>
            <w:vAlign w:val="center"/>
          </w:tcPr>
          <w:p w14:paraId="1B244501">
            <w:pPr>
              <w:pStyle w:val="45"/>
              <w:keepNext w:val="0"/>
              <w:keepLines w:val="0"/>
              <w:suppressLineNumbers w:val="0"/>
              <w:wordWrap w:val="0"/>
              <w:adjustRightInd w:val="0"/>
              <w:snapToGrid w:val="0"/>
              <w:spacing w:before="0" w:beforeAutospacing="0" w:after="0" w:afterAutospacing="0"/>
              <w:ind w:left="0" w:right="0"/>
              <w:jc w:val="center"/>
              <w:rPr>
                <w:rFonts w:hint="default" w:asciiTheme="minorEastAsia" w:hAnsiTheme="minorEastAsia" w:eastAsiaTheme="minorEastAsia" w:cstheme="minorEastAsia"/>
                <w:snapToGrid w:val="0"/>
                <w:color w:val="auto"/>
                <w:kern w:val="0"/>
                <w:sz w:val="24"/>
                <w:highlight w:val="none"/>
              </w:rPr>
            </w:pPr>
          </w:p>
        </w:tc>
        <w:tc>
          <w:tcPr>
            <w:tcW w:w="1293" w:type="dxa"/>
            <w:gridSpan w:val="2"/>
            <w:vMerge w:val="restart"/>
            <w:vAlign w:val="center"/>
          </w:tcPr>
          <w:p w14:paraId="509605DA">
            <w:pPr>
              <w:pStyle w:val="45"/>
              <w:keepNext w:val="0"/>
              <w:keepLines w:val="0"/>
              <w:suppressLineNumbers w:val="0"/>
              <w:wordWrap w:val="0"/>
              <w:adjustRightInd w:val="0"/>
              <w:snapToGrid w:val="0"/>
              <w:spacing w:before="0" w:beforeAutospacing="0" w:after="0" w:afterAutospacing="0"/>
              <w:ind w:left="0" w:right="0"/>
              <w:jc w:val="center"/>
              <w:rPr>
                <w:rFonts w:hint="default" w:asciiTheme="minorEastAsia" w:hAnsiTheme="minorEastAsia" w:eastAsiaTheme="minorEastAsia" w:cstheme="minorEastAsia"/>
                <w:snapToGrid w:val="0"/>
                <w:color w:val="auto"/>
                <w:kern w:val="0"/>
                <w:sz w:val="24"/>
                <w:highlight w:val="none"/>
              </w:rPr>
            </w:pPr>
            <w:r>
              <w:rPr>
                <w:rFonts w:hint="eastAsia" w:asciiTheme="minorEastAsia" w:hAnsiTheme="minorEastAsia" w:eastAsiaTheme="minorEastAsia" w:cstheme="minorEastAsia"/>
                <w:snapToGrid w:val="0"/>
                <w:color w:val="auto"/>
                <w:kern w:val="0"/>
                <w:sz w:val="24"/>
                <w:highlight w:val="none"/>
              </w:rPr>
              <w:t>其中</w:t>
            </w:r>
          </w:p>
        </w:tc>
        <w:tc>
          <w:tcPr>
            <w:tcW w:w="1836" w:type="dxa"/>
            <w:gridSpan w:val="3"/>
            <w:vAlign w:val="center"/>
          </w:tcPr>
          <w:p w14:paraId="34E711BA">
            <w:pPr>
              <w:pStyle w:val="45"/>
              <w:keepNext w:val="0"/>
              <w:keepLines w:val="0"/>
              <w:suppressLineNumbers w:val="0"/>
              <w:wordWrap w:val="0"/>
              <w:adjustRightInd w:val="0"/>
              <w:snapToGrid w:val="0"/>
              <w:spacing w:before="0" w:beforeAutospacing="0" w:after="0" w:afterAutospacing="0"/>
              <w:ind w:left="0" w:right="0"/>
              <w:jc w:val="center"/>
              <w:rPr>
                <w:rFonts w:hint="default" w:asciiTheme="minorEastAsia" w:hAnsiTheme="minorEastAsia" w:eastAsiaTheme="minorEastAsia" w:cstheme="minorEastAsia"/>
                <w:snapToGrid w:val="0"/>
                <w:color w:val="auto"/>
                <w:kern w:val="0"/>
                <w:sz w:val="24"/>
                <w:highlight w:val="none"/>
              </w:rPr>
            </w:pPr>
            <w:r>
              <w:rPr>
                <w:rFonts w:hint="eastAsia" w:asciiTheme="minorEastAsia" w:hAnsiTheme="minorEastAsia" w:eastAsiaTheme="minorEastAsia" w:cstheme="minorEastAsia"/>
                <w:snapToGrid w:val="0"/>
                <w:color w:val="auto"/>
                <w:kern w:val="0"/>
                <w:sz w:val="24"/>
                <w:highlight w:val="none"/>
              </w:rPr>
              <w:t>项目经理</w:t>
            </w:r>
          </w:p>
        </w:tc>
        <w:tc>
          <w:tcPr>
            <w:tcW w:w="1470" w:type="dxa"/>
            <w:vAlign w:val="center"/>
          </w:tcPr>
          <w:p w14:paraId="6BDAA90F">
            <w:pPr>
              <w:pStyle w:val="45"/>
              <w:keepNext w:val="0"/>
              <w:keepLines w:val="0"/>
              <w:suppressLineNumbers w:val="0"/>
              <w:wordWrap w:val="0"/>
              <w:adjustRightInd w:val="0"/>
              <w:snapToGrid w:val="0"/>
              <w:spacing w:before="0" w:beforeAutospacing="0" w:after="0" w:afterAutospacing="0"/>
              <w:ind w:left="0" w:right="0"/>
              <w:jc w:val="center"/>
              <w:rPr>
                <w:rFonts w:hint="default" w:asciiTheme="minorEastAsia" w:hAnsiTheme="minorEastAsia" w:eastAsiaTheme="minorEastAsia" w:cstheme="minorEastAsia"/>
                <w:snapToGrid w:val="0"/>
                <w:color w:val="auto"/>
                <w:kern w:val="0"/>
                <w:sz w:val="24"/>
                <w:highlight w:val="none"/>
              </w:rPr>
            </w:pPr>
          </w:p>
        </w:tc>
      </w:tr>
      <w:tr w14:paraId="7A8F46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9" w:hRule="exact"/>
          <w:jc w:val="center"/>
        </w:trPr>
        <w:tc>
          <w:tcPr>
            <w:tcW w:w="1540" w:type="dxa"/>
            <w:vAlign w:val="center"/>
          </w:tcPr>
          <w:p w14:paraId="436ED35C">
            <w:pPr>
              <w:pStyle w:val="45"/>
              <w:keepNext w:val="0"/>
              <w:keepLines w:val="0"/>
              <w:suppressLineNumbers w:val="0"/>
              <w:wordWrap w:val="0"/>
              <w:adjustRightInd w:val="0"/>
              <w:snapToGrid w:val="0"/>
              <w:spacing w:before="0" w:beforeAutospacing="0" w:after="0" w:afterAutospacing="0"/>
              <w:ind w:left="0" w:right="0"/>
              <w:jc w:val="center"/>
              <w:rPr>
                <w:rFonts w:hint="default" w:asciiTheme="minorEastAsia" w:hAnsiTheme="minorEastAsia" w:eastAsiaTheme="minorEastAsia" w:cstheme="minorEastAsia"/>
                <w:snapToGrid w:val="0"/>
                <w:color w:val="auto"/>
                <w:kern w:val="0"/>
                <w:sz w:val="24"/>
                <w:highlight w:val="none"/>
              </w:rPr>
            </w:pPr>
            <w:r>
              <w:rPr>
                <w:rFonts w:hint="eastAsia" w:asciiTheme="minorEastAsia" w:hAnsiTheme="minorEastAsia" w:eastAsiaTheme="minorEastAsia" w:cstheme="minorEastAsia"/>
                <w:snapToGrid w:val="0"/>
                <w:color w:val="auto"/>
                <w:kern w:val="0"/>
                <w:sz w:val="24"/>
                <w:highlight w:val="none"/>
              </w:rPr>
              <w:t>营业执照号</w:t>
            </w:r>
          </w:p>
        </w:tc>
        <w:tc>
          <w:tcPr>
            <w:tcW w:w="2681" w:type="dxa"/>
            <w:gridSpan w:val="2"/>
            <w:vAlign w:val="center"/>
          </w:tcPr>
          <w:p w14:paraId="7E805D99">
            <w:pPr>
              <w:pStyle w:val="45"/>
              <w:keepNext w:val="0"/>
              <w:keepLines w:val="0"/>
              <w:suppressLineNumbers w:val="0"/>
              <w:wordWrap w:val="0"/>
              <w:adjustRightInd w:val="0"/>
              <w:snapToGrid w:val="0"/>
              <w:spacing w:before="0" w:beforeAutospacing="0" w:after="0" w:afterAutospacing="0"/>
              <w:ind w:left="0" w:right="0"/>
              <w:jc w:val="center"/>
              <w:rPr>
                <w:rFonts w:hint="default" w:asciiTheme="minorEastAsia" w:hAnsiTheme="minorEastAsia" w:eastAsiaTheme="minorEastAsia" w:cstheme="minorEastAsia"/>
                <w:snapToGrid w:val="0"/>
                <w:color w:val="auto"/>
                <w:kern w:val="0"/>
                <w:sz w:val="24"/>
                <w:highlight w:val="none"/>
              </w:rPr>
            </w:pPr>
          </w:p>
        </w:tc>
        <w:tc>
          <w:tcPr>
            <w:tcW w:w="1293" w:type="dxa"/>
            <w:gridSpan w:val="2"/>
            <w:vMerge w:val="continue"/>
            <w:vAlign w:val="center"/>
          </w:tcPr>
          <w:p w14:paraId="531F7ED7">
            <w:pPr>
              <w:pStyle w:val="45"/>
              <w:keepNext w:val="0"/>
              <w:keepLines w:val="0"/>
              <w:suppressLineNumbers w:val="0"/>
              <w:wordWrap w:val="0"/>
              <w:adjustRightInd w:val="0"/>
              <w:snapToGrid w:val="0"/>
              <w:spacing w:before="0" w:beforeAutospacing="0" w:after="0" w:afterAutospacing="0"/>
              <w:ind w:left="0" w:right="0"/>
              <w:jc w:val="center"/>
              <w:rPr>
                <w:rFonts w:hint="default" w:asciiTheme="minorEastAsia" w:hAnsiTheme="minorEastAsia" w:eastAsiaTheme="minorEastAsia" w:cstheme="minorEastAsia"/>
                <w:snapToGrid w:val="0"/>
                <w:color w:val="auto"/>
                <w:kern w:val="0"/>
                <w:sz w:val="24"/>
                <w:highlight w:val="none"/>
              </w:rPr>
            </w:pPr>
          </w:p>
        </w:tc>
        <w:tc>
          <w:tcPr>
            <w:tcW w:w="1836" w:type="dxa"/>
            <w:gridSpan w:val="3"/>
            <w:vAlign w:val="center"/>
          </w:tcPr>
          <w:p w14:paraId="57618418">
            <w:pPr>
              <w:pStyle w:val="45"/>
              <w:keepNext w:val="0"/>
              <w:keepLines w:val="0"/>
              <w:suppressLineNumbers w:val="0"/>
              <w:wordWrap w:val="0"/>
              <w:adjustRightInd w:val="0"/>
              <w:snapToGrid w:val="0"/>
              <w:spacing w:before="0" w:beforeAutospacing="0" w:after="0" w:afterAutospacing="0"/>
              <w:ind w:left="0" w:right="0"/>
              <w:jc w:val="center"/>
              <w:rPr>
                <w:rFonts w:hint="default" w:asciiTheme="minorEastAsia" w:hAnsiTheme="minorEastAsia" w:eastAsiaTheme="minorEastAsia" w:cstheme="minorEastAsia"/>
                <w:snapToGrid w:val="0"/>
                <w:color w:val="auto"/>
                <w:kern w:val="0"/>
                <w:sz w:val="24"/>
                <w:highlight w:val="none"/>
              </w:rPr>
            </w:pPr>
            <w:r>
              <w:rPr>
                <w:rFonts w:hint="eastAsia" w:asciiTheme="minorEastAsia" w:hAnsiTheme="minorEastAsia" w:eastAsiaTheme="minorEastAsia" w:cstheme="minorEastAsia"/>
                <w:snapToGrid w:val="0"/>
                <w:color w:val="auto"/>
                <w:kern w:val="0"/>
                <w:sz w:val="24"/>
                <w:highlight w:val="none"/>
              </w:rPr>
              <w:t>高级职称人员</w:t>
            </w:r>
          </w:p>
        </w:tc>
        <w:tc>
          <w:tcPr>
            <w:tcW w:w="1470" w:type="dxa"/>
            <w:vAlign w:val="center"/>
          </w:tcPr>
          <w:p w14:paraId="05BACA49">
            <w:pPr>
              <w:pStyle w:val="45"/>
              <w:keepNext w:val="0"/>
              <w:keepLines w:val="0"/>
              <w:suppressLineNumbers w:val="0"/>
              <w:wordWrap w:val="0"/>
              <w:adjustRightInd w:val="0"/>
              <w:snapToGrid w:val="0"/>
              <w:spacing w:before="0" w:beforeAutospacing="0" w:after="0" w:afterAutospacing="0"/>
              <w:ind w:left="0" w:right="0"/>
              <w:jc w:val="center"/>
              <w:rPr>
                <w:rFonts w:hint="default" w:asciiTheme="minorEastAsia" w:hAnsiTheme="minorEastAsia" w:eastAsiaTheme="minorEastAsia" w:cstheme="minorEastAsia"/>
                <w:snapToGrid w:val="0"/>
                <w:color w:val="auto"/>
                <w:kern w:val="0"/>
                <w:sz w:val="24"/>
                <w:highlight w:val="none"/>
              </w:rPr>
            </w:pPr>
          </w:p>
        </w:tc>
      </w:tr>
      <w:tr w14:paraId="050912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9" w:hRule="exact"/>
          <w:jc w:val="center"/>
        </w:trPr>
        <w:tc>
          <w:tcPr>
            <w:tcW w:w="1540" w:type="dxa"/>
            <w:vAlign w:val="center"/>
          </w:tcPr>
          <w:p w14:paraId="440E797A">
            <w:pPr>
              <w:pStyle w:val="45"/>
              <w:keepNext w:val="0"/>
              <w:keepLines w:val="0"/>
              <w:suppressLineNumbers w:val="0"/>
              <w:wordWrap w:val="0"/>
              <w:adjustRightInd w:val="0"/>
              <w:snapToGrid w:val="0"/>
              <w:spacing w:before="0" w:beforeAutospacing="0" w:after="0" w:afterAutospacing="0"/>
              <w:ind w:left="0" w:right="0"/>
              <w:jc w:val="center"/>
              <w:rPr>
                <w:rFonts w:hint="default" w:asciiTheme="minorEastAsia" w:hAnsiTheme="minorEastAsia" w:eastAsiaTheme="minorEastAsia" w:cstheme="minorEastAsia"/>
                <w:snapToGrid w:val="0"/>
                <w:color w:val="auto"/>
                <w:kern w:val="0"/>
                <w:sz w:val="24"/>
                <w:highlight w:val="none"/>
              </w:rPr>
            </w:pPr>
            <w:r>
              <w:rPr>
                <w:rFonts w:hint="eastAsia" w:asciiTheme="minorEastAsia" w:hAnsiTheme="minorEastAsia" w:eastAsiaTheme="minorEastAsia" w:cstheme="minorEastAsia"/>
                <w:snapToGrid w:val="0"/>
                <w:color w:val="auto"/>
                <w:kern w:val="0"/>
                <w:sz w:val="24"/>
                <w:highlight w:val="none"/>
              </w:rPr>
              <w:t>注册资金</w:t>
            </w:r>
          </w:p>
        </w:tc>
        <w:tc>
          <w:tcPr>
            <w:tcW w:w="2681" w:type="dxa"/>
            <w:gridSpan w:val="2"/>
            <w:vAlign w:val="center"/>
          </w:tcPr>
          <w:p w14:paraId="635DBE5E">
            <w:pPr>
              <w:pStyle w:val="45"/>
              <w:keepNext w:val="0"/>
              <w:keepLines w:val="0"/>
              <w:suppressLineNumbers w:val="0"/>
              <w:wordWrap w:val="0"/>
              <w:adjustRightInd w:val="0"/>
              <w:snapToGrid w:val="0"/>
              <w:spacing w:before="0" w:beforeAutospacing="0" w:after="0" w:afterAutospacing="0"/>
              <w:ind w:left="0" w:right="0"/>
              <w:jc w:val="center"/>
              <w:rPr>
                <w:rFonts w:hint="default" w:asciiTheme="minorEastAsia" w:hAnsiTheme="minorEastAsia" w:eastAsiaTheme="minorEastAsia" w:cstheme="minorEastAsia"/>
                <w:snapToGrid w:val="0"/>
                <w:color w:val="auto"/>
                <w:kern w:val="0"/>
                <w:sz w:val="24"/>
                <w:highlight w:val="none"/>
              </w:rPr>
            </w:pPr>
          </w:p>
        </w:tc>
        <w:tc>
          <w:tcPr>
            <w:tcW w:w="1293" w:type="dxa"/>
            <w:gridSpan w:val="2"/>
            <w:vMerge w:val="continue"/>
            <w:vAlign w:val="center"/>
          </w:tcPr>
          <w:p w14:paraId="31FCE5EB">
            <w:pPr>
              <w:pStyle w:val="45"/>
              <w:keepNext w:val="0"/>
              <w:keepLines w:val="0"/>
              <w:suppressLineNumbers w:val="0"/>
              <w:wordWrap w:val="0"/>
              <w:adjustRightInd w:val="0"/>
              <w:snapToGrid w:val="0"/>
              <w:spacing w:before="0" w:beforeAutospacing="0" w:after="0" w:afterAutospacing="0"/>
              <w:ind w:left="0" w:right="0"/>
              <w:jc w:val="center"/>
              <w:rPr>
                <w:rFonts w:hint="default" w:asciiTheme="minorEastAsia" w:hAnsiTheme="minorEastAsia" w:eastAsiaTheme="minorEastAsia" w:cstheme="minorEastAsia"/>
                <w:snapToGrid w:val="0"/>
                <w:color w:val="auto"/>
                <w:kern w:val="0"/>
                <w:sz w:val="24"/>
                <w:highlight w:val="none"/>
              </w:rPr>
            </w:pPr>
          </w:p>
        </w:tc>
        <w:tc>
          <w:tcPr>
            <w:tcW w:w="1836" w:type="dxa"/>
            <w:gridSpan w:val="3"/>
            <w:vAlign w:val="center"/>
          </w:tcPr>
          <w:p w14:paraId="7AFFCFE6">
            <w:pPr>
              <w:pStyle w:val="45"/>
              <w:keepNext w:val="0"/>
              <w:keepLines w:val="0"/>
              <w:suppressLineNumbers w:val="0"/>
              <w:wordWrap w:val="0"/>
              <w:adjustRightInd w:val="0"/>
              <w:snapToGrid w:val="0"/>
              <w:spacing w:before="0" w:beforeAutospacing="0" w:after="0" w:afterAutospacing="0"/>
              <w:ind w:left="0" w:right="0"/>
              <w:jc w:val="center"/>
              <w:rPr>
                <w:rFonts w:hint="default" w:asciiTheme="minorEastAsia" w:hAnsiTheme="minorEastAsia" w:eastAsiaTheme="minorEastAsia" w:cstheme="minorEastAsia"/>
                <w:snapToGrid w:val="0"/>
                <w:color w:val="auto"/>
                <w:kern w:val="0"/>
                <w:sz w:val="24"/>
                <w:highlight w:val="none"/>
              </w:rPr>
            </w:pPr>
            <w:r>
              <w:rPr>
                <w:rFonts w:hint="eastAsia" w:asciiTheme="minorEastAsia" w:hAnsiTheme="minorEastAsia" w:eastAsiaTheme="minorEastAsia" w:cstheme="minorEastAsia"/>
                <w:snapToGrid w:val="0"/>
                <w:color w:val="auto"/>
                <w:kern w:val="0"/>
                <w:sz w:val="24"/>
                <w:highlight w:val="none"/>
              </w:rPr>
              <w:t>中级职称人员</w:t>
            </w:r>
          </w:p>
        </w:tc>
        <w:tc>
          <w:tcPr>
            <w:tcW w:w="1470" w:type="dxa"/>
            <w:vAlign w:val="center"/>
          </w:tcPr>
          <w:p w14:paraId="2843C613">
            <w:pPr>
              <w:pStyle w:val="45"/>
              <w:keepNext w:val="0"/>
              <w:keepLines w:val="0"/>
              <w:suppressLineNumbers w:val="0"/>
              <w:wordWrap w:val="0"/>
              <w:adjustRightInd w:val="0"/>
              <w:snapToGrid w:val="0"/>
              <w:spacing w:before="0" w:beforeAutospacing="0" w:after="0" w:afterAutospacing="0"/>
              <w:ind w:left="0" w:right="0"/>
              <w:jc w:val="center"/>
              <w:rPr>
                <w:rFonts w:hint="default" w:asciiTheme="minorEastAsia" w:hAnsiTheme="minorEastAsia" w:eastAsiaTheme="minorEastAsia" w:cstheme="minorEastAsia"/>
                <w:snapToGrid w:val="0"/>
                <w:color w:val="auto"/>
                <w:kern w:val="0"/>
                <w:sz w:val="24"/>
                <w:highlight w:val="none"/>
              </w:rPr>
            </w:pPr>
          </w:p>
        </w:tc>
      </w:tr>
      <w:tr w14:paraId="5A43B4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4" w:hRule="exact"/>
          <w:jc w:val="center"/>
        </w:trPr>
        <w:tc>
          <w:tcPr>
            <w:tcW w:w="1540" w:type="dxa"/>
            <w:vAlign w:val="center"/>
          </w:tcPr>
          <w:p w14:paraId="25AA143A">
            <w:pPr>
              <w:pStyle w:val="45"/>
              <w:keepNext w:val="0"/>
              <w:keepLines w:val="0"/>
              <w:suppressLineNumbers w:val="0"/>
              <w:wordWrap w:val="0"/>
              <w:adjustRightInd w:val="0"/>
              <w:snapToGrid w:val="0"/>
              <w:spacing w:before="0" w:beforeAutospacing="0" w:after="0" w:afterAutospacing="0"/>
              <w:ind w:left="0" w:right="0"/>
              <w:jc w:val="center"/>
              <w:rPr>
                <w:rFonts w:hint="default" w:asciiTheme="minorEastAsia" w:hAnsiTheme="minorEastAsia" w:eastAsiaTheme="minorEastAsia" w:cstheme="minorEastAsia"/>
                <w:snapToGrid w:val="0"/>
                <w:color w:val="auto"/>
                <w:kern w:val="0"/>
                <w:sz w:val="24"/>
                <w:highlight w:val="none"/>
              </w:rPr>
            </w:pPr>
            <w:r>
              <w:rPr>
                <w:rFonts w:hint="eastAsia" w:asciiTheme="minorEastAsia" w:hAnsiTheme="minorEastAsia" w:eastAsiaTheme="minorEastAsia" w:cstheme="minorEastAsia"/>
                <w:snapToGrid w:val="0"/>
                <w:color w:val="auto"/>
                <w:kern w:val="0"/>
                <w:sz w:val="24"/>
                <w:highlight w:val="none"/>
              </w:rPr>
              <w:t>基本账户</w:t>
            </w:r>
          </w:p>
          <w:p w14:paraId="6271A328">
            <w:pPr>
              <w:pStyle w:val="45"/>
              <w:keepNext w:val="0"/>
              <w:keepLines w:val="0"/>
              <w:suppressLineNumbers w:val="0"/>
              <w:wordWrap w:val="0"/>
              <w:adjustRightInd w:val="0"/>
              <w:snapToGrid w:val="0"/>
              <w:spacing w:before="0" w:beforeAutospacing="0" w:after="0" w:afterAutospacing="0"/>
              <w:ind w:left="0" w:right="0"/>
              <w:jc w:val="center"/>
              <w:rPr>
                <w:rFonts w:hint="default" w:asciiTheme="minorEastAsia" w:hAnsiTheme="minorEastAsia" w:eastAsiaTheme="minorEastAsia" w:cstheme="minorEastAsia"/>
                <w:snapToGrid w:val="0"/>
                <w:color w:val="auto"/>
                <w:kern w:val="0"/>
                <w:sz w:val="24"/>
                <w:highlight w:val="none"/>
              </w:rPr>
            </w:pPr>
            <w:r>
              <w:rPr>
                <w:rFonts w:hint="eastAsia" w:asciiTheme="minorEastAsia" w:hAnsiTheme="minorEastAsia" w:eastAsiaTheme="minorEastAsia" w:cstheme="minorEastAsia"/>
                <w:snapToGrid w:val="0"/>
                <w:color w:val="auto"/>
                <w:kern w:val="0"/>
                <w:sz w:val="24"/>
                <w:highlight w:val="none"/>
              </w:rPr>
              <w:t>开户银行</w:t>
            </w:r>
          </w:p>
        </w:tc>
        <w:tc>
          <w:tcPr>
            <w:tcW w:w="2681" w:type="dxa"/>
            <w:gridSpan w:val="2"/>
            <w:vAlign w:val="center"/>
          </w:tcPr>
          <w:p w14:paraId="7569BD8A">
            <w:pPr>
              <w:pStyle w:val="45"/>
              <w:keepNext w:val="0"/>
              <w:keepLines w:val="0"/>
              <w:suppressLineNumbers w:val="0"/>
              <w:wordWrap w:val="0"/>
              <w:adjustRightInd w:val="0"/>
              <w:snapToGrid w:val="0"/>
              <w:spacing w:before="0" w:beforeAutospacing="0" w:after="0" w:afterAutospacing="0"/>
              <w:ind w:left="0" w:right="0"/>
              <w:jc w:val="center"/>
              <w:rPr>
                <w:rFonts w:hint="default" w:asciiTheme="minorEastAsia" w:hAnsiTheme="minorEastAsia" w:eastAsiaTheme="minorEastAsia" w:cstheme="minorEastAsia"/>
                <w:snapToGrid w:val="0"/>
                <w:color w:val="auto"/>
                <w:kern w:val="0"/>
                <w:sz w:val="24"/>
                <w:highlight w:val="none"/>
              </w:rPr>
            </w:pPr>
          </w:p>
        </w:tc>
        <w:tc>
          <w:tcPr>
            <w:tcW w:w="1293" w:type="dxa"/>
            <w:gridSpan w:val="2"/>
            <w:vMerge w:val="continue"/>
            <w:vAlign w:val="center"/>
          </w:tcPr>
          <w:p w14:paraId="7830DD31">
            <w:pPr>
              <w:pStyle w:val="45"/>
              <w:keepNext w:val="0"/>
              <w:keepLines w:val="0"/>
              <w:suppressLineNumbers w:val="0"/>
              <w:wordWrap w:val="0"/>
              <w:adjustRightInd w:val="0"/>
              <w:snapToGrid w:val="0"/>
              <w:spacing w:before="0" w:beforeAutospacing="0" w:after="0" w:afterAutospacing="0"/>
              <w:ind w:left="0" w:right="0"/>
              <w:jc w:val="center"/>
              <w:rPr>
                <w:rFonts w:hint="default" w:asciiTheme="minorEastAsia" w:hAnsiTheme="minorEastAsia" w:eastAsiaTheme="minorEastAsia" w:cstheme="minorEastAsia"/>
                <w:snapToGrid w:val="0"/>
                <w:color w:val="auto"/>
                <w:kern w:val="0"/>
                <w:sz w:val="24"/>
                <w:highlight w:val="none"/>
              </w:rPr>
            </w:pPr>
          </w:p>
        </w:tc>
        <w:tc>
          <w:tcPr>
            <w:tcW w:w="1836" w:type="dxa"/>
            <w:gridSpan w:val="3"/>
            <w:vAlign w:val="center"/>
          </w:tcPr>
          <w:p w14:paraId="44E571F4">
            <w:pPr>
              <w:pStyle w:val="45"/>
              <w:keepNext w:val="0"/>
              <w:keepLines w:val="0"/>
              <w:suppressLineNumbers w:val="0"/>
              <w:wordWrap w:val="0"/>
              <w:adjustRightInd w:val="0"/>
              <w:snapToGrid w:val="0"/>
              <w:spacing w:before="0" w:beforeAutospacing="0" w:after="0" w:afterAutospacing="0"/>
              <w:ind w:left="0" w:right="0"/>
              <w:jc w:val="center"/>
              <w:rPr>
                <w:rFonts w:hint="default" w:asciiTheme="minorEastAsia" w:hAnsiTheme="minorEastAsia" w:eastAsiaTheme="minorEastAsia" w:cstheme="minorEastAsia"/>
                <w:snapToGrid w:val="0"/>
                <w:color w:val="auto"/>
                <w:kern w:val="0"/>
                <w:sz w:val="24"/>
                <w:highlight w:val="none"/>
              </w:rPr>
            </w:pPr>
            <w:r>
              <w:rPr>
                <w:rFonts w:hint="eastAsia" w:asciiTheme="minorEastAsia" w:hAnsiTheme="minorEastAsia" w:eastAsiaTheme="minorEastAsia" w:cstheme="minorEastAsia"/>
                <w:snapToGrid w:val="0"/>
                <w:color w:val="auto"/>
                <w:kern w:val="0"/>
                <w:sz w:val="24"/>
                <w:highlight w:val="none"/>
              </w:rPr>
              <w:t>初级职称人员</w:t>
            </w:r>
          </w:p>
        </w:tc>
        <w:tc>
          <w:tcPr>
            <w:tcW w:w="1470" w:type="dxa"/>
            <w:vAlign w:val="center"/>
          </w:tcPr>
          <w:p w14:paraId="49998B3F">
            <w:pPr>
              <w:pStyle w:val="45"/>
              <w:keepNext w:val="0"/>
              <w:keepLines w:val="0"/>
              <w:suppressLineNumbers w:val="0"/>
              <w:wordWrap w:val="0"/>
              <w:adjustRightInd w:val="0"/>
              <w:snapToGrid w:val="0"/>
              <w:spacing w:before="0" w:beforeAutospacing="0" w:after="0" w:afterAutospacing="0"/>
              <w:ind w:left="0" w:right="0"/>
              <w:jc w:val="center"/>
              <w:rPr>
                <w:rFonts w:hint="default" w:asciiTheme="minorEastAsia" w:hAnsiTheme="minorEastAsia" w:eastAsiaTheme="minorEastAsia" w:cstheme="minorEastAsia"/>
                <w:snapToGrid w:val="0"/>
                <w:color w:val="auto"/>
                <w:kern w:val="0"/>
                <w:sz w:val="24"/>
                <w:highlight w:val="none"/>
              </w:rPr>
            </w:pPr>
          </w:p>
        </w:tc>
      </w:tr>
      <w:tr w14:paraId="2D7356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4" w:hRule="exact"/>
          <w:jc w:val="center"/>
        </w:trPr>
        <w:tc>
          <w:tcPr>
            <w:tcW w:w="1540" w:type="dxa"/>
            <w:vAlign w:val="center"/>
          </w:tcPr>
          <w:p w14:paraId="3377CCA0">
            <w:pPr>
              <w:pStyle w:val="45"/>
              <w:keepNext w:val="0"/>
              <w:keepLines w:val="0"/>
              <w:suppressLineNumbers w:val="0"/>
              <w:wordWrap w:val="0"/>
              <w:adjustRightInd w:val="0"/>
              <w:snapToGrid w:val="0"/>
              <w:spacing w:before="0" w:beforeAutospacing="0" w:after="0" w:afterAutospacing="0"/>
              <w:ind w:left="0" w:right="0"/>
              <w:jc w:val="center"/>
              <w:rPr>
                <w:rFonts w:hint="default" w:asciiTheme="minorEastAsia" w:hAnsiTheme="minorEastAsia" w:eastAsiaTheme="minorEastAsia" w:cstheme="minorEastAsia"/>
                <w:snapToGrid w:val="0"/>
                <w:color w:val="auto"/>
                <w:kern w:val="0"/>
                <w:sz w:val="24"/>
                <w:highlight w:val="none"/>
              </w:rPr>
            </w:pPr>
            <w:r>
              <w:rPr>
                <w:rFonts w:hint="eastAsia" w:asciiTheme="minorEastAsia" w:hAnsiTheme="minorEastAsia" w:eastAsiaTheme="minorEastAsia" w:cstheme="minorEastAsia"/>
                <w:snapToGrid w:val="0"/>
                <w:color w:val="auto"/>
                <w:kern w:val="0"/>
                <w:sz w:val="24"/>
                <w:highlight w:val="none"/>
              </w:rPr>
              <w:t>基本账户</w:t>
            </w:r>
          </w:p>
          <w:p w14:paraId="4B213B16">
            <w:pPr>
              <w:pStyle w:val="45"/>
              <w:keepNext w:val="0"/>
              <w:keepLines w:val="0"/>
              <w:suppressLineNumbers w:val="0"/>
              <w:wordWrap w:val="0"/>
              <w:adjustRightInd w:val="0"/>
              <w:snapToGrid w:val="0"/>
              <w:spacing w:before="0" w:beforeAutospacing="0" w:after="0" w:afterAutospacing="0"/>
              <w:ind w:left="0" w:right="0"/>
              <w:jc w:val="center"/>
              <w:rPr>
                <w:rFonts w:hint="default" w:asciiTheme="minorEastAsia" w:hAnsiTheme="minorEastAsia" w:eastAsiaTheme="minorEastAsia" w:cstheme="minorEastAsia"/>
                <w:snapToGrid w:val="0"/>
                <w:color w:val="auto"/>
                <w:kern w:val="0"/>
                <w:sz w:val="24"/>
                <w:highlight w:val="none"/>
              </w:rPr>
            </w:pPr>
            <w:r>
              <w:rPr>
                <w:rFonts w:hint="eastAsia" w:asciiTheme="minorEastAsia" w:hAnsiTheme="minorEastAsia" w:eastAsiaTheme="minorEastAsia" w:cstheme="minorEastAsia"/>
                <w:snapToGrid w:val="0"/>
                <w:color w:val="auto"/>
                <w:kern w:val="0"/>
                <w:sz w:val="24"/>
                <w:highlight w:val="none"/>
              </w:rPr>
              <w:t>银行账号</w:t>
            </w:r>
          </w:p>
        </w:tc>
        <w:tc>
          <w:tcPr>
            <w:tcW w:w="2681" w:type="dxa"/>
            <w:gridSpan w:val="2"/>
            <w:vAlign w:val="center"/>
          </w:tcPr>
          <w:p w14:paraId="6B9837C2">
            <w:pPr>
              <w:pStyle w:val="45"/>
              <w:keepNext w:val="0"/>
              <w:keepLines w:val="0"/>
              <w:suppressLineNumbers w:val="0"/>
              <w:wordWrap w:val="0"/>
              <w:adjustRightInd w:val="0"/>
              <w:snapToGrid w:val="0"/>
              <w:spacing w:before="0" w:beforeAutospacing="0" w:after="0" w:afterAutospacing="0"/>
              <w:ind w:left="0" w:right="0"/>
              <w:jc w:val="center"/>
              <w:rPr>
                <w:rFonts w:hint="default" w:asciiTheme="minorEastAsia" w:hAnsiTheme="minorEastAsia" w:eastAsiaTheme="minorEastAsia" w:cstheme="minorEastAsia"/>
                <w:snapToGrid w:val="0"/>
                <w:color w:val="auto"/>
                <w:kern w:val="0"/>
                <w:sz w:val="24"/>
                <w:highlight w:val="none"/>
              </w:rPr>
            </w:pPr>
          </w:p>
        </w:tc>
        <w:tc>
          <w:tcPr>
            <w:tcW w:w="1293" w:type="dxa"/>
            <w:gridSpan w:val="2"/>
            <w:vMerge w:val="continue"/>
            <w:vAlign w:val="center"/>
          </w:tcPr>
          <w:p w14:paraId="2399C008">
            <w:pPr>
              <w:pStyle w:val="45"/>
              <w:keepNext w:val="0"/>
              <w:keepLines w:val="0"/>
              <w:suppressLineNumbers w:val="0"/>
              <w:wordWrap w:val="0"/>
              <w:adjustRightInd w:val="0"/>
              <w:snapToGrid w:val="0"/>
              <w:spacing w:before="0" w:beforeAutospacing="0" w:after="0" w:afterAutospacing="0"/>
              <w:ind w:left="0" w:right="0"/>
              <w:jc w:val="center"/>
              <w:rPr>
                <w:rFonts w:hint="default" w:asciiTheme="minorEastAsia" w:hAnsiTheme="minorEastAsia" w:eastAsiaTheme="minorEastAsia" w:cstheme="minorEastAsia"/>
                <w:snapToGrid w:val="0"/>
                <w:color w:val="auto"/>
                <w:kern w:val="0"/>
                <w:sz w:val="24"/>
                <w:highlight w:val="none"/>
              </w:rPr>
            </w:pPr>
          </w:p>
        </w:tc>
        <w:tc>
          <w:tcPr>
            <w:tcW w:w="1836" w:type="dxa"/>
            <w:gridSpan w:val="3"/>
            <w:vAlign w:val="center"/>
          </w:tcPr>
          <w:p w14:paraId="37633C5E">
            <w:pPr>
              <w:pStyle w:val="45"/>
              <w:keepNext w:val="0"/>
              <w:keepLines w:val="0"/>
              <w:suppressLineNumbers w:val="0"/>
              <w:wordWrap w:val="0"/>
              <w:adjustRightInd w:val="0"/>
              <w:snapToGrid w:val="0"/>
              <w:spacing w:before="0" w:beforeAutospacing="0" w:after="0" w:afterAutospacing="0"/>
              <w:ind w:left="0" w:right="0"/>
              <w:jc w:val="center"/>
              <w:rPr>
                <w:rFonts w:hint="default" w:asciiTheme="minorEastAsia" w:hAnsiTheme="minorEastAsia" w:eastAsiaTheme="minorEastAsia" w:cstheme="minorEastAsia"/>
                <w:snapToGrid w:val="0"/>
                <w:color w:val="auto"/>
                <w:kern w:val="0"/>
                <w:sz w:val="24"/>
                <w:highlight w:val="none"/>
              </w:rPr>
            </w:pPr>
            <w:r>
              <w:rPr>
                <w:rFonts w:hint="eastAsia" w:asciiTheme="minorEastAsia" w:hAnsiTheme="minorEastAsia" w:eastAsiaTheme="minorEastAsia" w:cstheme="minorEastAsia"/>
                <w:snapToGrid w:val="0"/>
                <w:color w:val="auto"/>
                <w:kern w:val="0"/>
                <w:sz w:val="24"/>
                <w:highlight w:val="none"/>
              </w:rPr>
              <w:t>技术员</w:t>
            </w:r>
          </w:p>
        </w:tc>
        <w:tc>
          <w:tcPr>
            <w:tcW w:w="1470" w:type="dxa"/>
            <w:vAlign w:val="center"/>
          </w:tcPr>
          <w:p w14:paraId="10A1911C">
            <w:pPr>
              <w:pStyle w:val="45"/>
              <w:keepNext w:val="0"/>
              <w:keepLines w:val="0"/>
              <w:suppressLineNumbers w:val="0"/>
              <w:wordWrap w:val="0"/>
              <w:adjustRightInd w:val="0"/>
              <w:snapToGrid w:val="0"/>
              <w:spacing w:before="0" w:beforeAutospacing="0" w:after="0" w:afterAutospacing="0"/>
              <w:ind w:left="0" w:right="0"/>
              <w:jc w:val="center"/>
              <w:rPr>
                <w:rFonts w:hint="default" w:asciiTheme="minorEastAsia" w:hAnsiTheme="minorEastAsia" w:eastAsiaTheme="minorEastAsia" w:cstheme="minorEastAsia"/>
                <w:snapToGrid w:val="0"/>
                <w:color w:val="auto"/>
                <w:kern w:val="0"/>
                <w:sz w:val="24"/>
                <w:highlight w:val="none"/>
              </w:rPr>
            </w:pPr>
          </w:p>
        </w:tc>
      </w:tr>
      <w:tr w14:paraId="7C7A25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4" w:hRule="exact"/>
          <w:jc w:val="center"/>
        </w:trPr>
        <w:tc>
          <w:tcPr>
            <w:tcW w:w="1540" w:type="dxa"/>
            <w:vAlign w:val="center"/>
          </w:tcPr>
          <w:p w14:paraId="2B441F25">
            <w:pPr>
              <w:pStyle w:val="45"/>
              <w:keepNext w:val="0"/>
              <w:keepLines w:val="0"/>
              <w:suppressLineNumbers w:val="0"/>
              <w:wordWrap w:val="0"/>
              <w:adjustRightInd w:val="0"/>
              <w:snapToGrid w:val="0"/>
              <w:spacing w:before="0" w:beforeAutospacing="0" w:after="0" w:afterAutospacing="0"/>
              <w:ind w:left="0" w:right="0"/>
              <w:jc w:val="center"/>
              <w:rPr>
                <w:rFonts w:hint="default" w:asciiTheme="minorEastAsia" w:hAnsiTheme="minorEastAsia" w:eastAsiaTheme="minorEastAsia" w:cstheme="minorEastAsia"/>
                <w:snapToGrid w:val="0"/>
                <w:color w:val="auto"/>
                <w:kern w:val="0"/>
                <w:sz w:val="24"/>
                <w:highlight w:val="none"/>
              </w:rPr>
            </w:pPr>
            <w:r>
              <w:rPr>
                <w:rFonts w:hint="eastAsia" w:asciiTheme="minorEastAsia" w:hAnsiTheme="minorEastAsia" w:eastAsiaTheme="minorEastAsia" w:cstheme="minorEastAsia"/>
                <w:snapToGrid w:val="0"/>
                <w:color w:val="auto"/>
                <w:kern w:val="0"/>
                <w:sz w:val="24"/>
                <w:highlight w:val="none"/>
              </w:rPr>
              <w:t>经营范围</w:t>
            </w:r>
          </w:p>
        </w:tc>
        <w:tc>
          <w:tcPr>
            <w:tcW w:w="7280" w:type="dxa"/>
            <w:gridSpan w:val="8"/>
            <w:vAlign w:val="center"/>
          </w:tcPr>
          <w:p w14:paraId="51D45379">
            <w:pPr>
              <w:pStyle w:val="45"/>
              <w:keepNext w:val="0"/>
              <w:keepLines w:val="0"/>
              <w:suppressLineNumbers w:val="0"/>
              <w:wordWrap w:val="0"/>
              <w:adjustRightInd w:val="0"/>
              <w:snapToGrid w:val="0"/>
              <w:spacing w:before="0" w:beforeAutospacing="0" w:after="0" w:afterAutospacing="0"/>
              <w:ind w:left="0" w:right="0"/>
              <w:jc w:val="left"/>
              <w:rPr>
                <w:rFonts w:hint="default" w:asciiTheme="minorEastAsia" w:hAnsiTheme="minorEastAsia" w:eastAsiaTheme="minorEastAsia" w:cstheme="minorEastAsia"/>
                <w:snapToGrid w:val="0"/>
                <w:color w:val="auto"/>
                <w:kern w:val="0"/>
                <w:sz w:val="24"/>
                <w:highlight w:val="none"/>
              </w:rPr>
            </w:pPr>
          </w:p>
        </w:tc>
      </w:tr>
      <w:tr w14:paraId="422BB5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51" w:hRule="atLeast"/>
          <w:jc w:val="center"/>
        </w:trPr>
        <w:tc>
          <w:tcPr>
            <w:tcW w:w="1540" w:type="dxa"/>
            <w:vAlign w:val="center"/>
          </w:tcPr>
          <w:p w14:paraId="532805E4">
            <w:pPr>
              <w:pStyle w:val="45"/>
              <w:keepNext w:val="0"/>
              <w:keepLines w:val="0"/>
              <w:suppressLineNumbers w:val="0"/>
              <w:wordWrap w:val="0"/>
              <w:adjustRightInd w:val="0"/>
              <w:snapToGrid w:val="0"/>
              <w:spacing w:before="0" w:beforeAutospacing="0" w:after="0" w:afterAutospacing="0"/>
              <w:ind w:left="0" w:right="0"/>
              <w:jc w:val="center"/>
              <w:rPr>
                <w:rFonts w:hint="default" w:asciiTheme="minorEastAsia" w:hAnsiTheme="minorEastAsia" w:eastAsiaTheme="minorEastAsia" w:cstheme="minorEastAsia"/>
                <w:snapToGrid w:val="0"/>
                <w:color w:val="auto"/>
                <w:kern w:val="0"/>
                <w:sz w:val="24"/>
                <w:highlight w:val="none"/>
              </w:rPr>
            </w:pPr>
            <w:r>
              <w:rPr>
                <w:rFonts w:hint="eastAsia" w:asciiTheme="minorEastAsia" w:hAnsiTheme="minorEastAsia" w:eastAsiaTheme="minorEastAsia" w:cstheme="minorEastAsia"/>
                <w:snapToGrid w:val="0"/>
                <w:color w:val="auto"/>
                <w:kern w:val="0"/>
                <w:sz w:val="24"/>
                <w:highlight w:val="none"/>
              </w:rPr>
              <w:t>关联企业情况</w:t>
            </w:r>
          </w:p>
        </w:tc>
        <w:tc>
          <w:tcPr>
            <w:tcW w:w="7280" w:type="dxa"/>
            <w:gridSpan w:val="8"/>
            <w:vAlign w:val="center"/>
          </w:tcPr>
          <w:p w14:paraId="31E14C29">
            <w:pPr>
              <w:pStyle w:val="45"/>
              <w:keepNext w:val="0"/>
              <w:keepLines w:val="0"/>
              <w:suppressLineNumbers w:val="0"/>
              <w:wordWrap w:val="0"/>
              <w:adjustRightInd w:val="0"/>
              <w:snapToGrid w:val="0"/>
              <w:spacing w:before="0" w:beforeAutospacing="0" w:after="0" w:afterAutospacing="0"/>
              <w:ind w:left="0" w:right="0"/>
              <w:rPr>
                <w:rFonts w:hint="default" w:asciiTheme="minorEastAsia" w:hAnsiTheme="minorEastAsia" w:eastAsiaTheme="minorEastAsia" w:cstheme="minorEastAsia"/>
                <w:snapToGrid w:val="0"/>
                <w:color w:val="auto"/>
                <w:kern w:val="0"/>
                <w:sz w:val="24"/>
                <w:highlight w:val="none"/>
              </w:rPr>
            </w:pPr>
            <w:r>
              <w:rPr>
                <w:rFonts w:hint="eastAsia" w:asciiTheme="minorEastAsia" w:hAnsiTheme="minorEastAsia" w:eastAsiaTheme="minorEastAsia" w:cstheme="minorEastAsia"/>
                <w:snapToGrid w:val="0"/>
                <w:color w:val="auto"/>
                <w:kern w:val="0"/>
                <w:sz w:val="24"/>
                <w:highlight w:val="none"/>
              </w:rPr>
              <w:t>包括但不限于与投标人存在以下关系的不同单位：</w:t>
            </w:r>
          </w:p>
          <w:p w14:paraId="59C8C420">
            <w:pPr>
              <w:pStyle w:val="45"/>
              <w:keepNext w:val="0"/>
              <w:keepLines w:val="0"/>
              <w:suppressLineNumbers w:val="0"/>
              <w:wordWrap w:val="0"/>
              <w:adjustRightInd w:val="0"/>
              <w:snapToGrid w:val="0"/>
              <w:spacing w:before="0" w:beforeAutospacing="0" w:after="0" w:afterAutospacing="0"/>
              <w:ind w:left="0" w:right="0"/>
              <w:rPr>
                <w:rFonts w:hint="default" w:asciiTheme="minorEastAsia" w:hAnsiTheme="minorEastAsia" w:eastAsiaTheme="minorEastAsia" w:cstheme="minorEastAsia"/>
                <w:snapToGrid w:val="0"/>
                <w:color w:val="auto"/>
                <w:kern w:val="0"/>
                <w:sz w:val="24"/>
                <w:highlight w:val="none"/>
              </w:rPr>
            </w:pPr>
            <w:r>
              <w:rPr>
                <w:rFonts w:hint="eastAsia" w:asciiTheme="minorEastAsia" w:hAnsiTheme="minorEastAsia" w:eastAsiaTheme="minorEastAsia" w:cstheme="minorEastAsia"/>
                <w:snapToGrid w:val="0"/>
                <w:color w:val="auto"/>
                <w:kern w:val="0"/>
                <w:sz w:val="24"/>
                <w:highlight w:val="none"/>
                <w:lang w:eastAsia="zh-CN"/>
              </w:rPr>
              <w:t>1.</w:t>
            </w:r>
            <w:r>
              <w:rPr>
                <w:rFonts w:hint="eastAsia" w:asciiTheme="minorEastAsia" w:hAnsiTheme="minorEastAsia" w:eastAsiaTheme="minorEastAsia" w:cstheme="minorEastAsia"/>
                <w:snapToGrid w:val="0"/>
                <w:color w:val="auto"/>
                <w:kern w:val="0"/>
                <w:sz w:val="24"/>
                <w:highlight w:val="none"/>
              </w:rPr>
              <w:t>法定代表人为同一人的。</w:t>
            </w:r>
          </w:p>
          <w:p w14:paraId="727F85DA">
            <w:pPr>
              <w:pStyle w:val="45"/>
              <w:keepNext w:val="0"/>
              <w:keepLines w:val="0"/>
              <w:suppressLineNumbers w:val="0"/>
              <w:wordWrap w:val="0"/>
              <w:adjustRightInd w:val="0"/>
              <w:snapToGrid w:val="0"/>
              <w:spacing w:before="0" w:beforeAutospacing="0" w:after="0" w:afterAutospacing="0"/>
              <w:ind w:left="0" w:right="0"/>
              <w:rPr>
                <w:rFonts w:hint="default" w:asciiTheme="minorEastAsia" w:hAnsiTheme="minorEastAsia" w:eastAsiaTheme="minorEastAsia" w:cstheme="minorEastAsia"/>
                <w:snapToGrid w:val="0"/>
                <w:color w:val="auto"/>
                <w:kern w:val="0"/>
                <w:sz w:val="24"/>
                <w:highlight w:val="none"/>
              </w:rPr>
            </w:pPr>
            <w:r>
              <w:rPr>
                <w:rFonts w:hint="eastAsia" w:asciiTheme="minorEastAsia" w:hAnsiTheme="minorEastAsia" w:eastAsiaTheme="minorEastAsia" w:cstheme="minorEastAsia"/>
                <w:snapToGrid w:val="0"/>
                <w:color w:val="auto"/>
                <w:kern w:val="0"/>
                <w:sz w:val="24"/>
                <w:highlight w:val="none"/>
                <w:lang w:eastAsia="zh-CN"/>
              </w:rPr>
              <w:t>2.</w:t>
            </w:r>
            <w:r>
              <w:rPr>
                <w:rFonts w:hint="eastAsia" w:asciiTheme="minorEastAsia" w:hAnsiTheme="minorEastAsia" w:eastAsiaTheme="minorEastAsia" w:cstheme="minorEastAsia"/>
                <w:snapToGrid w:val="0"/>
                <w:color w:val="auto"/>
                <w:kern w:val="0"/>
                <w:sz w:val="24"/>
                <w:highlight w:val="none"/>
              </w:rPr>
              <w:t>存在控股、管理关系的。</w:t>
            </w:r>
          </w:p>
          <w:p w14:paraId="6CF46043">
            <w:pPr>
              <w:pStyle w:val="45"/>
              <w:keepNext w:val="0"/>
              <w:keepLines w:val="0"/>
              <w:suppressLineNumbers w:val="0"/>
              <w:wordWrap w:val="0"/>
              <w:adjustRightInd w:val="0"/>
              <w:snapToGrid w:val="0"/>
              <w:spacing w:before="0" w:beforeAutospacing="0" w:after="0" w:afterAutospacing="0"/>
              <w:ind w:left="0" w:right="0"/>
              <w:rPr>
                <w:rFonts w:hint="default" w:asciiTheme="minorEastAsia" w:hAnsiTheme="minorEastAsia" w:eastAsiaTheme="minorEastAsia" w:cstheme="minorEastAsia"/>
                <w:snapToGrid w:val="0"/>
                <w:color w:val="auto"/>
                <w:kern w:val="0"/>
                <w:sz w:val="24"/>
                <w:highlight w:val="none"/>
              </w:rPr>
            </w:pPr>
            <w:r>
              <w:rPr>
                <w:rFonts w:hint="eastAsia" w:asciiTheme="minorEastAsia" w:hAnsiTheme="minorEastAsia" w:eastAsiaTheme="minorEastAsia" w:cstheme="minorEastAsia"/>
                <w:snapToGrid w:val="0"/>
                <w:color w:val="auto"/>
                <w:kern w:val="0"/>
                <w:sz w:val="24"/>
                <w:highlight w:val="none"/>
                <w:lang w:eastAsia="zh-CN"/>
              </w:rPr>
              <w:t>3.</w:t>
            </w:r>
            <w:r>
              <w:rPr>
                <w:rFonts w:hint="eastAsia" w:asciiTheme="minorEastAsia" w:hAnsiTheme="minorEastAsia" w:eastAsiaTheme="minorEastAsia" w:cstheme="minorEastAsia"/>
                <w:snapToGrid w:val="0"/>
                <w:color w:val="auto"/>
                <w:kern w:val="0"/>
                <w:sz w:val="24"/>
                <w:highlight w:val="none"/>
              </w:rPr>
              <w:t>主要人员相互任职的。</w:t>
            </w:r>
          </w:p>
        </w:tc>
      </w:tr>
      <w:tr w14:paraId="3A0F6D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1" w:hRule="atLeast"/>
          <w:jc w:val="center"/>
        </w:trPr>
        <w:tc>
          <w:tcPr>
            <w:tcW w:w="1540" w:type="dxa"/>
            <w:vAlign w:val="center"/>
          </w:tcPr>
          <w:p w14:paraId="311DA34D">
            <w:pPr>
              <w:pStyle w:val="45"/>
              <w:keepNext w:val="0"/>
              <w:keepLines w:val="0"/>
              <w:suppressLineNumbers w:val="0"/>
              <w:wordWrap w:val="0"/>
              <w:adjustRightInd w:val="0"/>
              <w:snapToGrid w:val="0"/>
              <w:spacing w:before="0" w:beforeAutospacing="0" w:after="0" w:afterAutospacing="0"/>
              <w:ind w:left="0" w:right="0"/>
              <w:jc w:val="center"/>
              <w:rPr>
                <w:rFonts w:hint="default" w:asciiTheme="minorEastAsia" w:hAnsiTheme="minorEastAsia" w:eastAsiaTheme="minorEastAsia" w:cstheme="minorEastAsia"/>
                <w:snapToGrid w:val="0"/>
                <w:color w:val="auto"/>
                <w:kern w:val="0"/>
                <w:sz w:val="24"/>
                <w:highlight w:val="none"/>
              </w:rPr>
            </w:pPr>
            <w:r>
              <w:rPr>
                <w:rFonts w:hint="eastAsia" w:asciiTheme="minorEastAsia" w:hAnsiTheme="minorEastAsia" w:eastAsiaTheme="minorEastAsia" w:cstheme="minorEastAsia"/>
                <w:snapToGrid w:val="0"/>
                <w:color w:val="auto"/>
                <w:kern w:val="0"/>
                <w:sz w:val="24"/>
                <w:highlight w:val="none"/>
              </w:rPr>
              <w:t>备注</w:t>
            </w:r>
          </w:p>
        </w:tc>
        <w:tc>
          <w:tcPr>
            <w:tcW w:w="7280" w:type="dxa"/>
            <w:gridSpan w:val="8"/>
            <w:vAlign w:val="center"/>
          </w:tcPr>
          <w:p w14:paraId="35850CF6">
            <w:pPr>
              <w:pStyle w:val="45"/>
              <w:keepNext w:val="0"/>
              <w:keepLines w:val="0"/>
              <w:suppressLineNumbers w:val="0"/>
              <w:wordWrap w:val="0"/>
              <w:adjustRightInd w:val="0"/>
              <w:snapToGrid w:val="0"/>
              <w:spacing w:before="0" w:beforeAutospacing="0" w:after="0" w:afterAutospacing="0"/>
              <w:ind w:left="0" w:right="0"/>
              <w:jc w:val="center"/>
              <w:rPr>
                <w:rFonts w:hint="default" w:asciiTheme="minorEastAsia" w:hAnsiTheme="minorEastAsia" w:eastAsiaTheme="minorEastAsia" w:cstheme="minorEastAsia"/>
                <w:snapToGrid w:val="0"/>
                <w:color w:val="auto"/>
                <w:kern w:val="0"/>
                <w:sz w:val="24"/>
                <w:highlight w:val="none"/>
              </w:rPr>
            </w:pPr>
          </w:p>
        </w:tc>
      </w:tr>
    </w:tbl>
    <w:p w14:paraId="3142F875">
      <w:pPr>
        <w:pStyle w:val="45"/>
        <w:wordWrap w:val="0"/>
        <w:adjustRightInd w:val="0"/>
        <w:snapToGrid w:val="0"/>
        <w:spacing w:line="400" w:lineRule="exact"/>
        <w:ind w:firstLine="480" w:firstLineChars="200"/>
        <w:rPr>
          <w:rFonts w:asciiTheme="minorEastAsia" w:hAnsiTheme="minorEastAsia" w:eastAsiaTheme="minorEastAsia" w:cstheme="minorEastAsia"/>
          <w:snapToGrid w:val="0"/>
          <w:color w:val="auto"/>
          <w:kern w:val="0"/>
          <w:sz w:val="24"/>
          <w:highlight w:val="none"/>
        </w:rPr>
      </w:pPr>
      <w:r>
        <w:rPr>
          <w:rFonts w:hint="eastAsia" w:asciiTheme="minorEastAsia" w:hAnsiTheme="minorEastAsia" w:eastAsiaTheme="minorEastAsia" w:cstheme="minorEastAsia"/>
          <w:snapToGrid w:val="0"/>
          <w:color w:val="auto"/>
          <w:kern w:val="0"/>
          <w:sz w:val="24"/>
          <w:highlight w:val="none"/>
        </w:rPr>
        <w:t>说明：</w:t>
      </w:r>
    </w:p>
    <w:bookmarkEnd w:id="526"/>
    <w:bookmarkEnd w:id="527"/>
    <w:bookmarkEnd w:id="528"/>
    <w:bookmarkEnd w:id="529"/>
    <w:bookmarkEnd w:id="530"/>
    <w:p w14:paraId="4AFB97EC">
      <w:pPr>
        <w:pStyle w:val="49"/>
        <w:widowControl w:val="0"/>
        <w:wordWrap w:val="0"/>
        <w:adjustRightInd w:val="0"/>
        <w:snapToGrid w:val="0"/>
        <w:spacing w:line="400" w:lineRule="exact"/>
        <w:rPr>
          <w:rFonts w:asciiTheme="minorEastAsia" w:hAnsiTheme="minorEastAsia" w:eastAsiaTheme="minorEastAsia" w:cstheme="minorEastAsia"/>
          <w:snapToGrid w:val="0"/>
          <w:color w:val="auto"/>
          <w:sz w:val="21"/>
          <w:szCs w:val="21"/>
          <w:highlight w:val="none"/>
        </w:rPr>
      </w:pPr>
      <w:bookmarkStart w:id="584" w:name="_Toc1659"/>
      <w:bookmarkStart w:id="585" w:name="_Toc118541763"/>
      <w:bookmarkStart w:id="586" w:name="_Toc534641863"/>
      <w:bookmarkStart w:id="587" w:name="_Toc535300004"/>
      <w:bookmarkStart w:id="588" w:name="_Toc48547015"/>
      <w:bookmarkStart w:id="589" w:name="_Toc210101349"/>
      <w:r>
        <w:rPr>
          <w:rFonts w:hint="eastAsia" w:asciiTheme="minorEastAsia" w:hAnsiTheme="minorEastAsia" w:eastAsiaTheme="minorEastAsia" w:cstheme="minorEastAsia"/>
          <w:snapToGrid w:val="0"/>
          <w:color w:val="auto"/>
          <w:sz w:val="21"/>
          <w:szCs w:val="21"/>
          <w:highlight w:val="none"/>
          <w:lang w:eastAsia="zh-CN"/>
        </w:rPr>
        <w:t>1.</w:t>
      </w:r>
      <w:r>
        <w:rPr>
          <w:rFonts w:hint="eastAsia" w:asciiTheme="minorEastAsia" w:hAnsiTheme="minorEastAsia" w:eastAsiaTheme="minorEastAsia" w:cstheme="minorEastAsia"/>
          <w:snapToGrid w:val="0"/>
          <w:color w:val="auto"/>
          <w:sz w:val="21"/>
          <w:szCs w:val="21"/>
          <w:highlight w:val="none"/>
        </w:rPr>
        <w:t>《投标人基本情况表》后应附以下资料：</w:t>
      </w:r>
    </w:p>
    <w:p w14:paraId="5FAD49C3">
      <w:pPr>
        <w:pStyle w:val="49"/>
        <w:widowControl w:val="0"/>
        <w:wordWrap w:val="0"/>
        <w:adjustRightInd w:val="0"/>
        <w:snapToGrid w:val="0"/>
        <w:spacing w:line="400" w:lineRule="exact"/>
        <w:rPr>
          <w:rFonts w:asciiTheme="minorEastAsia" w:hAnsiTheme="minorEastAsia" w:eastAsiaTheme="minorEastAsia" w:cstheme="minorEastAsia"/>
          <w:snapToGrid w:val="0"/>
          <w:color w:val="auto"/>
          <w:sz w:val="21"/>
          <w:szCs w:val="21"/>
          <w:highlight w:val="none"/>
        </w:rPr>
      </w:pPr>
      <w:r>
        <w:rPr>
          <w:rFonts w:hint="eastAsia" w:asciiTheme="minorEastAsia" w:hAnsiTheme="minorEastAsia" w:eastAsiaTheme="minorEastAsia" w:cstheme="minorEastAsia"/>
          <w:snapToGrid w:val="0"/>
          <w:color w:val="auto"/>
          <w:sz w:val="21"/>
          <w:szCs w:val="21"/>
          <w:highlight w:val="none"/>
        </w:rPr>
        <w:t>（1）企业营业执照、资质证书、安全生产许可证的扫描件</w:t>
      </w:r>
      <w:r>
        <w:rPr>
          <w:rFonts w:hint="eastAsia" w:asciiTheme="minorEastAsia" w:hAnsiTheme="minorEastAsia" w:eastAsiaTheme="minorEastAsia" w:cstheme="minorEastAsia"/>
          <w:b/>
          <w:bCs/>
          <w:snapToGrid w:val="0"/>
          <w:color w:val="auto"/>
          <w:sz w:val="21"/>
          <w:szCs w:val="21"/>
          <w:highlight w:val="none"/>
        </w:rPr>
        <w:t>（因推行电子证照，企业的营业执照、资质证书等可以提供电子证照。为实时掌握项目投标单位的是否具备企业安全生产条件，企业的安全生产许可证需提供企业实时网页查询页，实时查询页的打印时间应在</w:t>
      </w:r>
      <w:r>
        <w:rPr>
          <w:rFonts w:hint="eastAsia" w:asciiTheme="minorEastAsia" w:hAnsiTheme="minorEastAsia" w:eastAsiaTheme="minorEastAsia" w:cstheme="minorEastAsia"/>
          <w:b/>
          <w:bCs/>
          <w:strike w:val="0"/>
          <w:dstrike w:val="0"/>
          <w:snapToGrid w:val="0"/>
          <w:color w:val="auto"/>
          <w:sz w:val="21"/>
          <w:szCs w:val="21"/>
          <w:highlight w:val="none"/>
          <w:lang w:val="en-US" w:eastAsia="zh-CN"/>
        </w:rPr>
        <w:t>项目</w:t>
      </w:r>
      <w:r>
        <w:rPr>
          <w:rFonts w:hint="eastAsia" w:asciiTheme="minorEastAsia" w:hAnsiTheme="minorEastAsia" w:eastAsiaTheme="minorEastAsia" w:cstheme="minorEastAsia"/>
          <w:b/>
          <w:bCs/>
          <w:snapToGrid w:val="0"/>
          <w:color w:val="auto"/>
          <w:sz w:val="21"/>
          <w:szCs w:val="21"/>
          <w:highlight w:val="none"/>
        </w:rPr>
        <w:t>招标公告发布之日起至开标前。如中标后，投标单位安全生产许可证发生被暂扣情形，需双方另行协商）；</w:t>
      </w:r>
    </w:p>
    <w:p w14:paraId="40C9CE25">
      <w:pPr>
        <w:pStyle w:val="49"/>
        <w:widowControl w:val="0"/>
        <w:wordWrap w:val="0"/>
        <w:adjustRightInd w:val="0"/>
        <w:snapToGrid w:val="0"/>
        <w:spacing w:line="400" w:lineRule="exact"/>
        <w:rPr>
          <w:rFonts w:asciiTheme="minorEastAsia" w:hAnsiTheme="minorEastAsia" w:eastAsiaTheme="minorEastAsia" w:cstheme="minorEastAsia"/>
          <w:snapToGrid w:val="0"/>
          <w:color w:val="auto"/>
          <w:sz w:val="21"/>
          <w:szCs w:val="21"/>
          <w:highlight w:val="none"/>
        </w:rPr>
      </w:pPr>
      <w:r>
        <w:rPr>
          <w:rFonts w:hint="eastAsia" w:asciiTheme="minorEastAsia" w:hAnsiTheme="minorEastAsia" w:eastAsiaTheme="minorEastAsia" w:cstheme="minorEastAsia"/>
          <w:snapToGrid w:val="0"/>
          <w:color w:val="auto"/>
          <w:sz w:val="21"/>
          <w:szCs w:val="21"/>
          <w:highlight w:val="none"/>
        </w:rPr>
        <w:t>（2）外省建筑企业须提供“进粤企业和人员诚信信息登记平台”企业信息情况打印页。</w:t>
      </w:r>
    </w:p>
    <w:p w14:paraId="4F9EBC7C">
      <w:pPr>
        <w:pStyle w:val="49"/>
        <w:widowControl w:val="0"/>
        <w:wordWrap w:val="0"/>
        <w:adjustRightInd w:val="0"/>
        <w:snapToGrid w:val="0"/>
        <w:spacing w:line="400" w:lineRule="exact"/>
        <w:rPr>
          <w:rFonts w:asciiTheme="minorEastAsia" w:hAnsiTheme="minorEastAsia" w:eastAsiaTheme="minorEastAsia" w:cstheme="minorEastAsia"/>
          <w:snapToGrid w:val="0"/>
          <w:color w:val="auto"/>
          <w:sz w:val="21"/>
          <w:szCs w:val="21"/>
          <w:highlight w:val="none"/>
        </w:rPr>
      </w:pPr>
      <w:r>
        <w:rPr>
          <w:rFonts w:hint="eastAsia" w:asciiTheme="minorEastAsia" w:hAnsiTheme="minorEastAsia" w:eastAsiaTheme="minorEastAsia" w:cstheme="minorEastAsia"/>
          <w:snapToGrid w:val="0"/>
          <w:color w:val="auto"/>
          <w:sz w:val="21"/>
          <w:szCs w:val="21"/>
          <w:highlight w:val="none"/>
          <w:lang w:eastAsia="zh-CN"/>
        </w:rPr>
        <w:t>2.</w:t>
      </w:r>
      <w:r>
        <w:rPr>
          <w:rFonts w:hint="eastAsia" w:asciiTheme="minorEastAsia" w:hAnsiTheme="minorEastAsia" w:eastAsiaTheme="minorEastAsia" w:cstheme="minorEastAsia"/>
          <w:snapToGrid w:val="0"/>
          <w:color w:val="auto"/>
          <w:sz w:val="21"/>
          <w:szCs w:val="21"/>
          <w:highlight w:val="none"/>
        </w:rPr>
        <w:t>联合体投标的，联合体成员单位均应填写《投标人基本情况表》并提供以上所需资料。</w:t>
      </w:r>
    </w:p>
    <w:p w14:paraId="7AE55E96">
      <w:pPr>
        <w:pStyle w:val="49"/>
        <w:widowControl w:val="0"/>
        <w:wordWrap w:val="0"/>
        <w:adjustRightInd w:val="0"/>
        <w:snapToGrid w:val="0"/>
        <w:spacing w:line="400" w:lineRule="exact"/>
        <w:rPr>
          <w:rFonts w:asciiTheme="minorEastAsia" w:hAnsiTheme="minorEastAsia" w:eastAsiaTheme="minorEastAsia" w:cstheme="minorEastAsia"/>
          <w:snapToGrid w:val="0"/>
          <w:color w:val="auto"/>
          <w:sz w:val="21"/>
          <w:szCs w:val="21"/>
          <w:highlight w:val="none"/>
        </w:rPr>
        <w:sectPr>
          <w:endnotePr>
            <w:numFmt w:val="decimal"/>
          </w:endnotePr>
          <w:pgSz w:w="11905" w:h="16838"/>
          <w:pgMar w:top="1134" w:right="1134" w:bottom="1134" w:left="1417" w:header="850" w:footer="992" w:gutter="0"/>
          <w:pgBorders>
            <w:top w:val="none" w:sz="0" w:space="0"/>
            <w:left w:val="none" w:sz="0" w:space="0"/>
            <w:bottom w:val="none" w:sz="0" w:space="0"/>
            <w:right w:val="none" w:sz="0" w:space="0"/>
          </w:pgBorders>
          <w:pgNumType w:fmt="decimal"/>
          <w:cols w:space="0" w:num="1"/>
          <w:rtlGutter w:val="0"/>
          <w:docGrid w:linePitch="327" w:charSpace="0"/>
        </w:sectPr>
      </w:pPr>
      <w:r>
        <w:rPr>
          <w:rFonts w:hint="eastAsia" w:asciiTheme="minorEastAsia" w:hAnsiTheme="minorEastAsia" w:eastAsiaTheme="minorEastAsia" w:cstheme="minorEastAsia"/>
          <w:snapToGrid w:val="0"/>
          <w:color w:val="auto"/>
          <w:sz w:val="21"/>
          <w:szCs w:val="21"/>
          <w:highlight w:val="none"/>
        </w:rPr>
        <w:t>3.《法人和非法人组织公共信用信息报告》打印件（在“信用中国”网站企业查询界面中下载）。</w:t>
      </w:r>
    </w:p>
    <w:p w14:paraId="1B393194">
      <w:pPr>
        <w:pStyle w:val="4"/>
        <w:spacing w:before="120"/>
        <w:rPr>
          <w:rFonts w:hint="default" w:asciiTheme="minorEastAsia" w:hAnsiTheme="minorEastAsia" w:eastAsiaTheme="minorEastAsia" w:cstheme="minorEastAsia"/>
          <w:b/>
          <w:bCs/>
          <w:color w:val="auto"/>
          <w:szCs w:val="24"/>
          <w:highlight w:val="none"/>
        </w:rPr>
      </w:pPr>
      <w:bookmarkStart w:id="590" w:name="_Toc28774"/>
      <w:r>
        <w:rPr>
          <w:rFonts w:asciiTheme="minorEastAsia" w:hAnsiTheme="minorEastAsia" w:eastAsiaTheme="minorEastAsia" w:cstheme="minorEastAsia"/>
          <w:b/>
          <w:bCs/>
          <w:color w:val="auto"/>
          <w:szCs w:val="24"/>
          <w:highlight w:val="none"/>
        </w:rPr>
        <w:t>格式八 项目经理简历表</w:t>
      </w:r>
      <w:bookmarkEnd w:id="584"/>
      <w:bookmarkEnd w:id="590"/>
    </w:p>
    <w:p w14:paraId="1662D90D">
      <w:pPr>
        <w:wordWrap w:val="0"/>
        <w:adjustRightInd w:val="0"/>
        <w:snapToGrid w:val="0"/>
        <w:spacing w:line="440" w:lineRule="exact"/>
        <w:jc w:val="left"/>
        <w:rPr>
          <w:rFonts w:hint="default" w:asciiTheme="minorEastAsia" w:hAnsiTheme="minorEastAsia" w:eastAsiaTheme="minorEastAsia" w:cstheme="minorEastAsia"/>
          <w:b/>
          <w:bCs/>
          <w:snapToGrid w:val="0"/>
          <w:color w:val="auto"/>
          <w:kern w:val="0"/>
          <w:szCs w:val="24"/>
          <w:highlight w:val="none"/>
        </w:rPr>
      </w:pPr>
    </w:p>
    <w:tbl>
      <w:tblPr>
        <w:tblStyle w:val="23"/>
        <w:tblpPr w:leftFromText="180" w:rightFromText="180" w:vertAnchor="text" w:horzAnchor="page" w:tblpX="1490" w:tblpY="692"/>
        <w:tblOverlap w:val="never"/>
        <w:tblW w:w="9270" w:type="dxa"/>
        <w:tblInd w:w="0"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775"/>
        <w:gridCol w:w="963"/>
        <w:gridCol w:w="584"/>
        <w:gridCol w:w="648"/>
        <w:gridCol w:w="1294"/>
        <w:gridCol w:w="1946"/>
        <w:gridCol w:w="27"/>
        <w:gridCol w:w="1706"/>
        <w:gridCol w:w="1327"/>
      </w:tblGrid>
      <w:tr w14:paraId="4164F70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exact"/>
        </w:trPr>
        <w:tc>
          <w:tcPr>
            <w:tcW w:w="1738" w:type="dxa"/>
            <w:gridSpan w:val="2"/>
            <w:tcBorders>
              <w:top w:val="single" w:color="auto" w:sz="6" w:space="0"/>
              <w:left w:val="single" w:color="auto" w:sz="6" w:space="0"/>
              <w:bottom w:val="single" w:color="auto" w:sz="6" w:space="0"/>
              <w:right w:val="single" w:color="auto" w:sz="6" w:space="0"/>
            </w:tcBorders>
            <w:vAlign w:val="center"/>
          </w:tcPr>
          <w:p w14:paraId="04008F16">
            <w:pPr>
              <w:keepNext w:val="0"/>
              <w:keepLines w:val="0"/>
              <w:suppressLineNumbers w:val="0"/>
              <w:wordWrap w:val="0"/>
              <w:adjustRightInd w:val="0"/>
              <w:snapToGrid w:val="0"/>
              <w:spacing w:before="0" w:beforeAutospacing="0" w:after="0" w:afterAutospacing="0"/>
              <w:ind w:left="0" w:right="0"/>
              <w:jc w:val="center"/>
              <w:rPr>
                <w:rFonts w:hint="default" w:asciiTheme="minorEastAsia" w:hAnsiTheme="minorEastAsia" w:eastAsiaTheme="minorEastAsia" w:cstheme="minorEastAsia"/>
                <w:snapToGrid w:val="0"/>
                <w:color w:val="auto"/>
                <w:kern w:val="0"/>
                <w:szCs w:val="24"/>
                <w:highlight w:val="none"/>
              </w:rPr>
            </w:pPr>
            <w:r>
              <w:rPr>
                <w:rFonts w:asciiTheme="minorEastAsia" w:hAnsiTheme="minorEastAsia" w:eastAsiaTheme="minorEastAsia" w:cstheme="minorEastAsia"/>
                <w:snapToGrid w:val="0"/>
                <w:color w:val="auto"/>
                <w:kern w:val="0"/>
                <w:szCs w:val="24"/>
                <w:highlight w:val="none"/>
              </w:rPr>
              <w:t>姓   名</w:t>
            </w:r>
          </w:p>
        </w:tc>
        <w:tc>
          <w:tcPr>
            <w:tcW w:w="1232" w:type="dxa"/>
            <w:gridSpan w:val="2"/>
            <w:tcBorders>
              <w:top w:val="single" w:color="auto" w:sz="6" w:space="0"/>
              <w:left w:val="single" w:color="auto" w:sz="6" w:space="0"/>
              <w:bottom w:val="single" w:color="auto" w:sz="6" w:space="0"/>
              <w:right w:val="single" w:color="auto" w:sz="6" w:space="0"/>
            </w:tcBorders>
            <w:vAlign w:val="center"/>
          </w:tcPr>
          <w:p w14:paraId="78B236C3">
            <w:pPr>
              <w:keepNext w:val="0"/>
              <w:keepLines w:val="0"/>
              <w:suppressLineNumbers w:val="0"/>
              <w:wordWrap w:val="0"/>
              <w:adjustRightInd w:val="0"/>
              <w:snapToGrid w:val="0"/>
              <w:spacing w:before="0" w:beforeAutospacing="0" w:after="0" w:afterAutospacing="0"/>
              <w:ind w:left="0" w:right="0"/>
              <w:jc w:val="center"/>
              <w:rPr>
                <w:rFonts w:hint="default" w:asciiTheme="minorEastAsia" w:hAnsiTheme="minorEastAsia" w:eastAsiaTheme="minorEastAsia" w:cstheme="minorEastAsia"/>
                <w:snapToGrid w:val="0"/>
                <w:color w:val="auto"/>
                <w:kern w:val="0"/>
                <w:szCs w:val="24"/>
                <w:highlight w:val="none"/>
              </w:rPr>
            </w:pPr>
          </w:p>
        </w:tc>
        <w:tc>
          <w:tcPr>
            <w:tcW w:w="1294" w:type="dxa"/>
            <w:tcBorders>
              <w:top w:val="single" w:color="auto" w:sz="6" w:space="0"/>
              <w:left w:val="single" w:color="auto" w:sz="6" w:space="0"/>
              <w:bottom w:val="single" w:color="auto" w:sz="6" w:space="0"/>
              <w:right w:val="single" w:color="auto" w:sz="6" w:space="0"/>
            </w:tcBorders>
            <w:vAlign w:val="center"/>
          </w:tcPr>
          <w:p w14:paraId="41252826">
            <w:pPr>
              <w:keepNext w:val="0"/>
              <w:keepLines w:val="0"/>
              <w:suppressLineNumbers w:val="0"/>
              <w:wordWrap w:val="0"/>
              <w:adjustRightInd w:val="0"/>
              <w:snapToGrid w:val="0"/>
              <w:spacing w:before="0" w:beforeAutospacing="0" w:after="0" w:afterAutospacing="0"/>
              <w:ind w:left="0" w:right="0"/>
              <w:jc w:val="center"/>
              <w:rPr>
                <w:rFonts w:hint="default" w:asciiTheme="minorEastAsia" w:hAnsiTheme="minorEastAsia" w:eastAsiaTheme="minorEastAsia" w:cstheme="minorEastAsia"/>
                <w:snapToGrid w:val="0"/>
                <w:color w:val="auto"/>
                <w:kern w:val="0"/>
                <w:szCs w:val="24"/>
                <w:highlight w:val="none"/>
              </w:rPr>
            </w:pPr>
            <w:r>
              <w:rPr>
                <w:rFonts w:asciiTheme="minorEastAsia" w:hAnsiTheme="minorEastAsia" w:eastAsiaTheme="minorEastAsia" w:cstheme="minorEastAsia"/>
                <w:snapToGrid w:val="0"/>
                <w:color w:val="auto"/>
                <w:kern w:val="0"/>
                <w:szCs w:val="24"/>
                <w:highlight w:val="none"/>
              </w:rPr>
              <w:t>性  别</w:t>
            </w:r>
          </w:p>
        </w:tc>
        <w:tc>
          <w:tcPr>
            <w:tcW w:w="1946" w:type="dxa"/>
            <w:tcBorders>
              <w:top w:val="single" w:color="auto" w:sz="6" w:space="0"/>
              <w:left w:val="single" w:color="auto" w:sz="6" w:space="0"/>
              <w:bottom w:val="single" w:color="auto" w:sz="6" w:space="0"/>
              <w:right w:val="single" w:color="auto" w:sz="6" w:space="0"/>
            </w:tcBorders>
            <w:vAlign w:val="center"/>
          </w:tcPr>
          <w:p w14:paraId="0B38BCD5">
            <w:pPr>
              <w:keepNext w:val="0"/>
              <w:keepLines w:val="0"/>
              <w:suppressLineNumbers w:val="0"/>
              <w:wordWrap w:val="0"/>
              <w:adjustRightInd w:val="0"/>
              <w:snapToGrid w:val="0"/>
              <w:spacing w:before="0" w:beforeAutospacing="0" w:after="0" w:afterAutospacing="0"/>
              <w:ind w:left="0" w:right="0"/>
              <w:jc w:val="center"/>
              <w:rPr>
                <w:rFonts w:hint="default" w:asciiTheme="minorEastAsia" w:hAnsiTheme="minorEastAsia" w:eastAsiaTheme="minorEastAsia" w:cstheme="minorEastAsia"/>
                <w:snapToGrid w:val="0"/>
                <w:color w:val="auto"/>
                <w:kern w:val="0"/>
                <w:szCs w:val="24"/>
                <w:highlight w:val="none"/>
              </w:rPr>
            </w:pPr>
          </w:p>
        </w:tc>
        <w:tc>
          <w:tcPr>
            <w:tcW w:w="1733" w:type="dxa"/>
            <w:gridSpan w:val="2"/>
            <w:tcBorders>
              <w:top w:val="single" w:color="auto" w:sz="6" w:space="0"/>
              <w:left w:val="single" w:color="auto" w:sz="6" w:space="0"/>
              <w:bottom w:val="single" w:color="auto" w:sz="6" w:space="0"/>
              <w:right w:val="single" w:color="auto" w:sz="6" w:space="0"/>
            </w:tcBorders>
            <w:vAlign w:val="center"/>
          </w:tcPr>
          <w:p w14:paraId="608CF692">
            <w:pPr>
              <w:keepNext w:val="0"/>
              <w:keepLines w:val="0"/>
              <w:suppressLineNumbers w:val="0"/>
              <w:wordWrap w:val="0"/>
              <w:adjustRightInd w:val="0"/>
              <w:snapToGrid w:val="0"/>
              <w:spacing w:before="0" w:beforeAutospacing="0" w:after="0" w:afterAutospacing="0"/>
              <w:ind w:left="0" w:right="0"/>
              <w:jc w:val="center"/>
              <w:rPr>
                <w:rFonts w:hint="default" w:asciiTheme="minorEastAsia" w:hAnsiTheme="minorEastAsia" w:eastAsiaTheme="minorEastAsia" w:cstheme="minorEastAsia"/>
                <w:snapToGrid w:val="0"/>
                <w:color w:val="auto"/>
                <w:kern w:val="0"/>
                <w:szCs w:val="24"/>
                <w:highlight w:val="none"/>
              </w:rPr>
            </w:pPr>
            <w:r>
              <w:rPr>
                <w:rFonts w:asciiTheme="minorEastAsia" w:hAnsiTheme="minorEastAsia" w:eastAsiaTheme="minorEastAsia" w:cstheme="minorEastAsia"/>
                <w:snapToGrid w:val="0"/>
                <w:color w:val="auto"/>
                <w:kern w:val="0"/>
                <w:szCs w:val="24"/>
                <w:highlight w:val="none"/>
              </w:rPr>
              <w:t>年   龄</w:t>
            </w:r>
          </w:p>
        </w:tc>
        <w:tc>
          <w:tcPr>
            <w:tcW w:w="1327" w:type="dxa"/>
            <w:tcBorders>
              <w:top w:val="single" w:color="auto" w:sz="6" w:space="0"/>
              <w:left w:val="single" w:color="auto" w:sz="6" w:space="0"/>
              <w:bottom w:val="single" w:color="auto" w:sz="6" w:space="0"/>
              <w:right w:val="single" w:color="auto" w:sz="6" w:space="0"/>
            </w:tcBorders>
            <w:vAlign w:val="center"/>
          </w:tcPr>
          <w:p w14:paraId="66680206">
            <w:pPr>
              <w:keepNext w:val="0"/>
              <w:keepLines w:val="0"/>
              <w:suppressLineNumbers w:val="0"/>
              <w:wordWrap w:val="0"/>
              <w:adjustRightInd w:val="0"/>
              <w:snapToGrid w:val="0"/>
              <w:spacing w:before="0" w:beforeAutospacing="0" w:after="0" w:afterAutospacing="0"/>
              <w:ind w:left="0" w:right="0"/>
              <w:jc w:val="center"/>
              <w:rPr>
                <w:rFonts w:hint="default" w:asciiTheme="minorEastAsia" w:hAnsiTheme="minorEastAsia" w:eastAsiaTheme="minorEastAsia" w:cstheme="minorEastAsia"/>
                <w:snapToGrid w:val="0"/>
                <w:color w:val="auto"/>
                <w:kern w:val="0"/>
                <w:szCs w:val="24"/>
                <w:highlight w:val="none"/>
              </w:rPr>
            </w:pPr>
          </w:p>
        </w:tc>
      </w:tr>
      <w:tr w14:paraId="655DBEC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exact"/>
        </w:trPr>
        <w:tc>
          <w:tcPr>
            <w:tcW w:w="1738" w:type="dxa"/>
            <w:gridSpan w:val="2"/>
            <w:tcBorders>
              <w:top w:val="single" w:color="auto" w:sz="6" w:space="0"/>
              <w:left w:val="single" w:color="auto" w:sz="6" w:space="0"/>
              <w:bottom w:val="single" w:color="auto" w:sz="6" w:space="0"/>
              <w:right w:val="single" w:color="auto" w:sz="6" w:space="0"/>
            </w:tcBorders>
            <w:vAlign w:val="center"/>
          </w:tcPr>
          <w:p w14:paraId="24350B59">
            <w:pPr>
              <w:keepNext w:val="0"/>
              <w:keepLines w:val="0"/>
              <w:suppressLineNumbers w:val="0"/>
              <w:wordWrap w:val="0"/>
              <w:adjustRightInd w:val="0"/>
              <w:snapToGrid w:val="0"/>
              <w:spacing w:before="0" w:beforeAutospacing="0" w:after="0" w:afterAutospacing="0"/>
              <w:ind w:left="0" w:right="0"/>
              <w:jc w:val="center"/>
              <w:rPr>
                <w:rFonts w:hint="default" w:asciiTheme="minorEastAsia" w:hAnsiTheme="minorEastAsia" w:eastAsiaTheme="minorEastAsia" w:cstheme="minorEastAsia"/>
                <w:snapToGrid w:val="0"/>
                <w:color w:val="auto"/>
                <w:kern w:val="0"/>
                <w:szCs w:val="24"/>
                <w:highlight w:val="none"/>
              </w:rPr>
            </w:pPr>
            <w:r>
              <w:rPr>
                <w:rFonts w:asciiTheme="minorEastAsia" w:hAnsiTheme="minorEastAsia" w:eastAsiaTheme="minorEastAsia" w:cstheme="minorEastAsia"/>
                <w:snapToGrid w:val="0"/>
                <w:color w:val="auto"/>
                <w:kern w:val="0"/>
                <w:szCs w:val="24"/>
                <w:highlight w:val="none"/>
              </w:rPr>
              <w:t>职   务</w:t>
            </w:r>
          </w:p>
        </w:tc>
        <w:tc>
          <w:tcPr>
            <w:tcW w:w="1232" w:type="dxa"/>
            <w:gridSpan w:val="2"/>
            <w:tcBorders>
              <w:top w:val="single" w:color="auto" w:sz="6" w:space="0"/>
              <w:left w:val="single" w:color="auto" w:sz="6" w:space="0"/>
              <w:bottom w:val="single" w:color="auto" w:sz="6" w:space="0"/>
              <w:right w:val="single" w:color="auto" w:sz="6" w:space="0"/>
            </w:tcBorders>
            <w:vAlign w:val="center"/>
          </w:tcPr>
          <w:p w14:paraId="49B0F410">
            <w:pPr>
              <w:keepNext w:val="0"/>
              <w:keepLines w:val="0"/>
              <w:suppressLineNumbers w:val="0"/>
              <w:wordWrap w:val="0"/>
              <w:adjustRightInd w:val="0"/>
              <w:snapToGrid w:val="0"/>
              <w:spacing w:before="0" w:beforeAutospacing="0" w:after="0" w:afterAutospacing="0"/>
              <w:ind w:left="0" w:right="0"/>
              <w:jc w:val="center"/>
              <w:rPr>
                <w:rFonts w:hint="default" w:asciiTheme="minorEastAsia" w:hAnsiTheme="minorEastAsia" w:eastAsiaTheme="minorEastAsia" w:cstheme="minorEastAsia"/>
                <w:snapToGrid w:val="0"/>
                <w:color w:val="auto"/>
                <w:kern w:val="0"/>
                <w:szCs w:val="24"/>
                <w:highlight w:val="none"/>
              </w:rPr>
            </w:pPr>
          </w:p>
        </w:tc>
        <w:tc>
          <w:tcPr>
            <w:tcW w:w="1294" w:type="dxa"/>
            <w:tcBorders>
              <w:top w:val="single" w:color="auto" w:sz="6" w:space="0"/>
              <w:left w:val="single" w:color="auto" w:sz="6" w:space="0"/>
              <w:bottom w:val="single" w:color="auto" w:sz="6" w:space="0"/>
              <w:right w:val="single" w:color="auto" w:sz="6" w:space="0"/>
            </w:tcBorders>
            <w:vAlign w:val="center"/>
          </w:tcPr>
          <w:p w14:paraId="53E4AA39">
            <w:pPr>
              <w:keepNext w:val="0"/>
              <w:keepLines w:val="0"/>
              <w:suppressLineNumbers w:val="0"/>
              <w:wordWrap w:val="0"/>
              <w:adjustRightInd w:val="0"/>
              <w:snapToGrid w:val="0"/>
              <w:spacing w:before="0" w:beforeAutospacing="0" w:after="0" w:afterAutospacing="0"/>
              <w:ind w:left="0" w:right="0"/>
              <w:jc w:val="center"/>
              <w:rPr>
                <w:rFonts w:hint="default" w:asciiTheme="minorEastAsia" w:hAnsiTheme="minorEastAsia" w:eastAsiaTheme="minorEastAsia" w:cstheme="minorEastAsia"/>
                <w:snapToGrid w:val="0"/>
                <w:color w:val="auto"/>
                <w:kern w:val="0"/>
                <w:szCs w:val="24"/>
                <w:highlight w:val="none"/>
              </w:rPr>
            </w:pPr>
            <w:r>
              <w:rPr>
                <w:rFonts w:asciiTheme="minorEastAsia" w:hAnsiTheme="minorEastAsia" w:eastAsiaTheme="minorEastAsia" w:cstheme="minorEastAsia"/>
                <w:snapToGrid w:val="0"/>
                <w:color w:val="auto"/>
                <w:kern w:val="0"/>
                <w:szCs w:val="24"/>
                <w:highlight w:val="none"/>
              </w:rPr>
              <w:t>职  称</w:t>
            </w:r>
          </w:p>
        </w:tc>
        <w:tc>
          <w:tcPr>
            <w:tcW w:w="1946" w:type="dxa"/>
            <w:tcBorders>
              <w:top w:val="single" w:color="auto" w:sz="6" w:space="0"/>
              <w:left w:val="single" w:color="auto" w:sz="6" w:space="0"/>
              <w:bottom w:val="single" w:color="auto" w:sz="6" w:space="0"/>
              <w:right w:val="single" w:color="auto" w:sz="6" w:space="0"/>
            </w:tcBorders>
            <w:vAlign w:val="center"/>
          </w:tcPr>
          <w:p w14:paraId="00B699D9">
            <w:pPr>
              <w:keepNext w:val="0"/>
              <w:keepLines w:val="0"/>
              <w:suppressLineNumbers w:val="0"/>
              <w:wordWrap w:val="0"/>
              <w:adjustRightInd w:val="0"/>
              <w:snapToGrid w:val="0"/>
              <w:spacing w:before="0" w:beforeAutospacing="0" w:after="0" w:afterAutospacing="0"/>
              <w:ind w:left="0" w:right="0"/>
              <w:jc w:val="center"/>
              <w:rPr>
                <w:rFonts w:hint="default" w:asciiTheme="minorEastAsia" w:hAnsiTheme="minorEastAsia" w:eastAsiaTheme="minorEastAsia" w:cstheme="minorEastAsia"/>
                <w:snapToGrid w:val="0"/>
                <w:color w:val="auto"/>
                <w:kern w:val="0"/>
                <w:szCs w:val="24"/>
                <w:highlight w:val="none"/>
              </w:rPr>
            </w:pPr>
          </w:p>
        </w:tc>
        <w:tc>
          <w:tcPr>
            <w:tcW w:w="1733" w:type="dxa"/>
            <w:gridSpan w:val="2"/>
            <w:tcBorders>
              <w:top w:val="single" w:color="auto" w:sz="6" w:space="0"/>
              <w:left w:val="single" w:color="auto" w:sz="6" w:space="0"/>
              <w:bottom w:val="single" w:color="auto" w:sz="6" w:space="0"/>
              <w:right w:val="single" w:color="auto" w:sz="6" w:space="0"/>
            </w:tcBorders>
            <w:vAlign w:val="center"/>
          </w:tcPr>
          <w:p w14:paraId="117ED326">
            <w:pPr>
              <w:keepNext w:val="0"/>
              <w:keepLines w:val="0"/>
              <w:suppressLineNumbers w:val="0"/>
              <w:wordWrap w:val="0"/>
              <w:adjustRightInd w:val="0"/>
              <w:snapToGrid w:val="0"/>
              <w:spacing w:before="0" w:beforeAutospacing="0" w:after="0" w:afterAutospacing="0"/>
              <w:ind w:left="0" w:right="0"/>
              <w:jc w:val="center"/>
              <w:rPr>
                <w:rFonts w:hint="default" w:asciiTheme="minorEastAsia" w:hAnsiTheme="minorEastAsia" w:eastAsiaTheme="minorEastAsia" w:cstheme="minorEastAsia"/>
                <w:snapToGrid w:val="0"/>
                <w:color w:val="auto"/>
                <w:kern w:val="0"/>
                <w:szCs w:val="24"/>
                <w:highlight w:val="none"/>
              </w:rPr>
            </w:pPr>
            <w:r>
              <w:rPr>
                <w:rFonts w:asciiTheme="minorEastAsia" w:hAnsiTheme="minorEastAsia" w:eastAsiaTheme="minorEastAsia" w:cstheme="minorEastAsia"/>
                <w:snapToGrid w:val="0"/>
                <w:color w:val="auto"/>
                <w:kern w:val="0"/>
                <w:szCs w:val="24"/>
                <w:highlight w:val="none"/>
              </w:rPr>
              <w:t>学   历</w:t>
            </w:r>
          </w:p>
        </w:tc>
        <w:tc>
          <w:tcPr>
            <w:tcW w:w="1327" w:type="dxa"/>
            <w:tcBorders>
              <w:top w:val="single" w:color="auto" w:sz="6" w:space="0"/>
              <w:left w:val="single" w:color="auto" w:sz="6" w:space="0"/>
              <w:bottom w:val="single" w:color="auto" w:sz="6" w:space="0"/>
              <w:right w:val="single" w:color="auto" w:sz="6" w:space="0"/>
            </w:tcBorders>
            <w:vAlign w:val="center"/>
          </w:tcPr>
          <w:p w14:paraId="74C7A455">
            <w:pPr>
              <w:keepNext w:val="0"/>
              <w:keepLines w:val="0"/>
              <w:suppressLineNumbers w:val="0"/>
              <w:wordWrap w:val="0"/>
              <w:adjustRightInd w:val="0"/>
              <w:snapToGrid w:val="0"/>
              <w:spacing w:before="0" w:beforeAutospacing="0" w:after="0" w:afterAutospacing="0"/>
              <w:ind w:left="0" w:right="0"/>
              <w:jc w:val="center"/>
              <w:rPr>
                <w:rFonts w:hint="default" w:asciiTheme="minorEastAsia" w:hAnsiTheme="minorEastAsia" w:eastAsiaTheme="minorEastAsia" w:cstheme="minorEastAsia"/>
                <w:snapToGrid w:val="0"/>
                <w:color w:val="auto"/>
                <w:kern w:val="0"/>
                <w:szCs w:val="24"/>
                <w:highlight w:val="none"/>
              </w:rPr>
            </w:pPr>
          </w:p>
        </w:tc>
      </w:tr>
      <w:tr w14:paraId="18259400">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exact"/>
        </w:trPr>
        <w:tc>
          <w:tcPr>
            <w:tcW w:w="1738" w:type="dxa"/>
            <w:gridSpan w:val="2"/>
            <w:tcBorders>
              <w:top w:val="single" w:color="auto" w:sz="6" w:space="0"/>
              <w:left w:val="single" w:color="auto" w:sz="6" w:space="0"/>
              <w:bottom w:val="single" w:color="auto" w:sz="6" w:space="0"/>
              <w:right w:val="single" w:color="auto" w:sz="6" w:space="0"/>
            </w:tcBorders>
            <w:vAlign w:val="center"/>
          </w:tcPr>
          <w:p w14:paraId="232AAB75">
            <w:pPr>
              <w:keepNext w:val="0"/>
              <w:keepLines w:val="0"/>
              <w:suppressLineNumbers w:val="0"/>
              <w:wordWrap w:val="0"/>
              <w:adjustRightInd w:val="0"/>
              <w:snapToGrid w:val="0"/>
              <w:spacing w:before="0" w:beforeAutospacing="0" w:after="0" w:afterAutospacing="0"/>
              <w:ind w:left="0" w:right="0"/>
              <w:jc w:val="center"/>
              <w:rPr>
                <w:rFonts w:hint="default" w:asciiTheme="minorEastAsia" w:hAnsiTheme="minorEastAsia" w:eastAsiaTheme="minorEastAsia" w:cstheme="minorEastAsia"/>
                <w:snapToGrid w:val="0"/>
                <w:color w:val="auto"/>
                <w:kern w:val="0"/>
                <w:szCs w:val="24"/>
                <w:highlight w:val="none"/>
              </w:rPr>
            </w:pPr>
            <w:r>
              <w:rPr>
                <w:rFonts w:asciiTheme="minorEastAsia" w:hAnsiTheme="minorEastAsia" w:eastAsiaTheme="minorEastAsia" w:cstheme="minorEastAsia"/>
                <w:snapToGrid w:val="0"/>
                <w:color w:val="auto"/>
                <w:kern w:val="0"/>
                <w:szCs w:val="24"/>
                <w:highlight w:val="none"/>
              </w:rPr>
              <w:t>参加工作时间</w:t>
            </w:r>
          </w:p>
        </w:tc>
        <w:tc>
          <w:tcPr>
            <w:tcW w:w="2526" w:type="dxa"/>
            <w:gridSpan w:val="3"/>
            <w:tcBorders>
              <w:top w:val="single" w:color="auto" w:sz="6" w:space="0"/>
              <w:left w:val="single" w:color="auto" w:sz="6" w:space="0"/>
              <w:bottom w:val="single" w:color="auto" w:sz="6" w:space="0"/>
              <w:right w:val="single" w:color="auto" w:sz="6" w:space="0"/>
            </w:tcBorders>
            <w:vAlign w:val="center"/>
          </w:tcPr>
          <w:p w14:paraId="4BB76F07">
            <w:pPr>
              <w:keepNext w:val="0"/>
              <w:keepLines w:val="0"/>
              <w:suppressLineNumbers w:val="0"/>
              <w:wordWrap w:val="0"/>
              <w:adjustRightInd w:val="0"/>
              <w:snapToGrid w:val="0"/>
              <w:spacing w:before="0" w:beforeAutospacing="0" w:after="0" w:afterAutospacing="0"/>
              <w:ind w:left="0" w:right="0"/>
              <w:jc w:val="center"/>
              <w:rPr>
                <w:rFonts w:hint="default" w:asciiTheme="minorEastAsia" w:hAnsiTheme="minorEastAsia" w:eastAsiaTheme="minorEastAsia" w:cstheme="minorEastAsia"/>
                <w:snapToGrid w:val="0"/>
                <w:color w:val="auto"/>
                <w:kern w:val="0"/>
                <w:szCs w:val="24"/>
                <w:highlight w:val="none"/>
              </w:rPr>
            </w:pPr>
          </w:p>
        </w:tc>
        <w:tc>
          <w:tcPr>
            <w:tcW w:w="3679" w:type="dxa"/>
            <w:gridSpan w:val="3"/>
            <w:tcBorders>
              <w:top w:val="single" w:color="auto" w:sz="6" w:space="0"/>
              <w:left w:val="single" w:color="auto" w:sz="6" w:space="0"/>
              <w:bottom w:val="single" w:color="auto" w:sz="6" w:space="0"/>
              <w:right w:val="single" w:color="auto" w:sz="6" w:space="0"/>
            </w:tcBorders>
            <w:vAlign w:val="center"/>
          </w:tcPr>
          <w:p w14:paraId="36499387">
            <w:pPr>
              <w:keepNext w:val="0"/>
              <w:keepLines w:val="0"/>
              <w:suppressLineNumbers w:val="0"/>
              <w:wordWrap w:val="0"/>
              <w:adjustRightInd w:val="0"/>
              <w:snapToGrid w:val="0"/>
              <w:spacing w:before="0" w:beforeAutospacing="0" w:after="0" w:afterAutospacing="0"/>
              <w:ind w:left="0" w:right="0"/>
              <w:jc w:val="center"/>
              <w:rPr>
                <w:rFonts w:hint="default" w:asciiTheme="minorEastAsia" w:hAnsiTheme="minorEastAsia" w:eastAsiaTheme="minorEastAsia" w:cstheme="minorEastAsia"/>
                <w:snapToGrid w:val="0"/>
                <w:color w:val="auto"/>
                <w:kern w:val="0"/>
                <w:szCs w:val="24"/>
                <w:highlight w:val="none"/>
              </w:rPr>
            </w:pPr>
            <w:r>
              <w:rPr>
                <w:rFonts w:asciiTheme="minorEastAsia" w:hAnsiTheme="minorEastAsia" w:eastAsiaTheme="minorEastAsia" w:cstheme="minorEastAsia"/>
                <w:snapToGrid w:val="0"/>
                <w:color w:val="auto"/>
                <w:kern w:val="0"/>
                <w:szCs w:val="24"/>
                <w:highlight w:val="none"/>
              </w:rPr>
              <w:t>从事工程建设项目管理工作年限</w:t>
            </w:r>
          </w:p>
        </w:tc>
        <w:tc>
          <w:tcPr>
            <w:tcW w:w="1327" w:type="dxa"/>
            <w:tcBorders>
              <w:top w:val="single" w:color="auto" w:sz="6" w:space="0"/>
              <w:left w:val="single" w:color="auto" w:sz="6" w:space="0"/>
              <w:bottom w:val="single" w:color="auto" w:sz="6" w:space="0"/>
              <w:right w:val="single" w:color="auto" w:sz="6" w:space="0"/>
            </w:tcBorders>
            <w:vAlign w:val="center"/>
          </w:tcPr>
          <w:p w14:paraId="04E6913F">
            <w:pPr>
              <w:keepNext w:val="0"/>
              <w:keepLines w:val="0"/>
              <w:suppressLineNumbers w:val="0"/>
              <w:wordWrap w:val="0"/>
              <w:adjustRightInd w:val="0"/>
              <w:snapToGrid w:val="0"/>
              <w:spacing w:before="0" w:beforeAutospacing="0" w:after="0" w:afterAutospacing="0"/>
              <w:ind w:left="0" w:right="0"/>
              <w:jc w:val="center"/>
              <w:rPr>
                <w:rFonts w:hint="default" w:asciiTheme="minorEastAsia" w:hAnsiTheme="minorEastAsia" w:eastAsiaTheme="minorEastAsia" w:cstheme="minorEastAsia"/>
                <w:snapToGrid w:val="0"/>
                <w:color w:val="auto"/>
                <w:kern w:val="0"/>
                <w:szCs w:val="24"/>
                <w:highlight w:val="none"/>
              </w:rPr>
            </w:pPr>
          </w:p>
        </w:tc>
      </w:tr>
      <w:tr w14:paraId="382DB35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exact"/>
        </w:trPr>
        <w:tc>
          <w:tcPr>
            <w:tcW w:w="9270" w:type="dxa"/>
            <w:gridSpan w:val="9"/>
            <w:tcBorders>
              <w:top w:val="single" w:color="auto" w:sz="6" w:space="0"/>
              <w:left w:val="single" w:color="auto" w:sz="6" w:space="0"/>
              <w:bottom w:val="single" w:color="auto" w:sz="6" w:space="0"/>
              <w:right w:val="single" w:color="auto" w:sz="6" w:space="0"/>
            </w:tcBorders>
            <w:vAlign w:val="center"/>
          </w:tcPr>
          <w:p w14:paraId="1A040FE5">
            <w:pPr>
              <w:keepNext w:val="0"/>
              <w:keepLines w:val="0"/>
              <w:suppressLineNumbers w:val="0"/>
              <w:wordWrap w:val="0"/>
              <w:adjustRightInd w:val="0"/>
              <w:snapToGrid w:val="0"/>
              <w:spacing w:before="0" w:beforeAutospacing="0" w:after="0" w:afterAutospacing="0"/>
              <w:ind w:left="0" w:right="0"/>
              <w:jc w:val="center"/>
              <w:rPr>
                <w:rFonts w:hint="default" w:asciiTheme="minorEastAsia" w:hAnsiTheme="minorEastAsia" w:eastAsiaTheme="minorEastAsia" w:cstheme="minorEastAsia"/>
                <w:snapToGrid w:val="0"/>
                <w:color w:val="auto"/>
                <w:kern w:val="0"/>
                <w:szCs w:val="24"/>
                <w:highlight w:val="none"/>
              </w:rPr>
            </w:pPr>
            <w:r>
              <w:rPr>
                <w:rFonts w:asciiTheme="minorEastAsia" w:hAnsiTheme="minorEastAsia" w:eastAsiaTheme="minorEastAsia" w:cstheme="minorEastAsia"/>
                <w:snapToGrid w:val="0"/>
                <w:color w:val="auto"/>
                <w:kern w:val="0"/>
                <w:szCs w:val="24"/>
                <w:highlight w:val="none"/>
              </w:rPr>
              <w:t>以项目经理身份参与过的主要业绩（已完工项目）</w:t>
            </w:r>
          </w:p>
        </w:tc>
      </w:tr>
      <w:tr w14:paraId="4D8EED0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exact"/>
        </w:trPr>
        <w:tc>
          <w:tcPr>
            <w:tcW w:w="775" w:type="dxa"/>
            <w:tcBorders>
              <w:top w:val="single" w:color="auto" w:sz="6" w:space="0"/>
              <w:left w:val="single" w:color="auto" w:sz="6" w:space="0"/>
              <w:bottom w:val="single" w:color="auto" w:sz="6" w:space="0"/>
              <w:right w:val="single" w:color="auto" w:sz="4" w:space="0"/>
            </w:tcBorders>
            <w:vAlign w:val="center"/>
          </w:tcPr>
          <w:p w14:paraId="6A84ECC7">
            <w:pPr>
              <w:keepNext w:val="0"/>
              <w:keepLines w:val="0"/>
              <w:suppressLineNumbers w:val="0"/>
              <w:wordWrap w:val="0"/>
              <w:adjustRightInd w:val="0"/>
              <w:snapToGrid w:val="0"/>
              <w:spacing w:before="0" w:beforeAutospacing="0" w:after="0" w:afterAutospacing="0"/>
              <w:ind w:left="0" w:right="0"/>
              <w:jc w:val="center"/>
              <w:rPr>
                <w:rFonts w:hint="default" w:asciiTheme="minorEastAsia" w:hAnsiTheme="minorEastAsia" w:eastAsiaTheme="minorEastAsia" w:cstheme="minorEastAsia"/>
                <w:snapToGrid w:val="0"/>
                <w:color w:val="auto"/>
                <w:kern w:val="0"/>
                <w:szCs w:val="24"/>
                <w:highlight w:val="none"/>
              </w:rPr>
            </w:pPr>
            <w:r>
              <w:rPr>
                <w:rFonts w:asciiTheme="minorEastAsia" w:hAnsiTheme="minorEastAsia" w:eastAsiaTheme="minorEastAsia" w:cstheme="minorEastAsia"/>
                <w:snapToGrid w:val="0"/>
                <w:color w:val="auto"/>
                <w:kern w:val="0"/>
                <w:szCs w:val="24"/>
                <w:highlight w:val="none"/>
              </w:rPr>
              <w:t>序号</w:t>
            </w:r>
          </w:p>
        </w:tc>
        <w:tc>
          <w:tcPr>
            <w:tcW w:w="1547" w:type="dxa"/>
            <w:gridSpan w:val="2"/>
            <w:tcBorders>
              <w:top w:val="single" w:color="auto" w:sz="6" w:space="0"/>
              <w:left w:val="single" w:color="auto" w:sz="4" w:space="0"/>
              <w:bottom w:val="single" w:color="auto" w:sz="6" w:space="0"/>
              <w:right w:val="single" w:color="auto" w:sz="6" w:space="0"/>
            </w:tcBorders>
            <w:vAlign w:val="center"/>
          </w:tcPr>
          <w:p w14:paraId="2FDFD93C">
            <w:pPr>
              <w:keepNext w:val="0"/>
              <w:keepLines w:val="0"/>
              <w:suppressLineNumbers w:val="0"/>
              <w:wordWrap w:val="0"/>
              <w:adjustRightInd w:val="0"/>
              <w:snapToGrid w:val="0"/>
              <w:spacing w:before="0" w:beforeAutospacing="0" w:after="0" w:afterAutospacing="0"/>
              <w:ind w:left="0" w:right="0"/>
              <w:jc w:val="center"/>
              <w:rPr>
                <w:rFonts w:hint="default" w:asciiTheme="minorEastAsia" w:hAnsiTheme="minorEastAsia" w:eastAsiaTheme="minorEastAsia" w:cstheme="minorEastAsia"/>
                <w:snapToGrid w:val="0"/>
                <w:color w:val="auto"/>
                <w:kern w:val="0"/>
                <w:szCs w:val="24"/>
                <w:highlight w:val="none"/>
              </w:rPr>
            </w:pPr>
            <w:r>
              <w:rPr>
                <w:rFonts w:asciiTheme="minorEastAsia" w:hAnsiTheme="minorEastAsia" w:eastAsiaTheme="minorEastAsia" w:cstheme="minorEastAsia"/>
                <w:snapToGrid w:val="0"/>
                <w:color w:val="auto"/>
                <w:kern w:val="0"/>
                <w:szCs w:val="24"/>
                <w:highlight w:val="none"/>
              </w:rPr>
              <w:t>项目名称</w:t>
            </w:r>
          </w:p>
        </w:tc>
        <w:tc>
          <w:tcPr>
            <w:tcW w:w="1942" w:type="dxa"/>
            <w:gridSpan w:val="2"/>
            <w:tcBorders>
              <w:top w:val="single" w:color="auto" w:sz="6" w:space="0"/>
              <w:left w:val="single" w:color="auto" w:sz="6" w:space="0"/>
              <w:bottom w:val="single" w:color="auto" w:sz="6" w:space="0"/>
              <w:right w:val="single" w:color="auto" w:sz="6" w:space="0"/>
            </w:tcBorders>
            <w:vAlign w:val="center"/>
          </w:tcPr>
          <w:p w14:paraId="6F28CB35">
            <w:pPr>
              <w:keepNext w:val="0"/>
              <w:keepLines w:val="0"/>
              <w:suppressLineNumbers w:val="0"/>
              <w:wordWrap w:val="0"/>
              <w:adjustRightInd w:val="0"/>
              <w:snapToGrid w:val="0"/>
              <w:spacing w:before="0" w:beforeAutospacing="0" w:after="0" w:afterAutospacing="0"/>
              <w:ind w:left="0" w:right="0"/>
              <w:jc w:val="center"/>
              <w:rPr>
                <w:rFonts w:hint="default" w:asciiTheme="minorEastAsia" w:hAnsiTheme="minorEastAsia" w:eastAsiaTheme="minorEastAsia" w:cstheme="minorEastAsia"/>
                <w:snapToGrid w:val="0"/>
                <w:color w:val="auto"/>
                <w:kern w:val="0"/>
                <w:szCs w:val="24"/>
                <w:highlight w:val="none"/>
              </w:rPr>
            </w:pPr>
            <w:r>
              <w:rPr>
                <w:rFonts w:asciiTheme="minorEastAsia" w:hAnsiTheme="minorEastAsia" w:eastAsiaTheme="minorEastAsia" w:cstheme="minorEastAsia"/>
                <w:snapToGrid w:val="0"/>
                <w:color w:val="auto"/>
                <w:kern w:val="0"/>
                <w:szCs w:val="24"/>
                <w:highlight w:val="none"/>
              </w:rPr>
              <w:t>建设单位</w:t>
            </w:r>
          </w:p>
        </w:tc>
        <w:tc>
          <w:tcPr>
            <w:tcW w:w="1973" w:type="dxa"/>
            <w:gridSpan w:val="2"/>
            <w:tcBorders>
              <w:top w:val="single" w:color="auto" w:sz="6" w:space="0"/>
              <w:left w:val="single" w:color="auto" w:sz="6" w:space="0"/>
              <w:bottom w:val="single" w:color="auto" w:sz="6" w:space="0"/>
              <w:right w:val="single" w:color="auto" w:sz="6" w:space="0"/>
            </w:tcBorders>
            <w:vAlign w:val="center"/>
          </w:tcPr>
          <w:p w14:paraId="7958070E">
            <w:pPr>
              <w:keepNext w:val="0"/>
              <w:keepLines w:val="0"/>
              <w:suppressLineNumbers w:val="0"/>
              <w:wordWrap w:val="0"/>
              <w:adjustRightInd w:val="0"/>
              <w:snapToGrid w:val="0"/>
              <w:spacing w:before="0" w:beforeAutospacing="0" w:after="0" w:afterAutospacing="0"/>
              <w:ind w:left="0" w:right="0"/>
              <w:jc w:val="center"/>
              <w:rPr>
                <w:rFonts w:hint="default" w:asciiTheme="minorEastAsia" w:hAnsiTheme="minorEastAsia" w:eastAsiaTheme="minorEastAsia" w:cstheme="minorEastAsia"/>
                <w:snapToGrid w:val="0"/>
                <w:color w:val="auto"/>
                <w:kern w:val="0"/>
                <w:szCs w:val="24"/>
                <w:highlight w:val="none"/>
              </w:rPr>
            </w:pPr>
            <w:r>
              <w:rPr>
                <w:rFonts w:asciiTheme="minorEastAsia" w:hAnsiTheme="minorEastAsia" w:eastAsiaTheme="minorEastAsia" w:cstheme="minorEastAsia"/>
                <w:snapToGrid w:val="0"/>
                <w:color w:val="auto"/>
                <w:kern w:val="0"/>
                <w:szCs w:val="24"/>
                <w:highlight w:val="none"/>
              </w:rPr>
              <w:t>建设内容和规模</w:t>
            </w:r>
          </w:p>
        </w:tc>
        <w:tc>
          <w:tcPr>
            <w:tcW w:w="1706" w:type="dxa"/>
            <w:tcBorders>
              <w:top w:val="single" w:color="auto" w:sz="6" w:space="0"/>
              <w:left w:val="single" w:color="auto" w:sz="6" w:space="0"/>
              <w:bottom w:val="single" w:color="auto" w:sz="6" w:space="0"/>
              <w:right w:val="single" w:color="auto" w:sz="6" w:space="0"/>
            </w:tcBorders>
            <w:vAlign w:val="center"/>
          </w:tcPr>
          <w:p w14:paraId="47D5D908">
            <w:pPr>
              <w:keepNext w:val="0"/>
              <w:keepLines w:val="0"/>
              <w:suppressLineNumbers w:val="0"/>
              <w:wordWrap w:val="0"/>
              <w:adjustRightInd w:val="0"/>
              <w:snapToGrid w:val="0"/>
              <w:spacing w:before="0" w:beforeAutospacing="0" w:after="0" w:afterAutospacing="0"/>
              <w:ind w:left="0" w:right="0"/>
              <w:jc w:val="center"/>
              <w:rPr>
                <w:rFonts w:hint="default" w:asciiTheme="minorEastAsia" w:hAnsiTheme="minorEastAsia" w:eastAsiaTheme="minorEastAsia" w:cstheme="minorEastAsia"/>
                <w:snapToGrid w:val="0"/>
                <w:color w:val="auto"/>
                <w:kern w:val="0"/>
                <w:szCs w:val="24"/>
                <w:highlight w:val="none"/>
              </w:rPr>
            </w:pPr>
            <w:r>
              <w:rPr>
                <w:rFonts w:asciiTheme="minorEastAsia" w:hAnsiTheme="minorEastAsia" w:eastAsiaTheme="minorEastAsia" w:cstheme="minorEastAsia"/>
                <w:snapToGrid w:val="0"/>
                <w:color w:val="auto"/>
                <w:kern w:val="0"/>
                <w:szCs w:val="24"/>
                <w:highlight w:val="none"/>
              </w:rPr>
              <w:t>开、竣工日期</w:t>
            </w:r>
          </w:p>
        </w:tc>
        <w:tc>
          <w:tcPr>
            <w:tcW w:w="1327" w:type="dxa"/>
            <w:tcBorders>
              <w:top w:val="single" w:color="auto" w:sz="6" w:space="0"/>
              <w:left w:val="single" w:color="auto" w:sz="6" w:space="0"/>
              <w:bottom w:val="single" w:color="auto" w:sz="6" w:space="0"/>
              <w:right w:val="single" w:color="auto" w:sz="6" w:space="0"/>
            </w:tcBorders>
            <w:vAlign w:val="center"/>
          </w:tcPr>
          <w:p w14:paraId="05C7B7C6">
            <w:pPr>
              <w:keepNext w:val="0"/>
              <w:keepLines w:val="0"/>
              <w:suppressLineNumbers w:val="0"/>
              <w:wordWrap w:val="0"/>
              <w:adjustRightInd w:val="0"/>
              <w:snapToGrid w:val="0"/>
              <w:spacing w:before="0" w:beforeAutospacing="0" w:after="0" w:afterAutospacing="0"/>
              <w:ind w:left="0" w:right="0"/>
              <w:jc w:val="center"/>
              <w:rPr>
                <w:rFonts w:hint="default" w:asciiTheme="minorEastAsia" w:hAnsiTheme="minorEastAsia" w:eastAsiaTheme="minorEastAsia" w:cstheme="minorEastAsia"/>
                <w:snapToGrid w:val="0"/>
                <w:color w:val="auto"/>
                <w:kern w:val="0"/>
                <w:szCs w:val="24"/>
                <w:highlight w:val="none"/>
              </w:rPr>
            </w:pPr>
            <w:r>
              <w:rPr>
                <w:rFonts w:asciiTheme="minorEastAsia" w:hAnsiTheme="minorEastAsia" w:eastAsiaTheme="minorEastAsia" w:cstheme="minorEastAsia"/>
                <w:snapToGrid w:val="0"/>
                <w:color w:val="auto"/>
                <w:kern w:val="0"/>
                <w:szCs w:val="24"/>
                <w:highlight w:val="none"/>
              </w:rPr>
              <w:t>质量等级</w:t>
            </w:r>
          </w:p>
        </w:tc>
      </w:tr>
      <w:tr w14:paraId="531E81E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exact"/>
        </w:trPr>
        <w:tc>
          <w:tcPr>
            <w:tcW w:w="775" w:type="dxa"/>
            <w:tcBorders>
              <w:top w:val="single" w:color="auto" w:sz="6" w:space="0"/>
              <w:left w:val="single" w:color="auto" w:sz="6" w:space="0"/>
              <w:bottom w:val="single" w:color="auto" w:sz="6" w:space="0"/>
              <w:right w:val="single" w:color="auto" w:sz="4" w:space="0"/>
            </w:tcBorders>
            <w:vAlign w:val="center"/>
          </w:tcPr>
          <w:p w14:paraId="6EA8A67D">
            <w:pPr>
              <w:keepNext w:val="0"/>
              <w:keepLines w:val="0"/>
              <w:suppressLineNumbers w:val="0"/>
              <w:wordWrap w:val="0"/>
              <w:adjustRightInd w:val="0"/>
              <w:snapToGrid w:val="0"/>
              <w:spacing w:before="0" w:beforeAutospacing="0" w:after="0" w:afterAutospacing="0"/>
              <w:ind w:left="0" w:right="0"/>
              <w:jc w:val="center"/>
              <w:rPr>
                <w:rFonts w:hint="default" w:asciiTheme="minorEastAsia" w:hAnsiTheme="minorEastAsia" w:eastAsiaTheme="minorEastAsia" w:cstheme="minorEastAsia"/>
                <w:snapToGrid w:val="0"/>
                <w:color w:val="auto"/>
                <w:kern w:val="0"/>
                <w:szCs w:val="24"/>
                <w:highlight w:val="none"/>
              </w:rPr>
            </w:pPr>
            <w:r>
              <w:rPr>
                <w:rFonts w:asciiTheme="minorEastAsia" w:hAnsiTheme="minorEastAsia" w:eastAsiaTheme="minorEastAsia" w:cstheme="minorEastAsia"/>
                <w:snapToGrid w:val="0"/>
                <w:color w:val="auto"/>
                <w:kern w:val="0"/>
                <w:szCs w:val="24"/>
                <w:highlight w:val="none"/>
              </w:rPr>
              <w:t>1</w:t>
            </w:r>
          </w:p>
        </w:tc>
        <w:tc>
          <w:tcPr>
            <w:tcW w:w="1547" w:type="dxa"/>
            <w:gridSpan w:val="2"/>
            <w:tcBorders>
              <w:top w:val="single" w:color="auto" w:sz="6" w:space="0"/>
              <w:left w:val="single" w:color="auto" w:sz="4" w:space="0"/>
              <w:bottom w:val="single" w:color="auto" w:sz="6" w:space="0"/>
              <w:right w:val="single" w:color="auto" w:sz="6" w:space="0"/>
            </w:tcBorders>
            <w:vAlign w:val="center"/>
          </w:tcPr>
          <w:p w14:paraId="7077ACDA">
            <w:pPr>
              <w:keepNext w:val="0"/>
              <w:keepLines w:val="0"/>
              <w:suppressLineNumbers w:val="0"/>
              <w:wordWrap w:val="0"/>
              <w:adjustRightInd w:val="0"/>
              <w:snapToGrid w:val="0"/>
              <w:spacing w:before="0" w:beforeAutospacing="0" w:after="0" w:afterAutospacing="0"/>
              <w:ind w:left="0" w:right="0"/>
              <w:jc w:val="center"/>
              <w:rPr>
                <w:rFonts w:hint="default" w:asciiTheme="minorEastAsia" w:hAnsiTheme="minorEastAsia" w:eastAsiaTheme="minorEastAsia" w:cstheme="minorEastAsia"/>
                <w:snapToGrid w:val="0"/>
                <w:color w:val="auto"/>
                <w:kern w:val="0"/>
                <w:szCs w:val="24"/>
                <w:highlight w:val="none"/>
              </w:rPr>
            </w:pPr>
          </w:p>
        </w:tc>
        <w:tc>
          <w:tcPr>
            <w:tcW w:w="1942" w:type="dxa"/>
            <w:gridSpan w:val="2"/>
            <w:tcBorders>
              <w:top w:val="single" w:color="auto" w:sz="6" w:space="0"/>
              <w:left w:val="single" w:color="auto" w:sz="6" w:space="0"/>
              <w:bottom w:val="single" w:color="auto" w:sz="6" w:space="0"/>
              <w:right w:val="single" w:color="auto" w:sz="6" w:space="0"/>
            </w:tcBorders>
            <w:vAlign w:val="center"/>
          </w:tcPr>
          <w:p w14:paraId="7BADBC15">
            <w:pPr>
              <w:keepNext w:val="0"/>
              <w:keepLines w:val="0"/>
              <w:suppressLineNumbers w:val="0"/>
              <w:wordWrap w:val="0"/>
              <w:adjustRightInd w:val="0"/>
              <w:snapToGrid w:val="0"/>
              <w:spacing w:before="0" w:beforeAutospacing="0" w:after="0" w:afterAutospacing="0"/>
              <w:ind w:left="0" w:right="0"/>
              <w:jc w:val="center"/>
              <w:rPr>
                <w:rFonts w:hint="default" w:asciiTheme="minorEastAsia" w:hAnsiTheme="minorEastAsia" w:eastAsiaTheme="minorEastAsia" w:cstheme="minorEastAsia"/>
                <w:snapToGrid w:val="0"/>
                <w:color w:val="auto"/>
                <w:kern w:val="0"/>
                <w:szCs w:val="24"/>
                <w:highlight w:val="none"/>
              </w:rPr>
            </w:pPr>
          </w:p>
        </w:tc>
        <w:tc>
          <w:tcPr>
            <w:tcW w:w="1973" w:type="dxa"/>
            <w:gridSpan w:val="2"/>
            <w:tcBorders>
              <w:top w:val="single" w:color="auto" w:sz="6" w:space="0"/>
              <w:left w:val="single" w:color="auto" w:sz="6" w:space="0"/>
              <w:bottom w:val="single" w:color="auto" w:sz="6" w:space="0"/>
              <w:right w:val="single" w:color="auto" w:sz="6" w:space="0"/>
            </w:tcBorders>
            <w:vAlign w:val="center"/>
          </w:tcPr>
          <w:p w14:paraId="0C4F9365">
            <w:pPr>
              <w:keepNext w:val="0"/>
              <w:keepLines w:val="0"/>
              <w:suppressLineNumbers w:val="0"/>
              <w:wordWrap w:val="0"/>
              <w:adjustRightInd w:val="0"/>
              <w:snapToGrid w:val="0"/>
              <w:spacing w:before="0" w:beforeAutospacing="0" w:after="0" w:afterAutospacing="0"/>
              <w:ind w:left="0" w:right="0"/>
              <w:jc w:val="center"/>
              <w:rPr>
                <w:rFonts w:hint="default" w:asciiTheme="minorEastAsia" w:hAnsiTheme="minorEastAsia" w:eastAsiaTheme="minorEastAsia" w:cstheme="minorEastAsia"/>
                <w:snapToGrid w:val="0"/>
                <w:color w:val="auto"/>
                <w:kern w:val="0"/>
                <w:szCs w:val="24"/>
                <w:highlight w:val="none"/>
              </w:rPr>
            </w:pPr>
          </w:p>
        </w:tc>
        <w:tc>
          <w:tcPr>
            <w:tcW w:w="1706" w:type="dxa"/>
            <w:tcBorders>
              <w:top w:val="single" w:color="auto" w:sz="6" w:space="0"/>
              <w:left w:val="single" w:color="auto" w:sz="6" w:space="0"/>
              <w:bottom w:val="single" w:color="auto" w:sz="6" w:space="0"/>
              <w:right w:val="single" w:color="auto" w:sz="6" w:space="0"/>
            </w:tcBorders>
            <w:vAlign w:val="center"/>
          </w:tcPr>
          <w:p w14:paraId="1BEE0133">
            <w:pPr>
              <w:keepNext w:val="0"/>
              <w:keepLines w:val="0"/>
              <w:suppressLineNumbers w:val="0"/>
              <w:wordWrap w:val="0"/>
              <w:adjustRightInd w:val="0"/>
              <w:snapToGrid w:val="0"/>
              <w:spacing w:before="0" w:beforeAutospacing="0" w:after="0" w:afterAutospacing="0"/>
              <w:ind w:left="0" w:right="0"/>
              <w:jc w:val="center"/>
              <w:rPr>
                <w:rFonts w:hint="default" w:asciiTheme="minorEastAsia" w:hAnsiTheme="minorEastAsia" w:eastAsiaTheme="minorEastAsia" w:cstheme="minorEastAsia"/>
                <w:snapToGrid w:val="0"/>
                <w:color w:val="auto"/>
                <w:kern w:val="0"/>
                <w:szCs w:val="24"/>
                <w:highlight w:val="none"/>
              </w:rPr>
            </w:pPr>
          </w:p>
        </w:tc>
        <w:tc>
          <w:tcPr>
            <w:tcW w:w="1327" w:type="dxa"/>
            <w:tcBorders>
              <w:top w:val="single" w:color="auto" w:sz="6" w:space="0"/>
              <w:left w:val="single" w:color="auto" w:sz="6" w:space="0"/>
              <w:bottom w:val="single" w:color="auto" w:sz="6" w:space="0"/>
              <w:right w:val="single" w:color="auto" w:sz="6" w:space="0"/>
            </w:tcBorders>
            <w:vAlign w:val="center"/>
          </w:tcPr>
          <w:p w14:paraId="68E8C551">
            <w:pPr>
              <w:keepNext w:val="0"/>
              <w:keepLines w:val="0"/>
              <w:suppressLineNumbers w:val="0"/>
              <w:wordWrap w:val="0"/>
              <w:adjustRightInd w:val="0"/>
              <w:snapToGrid w:val="0"/>
              <w:spacing w:before="0" w:beforeAutospacing="0" w:after="0" w:afterAutospacing="0"/>
              <w:ind w:left="0" w:right="0"/>
              <w:jc w:val="center"/>
              <w:rPr>
                <w:rFonts w:hint="default" w:asciiTheme="minorEastAsia" w:hAnsiTheme="minorEastAsia" w:eastAsiaTheme="minorEastAsia" w:cstheme="minorEastAsia"/>
                <w:snapToGrid w:val="0"/>
                <w:color w:val="auto"/>
                <w:kern w:val="0"/>
                <w:szCs w:val="24"/>
                <w:highlight w:val="none"/>
              </w:rPr>
            </w:pPr>
          </w:p>
        </w:tc>
      </w:tr>
      <w:tr w14:paraId="4DA78B0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exact"/>
        </w:trPr>
        <w:tc>
          <w:tcPr>
            <w:tcW w:w="775" w:type="dxa"/>
            <w:tcBorders>
              <w:top w:val="single" w:color="auto" w:sz="6" w:space="0"/>
              <w:left w:val="single" w:color="auto" w:sz="6" w:space="0"/>
              <w:bottom w:val="single" w:color="auto" w:sz="6" w:space="0"/>
              <w:right w:val="single" w:color="auto" w:sz="4" w:space="0"/>
            </w:tcBorders>
            <w:vAlign w:val="center"/>
          </w:tcPr>
          <w:p w14:paraId="005BDBFC">
            <w:pPr>
              <w:keepNext w:val="0"/>
              <w:keepLines w:val="0"/>
              <w:suppressLineNumbers w:val="0"/>
              <w:wordWrap w:val="0"/>
              <w:adjustRightInd w:val="0"/>
              <w:snapToGrid w:val="0"/>
              <w:spacing w:before="0" w:beforeAutospacing="0" w:after="0" w:afterAutospacing="0"/>
              <w:ind w:left="0" w:right="0"/>
              <w:jc w:val="center"/>
              <w:rPr>
                <w:rFonts w:hint="default" w:asciiTheme="minorEastAsia" w:hAnsiTheme="minorEastAsia" w:eastAsiaTheme="minorEastAsia" w:cstheme="minorEastAsia"/>
                <w:snapToGrid w:val="0"/>
                <w:color w:val="auto"/>
                <w:kern w:val="0"/>
                <w:szCs w:val="24"/>
                <w:highlight w:val="none"/>
              </w:rPr>
            </w:pPr>
            <w:r>
              <w:rPr>
                <w:rFonts w:asciiTheme="minorEastAsia" w:hAnsiTheme="minorEastAsia" w:eastAsiaTheme="minorEastAsia" w:cstheme="minorEastAsia"/>
                <w:snapToGrid w:val="0"/>
                <w:color w:val="auto"/>
                <w:kern w:val="0"/>
                <w:szCs w:val="24"/>
                <w:highlight w:val="none"/>
              </w:rPr>
              <w:t>2</w:t>
            </w:r>
          </w:p>
        </w:tc>
        <w:tc>
          <w:tcPr>
            <w:tcW w:w="1547" w:type="dxa"/>
            <w:gridSpan w:val="2"/>
            <w:tcBorders>
              <w:top w:val="single" w:color="auto" w:sz="6" w:space="0"/>
              <w:left w:val="single" w:color="auto" w:sz="4" w:space="0"/>
              <w:bottom w:val="single" w:color="auto" w:sz="6" w:space="0"/>
              <w:right w:val="single" w:color="auto" w:sz="6" w:space="0"/>
            </w:tcBorders>
            <w:vAlign w:val="center"/>
          </w:tcPr>
          <w:p w14:paraId="705B22AA">
            <w:pPr>
              <w:keepNext w:val="0"/>
              <w:keepLines w:val="0"/>
              <w:suppressLineNumbers w:val="0"/>
              <w:wordWrap w:val="0"/>
              <w:adjustRightInd w:val="0"/>
              <w:snapToGrid w:val="0"/>
              <w:spacing w:before="0" w:beforeAutospacing="0" w:after="0" w:afterAutospacing="0"/>
              <w:ind w:left="0" w:right="0"/>
              <w:jc w:val="center"/>
              <w:rPr>
                <w:rFonts w:hint="default" w:asciiTheme="minorEastAsia" w:hAnsiTheme="minorEastAsia" w:eastAsiaTheme="minorEastAsia" w:cstheme="minorEastAsia"/>
                <w:snapToGrid w:val="0"/>
                <w:color w:val="auto"/>
                <w:kern w:val="0"/>
                <w:szCs w:val="24"/>
                <w:highlight w:val="none"/>
              </w:rPr>
            </w:pPr>
          </w:p>
        </w:tc>
        <w:tc>
          <w:tcPr>
            <w:tcW w:w="1942" w:type="dxa"/>
            <w:gridSpan w:val="2"/>
            <w:tcBorders>
              <w:top w:val="single" w:color="auto" w:sz="6" w:space="0"/>
              <w:left w:val="single" w:color="auto" w:sz="6" w:space="0"/>
              <w:bottom w:val="single" w:color="auto" w:sz="6" w:space="0"/>
              <w:right w:val="single" w:color="auto" w:sz="6" w:space="0"/>
            </w:tcBorders>
            <w:vAlign w:val="center"/>
          </w:tcPr>
          <w:p w14:paraId="29776D08">
            <w:pPr>
              <w:keepNext w:val="0"/>
              <w:keepLines w:val="0"/>
              <w:suppressLineNumbers w:val="0"/>
              <w:wordWrap w:val="0"/>
              <w:adjustRightInd w:val="0"/>
              <w:snapToGrid w:val="0"/>
              <w:spacing w:before="0" w:beforeAutospacing="0" w:after="0" w:afterAutospacing="0"/>
              <w:ind w:left="0" w:right="0"/>
              <w:jc w:val="center"/>
              <w:rPr>
                <w:rFonts w:hint="default" w:asciiTheme="minorEastAsia" w:hAnsiTheme="minorEastAsia" w:eastAsiaTheme="minorEastAsia" w:cstheme="minorEastAsia"/>
                <w:snapToGrid w:val="0"/>
                <w:color w:val="auto"/>
                <w:kern w:val="0"/>
                <w:szCs w:val="24"/>
                <w:highlight w:val="none"/>
              </w:rPr>
            </w:pPr>
          </w:p>
        </w:tc>
        <w:tc>
          <w:tcPr>
            <w:tcW w:w="1973" w:type="dxa"/>
            <w:gridSpan w:val="2"/>
            <w:tcBorders>
              <w:top w:val="single" w:color="auto" w:sz="6" w:space="0"/>
              <w:left w:val="single" w:color="auto" w:sz="6" w:space="0"/>
              <w:bottom w:val="single" w:color="auto" w:sz="6" w:space="0"/>
              <w:right w:val="single" w:color="auto" w:sz="6" w:space="0"/>
            </w:tcBorders>
            <w:vAlign w:val="center"/>
          </w:tcPr>
          <w:p w14:paraId="16DE297E">
            <w:pPr>
              <w:keepNext w:val="0"/>
              <w:keepLines w:val="0"/>
              <w:suppressLineNumbers w:val="0"/>
              <w:wordWrap w:val="0"/>
              <w:adjustRightInd w:val="0"/>
              <w:snapToGrid w:val="0"/>
              <w:spacing w:before="0" w:beforeAutospacing="0" w:after="0" w:afterAutospacing="0"/>
              <w:ind w:left="0" w:right="0"/>
              <w:jc w:val="center"/>
              <w:rPr>
                <w:rFonts w:hint="default" w:asciiTheme="minorEastAsia" w:hAnsiTheme="minorEastAsia" w:eastAsiaTheme="minorEastAsia" w:cstheme="minorEastAsia"/>
                <w:snapToGrid w:val="0"/>
                <w:color w:val="auto"/>
                <w:kern w:val="0"/>
                <w:szCs w:val="24"/>
                <w:highlight w:val="none"/>
              </w:rPr>
            </w:pPr>
          </w:p>
        </w:tc>
        <w:tc>
          <w:tcPr>
            <w:tcW w:w="1706" w:type="dxa"/>
            <w:tcBorders>
              <w:top w:val="single" w:color="auto" w:sz="6" w:space="0"/>
              <w:left w:val="single" w:color="auto" w:sz="6" w:space="0"/>
              <w:bottom w:val="single" w:color="auto" w:sz="6" w:space="0"/>
              <w:right w:val="single" w:color="auto" w:sz="6" w:space="0"/>
            </w:tcBorders>
            <w:vAlign w:val="center"/>
          </w:tcPr>
          <w:p w14:paraId="3BE89DE5">
            <w:pPr>
              <w:keepNext w:val="0"/>
              <w:keepLines w:val="0"/>
              <w:suppressLineNumbers w:val="0"/>
              <w:wordWrap w:val="0"/>
              <w:adjustRightInd w:val="0"/>
              <w:snapToGrid w:val="0"/>
              <w:spacing w:before="0" w:beforeAutospacing="0" w:after="0" w:afterAutospacing="0"/>
              <w:ind w:left="0" w:right="0"/>
              <w:jc w:val="center"/>
              <w:rPr>
                <w:rFonts w:hint="default" w:asciiTheme="minorEastAsia" w:hAnsiTheme="minorEastAsia" w:eastAsiaTheme="minorEastAsia" w:cstheme="minorEastAsia"/>
                <w:snapToGrid w:val="0"/>
                <w:color w:val="auto"/>
                <w:kern w:val="0"/>
                <w:szCs w:val="24"/>
                <w:highlight w:val="none"/>
              </w:rPr>
            </w:pPr>
          </w:p>
        </w:tc>
        <w:tc>
          <w:tcPr>
            <w:tcW w:w="1327" w:type="dxa"/>
            <w:tcBorders>
              <w:top w:val="single" w:color="auto" w:sz="6" w:space="0"/>
              <w:left w:val="single" w:color="auto" w:sz="6" w:space="0"/>
              <w:bottom w:val="single" w:color="auto" w:sz="6" w:space="0"/>
              <w:right w:val="single" w:color="auto" w:sz="6" w:space="0"/>
            </w:tcBorders>
            <w:vAlign w:val="center"/>
          </w:tcPr>
          <w:p w14:paraId="4D5A7B99">
            <w:pPr>
              <w:keepNext w:val="0"/>
              <w:keepLines w:val="0"/>
              <w:suppressLineNumbers w:val="0"/>
              <w:wordWrap w:val="0"/>
              <w:adjustRightInd w:val="0"/>
              <w:snapToGrid w:val="0"/>
              <w:spacing w:before="0" w:beforeAutospacing="0" w:after="0" w:afterAutospacing="0"/>
              <w:ind w:left="0" w:right="0"/>
              <w:jc w:val="center"/>
              <w:rPr>
                <w:rFonts w:hint="default" w:asciiTheme="minorEastAsia" w:hAnsiTheme="minorEastAsia" w:eastAsiaTheme="minorEastAsia" w:cstheme="minorEastAsia"/>
                <w:snapToGrid w:val="0"/>
                <w:color w:val="auto"/>
                <w:kern w:val="0"/>
                <w:szCs w:val="24"/>
                <w:highlight w:val="none"/>
              </w:rPr>
            </w:pPr>
          </w:p>
        </w:tc>
      </w:tr>
      <w:tr w14:paraId="0C9690F2">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exact"/>
        </w:trPr>
        <w:tc>
          <w:tcPr>
            <w:tcW w:w="775" w:type="dxa"/>
            <w:tcBorders>
              <w:top w:val="single" w:color="auto" w:sz="6" w:space="0"/>
              <w:left w:val="single" w:color="auto" w:sz="6" w:space="0"/>
              <w:bottom w:val="single" w:color="auto" w:sz="6" w:space="0"/>
              <w:right w:val="single" w:color="auto" w:sz="4" w:space="0"/>
            </w:tcBorders>
            <w:vAlign w:val="center"/>
          </w:tcPr>
          <w:p w14:paraId="17CFDCD6">
            <w:pPr>
              <w:keepNext w:val="0"/>
              <w:keepLines w:val="0"/>
              <w:suppressLineNumbers w:val="0"/>
              <w:wordWrap w:val="0"/>
              <w:adjustRightInd w:val="0"/>
              <w:snapToGrid w:val="0"/>
              <w:spacing w:before="0" w:beforeAutospacing="0" w:after="0" w:afterAutospacing="0"/>
              <w:ind w:left="0" w:right="0"/>
              <w:jc w:val="center"/>
              <w:rPr>
                <w:rFonts w:hint="default" w:asciiTheme="minorEastAsia" w:hAnsiTheme="minorEastAsia" w:eastAsiaTheme="minorEastAsia" w:cstheme="minorEastAsia"/>
                <w:snapToGrid w:val="0"/>
                <w:color w:val="auto"/>
                <w:kern w:val="0"/>
                <w:szCs w:val="24"/>
                <w:highlight w:val="none"/>
              </w:rPr>
            </w:pPr>
            <w:r>
              <w:rPr>
                <w:rFonts w:asciiTheme="minorEastAsia" w:hAnsiTheme="minorEastAsia" w:eastAsiaTheme="minorEastAsia" w:cstheme="minorEastAsia"/>
                <w:snapToGrid w:val="0"/>
                <w:color w:val="auto"/>
                <w:kern w:val="0"/>
                <w:szCs w:val="24"/>
                <w:highlight w:val="none"/>
              </w:rPr>
              <w:t>3</w:t>
            </w:r>
          </w:p>
        </w:tc>
        <w:tc>
          <w:tcPr>
            <w:tcW w:w="1547" w:type="dxa"/>
            <w:gridSpan w:val="2"/>
            <w:tcBorders>
              <w:top w:val="single" w:color="auto" w:sz="6" w:space="0"/>
              <w:left w:val="single" w:color="auto" w:sz="4" w:space="0"/>
              <w:bottom w:val="single" w:color="auto" w:sz="6" w:space="0"/>
              <w:right w:val="single" w:color="auto" w:sz="6" w:space="0"/>
            </w:tcBorders>
            <w:vAlign w:val="center"/>
          </w:tcPr>
          <w:p w14:paraId="7E2DFBDF">
            <w:pPr>
              <w:keepNext w:val="0"/>
              <w:keepLines w:val="0"/>
              <w:suppressLineNumbers w:val="0"/>
              <w:wordWrap w:val="0"/>
              <w:adjustRightInd w:val="0"/>
              <w:snapToGrid w:val="0"/>
              <w:spacing w:before="0" w:beforeAutospacing="0" w:after="0" w:afterAutospacing="0"/>
              <w:ind w:left="0" w:right="0"/>
              <w:jc w:val="center"/>
              <w:rPr>
                <w:rFonts w:hint="default" w:asciiTheme="minorEastAsia" w:hAnsiTheme="minorEastAsia" w:eastAsiaTheme="minorEastAsia" w:cstheme="minorEastAsia"/>
                <w:snapToGrid w:val="0"/>
                <w:color w:val="auto"/>
                <w:kern w:val="0"/>
                <w:szCs w:val="24"/>
                <w:highlight w:val="none"/>
              </w:rPr>
            </w:pPr>
          </w:p>
        </w:tc>
        <w:tc>
          <w:tcPr>
            <w:tcW w:w="1942" w:type="dxa"/>
            <w:gridSpan w:val="2"/>
            <w:tcBorders>
              <w:top w:val="single" w:color="auto" w:sz="6" w:space="0"/>
              <w:left w:val="single" w:color="auto" w:sz="6" w:space="0"/>
              <w:bottom w:val="single" w:color="auto" w:sz="6" w:space="0"/>
              <w:right w:val="single" w:color="auto" w:sz="6" w:space="0"/>
            </w:tcBorders>
            <w:vAlign w:val="center"/>
          </w:tcPr>
          <w:p w14:paraId="0994F9BE">
            <w:pPr>
              <w:keepNext w:val="0"/>
              <w:keepLines w:val="0"/>
              <w:suppressLineNumbers w:val="0"/>
              <w:wordWrap w:val="0"/>
              <w:adjustRightInd w:val="0"/>
              <w:snapToGrid w:val="0"/>
              <w:spacing w:before="0" w:beforeAutospacing="0" w:after="0" w:afterAutospacing="0"/>
              <w:ind w:left="0" w:right="0"/>
              <w:jc w:val="center"/>
              <w:rPr>
                <w:rFonts w:hint="default" w:asciiTheme="minorEastAsia" w:hAnsiTheme="minorEastAsia" w:eastAsiaTheme="minorEastAsia" w:cstheme="minorEastAsia"/>
                <w:snapToGrid w:val="0"/>
                <w:color w:val="auto"/>
                <w:kern w:val="0"/>
                <w:szCs w:val="24"/>
                <w:highlight w:val="none"/>
              </w:rPr>
            </w:pPr>
          </w:p>
        </w:tc>
        <w:tc>
          <w:tcPr>
            <w:tcW w:w="1973" w:type="dxa"/>
            <w:gridSpan w:val="2"/>
            <w:tcBorders>
              <w:top w:val="single" w:color="auto" w:sz="6" w:space="0"/>
              <w:left w:val="single" w:color="auto" w:sz="6" w:space="0"/>
              <w:bottom w:val="single" w:color="auto" w:sz="6" w:space="0"/>
              <w:right w:val="single" w:color="auto" w:sz="6" w:space="0"/>
            </w:tcBorders>
            <w:vAlign w:val="center"/>
          </w:tcPr>
          <w:p w14:paraId="7529B0E6">
            <w:pPr>
              <w:keepNext w:val="0"/>
              <w:keepLines w:val="0"/>
              <w:suppressLineNumbers w:val="0"/>
              <w:wordWrap w:val="0"/>
              <w:adjustRightInd w:val="0"/>
              <w:snapToGrid w:val="0"/>
              <w:spacing w:before="0" w:beforeAutospacing="0" w:after="0" w:afterAutospacing="0"/>
              <w:ind w:left="0" w:right="0"/>
              <w:jc w:val="center"/>
              <w:rPr>
                <w:rFonts w:hint="default" w:asciiTheme="minorEastAsia" w:hAnsiTheme="minorEastAsia" w:eastAsiaTheme="minorEastAsia" w:cstheme="minorEastAsia"/>
                <w:snapToGrid w:val="0"/>
                <w:color w:val="auto"/>
                <w:kern w:val="0"/>
                <w:szCs w:val="24"/>
                <w:highlight w:val="none"/>
              </w:rPr>
            </w:pPr>
          </w:p>
        </w:tc>
        <w:tc>
          <w:tcPr>
            <w:tcW w:w="1706" w:type="dxa"/>
            <w:tcBorders>
              <w:top w:val="single" w:color="auto" w:sz="6" w:space="0"/>
              <w:left w:val="single" w:color="auto" w:sz="6" w:space="0"/>
              <w:bottom w:val="single" w:color="auto" w:sz="6" w:space="0"/>
              <w:right w:val="single" w:color="auto" w:sz="6" w:space="0"/>
            </w:tcBorders>
            <w:vAlign w:val="center"/>
          </w:tcPr>
          <w:p w14:paraId="7438C7FC">
            <w:pPr>
              <w:keepNext w:val="0"/>
              <w:keepLines w:val="0"/>
              <w:suppressLineNumbers w:val="0"/>
              <w:wordWrap w:val="0"/>
              <w:adjustRightInd w:val="0"/>
              <w:snapToGrid w:val="0"/>
              <w:spacing w:before="0" w:beforeAutospacing="0" w:after="0" w:afterAutospacing="0"/>
              <w:ind w:left="0" w:right="0"/>
              <w:jc w:val="center"/>
              <w:rPr>
                <w:rFonts w:hint="default" w:asciiTheme="minorEastAsia" w:hAnsiTheme="minorEastAsia" w:eastAsiaTheme="minorEastAsia" w:cstheme="minorEastAsia"/>
                <w:snapToGrid w:val="0"/>
                <w:color w:val="auto"/>
                <w:kern w:val="0"/>
                <w:szCs w:val="24"/>
                <w:highlight w:val="none"/>
              </w:rPr>
            </w:pPr>
          </w:p>
        </w:tc>
        <w:tc>
          <w:tcPr>
            <w:tcW w:w="1327" w:type="dxa"/>
            <w:tcBorders>
              <w:top w:val="single" w:color="auto" w:sz="6" w:space="0"/>
              <w:left w:val="single" w:color="auto" w:sz="6" w:space="0"/>
              <w:bottom w:val="single" w:color="auto" w:sz="6" w:space="0"/>
              <w:right w:val="single" w:color="auto" w:sz="6" w:space="0"/>
            </w:tcBorders>
            <w:vAlign w:val="center"/>
          </w:tcPr>
          <w:p w14:paraId="64237A52">
            <w:pPr>
              <w:keepNext w:val="0"/>
              <w:keepLines w:val="0"/>
              <w:suppressLineNumbers w:val="0"/>
              <w:wordWrap w:val="0"/>
              <w:adjustRightInd w:val="0"/>
              <w:snapToGrid w:val="0"/>
              <w:spacing w:before="0" w:beforeAutospacing="0" w:after="0" w:afterAutospacing="0"/>
              <w:ind w:left="0" w:right="0"/>
              <w:jc w:val="center"/>
              <w:rPr>
                <w:rFonts w:hint="default" w:asciiTheme="minorEastAsia" w:hAnsiTheme="minorEastAsia" w:eastAsiaTheme="minorEastAsia" w:cstheme="minorEastAsia"/>
                <w:snapToGrid w:val="0"/>
                <w:color w:val="auto"/>
                <w:kern w:val="0"/>
                <w:szCs w:val="24"/>
                <w:highlight w:val="none"/>
              </w:rPr>
            </w:pPr>
          </w:p>
        </w:tc>
      </w:tr>
      <w:tr w14:paraId="0C8D7AB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exact"/>
        </w:trPr>
        <w:tc>
          <w:tcPr>
            <w:tcW w:w="775" w:type="dxa"/>
            <w:tcBorders>
              <w:top w:val="single" w:color="auto" w:sz="6" w:space="0"/>
              <w:left w:val="single" w:color="auto" w:sz="6" w:space="0"/>
              <w:bottom w:val="single" w:color="auto" w:sz="6" w:space="0"/>
              <w:right w:val="single" w:color="auto" w:sz="4" w:space="0"/>
            </w:tcBorders>
            <w:vAlign w:val="center"/>
          </w:tcPr>
          <w:p w14:paraId="36DA9EE9">
            <w:pPr>
              <w:keepNext w:val="0"/>
              <w:keepLines w:val="0"/>
              <w:suppressLineNumbers w:val="0"/>
              <w:wordWrap w:val="0"/>
              <w:adjustRightInd w:val="0"/>
              <w:snapToGrid w:val="0"/>
              <w:spacing w:before="0" w:beforeAutospacing="0" w:after="0" w:afterAutospacing="0"/>
              <w:ind w:left="0" w:right="0"/>
              <w:jc w:val="center"/>
              <w:rPr>
                <w:rFonts w:hint="default" w:asciiTheme="minorEastAsia" w:hAnsiTheme="minorEastAsia" w:eastAsiaTheme="minorEastAsia" w:cstheme="minorEastAsia"/>
                <w:snapToGrid w:val="0"/>
                <w:color w:val="auto"/>
                <w:kern w:val="0"/>
                <w:szCs w:val="24"/>
                <w:highlight w:val="none"/>
              </w:rPr>
            </w:pPr>
            <w:r>
              <w:rPr>
                <w:rFonts w:asciiTheme="minorEastAsia" w:hAnsiTheme="minorEastAsia" w:eastAsiaTheme="minorEastAsia" w:cstheme="minorEastAsia"/>
                <w:snapToGrid w:val="0"/>
                <w:color w:val="auto"/>
                <w:kern w:val="0"/>
                <w:szCs w:val="24"/>
                <w:highlight w:val="none"/>
              </w:rPr>
              <w:t>……</w:t>
            </w:r>
          </w:p>
        </w:tc>
        <w:tc>
          <w:tcPr>
            <w:tcW w:w="1547" w:type="dxa"/>
            <w:gridSpan w:val="2"/>
            <w:tcBorders>
              <w:top w:val="single" w:color="auto" w:sz="6" w:space="0"/>
              <w:left w:val="single" w:color="auto" w:sz="4" w:space="0"/>
              <w:bottom w:val="single" w:color="auto" w:sz="6" w:space="0"/>
              <w:right w:val="single" w:color="auto" w:sz="6" w:space="0"/>
            </w:tcBorders>
            <w:vAlign w:val="center"/>
          </w:tcPr>
          <w:p w14:paraId="78DB2DEF">
            <w:pPr>
              <w:keepNext w:val="0"/>
              <w:keepLines w:val="0"/>
              <w:suppressLineNumbers w:val="0"/>
              <w:wordWrap w:val="0"/>
              <w:adjustRightInd w:val="0"/>
              <w:snapToGrid w:val="0"/>
              <w:spacing w:before="0" w:beforeAutospacing="0" w:after="0" w:afterAutospacing="0"/>
              <w:ind w:left="0" w:right="0"/>
              <w:jc w:val="center"/>
              <w:rPr>
                <w:rFonts w:hint="default" w:asciiTheme="minorEastAsia" w:hAnsiTheme="minorEastAsia" w:eastAsiaTheme="minorEastAsia" w:cstheme="minorEastAsia"/>
                <w:snapToGrid w:val="0"/>
                <w:color w:val="auto"/>
                <w:kern w:val="0"/>
                <w:szCs w:val="24"/>
                <w:highlight w:val="none"/>
              </w:rPr>
            </w:pPr>
          </w:p>
        </w:tc>
        <w:tc>
          <w:tcPr>
            <w:tcW w:w="1942" w:type="dxa"/>
            <w:gridSpan w:val="2"/>
            <w:tcBorders>
              <w:top w:val="single" w:color="auto" w:sz="6" w:space="0"/>
              <w:left w:val="single" w:color="auto" w:sz="6" w:space="0"/>
              <w:bottom w:val="single" w:color="auto" w:sz="6" w:space="0"/>
              <w:right w:val="single" w:color="auto" w:sz="6" w:space="0"/>
            </w:tcBorders>
            <w:vAlign w:val="center"/>
          </w:tcPr>
          <w:p w14:paraId="08FF4B1C">
            <w:pPr>
              <w:keepNext w:val="0"/>
              <w:keepLines w:val="0"/>
              <w:suppressLineNumbers w:val="0"/>
              <w:wordWrap w:val="0"/>
              <w:adjustRightInd w:val="0"/>
              <w:snapToGrid w:val="0"/>
              <w:spacing w:before="0" w:beforeAutospacing="0" w:after="0" w:afterAutospacing="0"/>
              <w:ind w:left="0" w:right="0"/>
              <w:jc w:val="center"/>
              <w:rPr>
                <w:rFonts w:hint="default" w:asciiTheme="minorEastAsia" w:hAnsiTheme="minorEastAsia" w:eastAsiaTheme="minorEastAsia" w:cstheme="minorEastAsia"/>
                <w:snapToGrid w:val="0"/>
                <w:color w:val="auto"/>
                <w:kern w:val="0"/>
                <w:szCs w:val="24"/>
                <w:highlight w:val="none"/>
              </w:rPr>
            </w:pPr>
          </w:p>
        </w:tc>
        <w:tc>
          <w:tcPr>
            <w:tcW w:w="1973" w:type="dxa"/>
            <w:gridSpan w:val="2"/>
            <w:tcBorders>
              <w:top w:val="single" w:color="auto" w:sz="6" w:space="0"/>
              <w:left w:val="single" w:color="auto" w:sz="6" w:space="0"/>
              <w:bottom w:val="single" w:color="auto" w:sz="6" w:space="0"/>
              <w:right w:val="single" w:color="auto" w:sz="6" w:space="0"/>
            </w:tcBorders>
            <w:vAlign w:val="center"/>
          </w:tcPr>
          <w:p w14:paraId="69004A18">
            <w:pPr>
              <w:keepNext w:val="0"/>
              <w:keepLines w:val="0"/>
              <w:suppressLineNumbers w:val="0"/>
              <w:wordWrap w:val="0"/>
              <w:adjustRightInd w:val="0"/>
              <w:snapToGrid w:val="0"/>
              <w:spacing w:before="0" w:beforeAutospacing="0" w:after="0" w:afterAutospacing="0"/>
              <w:ind w:left="0" w:right="0"/>
              <w:jc w:val="center"/>
              <w:rPr>
                <w:rFonts w:hint="default" w:asciiTheme="minorEastAsia" w:hAnsiTheme="minorEastAsia" w:eastAsiaTheme="minorEastAsia" w:cstheme="minorEastAsia"/>
                <w:snapToGrid w:val="0"/>
                <w:color w:val="auto"/>
                <w:kern w:val="0"/>
                <w:szCs w:val="24"/>
                <w:highlight w:val="none"/>
              </w:rPr>
            </w:pPr>
          </w:p>
        </w:tc>
        <w:tc>
          <w:tcPr>
            <w:tcW w:w="1706" w:type="dxa"/>
            <w:tcBorders>
              <w:top w:val="single" w:color="auto" w:sz="6" w:space="0"/>
              <w:left w:val="single" w:color="auto" w:sz="6" w:space="0"/>
              <w:bottom w:val="single" w:color="auto" w:sz="6" w:space="0"/>
              <w:right w:val="single" w:color="auto" w:sz="6" w:space="0"/>
            </w:tcBorders>
            <w:vAlign w:val="center"/>
          </w:tcPr>
          <w:p w14:paraId="342461E3">
            <w:pPr>
              <w:keepNext w:val="0"/>
              <w:keepLines w:val="0"/>
              <w:suppressLineNumbers w:val="0"/>
              <w:wordWrap w:val="0"/>
              <w:adjustRightInd w:val="0"/>
              <w:snapToGrid w:val="0"/>
              <w:spacing w:before="0" w:beforeAutospacing="0" w:after="0" w:afterAutospacing="0"/>
              <w:ind w:left="0" w:right="0"/>
              <w:jc w:val="center"/>
              <w:rPr>
                <w:rFonts w:hint="default" w:asciiTheme="minorEastAsia" w:hAnsiTheme="minorEastAsia" w:eastAsiaTheme="minorEastAsia" w:cstheme="minorEastAsia"/>
                <w:snapToGrid w:val="0"/>
                <w:color w:val="auto"/>
                <w:kern w:val="0"/>
                <w:szCs w:val="24"/>
                <w:highlight w:val="none"/>
              </w:rPr>
            </w:pPr>
          </w:p>
        </w:tc>
        <w:tc>
          <w:tcPr>
            <w:tcW w:w="1327" w:type="dxa"/>
            <w:tcBorders>
              <w:top w:val="single" w:color="auto" w:sz="6" w:space="0"/>
              <w:left w:val="single" w:color="auto" w:sz="6" w:space="0"/>
              <w:bottom w:val="single" w:color="auto" w:sz="6" w:space="0"/>
              <w:right w:val="single" w:color="auto" w:sz="6" w:space="0"/>
            </w:tcBorders>
            <w:vAlign w:val="center"/>
          </w:tcPr>
          <w:p w14:paraId="6CB5BA51">
            <w:pPr>
              <w:keepNext w:val="0"/>
              <w:keepLines w:val="0"/>
              <w:suppressLineNumbers w:val="0"/>
              <w:wordWrap w:val="0"/>
              <w:adjustRightInd w:val="0"/>
              <w:snapToGrid w:val="0"/>
              <w:spacing w:before="0" w:beforeAutospacing="0" w:after="0" w:afterAutospacing="0"/>
              <w:ind w:left="0" w:right="0"/>
              <w:jc w:val="center"/>
              <w:rPr>
                <w:rFonts w:hint="default" w:asciiTheme="minorEastAsia" w:hAnsiTheme="minorEastAsia" w:eastAsiaTheme="minorEastAsia" w:cstheme="minorEastAsia"/>
                <w:snapToGrid w:val="0"/>
                <w:color w:val="auto"/>
                <w:kern w:val="0"/>
                <w:szCs w:val="24"/>
                <w:highlight w:val="none"/>
              </w:rPr>
            </w:pPr>
          </w:p>
        </w:tc>
      </w:tr>
    </w:tbl>
    <w:p w14:paraId="73BA948E">
      <w:pPr>
        <w:wordWrap w:val="0"/>
        <w:adjustRightInd w:val="0"/>
        <w:snapToGrid w:val="0"/>
        <w:spacing w:line="440" w:lineRule="exact"/>
        <w:jc w:val="center"/>
        <w:rPr>
          <w:rFonts w:hint="default" w:asciiTheme="minorEastAsia" w:hAnsiTheme="minorEastAsia" w:eastAsiaTheme="minorEastAsia" w:cstheme="minorEastAsia"/>
          <w:b/>
          <w:bCs/>
          <w:snapToGrid w:val="0"/>
          <w:color w:val="auto"/>
          <w:kern w:val="0"/>
          <w:szCs w:val="24"/>
          <w:highlight w:val="none"/>
        </w:rPr>
      </w:pPr>
      <w:r>
        <w:rPr>
          <w:rFonts w:asciiTheme="minorEastAsia" w:hAnsiTheme="minorEastAsia" w:eastAsiaTheme="minorEastAsia" w:cstheme="minorEastAsia"/>
          <w:b/>
          <w:snapToGrid w:val="0"/>
          <w:color w:val="auto"/>
          <w:kern w:val="0"/>
          <w:szCs w:val="24"/>
          <w:highlight w:val="none"/>
        </w:rPr>
        <w:t>项目经理简历表</w:t>
      </w:r>
    </w:p>
    <w:p w14:paraId="7762846C">
      <w:pPr>
        <w:wordWrap w:val="0"/>
        <w:adjustRightInd w:val="0"/>
        <w:snapToGrid w:val="0"/>
        <w:spacing w:line="440" w:lineRule="exact"/>
        <w:ind w:firstLine="570"/>
        <w:rPr>
          <w:rFonts w:hint="default" w:asciiTheme="minorEastAsia" w:hAnsiTheme="minorEastAsia" w:eastAsiaTheme="minorEastAsia" w:cstheme="minorEastAsia"/>
          <w:snapToGrid w:val="0"/>
          <w:color w:val="auto"/>
          <w:kern w:val="0"/>
          <w:szCs w:val="24"/>
          <w:highlight w:val="none"/>
        </w:rPr>
      </w:pPr>
    </w:p>
    <w:p w14:paraId="6EFD7420">
      <w:pPr>
        <w:pStyle w:val="50"/>
        <w:wordWrap w:val="0"/>
        <w:adjustRightInd w:val="0"/>
        <w:snapToGrid w:val="0"/>
        <w:spacing w:line="440" w:lineRule="exact"/>
        <w:jc w:val="right"/>
        <w:rPr>
          <w:rFonts w:asciiTheme="minorEastAsia" w:hAnsiTheme="minorEastAsia" w:eastAsiaTheme="minorEastAsia" w:cstheme="minorEastAsia"/>
          <w:snapToGrid w:val="0"/>
          <w:color w:val="auto"/>
          <w:kern w:val="0"/>
          <w:sz w:val="24"/>
          <w:szCs w:val="24"/>
          <w:highlight w:val="none"/>
        </w:rPr>
      </w:pPr>
    </w:p>
    <w:p w14:paraId="60192486">
      <w:pPr>
        <w:pStyle w:val="50"/>
        <w:wordWrap w:val="0"/>
        <w:adjustRightInd w:val="0"/>
        <w:snapToGrid w:val="0"/>
        <w:spacing w:line="440" w:lineRule="exact"/>
        <w:jc w:val="right"/>
        <w:rPr>
          <w:rFonts w:asciiTheme="minorEastAsia" w:hAnsiTheme="minorEastAsia" w:eastAsiaTheme="minorEastAsia" w:cstheme="minorEastAsia"/>
          <w:snapToGrid w:val="0"/>
          <w:color w:val="auto"/>
          <w:kern w:val="0"/>
          <w:sz w:val="24"/>
          <w:szCs w:val="24"/>
          <w:highlight w:val="none"/>
        </w:rPr>
      </w:pPr>
      <w:r>
        <w:rPr>
          <w:rFonts w:hint="eastAsia" w:asciiTheme="minorEastAsia" w:hAnsiTheme="minorEastAsia" w:eastAsiaTheme="minorEastAsia" w:cstheme="minorEastAsia"/>
          <w:snapToGrid w:val="0"/>
          <w:color w:val="auto"/>
          <w:kern w:val="0"/>
          <w:sz w:val="24"/>
          <w:szCs w:val="24"/>
          <w:highlight w:val="none"/>
        </w:rPr>
        <w:t>项目经理：（签字）</w:t>
      </w:r>
    </w:p>
    <w:p w14:paraId="17EDAFB3">
      <w:pPr>
        <w:pStyle w:val="50"/>
        <w:wordWrap w:val="0"/>
        <w:adjustRightInd w:val="0"/>
        <w:snapToGrid w:val="0"/>
        <w:spacing w:line="440" w:lineRule="exact"/>
        <w:jc w:val="right"/>
        <w:rPr>
          <w:rFonts w:asciiTheme="minorEastAsia" w:hAnsiTheme="minorEastAsia" w:eastAsiaTheme="minorEastAsia" w:cstheme="minorEastAsia"/>
          <w:snapToGrid w:val="0"/>
          <w:color w:val="auto"/>
          <w:kern w:val="0"/>
          <w:sz w:val="24"/>
          <w:szCs w:val="24"/>
          <w:highlight w:val="none"/>
        </w:rPr>
      </w:pPr>
    </w:p>
    <w:p w14:paraId="0D62F851">
      <w:pPr>
        <w:wordWrap w:val="0"/>
        <w:adjustRightInd w:val="0"/>
        <w:snapToGrid w:val="0"/>
        <w:spacing w:line="400" w:lineRule="exact"/>
        <w:ind w:firstLine="7524" w:firstLineChars="3135"/>
        <w:rPr>
          <w:rFonts w:hint="default" w:asciiTheme="minorEastAsia" w:hAnsiTheme="minorEastAsia" w:eastAsiaTheme="minorEastAsia" w:cstheme="minorEastAsia"/>
          <w:snapToGrid w:val="0"/>
          <w:color w:val="auto"/>
          <w:kern w:val="0"/>
          <w:szCs w:val="24"/>
          <w:highlight w:val="none"/>
        </w:rPr>
      </w:pPr>
      <w:r>
        <w:rPr>
          <w:rFonts w:hint="eastAsia" w:asciiTheme="minorEastAsia" w:hAnsiTheme="minorEastAsia" w:eastAsiaTheme="minorEastAsia" w:cstheme="minorEastAsia"/>
          <w:snapToGrid w:val="0"/>
          <w:color w:val="auto"/>
          <w:kern w:val="0"/>
          <w:szCs w:val="24"/>
          <w:highlight w:val="none"/>
          <w:lang w:val="en-US" w:eastAsia="zh-CN"/>
        </w:rPr>
        <w:t xml:space="preserve"> </w:t>
      </w:r>
      <w:r>
        <w:rPr>
          <w:rFonts w:asciiTheme="minorEastAsia" w:hAnsiTheme="minorEastAsia" w:eastAsiaTheme="minorEastAsia" w:cstheme="minorEastAsia"/>
          <w:snapToGrid w:val="0"/>
          <w:color w:val="auto"/>
          <w:kern w:val="0"/>
          <w:szCs w:val="24"/>
          <w:highlight w:val="none"/>
        </w:rPr>
        <w:t>年</w:t>
      </w:r>
      <w:r>
        <w:rPr>
          <w:rFonts w:hint="eastAsia" w:asciiTheme="minorEastAsia" w:hAnsiTheme="minorEastAsia" w:eastAsiaTheme="minorEastAsia" w:cstheme="minorEastAsia"/>
          <w:snapToGrid w:val="0"/>
          <w:color w:val="auto"/>
          <w:kern w:val="0"/>
          <w:szCs w:val="24"/>
          <w:highlight w:val="none"/>
          <w:lang w:val="en-US" w:eastAsia="zh-CN"/>
        </w:rPr>
        <w:t xml:space="preserve">   </w:t>
      </w:r>
      <w:r>
        <w:rPr>
          <w:rFonts w:asciiTheme="minorEastAsia" w:hAnsiTheme="minorEastAsia" w:eastAsiaTheme="minorEastAsia" w:cstheme="minorEastAsia"/>
          <w:snapToGrid w:val="0"/>
          <w:color w:val="auto"/>
          <w:kern w:val="0"/>
          <w:szCs w:val="24"/>
          <w:highlight w:val="none"/>
        </w:rPr>
        <w:t>月</w:t>
      </w:r>
      <w:r>
        <w:rPr>
          <w:rFonts w:hint="eastAsia" w:asciiTheme="minorEastAsia" w:hAnsiTheme="minorEastAsia" w:eastAsiaTheme="minorEastAsia" w:cstheme="minorEastAsia"/>
          <w:snapToGrid w:val="0"/>
          <w:color w:val="auto"/>
          <w:kern w:val="0"/>
          <w:szCs w:val="24"/>
          <w:highlight w:val="none"/>
          <w:lang w:val="en-US" w:eastAsia="zh-CN"/>
        </w:rPr>
        <w:t xml:space="preserve">  </w:t>
      </w:r>
      <w:r>
        <w:rPr>
          <w:rFonts w:asciiTheme="minorEastAsia" w:hAnsiTheme="minorEastAsia" w:eastAsiaTheme="minorEastAsia" w:cstheme="minorEastAsia"/>
          <w:snapToGrid w:val="0"/>
          <w:color w:val="auto"/>
          <w:kern w:val="0"/>
          <w:szCs w:val="24"/>
          <w:highlight w:val="none"/>
        </w:rPr>
        <w:t>日</w:t>
      </w:r>
    </w:p>
    <w:p w14:paraId="7AD09DA6">
      <w:pPr>
        <w:rPr>
          <w:rFonts w:hint="default"/>
          <w:color w:val="auto"/>
          <w:highlight w:val="none"/>
        </w:rPr>
      </w:pPr>
    </w:p>
    <w:p w14:paraId="2591C9B8">
      <w:pPr>
        <w:wordWrap w:val="0"/>
        <w:adjustRightInd w:val="0"/>
        <w:snapToGrid w:val="0"/>
        <w:spacing w:line="400" w:lineRule="exact"/>
        <w:rPr>
          <w:rFonts w:hint="default" w:asciiTheme="minorEastAsia" w:hAnsiTheme="minorEastAsia" w:eastAsiaTheme="minorEastAsia" w:cstheme="minorEastAsia"/>
          <w:snapToGrid w:val="0"/>
          <w:color w:val="auto"/>
          <w:kern w:val="0"/>
          <w:szCs w:val="24"/>
          <w:highlight w:val="none"/>
        </w:rPr>
      </w:pPr>
      <w:r>
        <w:rPr>
          <w:rFonts w:asciiTheme="minorEastAsia" w:hAnsiTheme="minorEastAsia" w:eastAsiaTheme="minorEastAsia" w:cstheme="minorEastAsia"/>
          <w:snapToGrid w:val="0"/>
          <w:color w:val="auto"/>
          <w:kern w:val="0"/>
          <w:szCs w:val="24"/>
          <w:highlight w:val="none"/>
        </w:rPr>
        <w:t xml:space="preserve">    说明：《项目经理简历表》后应附拟派项目经理以下资料：</w:t>
      </w:r>
    </w:p>
    <w:p w14:paraId="2CE2F065">
      <w:pPr>
        <w:wordWrap w:val="0"/>
        <w:adjustRightInd w:val="0"/>
        <w:snapToGrid w:val="0"/>
        <w:spacing w:line="400" w:lineRule="exact"/>
        <w:rPr>
          <w:rFonts w:hint="default" w:asciiTheme="minorEastAsia" w:hAnsiTheme="minorEastAsia" w:eastAsiaTheme="minorEastAsia" w:cstheme="minorEastAsia"/>
          <w:snapToGrid w:val="0"/>
          <w:color w:val="auto"/>
          <w:kern w:val="0"/>
          <w:szCs w:val="24"/>
          <w:highlight w:val="none"/>
        </w:rPr>
      </w:pPr>
      <w:r>
        <w:rPr>
          <w:rFonts w:asciiTheme="minorEastAsia" w:hAnsiTheme="minorEastAsia" w:eastAsiaTheme="minorEastAsia" w:cstheme="minorEastAsia"/>
          <w:snapToGrid w:val="0"/>
          <w:color w:val="auto"/>
          <w:kern w:val="0"/>
          <w:szCs w:val="24"/>
          <w:highlight w:val="none"/>
        </w:rPr>
        <w:t xml:space="preserve">    </w:t>
      </w:r>
      <w:r>
        <w:rPr>
          <w:rFonts w:hint="eastAsia" w:asciiTheme="minorEastAsia" w:hAnsiTheme="minorEastAsia" w:eastAsiaTheme="minorEastAsia" w:cstheme="minorEastAsia"/>
          <w:snapToGrid w:val="0"/>
          <w:color w:val="auto"/>
          <w:kern w:val="0"/>
          <w:szCs w:val="24"/>
          <w:highlight w:val="none"/>
          <w:lang w:eastAsia="zh-CN"/>
        </w:rPr>
        <w:t>1.</w:t>
      </w:r>
      <w:r>
        <w:rPr>
          <w:rFonts w:asciiTheme="minorEastAsia" w:hAnsiTheme="minorEastAsia" w:eastAsiaTheme="minorEastAsia" w:cstheme="minorEastAsia"/>
          <w:snapToGrid w:val="0"/>
          <w:color w:val="auto"/>
          <w:kern w:val="0"/>
          <w:szCs w:val="24"/>
          <w:highlight w:val="none"/>
        </w:rPr>
        <w:t>身份证彩色扫描件；</w:t>
      </w:r>
    </w:p>
    <w:p w14:paraId="7975BC1B">
      <w:pPr>
        <w:wordWrap w:val="0"/>
        <w:adjustRightInd w:val="0"/>
        <w:snapToGrid w:val="0"/>
        <w:spacing w:line="400" w:lineRule="exact"/>
        <w:rPr>
          <w:rFonts w:hint="default" w:asciiTheme="minorEastAsia" w:hAnsiTheme="minorEastAsia" w:eastAsiaTheme="minorEastAsia" w:cstheme="minorEastAsia"/>
          <w:snapToGrid w:val="0"/>
          <w:color w:val="auto"/>
          <w:kern w:val="0"/>
          <w:szCs w:val="24"/>
          <w:highlight w:val="none"/>
        </w:rPr>
      </w:pPr>
      <w:r>
        <w:rPr>
          <w:rFonts w:asciiTheme="minorEastAsia" w:hAnsiTheme="minorEastAsia" w:eastAsiaTheme="minorEastAsia" w:cstheme="minorEastAsia"/>
          <w:snapToGrid w:val="0"/>
          <w:color w:val="auto"/>
          <w:kern w:val="0"/>
          <w:szCs w:val="24"/>
          <w:highlight w:val="none"/>
        </w:rPr>
        <w:t xml:space="preserve">    </w:t>
      </w:r>
      <w:r>
        <w:rPr>
          <w:rFonts w:hint="eastAsia" w:asciiTheme="minorEastAsia" w:hAnsiTheme="minorEastAsia" w:eastAsiaTheme="minorEastAsia" w:cstheme="minorEastAsia"/>
          <w:snapToGrid w:val="0"/>
          <w:color w:val="auto"/>
          <w:kern w:val="0"/>
          <w:szCs w:val="24"/>
          <w:highlight w:val="none"/>
          <w:lang w:eastAsia="zh-CN"/>
        </w:rPr>
        <w:t>2.</w:t>
      </w:r>
      <w:r>
        <w:rPr>
          <w:rFonts w:asciiTheme="minorEastAsia" w:hAnsiTheme="minorEastAsia" w:eastAsiaTheme="minorEastAsia" w:cstheme="minorEastAsia"/>
          <w:snapToGrid w:val="0"/>
          <w:color w:val="auto"/>
          <w:kern w:val="0"/>
          <w:szCs w:val="24"/>
          <w:highlight w:val="none"/>
        </w:rPr>
        <w:t>建造师电子注册证书（在使用有效期内的有效电子证书）彩色扫描件；</w:t>
      </w:r>
    </w:p>
    <w:p w14:paraId="1AD59C91">
      <w:pPr>
        <w:wordWrap w:val="0"/>
        <w:adjustRightInd w:val="0"/>
        <w:snapToGrid w:val="0"/>
        <w:spacing w:line="400" w:lineRule="exact"/>
        <w:rPr>
          <w:rFonts w:hint="default" w:asciiTheme="minorEastAsia" w:hAnsiTheme="minorEastAsia" w:eastAsiaTheme="minorEastAsia" w:cstheme="minorEastAsia"/>
          <w:snapToGrid w:val="0"/>
          <w:color w:val="auto"/>
          <w:kern w:val="0"/>
          <w:szCs w:val="24"/>
          <w:highlight w:val="none"/>
        </w:rPr>
      </w:pPr>
      <w:r>
        <w:rPr>
          <w:rFonts w:asciiTheme="minorEastAsia" w:hAnsiTheme="minorEastAsia" w:eastAsiaTheme="minorEastAsia" w:cstheme="minorEastAsia"/>
          <w:snapToGrid w:val="0"/>
          <w:color w:val="auto"/>
          <w:kern w:val="0"/>
          <w:szCs w:val="24"/>
          <w:highlight w:val="none"/>
        </w:rPr>
        <w:t xml:space="preserve">    </w:t>
      </w:r>
      <w:r>
        <w:rPr>
          <w:rFonts w:hint="eastAsia" w:asciiTheme="minorEastAsia" w:hAnsiTheme="minorEastAsia" w:eastAsiaTheme="minorEastAsia" w:cstheme="minorEastAsia"/>
          <w:snapToGrid w:val="0"/>
          <w:color w:val="auto"/>
          <w:kern w:val="0"/>
          <w:szCs w:val="24"/>
          <w:highlight w:val="none"/>
          <w:lang w:eastAsia="zh-CN"/>
        </w:rPr>
        <w:t>3.</w:t>
      </w:r>
      <w:r>
        <w:rPr>
          <w:rFonts w:asciiTheme="minorEastAsia" w:hAnsiTheme="minorEastAsia" w:eastAsiaTheme="minorEastAsia" w:cstheme="minorEastAsia"/>
          <w:snapToGrid w:val="0"/>
          <w:color w:val="auto"/>
          <w:kern w:val="0"/>
          <w:szCs w:val="24"/>
          <w:highlight w:val="none"/>
        </w:rPr>
        <w:t>B类安全生产考核合格证书彩色扫描件或广东省建筑施工企业管理人员安全生产考核系统考核合格信息彩色扫描件；</w:t>
      </w:r>
    </w:p>
    <w:p w14:paraId="254897CC">
      <w:pPr>
        <w:wordWrap w:val="0"/>
        <w:adjustRightInd w:val="0"/>
        <w:snapToGrid w:val="0"/>
        <w:spacing w:line="400" w:lineRule="exact"/>
        <w:ind w:firstLine="480" w:firstLineChars="200"/>
        <w:rPr>
          <w:rFonts w:asciiTheme="minorEastAsia" w:hAnsiTheme="minorEastAsia" w:eastAsiaTheme="minorEastAsia" w:cstheme="minorEastAsia"/>
          <w:snapToGrid w:val="0"/>
          <w:color w:val="auto"/>
          <w:kern w:val="0"/>
          <w:szCs w:val="24"/>
          <w:highlight w:val="none"/>
        </w:rPr>
      </w:pPr>
      <w:r>
        <w:rPr>
          <w:rFonts w:hint="eastAsia" w:asciiTheme="minorEastAsia" w:hAnsiTheme="minorEastAsia" w:eastAsiaTheme="minorEastAsia" w:cstheme="minorEastAsia"/>
          <w:snapToGrid w:val="0"/>
          <w:color w:val="auto"/>
          <w:kern w:val="0"/>
          <w:szCs w:val="24"/>
          <w:highlight w:val="none"/>
          <w:lang w:eastAsia="zh-CN"/>
        </w:rPr>
        <w:t>4.</w:t>
      </w:r>
      <w:r>
        <w:rPr>
          <w:rFonts w:hint="eastAsia" w:asciiTheme="minorEastAsia" w:hAnsiTheme="minorEastAsia" w:eastAsiaTheme="minorEastAsia" w:cstheme="minorEastAsia"/>
          <w:snapToGrid w:val="0"/>
          <w:color w:val="auto"/>
          <w:kern w:val="0"/>
          <w:szCs w:val="24"/>
          <w:highlight w:val="none"/>
        </w:rPr>
        <w:t>在本单位缴纳社保的证明（至少</w:t>
      </w:r>
      <w:r>
        <w:rPr>
          <w:rFonts w:hint="eastAsia" w:asciiTheme="minorEastAsia" w:hAnsiTheme="minorEastAsia" w:eastAsiaTheme="minorEastAsia" w:cstheme="minorEastAsia"/>
          <w:snapToGrid w:val="0"/>
          <w:color w:val="auto"/>
          <w:kern w:val="0"/>
          <w:szCs w:val="24"/>
          <w:highlight w:val="none"/>
          <w:lang w:val="en-US" w:eastAsia="zh-CN"/>
        </w:rPr>
        <w:t>3</w:t>
      </w:r>
      <w:r>
        <w:rPr>
          <w:rFonts w:hint="eastAsia" w:asciiTheme="minorEastAsia" w:hAnsiTheme="minorEastAsia" w:eastAsiaTheme="minorEastAsia" w:cstheme="minorEastAsia"/>
          <w:snapToGrid w:val="0"/>
          <w:color w:val="auto"/>
          <w:kern w:val="0"/>
          <w:szCs w:val="24"/>
          <w:highlight w:val="none"/>
        </w:rPr>
        <w:t>个月，其中</w:t>
      </w:r>
      <w:r>
        <w:rPr>
          <w:rFonts w:hint="eastAsia" w:asciiTheme="minorEastAsia" w:hAnsiTheme="minorEastAsia" w:eastAsiaTheme="minorEastAsia" w:cstheme="minorEastAsia"/>
          <w:snapToGrid w:val="0"/>
          <w:color w:val="auto"/>
          <w:kern w:val="0"/>
          <w:szCs w:val="24"/>
          <w:highlight w:val="none"/>
          <w:lang w:eastAsia="zh-CN"/>
        </w:rPr>
        <w:t>必须有202</w:t>
      </w:r>
      <w:r>
        <w:rPr>
          <w:rFonts w:hint="eastAsia" w:asciiTheme="minorEastAsia" w:hAnsiTheme="minorEastAsia" w:eastAsiaTheme="minorEastAsia" w:cstheme="minorEastAsia"/>
          <w:snapToGrid w:val="0"/>
          <w:color w:val="auto"/>
          <w:kern w:val="0"/>
          <w:szCs w:val="24"/>
          <w:highlight w:val="none"/>
          <w:lang w:val="en-US" w:eastAsia="zh-CN"/>
        </w:rPr>
        <w:t>6</w:t>
      </w:r>
      <w:r>
        <w:rPr>
          <w:rFonts w:hint="eastAsia" w:asciiTheme="minorEastAsia" w:hAnsiTheme="minorEastAsia" w:eastAsiaTheme="minorEastAsia" w:cstheme="minorEastAsia"/>
          <w:snapToGrid w:val="0"/>
          <w:color w:val="auto"/>
          <w:kern w:val="0"/>
          <w:szCs w:val="24"/>
          <w:highlight w:val="none"/>
          <w:lang w:eastAsia="zh-CN"/>
        </w:rPr>
        <w:t>年</w:t>
      </w:r>
      <w:r>
        <w:rPr>
          <w:rFonts w:hint="eastAsia" w:asciiTheme="minorEastAsia" w:hAnsiTheme="minorEastAsia" w:eastAsiaTheme="minorEastAsia" w:cstheme="minorEastAsia"/>
          <w:snapToGrid w:val="0"/>
          <w:color w:val="auto"/>
          <w:kern w:val="0"/>
          <w:szCs w:val="24"/>
          <w:highlight w:val="none"/>
          <w:lang w:val="en-US" w:eastAsia="zh-CN"/>
        </w:rPr>
        <w:t>8</w:t>
      </w:r>
      <w:r>
        <w:rPr>
          <w:rFonts w:hint="eastAsia" w:asciiTheme="minorEastAsia" w:hAnsiTheme="minorEastAsia" w:eastAsiaTheme="minorEastAsia" w:cstheme="minorEastAsia"/>
          <w:snapToGrid w:val="0"/>
          <w:color w:val="auto"/>
          <w:kern w:val="0"/>
          <w:szCs w:val="24"/>
          <w:highlight w:val="none"/>
          <w:lang w:eastAsia="zh-CN"/>
        </w:rPr>
        <w:t>月</w:t>
      </w:r>
      <w:r>
        <w:rPr>
          <w:rFonts w:hint="eastAsia" w:asciiTheme="minorEastAsia" w:hAnsiTheme="minorEastAsia" w:eastAsiaTheme="minorEastAsia" w:cstheme="minorEastAsia"/>
          <w:snapToGrid w:val="0"/>
          <w:color w:val="auto"/>
          <w:kern w:val="0"/>
          <w:szCs w:val="24"/>
          <w:highlight w:val="none"/>
        </w:rPr>
        <w:t>）</w:t>
      </w:r>
      <w:r>
        <w:rPr>
          <w:rFonts w:hint="eastAsia" w:asciiTheme="minorEastAsia" w:hAnsiTheme="minorEastAsia" w:eastAsiaTheme="minorEastAsia" w:cstheme="minorEastAsia"/>
          <w:snapToGrid w:val="0"/>
          <w:color w:val="auto"/>
          <w:kern w:val="0"/>
          <w:szCs w:val="24"/>
          <w:highlight w:val="none"/>
          <w:lang w:val="en-US" w:eastAsia="zh-CN"/>
        </w:rPr>
        <w:t>扫描件</w:t>
      </w:r>
      <w:r>
        <w:rPr>
          <w:rFonts w:hint="eastAsia" w:asciiTheme="minorEastAsia" w:hAnsiTheme="minorEastAsia" w:eastAsiaTheme="minorEastAsia" w:cstheme="minorEastAsia"/>
          <w:snapToGrid w:val="0"/>
          <w:color w:val="auto"/>
          <w:kern w:val="0"/>
          <w:szCs w:val="24"/>
          <w:highlight w:val="none"/>
        </w:rPr>
        <w:t>；拟派项目经理为</w:t>
      </w:r>
      <w:r>
        <w:rPr>
          <w:rFonts w:hint="eastAsia" w:hAnsi="宋体" w:eastAsia="宋体" w:cs="宋体"/>
          <w:color w:val="auto"/>
          <w:sz w:val="24"/>
          <w:szCs w:val="24"/>
          <w:highlight w:val="none"/>
          <w:lang w:eastAsia="zh-CN"/>
        </w:rPr>
        <w:t>退休人员需提供退休证和返聘合同（协议）彩色扫描件</w:t>
      </w:r>
      <w:r>
        <w:rPr>
          <w:rFonts w:asciiTheme="minorEastAsia" w:hAnsiTheme="minorEastAsia" w:eastAsiaTheme="minorEastAsia" w:cstheme="minorEastAsia"/>
          <w:snapToGrid w:val="0"/>
          <w:color w:val="auto"/>
          <w:kern w:val="0"/>
          <w:szCs w:val="24"/>
          <w:highlight w:val="none"/>
        </w:rPr>
        <w:t>。</w:t>
      </w:r>
    </w:p>
    <w:p w14:paraId="54040FE1">
      <w:pPr>
        <w:rPr>
          <w:rFonts w:asciiTheme="minorEastAsia" w:hAnsiTheme="minorEastAsia" w:eastAsiaTheme="minorEastAsia" w:cstheme="minorEastAsia"/>
          <w:color w:val="auto"/>
          <w:szCs w:val="24"/>
          <w:highlight w:val="none"/>
        </w:rPr>
      </w:pPr>
      <w:bookmarkStart w:id="591" w:name="_Toc5709"/>
      <w:r>
        <w:rPr>
          <w:rFonts w:hint="eastAsia" w:asciiTheme="minorEastAsia" w:hAnsiTheme="minorEastAsia" w:eastAsiaTheme="minorEastAsia" w:cstheme="minorEastAsia"/>
          <w:color w:val="auto"/>
          <w:szCs w:val="24"/>
          <w:highlight w:val="none"/>
          <w:lang w:eastAsia="zh-CN"/>
        </w:rPr>
        <w:t>5.</w:t>
      </w:r>
      <w:r>
        <w:rPr>
          <w:rFonts w:asciiTheme="minorEastAsia" w:hAnsiTheme="minorEastAsia" w:eastAsiaTheme="minorEastAsia" w:cstheme="minorEastAsia"/>
          <w:color w:val="auto"/>
          <w:szCs w:val="24"/>
          <w:highlight w:val="none"/>
        </w:rPr>
        <w:t>“进粤企业和人员诚信信息登记平台 ”个人信息情况截图。（适用于省外建筑企业）。</w:t>
      </w:r>
      <w:r>
        <w:rPr>
          <w:rFonts w:hint="eastAsia" w:asciiTheme="minorEastAsia" w:hAnsiTheme="minorEastAsia" w:eastAsiaTheme="minorEastAsia" w:cstheme="minorEastAsia"/>
          <w:snapToGrid w:val="0"/>
          <w:color w:val="auto"/>
          <w:kern w:val="0"/>
          <w:sz w:val="21"/>
          <w:szCs w:val="21"/>
          <w:highlight w:val="none"/>
          <w:u w:val="none"/>
          <w:lang w:val="zh-CN"/>
        </w:rPr>
        <w:t>（若组成联合体时，由联合体牵头人提供）</w:t>
      </w:r>
      <w:bookmarkEnd w:id="591"/>
    </w:p>
    <w:p w14:paraId="75E08A7F">
      <w:pPr>
        <w:pStyle w:val="32"/>
        <w:jc w:val="both"/>
        <w:rPr>
          <w:rFonts w:hint="default"/>
          <w:color w:val="auto"/>
          <w:highlight w:val="none"/>
        </w:rPr>
      </w:pPr>
    </w:p>
    <w:p w14:paraId="01E7C230">
      <w:pPr>
        <w:rPr>
          <w:color w:val="auto"/>
          <w:highlight w:val="none"/>
        </w:rPr>
      </w:pPr>
    </w:p>
    <w:p w14:paraId="1F91A47A">
      <w:pPr>
        <w:rPr>
          <w:rFonts w:hint="eastAsia" w:asciiTheme="minorEastAsia" w:hAnsiTheme="minorEastAsia" w:eastAsiaTheme="minorEastAsia" w:cstheme="minorEastAsia"/>
          <w:color w:val="auto"/>
          <w:szCs w:val="24"/>
          <w:highlight w:val="none"/>
          <w:lang w:val="en-US" w:eastAsia="zh-CN"/>
        </w:rPr>
      </w:pPr>
      <w:r>
        <w:rPr>
          <w:rFonts w:hint="eastAsia" w:asciiTheme="minorEastAsia" w:hAnsiTheme="minorEastAsia" w:eastAsiaTheme="minorEastAsia" w:cstheme="minorEastAsia"/>
          <w:color w:val="auto"/>
          <w:szCs w:val="24"/>
          <w:highlight w:val="none"/>
          <w:lang w:val="en-US" w:eastAsia="zh-CN"/>
        </w:rPr>
        <w:t xml:space="preserve">  </w:t>
      </w:r>
    </w:p>
    <w:p w14:paraId="31BC77F0">
      <w:pPr>
        <w:rPr>
          <w:rFonts w:hint="default"/>
          <w:color w:val="auto"/>
          <w:highlight w:val="none"/>
          <w:lang w:val="en-US" w:eastAsia="zh-CN"/>
        </w:rPr>
      </w:pPr>
    </w:p>
    <w:p w14:paraId="702F8DE3">
      <w:pPr>
        <w:pStyle w:val="6"/>
        <w:rPr>
          <w:rFonts w:hint="default"/>
          <w:color w:val="auto"/>
          <w:highlight w:val="none"/>
        </w:rPr>
      </w:pPr>
    </w:p>
    <w:p w14:paraId="6BD73489">
      <w:pPr>
        <w:rPr>
          <w:rFonts w:asciiTheme="minorEastAsia" w:hAnsiTheme="minorEastAsia" w:eastAsiaTheme="minorEastAsia" w:cstheme="minorEastAsia"/>
          <w:b/>
          <w:bCs/>
          <w:color w:val="auto"/>
          <w:szCs w:val="24"/>
          <w:highlight w:val="none"/>
        </w:rPr>
      </w:pPr>
      <w:bookmarkStart w:id="592" w:name="_Toc9454"/>
      <w:r>
        <w:rPr>
          <w:rFonts w:asciiTheme="minorEastAsia" w:hAnsiTheme="minorEastAsia" w:eastAsiaTheme="minorEastAsia" w:cstheme="minorEastAsia"/>
          <w:b/>
          <w:bCs/>
          <w:color w:val="auto"/>
          <w:szCs w:val="24"/>
          <w:highlight w:val="none"/>
        </w:rPr>
        <w:br w:type="page"/>
      </w:r>
    </w:p>
    <w:p w14:paraId="397155F3">
      <w:pPr>
        <w:pStyle w:val="4"/>
        <w:spacing w:before="120"/>
        <w:rPr>
          <w:rFonts w:hint="default" w:asciiTheme="minorEastAsia" w:hAnsiTheme="minorEastAsia" w:eastAsiaTheme="minorEastAsia" w:cstheme="minorEastAsia"/>
          <w:b/>
          <w:bCs/>
          <w:color w:val="auto"/>
          <w:szCs w:val="24"/>
          <w:highlight w:val="none"/>
        </w:rPr>
      </w:pPr>
      <w:r>
        <w:rPr>
          <w:rFonts w:asciiTheme="minorEastAsia" w:hAnsiTheme="minorEastAsia" w:eastAsiaTheme="minorEastAsia" w:cstheme="minorEastAsia"/>
          <w:b/>
          <w:bCs/>
          <w:color w:val="auto"/>
          <w:szCs w:val="24"/>
          <w:highlight w:val="none"/>
        </w:rPr>
        <w:t>格式九 项目经理任职声明</w:t>
      </w:r>
      <w:bookmarkEnd w:id="592"/>
    </w:p>
    <w:p w14:paraId="6F9A8A4E">
      <w:pPr>
        <w:wordWrap w:val="0"/>
        <w:adjustRightInd w:val="0"/>
        <w:snapToGrid w:val="0"/>
        <w:spacing w:line="440" w:lineRule="exact"/>
        <w:jc w:val="left"/>
        <w:rPr>
          <w:rFonts w:hint="default" w:asciiTheme="minorEastAsia" w:hAnsiTheme="minorEastAsia" w:eastAsiaTheme="minorEastAsia" w:cstheme="minorEastAsia"/>
          <w:b/>
          <w:snapToGrid w:val="0"/>
          <w:color w:val="auto"/>
          <w:kern w:val="0"/>
          <w:szCs w:val="24"/>
          <w:highlight w:val="none"/>
        </w:rPr>
      </w:pPr>
    </w:p>
    <w:p w14:paraId="390F6025">
      <w:pPr>
        <w:wordWrap w:val="0"/>
        <w:adjustRightInd w:val="0"/>
        <w:snapToGrid w:val="0"/>
        <w:spacing w:before="260" w:after="260" w:line="440" w:lineRule="exact"/>
        <w:jc w:val="center"/>
        <w:rPr>
          <w:rFonts w:hint="default" w:asciiTheme="minorEastAsia" w:hAnsiTheme="minorEastAsia" w:eastAsiaTheme="minorEastAsia" w:cstheme="minorEastAsia"/>
          <w:snapToGrid w:val="0"/>
          <w:color w:val="auto"/>
          <w:kern w:val="0"/>
          <w:szCs w:val="24"/>
          <w:highlight w:val="none"/>
        </w:rPr>
      </w:pPr>
      <w:r>
        <w:rPr>
          <w:rFonts w:asciiTheme="minorEastAsia" w:hAnsiTheme="minorEastAsia" w:eastAsiaTheme="minorEastAsia" w:cstheme="minorEastAsia"/>
          <w:b/>
          <w:snapToGrid w:val="0"/>
          <w:color w:val="auto"/>
          <w:kern w:val="0"/>
          <w:szCs w:val="24"/>
          <w:highlight w:val="none"/>
        </w:rPr>
        <w:t>项目经理任职声明</w:t>
      </w:r>
    </w:p>
    <w:p w14:paraId="51ABE8B7">
      <w:pPr>
        <w:wordWrap w:val="0"/>
        <w:adjustRightInd w:val="0"/>
        <w:snapToGrid w:val="0"/>
        <w:spacing w:line="440" w:lineRule="exact"/>
        <w:jc w:val="center"/>
        <w:rPr>
          <w:rFonts w:hint="default" w:asciiTheme="minorEastAsia" w:hAnsiTheme="minorEastAsia" w:eastAsiaTheme="minorEastAsia" w:cstheme="minorEastAsia"/>
          <w:snapToGrid w:val="0"/>
          <w:color w:val="auto"/>
          <w:kern w:val="0"/>
          <w:szCs w:val="24"/>
          <w:highlight w:val="none"/>
        </w:rPr>
      </w:pPr>
    </w:p>
    <w:p w14:paraId="7813C85B">
      <w:pPr>
        <w:wordWrap w:val="0"/>
        <w:adjustRightInd w:val="0"/>
        <w:snapToGrid w:val="0"/>
        <w:spacing w:line="440" w:lineRule="exact"/>
        <w:rPr>
          <w:rFonts w:hint="default" w:asciiTheme="minorEastAsia" w:hAnsiTheme="minorEastAsia" w:eastAsiaTheme="minorEastAsia" w:cstheme="minorEastAsia"/>
          <w:snapToGrid w:val="0"/>
          <w:color w:val="auto"/>
          <w:kern w:val="0"/>
          <w:szCs w:val="24"/>
          <w:highlight w:val="none"/>
        </w:rPr>
      </w:pPr>
      <w:bookmarkStart w:id="593" w:name="_Toc21599"/>
      <w:r>
        <w:rPr>
          <w:rFonts w:asciiTheme="minorEastAsia" w:hAnsiTheme="minorEastAsia" w:eastAsiaTheme="minorEastAsia" w:cstheme="minorEastAsia"/>
          <w:snapToGrid w:val="0"/>
          <w:color w:val="auto"/>
          <w:kern w:val="0"/>
          <w:szCs w:val="24"/>
          <w:highlight w:val="none"/>
        </w:rPr>
        <w:t>致：（招标人名称）：</w:t>
      </w:r>
    </w:p>
    <w:p w14:paraId="36F8AA02">
      <w:pPr>
        <w:wordWrap w:val="0"/>
        <w:adjustRightInd w:val="0"/>
        <w:snapToGrid w:val="0"/>
        <w:spacing w:line="440" w:lineRule="exact"/>
        <w:rPr>
          <w:rFonts w:hint="default" w:asciiTheme="minorEastAsia" w:hAnsiTheme="minorEastAsia" w:eastAsiaTheme="minorEastAsia" w:cstheme="minorEastAsia"/>
          <w:snapToGrid w:val="0"/>
          <w:color w:val="auto"/>
          <w:kern w:val="0"/>
          <w:szCs w:val="24"/>
          <w:highlight w:val="none"/>
        </w:rPr>
      </w:pPr>
      <w:r>
        <w:rPr>
          <w:rFonts w:asciiTheme="minorEastAsia" w:hAnsiTheme="minorEastAsia" w:eastAsiaTheme="minorEastAsia" w:cstheme="minorEastAsia"/>
          <w:snapToGrid w:val="0"/>
          <w:color w:val="auto"/>
          <w:kern w:val="0"/>
          <w:szCs w:val="24"/>
          <w:highlight w:val="none"/>
        </w:rPr>
        <w:t>　　我方在此声明，我方拟派往（项目名称）的项目经理（项目经理姓名）现阶段没有担任任何在施（包括已中标未开工、已开工未竣工）建设工程项目的项目经理。</w:t>
      </w:r>
    </w:p>
    <w:p w14:paraId="70F65E71">
      <w:pPr>
        <w:wordWrap w:val="0"/>
        <w:adjustRightInd w:val="0"/>
        <w:snapToGrid w:val="0"/>
        <w:spacing w:line="440" w:lineRule="exact"/>
        <w:ind w:firstLine="480"/>
        <w:rPr>
          <w:rFonts w:hint="default" w:asciiTheme="minorEastAsia" w:hAnsiTheme="minorEastAsia" w:eastAsiaTheme="minorEastAsia" w:cstheme="minorEastAsia"/>
          <w:snapToGrid w:val="0"/>
          <w:color w:val="auto"/>
          <w:kern w:val="0"/>
          <w:szCs w:val="24"/>
          <w:highlight w:val="none"/>
        </w:rPr>
      </w:pPr>
      <w:r>
        <w:rPr>
          <w:rFonts w:asciiTheme="minorEastAsia" w:hAnsiTheme="minorEastAsia" w:eastAsiaTheme="minorEastAsia" w:cstheme="minorEastAsia"/>
          <w:snapToGrid w:val="0"/>
          <w:color w:val="auto"/>
          <w:kern w:val="0"/>
          <w:szCs w:val="24"/>
          <w:highlight w:val="none"/>
        </w:rPr>
        <w:t>我方保证上述信息的真实和准确，并愿意承担因我方就此弄虚作假所引起的一切法律后果。</w:t>
      </w:r>
    </w:p>
    <w:p w14:paraId="5C12E161">
      <w:pPr>
        <w:wordWrap w:val="0"/>
        <w:adjustRightInd w:val="0"/>
        <w:snapToGrid w:val="0"/>
        <w:spacing w:line="440" w:lineRule="exact"/>
        <w:ind w:firstLine="480"/>
        <w:rPr>
          <w:rFonts w:hint="default" w:asciiTheme="minorEastAsia" w:hAnsiTheme="minorEastAsia" w:eastAsiaTheme="minorEastAsia" w:cstheme="minorEastAsia"/>
          <w:snapToGrid w:val="0"/>
          <w:color w:val="auto"/>
          <w:kern w:val="0"/>
          <w:szCs w:val="24"/>
          <w:highlight w:val="none"/>
        </w:rPr>
      </w:pPr>
      <w:r>
        <w:rPr>
          <w:rFonts w:asciiTheme="minorEastAsia" w:hAnsiTheme="minorEastAsia" w:eastAsiaTheme="minorEastAsia" w:cstheme="minorEastAsia"/>
          <w:snapToGrid w:val="0"/>
          <w:color w:val="auto"/>
          <w:kern w:val="0"/>
          <w:szCs w:val="24"/>
          <w:highlight w:val="none"/>
        </w:rPr>
        <w:t>　　</w:t>
      </w:r>
    </w:p>
    <w:p w14:paraId="0E27C053">
      <w:pPr>
        <w:wordWrap w:val="0"/>
        <w:adjustRightInd w:val="0"/>
        <w:snapToGrid w:val="0"/>
        <w:spacing w:line="440" w:lineRule="exact"/>
        <w:rPr>
          <w:rFonts w:hint="default" w:asciiTheme="minorEastAsia" w:hAnsiTheme="minorEastAsia" w:eastAsiaTheme="minorEastAsia" w:cstheme="minorEastAsia"/>
          <w:snapToGrid w:val="0"/>
          <w:color w:val="auto"/>
          <w:kern w:val="0"/>
          <w:szCs w:val="24"/>
          <w:highlight w:val="none"/>
        </w:rPr>
      </w:pPr>
      <w:r>
        <w:rPr>
          <w:rFonts w:asciiTheme="minorEastAsia" w:hAnsiTheme="minorEastAsia" w:eastAsiaTheme="minorEastAsia" w:cstheme="minorEastAsia"/>
          <w:snapToGrid w:val="0"/>
          <w:color w:val="auto"/>
          <w:kern w:val="0"/>
          <w:szCs w:val="24"/>
          <w:highlight w:val="none"/>
        </w:rPr>
        <w:t>　　特此承诺　　</w:t>
      </w:r>
    </w:p>
    <w:p w14:paraId="492241D2">
      <w:pPr>
        <w:wordWrap w:val="0"/>
        <w:adjustRightInd w:val="0"/>
        <w:snapToGrid w:val="0"/>
        <w:spacing w:line="440" w:lineRule="exact"/>
        <w:rPr>
          <w:rFonts w:hint="default" w:asciiTheme="minorEastAsia" w:hAnsiTheme="minorEastAsia" w:eastAsiaTheme="minorEastAsia" w:cstheme="minorEastAsia"/>
          <w:snapToGrid w:val="0"/>
          <w:color w:val="auto"/>
          <w:kern w:val="0"/>
          <w:szCs w:val="24"/>
          <w:highlight w:val="none"/>
        </w:rPr>
      </w:pPr>
      <w:r>
        <w:rPr>
          <w:rFonts w:asciiTheme="minorEastAsia" w:hAnsiTheme="minorEastAsia" w:eastAsiaTheme="minorEastAsia" w:cstheme="minorEastAsia"/>
          <w:snapToGrid w:val="0"/>
          <w:color w:val="auto"/>
          <w:kern w:val="0"/>
          <w:szCs w:val="24"/>
          <w:highlight w:val="none"/>
        </w:rPr>
        <w:t>　　</w:t>
      </w:r>
    </w:p>
    <w:p w14:paraId="0666D279">
      <w:pPr>
        <w:wordWrap w:val="0"/>
        <w:adjustRightInd w:val="0"/>
        <w:snapToGrid w:val="0"/>
        <w:spacing w:line="440" w:lineRule="exact"/>
        <w:rPr>
          <w:rFonts w:hint="default" w:asciiTheme="minorEastAsia" w:hAnsiTheme="minorEastAsia" w:eastAsiaTheme="minorEastAsia" w:cstheme="minorEastAsia"/>
          <w:snapToGrid w:val="0"/>
          <w:color w:val="auto"/>
          <w:kern w:val="0"/>
          <w:szCs w:val="24"/>
          <w:highlight w:val="none"/>
        </w:rPr>
      </w:pPr>
      <w:r>
        <w:rPr>
          <w:rFonts w:asciiTheme="minorEastAsia" w:hAnsiTheme="minorEastAsia" w:eastAsiaTheme="minorEastAsia" w:cstheme="minorEastAsia"/>
          <w:snapToGrid w:val="0"/>
          <w:color w:val="auto"/>
          <w:kern w:val="0"/>
          <w:szCs w:val="24"/>
          <w:highlight w:val="none"/>
        </w:rPr>
        <w:t>　　</w:t>
      </w:r>
    </w:p>
    <w:p w14:paraId="1D81DDB3">
      <w:pPr>
        <w:wordWrap w:val="0"/>
        <w:adjustRightInd w:val="0"/>
        <w:snapToGrid w:val="0"/>
        <w:spacing w:line="440" w:lineRule="exact"/>
        <w:jc w:val="right"/>
        <w:rPr>
          <w:rFonts w:hint="default" w:asciiTheme="minorEastAsia" w:hAnsiTheme="minorEastAsia" w:eastAsiaTheme="minorEastAsia" w:cstheme="minorEastAsia"/>
          <w:snapToGrid w:val="0"/>
          <w:color w:val="auto"/>
          <w:kern w:val="0"/>
          <w:szCs w:val="24"/>
          <w:highlight w:val="none"/>
        </w:rPr>
      </w:pPr>
      <w:r>
        <w:rPr>
          <w:rFonts w:asciiTheme="minorEastAsia" w:hAnsiTheme="minorEastAsia" w:eastAsiaTheme="minorEastAsia" w:cstheme="minorEastAsia"/>
          <w:snapToGrid w:val="0"/>
          <w:color w:val="auto"/>
          <w:kern w:val="0"/>
          <w:szCs w:val="24"/>
          <w:highlight w:val="none"/>
        </w:rPr>
        <w:t>投标人：（盖单位章）</w:t>
      </w:r>
    </w:p>
    <w:p w14:paraId="3B23269A">
      <w:pPr>
        <w:wordWrap w:val="0"/>
        <w:adjustRightInd w:val="0"/>
        <w:snapToGrid w:val="0"/>
        <w:spacing w:line="440" w:lineRule="exact"/>
        <w:jc w:val="right"/>
        <w:rPr>
          <w:rFonts w:hint="default" w:asciiTheme="minorEastAsia" w:hAnsiTheme="minorEastAsia" w:eastAsiaTheme="minorEastAsia" w:cstheme="minorEastAsia"/>
          <w:snapToGrid w:val="0"/>
          <w:color w:val="auto"/>
          <w:kern w:val="0"/>
          <w:szCs w:val="24"/>
          <w:highlight w:val="none"/>
        </w:rPr>
      </w:pPr>
    </w:p>
    <w:p w14:paraId="2D8E5DE2">
      <w:pPr>
        <w:wordWrap w:val="0"/>
        <w:adjustRightInd w:val="0"/>
        <w:snapToGrid w:val="0"/>
        <w:spacing w:line="440" w:lineRule="exact"/>
        <w:jc w:val="right"/>
        <w:rPr>
          <w:rFonts w:hint="default" w:asciiTheme="minorEastAsia" w:hAnsiTheme="minorEastAsia" w:eastAsiaTheme="minorEastAsia" w:cstheme="minorEastAsia"/>
          <w:snapToGrid w:val="0"/>
          <w:color w:val="auto"/>
          <w:kern w:val="0"/>
          <w:szCs w:val="24"/>
          <w:highlight w:val="none"/>
        </w:rPr>
      </w:pPr>
    </w:p>
    <w:p w14:paraId="4CF426AA">
      <w:pPr>
        <w:wordWrap w:val="0"/>
        <w:adjustRightInd w:val="0"/>
        <w:snapToGrid w:val="0"/>
        <w:spacing w:line="440" w:lineRule="exact"/>
        <w:jc w:val="right"/>
        <w:rPr>
          <w:rFonts w:hint="default" w:asciiTheme="minorEastAsia" w:hAnsiTheme="minorEastAsia" w:eastAsiaTheme="minorEastAsia" w:cstheme="minorEastAsia"/>
          <w:snapToGrid w:val="0"/>
          <w:color w:val="auto"/>
          <w:kern w:val="0"/>
          <w:szCs w:val="24"/>
          <w:highlight w:val="none"/>
        </w:rPr>
      </w:pPr>
      <w:r>
        <w:rPr>
          <w:rFonts w:asciiTheme="minorEastAsia" w:hAnsiTheme="minorEastAsia" w:eastAsiaTheme="minorEastAsia" w:cstheme="minorEastAsia"/>
          <w:snapToGrid w:val="0"/>
          <w:color w:val="auto"/>
          <w:kern w:val="0"/>
          <w:szCs w:val="24"/>
          <w:highlight w:val="none"/>
        </w:rPr>
        <w:t>法定代表人或其委托代理人：（签字或盖章）</w:t>
      </w:r>
    </w:p>
    <w:p w14:paraId="683F62BA">
      <w:pPr>
        <w:wordWrap w:val="0"/>
        <w:adjustRightInd w:val="0"/>
        <w:snapToGrid w:val="0"/>
        <w:spacing w:line="440" w:lineRule="exact"/>
        <w:jc w:val="right"/>
        <w:rPr>
          <w:rFonts w:hint="default" w:asciiTheme="minorEastAsia" w:hAnsiTheme="minorEastAsia" w:eastAsiaTheme="minorEastAsia" w:cstheme="minorEastAsia"/>
          <w:snapToGrid w:val="0"/>
          <w:color w:val="auto"/>
          <w:kern w:val="0"/>
          <w:szCs w:val="24"/>
          <w:highlight w:val="none"/>
        </w:rPr>
      </w:pPr>
    </w:p>
    <w:p w14:paraId="4452AC38">
      <w:pPr>
        <w:wordWrap w:val="0"/>
        <w:adjustRightInd w:val="0"/>
        <w:snapToGrid w:val="0"/>
        <w:spacing w:line="440" w:lineRule="exact"/>
        <w:jc w:val="center"/>
        <w:rPr>
          <w:rFonts w:asciiTheme="minorEastAsia" w:hAnsiTheme="minorEastAsia" w:eastAsiaTheme="minorEastAsia" w:cstheme="minorEastAsia"/>
          <w:snapToGrid w:val="0"/>
          <w:color w:val="auto"/>
          <w:kern w:val="0"/>
          <w:szCs w:val="24"/>
          <w:highlight w:val="none"/>
        </w:rPr>
      </w:pPr>
      <w:r>
        <w:rPr>
          <w:rFonts w:hint="eastAsia" w:asciiTheme="minorEastAsia" w:hAnsiTheme="minorEastAsia" w:eastAsiaTheme="minorEastAsia" w:cstheme="minorEastAsia"/>
          <w:snapToGrid w:val="0"/>
          <w:color w:val="auto"/>
          <w:kern w:val="0"/>
          <w:szCs w:val="24"/>
          <w:highlight w:val="none"/>
          <w:lang w:val="en-US" w:eastAsia="zh-CN"/>
        </w:rPr>
        <w:t xml:space="preserve">                                               </w:t>
      </w:r>
      <w:r>
        <w:rPr>
          <w:rFonts w:asciiTheme="minorEastAsia" w:hAnsiTheme="minorEastAsia" w:eastAsiaTheme="minorEastAsia" w:cstheme="minorEastAsia"/>
          <w:snapToGrid w:val="0"/>
          <w:color w:val="auto"/>
          <w:kern w:val="0"/>
          <w:szCs w:val="24"/>
          <w:highlight w:val="none"/>
        </w:rPr>
        <w:t>年</w:t>
      </w:r>
      <w:r>
        <w:rPr>
          <w:rFonts w:hint="eastAsia" w:asciiTheme="minorEastAsia" w:hAnsiTheme="minorEastAsia" w:eastAsiaTheme="minorEastAsia" w:cstheme="minorEastAsia"/>
          <w:snapToGrid w:val="0"/>
          <w:color w:val="auto"/>
          <w:kern w:val="0"/>
          <w:szCs w:val="24"/>
          <w:highlight w:val="none"/>
          <w:lang w:val="en-US" w:eastAsia="zh-CN"/>
        </w:rPr>
        <w:t xml:space="preserve">   </w:t>
      </w:r>
      <w:r>
        <w:rPr>
          <w:rFonts w:asciiTheme="minorEastAsia" w:hAnsiTheme="minorEastAsia" w:eastAsiaTheme="minorEastAsia" w:cstheme="minorEastAsia"/>
          <w:snapToGrid w:val="0"/>
          <w:color w:val="auto"/>
          <w:kern w:val="0"/>
          <w:szCs w:val="24"/>
          <w:highlight w:val="none"/>
        </w:rPr>
        <w:t>月</w:t>
      </w:r>
      <w:r>
        <w:rPr>
          <w:rFonts w:hint="eastAsia" w:asciiTheme="minorEastAsia" w:hAnsiTheme="minorEastAsia" w:eastAsiaTheme="minorEastAsia" w:cstheme="minorEastAsia"/>
          <w:snapToGrid w:val="0"/>
          <w:color w:val="auto"/>
          <w:kern w:val="0"/>
          <w:szCs w:val="24"/>
          <w:highlight w:val="none"/>
          <w:lang w:val="en-US" w:eastAsia="zh-CN"/>
        </w:rPr>
        <w:t xml:space="preserve">  </w:t>
      </w:r>
      <w:r>
        <w:rPr>
          <w:rFonts w:asciiTheme="minorEastAsia" w:hAnsiTheme="minorEastAsia" w:eastAsiaTheme="minorEastAsia" w:cstheme="minorEastAsia"/>
          <w:snapToGrid w:val="0"/>
          <w:color w:val="auto"/>
          <w:kern w:val="0"/>
          <w:szCs w:val="24"/>
          <w:highlight w:val="none"/>
        </w:rPr>
        <w:t>日</w:t>
      </w:r>
    </w:p>
    <w:p w14:paraId="22F19686">
      <w:pPr>
        <w:rPr>
          <w:rFonts w:asciiTheme="minorEastAsia" w:hAnsiTheme="minorEastAsia" w:eastAsiaTheme="minorEastAsia" w:cstheme="minorEastAsia"/>
          <w:snapToGrid w:val="0"/>
          <w:color w:val="auto"/>
          <w:kern w:val="0"/>
          <w:szCs w:val="24"/>
          <w:highlight w:val="none"/>
        </w:rPr>
      </w:pPr>
      <w:r>
        <w:rPr>
          <w:rFonts w:asciiTheme="minorEastAsia" w:hAnsiTheme="minorEastAsia" w:eastAsiaTheme="minorEastAsia" w:cstheme="minorEastAsia"/>
          <w:snapToGrid w:val="0"/>
          <w:color w:val="auto"/>
          <w:kern w:val="0"/>
          <w:szCs w:val="24"/>
          <w:highlight w:val="none"/>
        </w:rPr>
        <w:br w:type="page"/>
      </w:r>
    </w:p>
    <w:p w14:paraId="58F172F8">
      <w:pPr>
        <w:wordWrap w:val="0"/>
        <w:adjustRightInd w:val="0"/>
        <w:snapToGrid w:val="0"/>
        <w:spacing w:line="440" w:lineRule="exact"/>
        <w:jc w:val="center"/>
        <w:rPr>
          <w:rFonts w:hint="default" w:asciiTheme="minorEastAsia" w:hAnsiTheme="minorEastAsia" w:eastAsiaTheme="minorEastAsia" w:cstheme="minorEastAsia"/>
          <w:snapToGrid w:val="0"/>
          <w:color w:val="auto"/>
          <w:kern w:val="0"/>
          <w:szCs w:val="24"/>
          <w:highlight w:val="none"/>
        </w:rPr>
      </w:pPr>
    </w:p>
    <w:p w14:paraId="3D1EEE92">
      <w:pPr>
        <w:rPr>
          <w:rFonts w:hint="default"/>
          <w:color w:val="auto"/>
          <w:highlight w:val="none"/>
        </w:rPr>
      </w:pPr>
    </w:p>
    <w:p w14:paraId="2FED143E">
      <w:pPr>
        <w:pStyle w:val="4"/>
        <w:spacing w:before="120"/>
        <w:rPr>
          <w:rFonts w:hint="default" w:asciiTheme="minorEastAsia" w:hAnsiTheme="minorEastAsia" w:eastAsiaTheme="minorEastAsia" w:cstheme="minorEastAsia"/>
          <w:b/>
          <w:bCs/>
          <w:color w:val="auto"/>
          <w:szCs w:val="24"/>
          <w:highlight w:val="none"/>
        </w:rPr>
      </w:pPr>
      <w:bookmarkStart w:id="594" w:name="_Toc16467"/>
      <w:r>
        <w:rPr>
          <w:rFonts w:asciiTheme="minorEastAsia" w:hAnsiTheme="minorEastAsia" w:eastAsiaTheme="minorEastAsia" w:cstheme="minorEastAsia"/>
          <w:b/>
          <w:bCs/>
          <w:color w:val="auto"/>
          <w:szCs w:val="24"/>
          <w:highlight w:val="none"/>
        </w:rPr>
        <w:t>格式十 项目技术负责人简历表</w:t>
      </w:r>
      <w:bookmarkEnd w:id="593"/>
      <w:bookmarkEnd w:id="594"/>
    </w:p>
    <w:p w14:paraId="402800C1">
      <w:pPr>
        <w:wordWrap w:val="0"/>
        <w:adjustRightInd w:val="0"/>
        <w:snapToGrid w:val="0"/>
        <w:spacing w:line="440" w:lineRule="exact"/>
        <w:jc w:val="left"/>
        <w:rPr>
          <w:rFonts w:hint="default" w:asciiTheme="minorEastAsia" w:hAnsiTheme="minorEastAsia" w:eastAsiaTheme="minorEastAsia" w:cstheme="minorEastAsia"/>
          <w:b/>
          <w:bCs/>
          <w:snapToGrid w:val="0"/>
          <w:color w:val="auto"/>
          <w:kern w:val="0"/>
          <w:szCs w:val="24"/>
          <w:highlight w:val="none"/>
        </w:rPr>
      </w:pPr>
    </w:p>
    <w:tbl>
      <w:tblPr>
        <w:tblStyle w:val="23"/>
        <w:tblpPr w:leftFromText="180" w:rightFromText="180" w:vertAnchor="text" w:horzAnchor="page" w:tblpX="1490" w:tblpY="692"/>
        <w:tblOverlap w:val="never"/>
        <w:tblW w:w="9270" w:type="dxa"/>
        <w:tblInd w:w="0"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775"/>
        <w:gridCol w:w="963"/>
        <w:gridCol w:w="584"/>
        <w:gridCol w:w="648"/>
        <w:gridCol w:w="1294"/>
        <w:gridCol w:w="1946"/>
        <w:gridCol w:w="27"/>
        <w:gridCol w:w="1706"/>
        <w:gridCol w:w="1327"/>
      </w:tblGrid>
      <w:tr w14:paraId="12A49820">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exact"/>
        </w:trPr>
        <w:tc>
          <w:tcPr>
            <w:tcW w:w="1738" w:type="dxa"/>
            <w:gridSpan w:val="2"/>
            <w:tcBorders>
              <w:top w:val="single" w:color="auto" w:sz="6" w:space="0"/>
              <w:left w:val="single" w:color="auto" w:sz="6" w:space="0"/>
              <w:bottom w:val="single" w:color="auto" w:sz="6" w:space="0"/>
              <w:right w:val="single" w:color="auto" w:sz="6" w:space="0"/>
            </w:tcBorders>
            <w:vAlign w:val="center"/>
          </w:tcPr>
          <w:p w14:paraId="04859D61">
            <w:pPr>
              <w:keepNext w:val="0"/>
              <w:keepLines w:val="0"/>
              <w:suppressLineNumbers w:val="0"/>
              <w:wordWrap w:val="0"/>
              <w:adjustRightInd w:val="0"/>
              <w:snapToGrid w:val="0"/>
              <w:spacing w:before="0" w:beforeAutospacing="0" w:after="0" w:afterAutospacing="0"/>
              <w:ind w:left="0" w:right="0"/>
              <w:jc w:val="center"/>
              <w:rPr>
                <w:rFonts w:hint="default" w:asciiTheme="minorEastAsia" w:hAnsiTheme="minorEastAsia" w:eastAsiaTheme="minorEastAsia" w:cstheme="minorEastAsia"/>
                <w:snapToGrid w:val="0"/>
                <w:color w:val="auto"/>
                <w:kern w:val="0"/>
                <w:szCs w:val="24"/>
                <w:highlight w:val="none"/>
              </w:rPr>
            </w:pPr>
            <w:r>
              <w:rPr>
                <w:rFonts w:asciiTheme="minorEastAsia" w:hAnsiTheme="minorEastAsia" w:eastAsiaTheme="minorEastAsia" w:cstheme="minorEastAsia"/>
                <w:snapToGrid w:val="0"/>
                <w:color w:val="auto"/>
                <w:kern w:val="0"/>
                <w:szCs w:val="24"/>
                <w:highlight w:val="none"/>
              </w:rPr>
              <w:t>姓   名</w:t>
            </w:r>
          </w:p>
        </w:tc>
        <w:tc>
          <w:tcPr>
            <w:tcW w:w="1232" w:type="dxa"/>
            <w:gridSpan w:val="2"/>
            <w:tcBorders>
              <w:top w:val="single" w:color="auto" w:sz="6" w:space="0"/>
              <w:left w:val="single" w:color="auto" w:sz="6" w:space="0"/>
              <w:bottom w:val="single" w:color="auto" w:sz="6" w:space="0"/>
              <w:right w:val="single" w:color="auto" w:sz="6" w:space="0"/>
            </w:tcBorders>
            <w:vAlign w:val="center"/>
          </w:tcPr>
          <w:p w14:paraId="00657A92">
            <w:pPr>
              <w:keepNext w:val="0"/>
              <w:keepLines w:val="0"/>
              <w:suppressLineNumbers w:val="0"/>
              <w:wordWrap w:val="0"/>
              <w:adjustRightInd w:val="0"/>
              <w:snapToGrid w:val="0"/>
              <w:spacing w:before="0" w:beforeAutospacing="0" w:after="0" w:afterAutospacing="0"/>
              <w:ind w:left="0" w:right="0"/>
              <w:jc w:val="center"/>
              <w:rPr>
                <w:rFonts w:hint="default" w:asciiTheme="minorEastAsia" w:hAnsiTheme="minorEastAsia" w:eastAsiaTheme="minorEastAsia" w:cstheme="minorEastAsia"/>
                <w:snapToGrid w:val="0"/>
                <w:color w:val="auto"/>
                <w:kern w:val="0"/>
                <w:szCs w:val="24"/>
                <w:highlight w:val="none"/>
              </w:rPr>
            </w:pPr>
          </w:p>
        </w:tc>
        <w:tc>
          <w:tcPr>
            <w:tcW w:w="1294" w:type="dxa"/>
            <w:tcBorders>
              <w:top w:val="single" w:color="auto" w:sz="6" w:space="0"/>
              <w:left w:val="single" w:color="auto" w:sz="6" w:space="0"/>
              <w:bottom w:val="single" w:color="auto" w:sz="6" w:space="0"/>
              <w:right w:val="single" w:color="auto" w:sz="6" w:space="0"/>
            </w:tcBorders>
            <w:vAlign w:val="center"/>
          </w:tcPr>
          <w:p w14:paraId="3DD913D5">
            <w:pPr>
              <w:keepNext w:val="0"/>
              <w:keepLines w:val="0"/>
              <w:suppressLineNumbers w:val="0"/>
              <w:wordWrap w:val="0"/>
              <w:adjustRightInd w:val="0"/>
              <w:snapToGrid w:val="0"/>
              <w:spacing w:before="0" w:beforeAutospacing="0" w:after="0" w:afterAutospacing="0"/>
              <w:ind w:left="0" w:right="0"/>
              <w:jc w:val="center"/>
              <w:rPr>
                <w:rFonts w:hint="default" w:asciiTheme="minorEastAsia" w:hAnsiTheme="minorEastAsia" w:eastAsiaTheme="minorEastAsia" w:cstheme="minorEastAsia"/>
                <w:snapToGrid w:val="0"/>
                <w:color w:val="auto"/>
                <w:kern w:val="0"/>
                <w:szCs w:val="24"/>
                <w:highlight w:val="none"/>
              </w:rPr>
            </w:pPr>
            <w:r>
              <w:rPr>
                <w:rFonts w:asciiTheme="minorEastAsia" w:hAnsiTheme="minorEastAsia" w:eastAsiaTheme="minorEastAsia" w:cstheme="minorEastAsia"/>
                <w:snapToGrid w:val="0"/>
                <w:color w:val="auto"/>
                <w:kern w:val="0"/>
                <w:szCs w:val="24"/>
                <w:highlight w:val="none"/>
              </w:rPr>
              <w:t>性  别</w:t>
            </w:r>
          </w:p>
        </w:tc>
        <w:tc>
          <w:tcPr>
            <w:tcW w:w="1946" w:type="dxa"/>
            <w:tcBorders>
              <w:top w:val="single" w:color="auto" w:sz="6" w:space="0"/>
              <w:left w:val="single" w:color="auto" w:sz="6" w:space="0"/>
              <w:bottom w:val="single" w:color="auto" w:sz="6" w:space="0"/>
              <w:right w:val="single" w:color="auto" w:sz="6" w:space="0"/>
            </w:tcBorders>
            <w:vAlign w:val="center"/>
          </w:tcPr>
          <w:p w14:paraId="2E40574D">
            <w:pPr>
              <w:keepNext w:val="0"/>
              <w:keepLines w:val="0"/>
              <w:suppressLineNumbers w:val="0"/>
              <w:wordWrap w:val="0"/>
              <w:adjustRightInd w:val="0"/>
              <w:snapToGrid w:val="0"/>
              <w:spacing w:before="0" w:beforeAutospacing="0" w:after="0" w:afterAutospacing="0"/>
              <w:ind w:left="0" w:right="0"/>
              <w:jc w:val="center"/>
              <w:rPr>
                <w:rFonts w:hint="default" w:asciiTheme="minorEastAsia" w:hAnsiTheme="minorEastAsia" w:eastAsiaTheme="minorEastAsia" w:cstheme="minorEastAsia"/>
                <w:snapToGrid w:val="0"/>
                <w:color w:val="auto"/>
                <w:kern w:val="0"/>
                <w:szCs w:val="24"/>
                <w:highlight w:val="none"/>
              </w:rPr>
            </w:pPr>
          </w:p>
        </w:tc>
        <w:tc>
          <w:tcPr>
            <w:tcW w:w="1733" w:type="dxa"/>
            <w:gridSpan w:val="2"/>
            <w:tcBorders>
              <w:top w:val="single" w:color="auto" w:sz="6" w:space="0"/>
              <w:left w:val="single" w:color="auto" w:sz="6" w:space="0"/>
              <w:bottom w:val="single" w:color="auto" w:sz="6" w:space="0"/>
              <w:right w:val="single" w:color="auto" w:sz="6" w:space="0"/>
            </w:tcBorders>
            <w:vAlign w:val="center"/>
          </w:tcPr>
          <w:p w14:paraId="66E4BB80">
            <w:pPr>
              <w:keepNext w:val="0"/>
              <w:keepLines w:val="0"/>
              <w:suppressLineNumbers w:val="0"/>
              <w:wordWrap w:val="0"/>
              <w:adjustRightInd w:val="0"/>
              <w:snapToGrid w:val="0"/>
              <w:spacing w:before="0" w:beforeAutospacing="0" w:after="0" w:afterAutospacing="0"/>
              <w:ind w:left="0" w:right="0"/>
              <w:jc w:val="center"/>
              <w:rPr>
                <w:rFonts w:hint="default" w:asciiTheme="minorEastAsia" w:hAnsiTheme="minorEastAsia" w:eastAsiaTheme="minorEastAsia" w:cstheme="minorEastAsia"/>
                <w:snapToGrid w:val="0"/>
                <w:color w:val="auto"/>
                <w:kern w:val="0"/>
                <w:szCs w:val="24"/>
                <w:highlight w:val="none"/>
              </w:rPr>
            </w:pPr>
            <w:r>
              <w:rPr>
                <w:rFonts w:asciiTheme="minorEastAsia" w:hAnsiTheme="minorEastAsia" w:eastAsiaTheme="minorEastAsia" w:cstheme="minorEastAsia"/>
                <w:snapToGrid w:val="0"/>
                <w:color w:val="auto"/>
                <w:kern w:val="0"/>
                <w:szCs w:val="24"/>
                <w:highlight w:val="none"/>
              </w:rPr>
              <w:t>年   龄</w:t>
            </w:r>
          </w:p>
        </w:tc>
        <w:tc>
          <w:tcPr>
            <w:tcW w:w="1327" w:type="dxa"/>
            <w:tcBorders>
              <w:top w:val="single" w:color="auto" w:sz="6" w:space="0"/>
              <w:left w:val="single" w:color="auto" w:sz="6" w:space="0"/>
              <w:bottom w:val="single" w:color="auto" w:sz="6" w:space="0"/>
              <w:right w:val="single" w:color="auto" w:sz="6" w:space="0"/>
            </w:tcBorders>
            <w:vAlign w:val="center"/>
          </w:tcPr>
          <w:p w14:paraId="323A1215">
            <w:pPr>
              <w:keepNext w:val="0"/>
              <w:keepLines w:val="0"/>
              <w:suppressLineNumbers w:val="0"/>
              <w:wordWrap w:val="0"/>
              <w:adjustRightInd w:val="0"/>
              <w:snapToGrid w:val="0"/>
              <w:spacing w:before="0" w:beforeAutospacing="0" w:after="0" w:afterAutospacing="0"/>
              <w:ind w:left="0" w:right="0"/>
              <w:jc w:val="center"/>
              <w:rPr>
                <w:rFonts w:hint="default" w:asciiTheme="minorEastAsia" w:hAnsiTheme="minorEastAsia" w:eastAsiaTheme="minorEastAsia" w:cstheme="minorEastAsia"/>
                <w:snapToGrid w:val="0"/>
                <w:color w:val="auto"/>
                <w:kern w:val="0"/>
                <w:szCs w:val="24"/>
                <w:highlight w:val="none"/>
              </w:rPr>
            </w:pPr>
          </w:p>
        </w:tc>
      </w:tr>
      <w:tr w14:paraId="5DEC7AD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exact"/>
        </w:trPr>
        <w:tc>
          <w:tcPr>
            <w:tcW w:w="1738" w:type="dxa"/>
            <w:gridSpan w:val="2"/>
            <w:tcBorders>
              <w:top w:val="single" w:color="auto" w:sz="6" w:space="0"/>
              <w:left w:val="single" w:color="auto" w:sz="6" w:space="0"/>
              <w:bottom w:val="single" w:color="auto" w:sz="6" w:space="0"/>
              <w:right w:val="single" w:color="auto" w:sz="6" w:space="0"/>
            </w:tcBorders>
            <w:vAlign w:val="center"/>
          </w:tcPr>
          <w:p w14:paraId="3F527B31">
            <w:pPr>
              <w:keepNext w:val="0"/>
              <w:keepLines w:val="0"/>
              <w:suppressLineNumbers w:val="0"/>
              <w:wordWrap w:val="0"/>
              <w:adjustRightInd w:val="0"/>
              <w:snapToGrid w:val="0"/>
              <w:spacing w:before="0" w:beforeAutospacing="0" w:after="0" w:afterAutospacing="0"/>
              <w:ind w:left="0" w:right="0"/>
              <w:jc w:val="center"/>
              <w:rPr>
                <w:rFonts w:hint="default" w:asciiTheme="minorEastAsia" w:hAnsiTheme="minorEastAsia" w:eastAsiaTheme="minorEastAsia" w:cstheme="minorEastAsia"/>
                <w:snapToGrid w:val="0"/>
                <w:color w:val="auto"/>
                <w:kern w:val="0"/>
                <w:szCs w:val="24"/>
                <w:highlight w:val="none"/>
              </w:rPr>
            </w:pPr>
            <w:r>
              <w:rPr>
                <w:rFonts w:asciiTheme="minorEastAsia" w:hAnsiTheme="minorEastAsia" w:eastAsiaTheme="minorEastAsia" w:cstheme="minorEastAsia"/>
                <w:snapToGrid w:val="0"/>
                <w:color w:val="auto"/>
                <w:kern w:val="0"/>
                <w:szCs w:val="24"/>
                <w:highlight w:val="none"/>
              </w:rPr>
              <w:t>职   务</w:t>
            </w:r>
          </w:p>
        </w:tc>
        <w:tc>
          <w:tcPr>
            <w:tcW w:w="1232" w:type="dxa"/>
            <w:gridSpan w:val="2"/>
            <w:tcBorders>
              <w:top w:val="single" w:color="auto" w:sz="6" w:space="0"/>
              <w:left w:val="single" w:color="auto" w:sz="6" w:space="0"/>
              <w:bottom w:val="single" w:color="auto" w:sz="6" w:space="0"/>
              <w:right w:val="single" w:color="auto" w:sz="6" w:space="0"/>
            </w:tcBorders>
            <w:vAlign w:val="center"/>
          </w:tcPr>
          <w:p w14:paraId="43377F48">
            <w:pPr>
              <w:keepNext w:val="0"/>
              <w:keepLines w:val="0"/>
              <w:suppressLineNumbers w:val="0"/>
              <w:wordWrap w:val="0"/>
              <w:adjustRightInd w:val="0"/>
              <w:snapToGrid w:val="0"/>
              <w:spacing w:before="0" w:beforeAutospacing="0" w:after="0" w:afterAutospacing="0"/>
              <w:ind w:left="0" w:right="0"/>
              <w:jc w:val="center"/>
              <w:rPr>
                <w:rFonts w:hint="default" w:asciiTheme="minorEastAsia" w:hAnsiTheme="minorEastAsia" w:eastAsiaTheme="minorEastAsia" w:cstheme="minorEastAsia"/>
                <w:snapToGrid w:val="0"/>
                <w:color w:val="auto"/>
                <w:kern w:val="0"/>
                <w:szCs w:val="24"/>
                <w:highlight w:val="none"/>
              </w:rPr>
            </w:pPr>
          </w:p>
        </w:tc>
        <w:tc>
          <w:tcPr>
            <w:tcW w:w="1294" w:type="dxa"/>
            <w:tcBorders>
              <w:top w:val="single" w:color="auto" w:sz="6" w:space="0"/>
              <w:left w:val="single" w:color="auto" w:sz="6" w:space="0"/>
              <w:bottom w:val="single" w:color="auto" w:sz="6" w:space="0"/>
              <w:right w:val="single" w:color="auto" w:sz="6" w:space="0"/>
            </w:tcBorders>
            <w:vAlign w:val="center"/>
          </w:tcPr>
          <w:p w14:paraId="5027B47C">
            <w:pPr>
              <w:keepNext w:val="0"/>
              <w:keepLines w:val="0"/>
              <w:suppressLineNumbers w:val="0"/>
              <w:wordWrap w:val="0"/>
              <w:adjustRightInd w:val="0"/>
              <w:snapToGrid w:val="0"/>
              <w:spacing w:before="0" w:beforeAutospacing="0" w:after="0" w:afterAutospacing="0"/>
              <w:ind w:left="0" w:right="0"/>
              <w:jc w:val="center"/>
              <w:rPr>
                <w:rFonts w:hint="default" w:asciiTheme="minorEastAsia" w:hAnsiTheme="minorEastAsia" w:eastAsiaTheme="minorEastAsia" w:cstheme="minorEastAsia"/>
                <w:snapToGrid w:val="0"/>
                <w:color w:val="auto"/>
                <w:kern w:val="0"/>
                <w:szCs w:val="24"/>
                <w:highlight w:val="none"/>
              </w:rPr>
            </w:pPr>
            <w:r>
              <w:rPr>
                <w:rFonts w:asciiTheme="minorEastAsia" w:hAnsiTheme="minorEastAsia" w:eastAsiaTheme="minorEastAsia" w:cstheme="minorEastAsia"/>
                <w:snapToGrid w:val="0"/>
                <w:color w:val="auto"/>
                <w:kern w:val="0"/>
                <w:szCs w:val="24"/>
                <w:highlight w:val="none"/>
              </w:rPr>
              <w:t>职  称</w:t>
            </w:r>
          </w:p>
        </w:tc>
        <w:tc>
          <w:tcPr>
            <w:tcW w:w="1946" w:type="dxa"/>
            <w:tcBorders>
              <w:top w:val="single" w:color="auto" w:sz="6" w:space="0"/>
              <w:left w:val="single" w:color="auto" w:sz="6" w:space="0"/>
              <w:bottom w:val="single" w:color="auto" w:sz="6" w:space="0"/>
              <w:right w:val="single" w:color="auto" w:sz="6" w:space="0"/>
            </w:tcBorders>
            <w:vAlign w:val="center"/>
          </w:tcPr>
          <w:p w14:paraId="30CF3F18">
            <w:pPr>
              <w:keepNext w:val="0"/>
              <w:keepLines w:val="0"/>
              <w:suppressLineNumbers w:val="0"/>
              <w:wordWrap w:val="0"/>
              <w:adjustRightInd w:val="0"/>
              <w:snapToGrid w:val="0"/>
              <w:spacing w:before="0" w:beforeAutospacing="0" w:after="0" w:afterAutospacing="0"/>
              <w:ind w:left="0" w:right="0"/>
              <w:jc w:val="center"/>
              <w:rPr>
                <w:rFonts w:hint="default" w:asciiTheme="minorEastAsia" w:hAnsiTheme="minorEastAsia" w:eastAsiaTheme="minorEastAsia" w:cstheme="minorEastAsia"/>
                <w:snapToGrid w:val="0"/>
                <w:color w:val="auto"/>
                <w:kern w:val="0"/>
                <w:szCs w:val="24"/>
                <w:highlight w:val="none"/>
              </w:rPr>
            </w:pPr>
          </w:p>
        </w:tc>
        <w:tc>
          <w:tcPr>
            <w:tcW w:w="1733" w:type="dxa"/>
            <w:gridSpan w:val="2"/>
            <w:tcBorders>
              <w:top w:val="single" w:color="auto" w:sz="6" w:space="0"/>
              <w:left w:val="single" w:color="auto" w:sz="6" w:space="0"/>
              <w:bottom w:val="single" w:color="auto" w:sz="6" w:space="0"/>
              <w:right w:val="single" w:color="auto" w:sz="6" w:space="0"/>
            </w:tcBorders>
            <w:vAlign w:val="center"/>
          </w:tcPr>
          <w:p w14:paraId="60926C3D">
            <w:pPr>
              <w:keepNext w:val="0"/>
              <w:keepLines w:val="0"/>
              <w:suppressLineNumbers w:val="0"/>
              <w:wordWrap w:val="0"/>
              <w:adjustRightInd w:val="0"/>
              <w:snapToGrid w:val="0"/>
              <w:spacing w:before="0" w:beforeAutospacing="0" w:after="0" w:afterAutospacing="0"/>
              <w:ind w:left="0" w:right="0"/>
              <w:jc w:val="center"/>
              <w:rPr>
                <w:rFonts w:hint="default" w:asciiTheme="minorEastAsia" w:hAnsiTheme="minorEastAsia" w:eastAsiaTheme="minorEastAsia" w:cstheme="minorEastAsia"/>
                <w:snapToGrid w:val="0"/>
                <w:color w:val="auto"/>
                <w:kern w:val="0"/>
                <w:szCs w:val="24"/>
                <w:highlight w:val="none"/>
              </w:rPr>
            </w:pPr>
            <w:r>
              <w:rPr>
                <w:rFonts w:asciiTheme="minorEastAsia" w:hAnsiTheme="minorEastAsia" w:eastAsiaTheme="minorEastAsia" w:cstheme="minorEastAsia"/>
                <w:snapToGrid w:val="0"/>
                <w:color w:val="auto"/>
                <w:kern w:val="0"/>
                <w:szCs w:val="24"/>
                <w:highlight w:val="none"/>
              </w:rPr>
              <w:t>学   历</w:t>
            </w:r>
          </w:p>
        </w:tc>
        <w:tc>
          <w:tcPr>
            <w:tcW w:w="1327" w:type="dxa"/>
            <w:tcBorders>
              <w:top w:val="single" w:color="auto" w:sz="6" w:space="0"/>
              <w:left w:val="single" w:color="auto" w:sz="6" w:space="0"/>
              <w:bottom w:val="single" w:color="auto" w:sz="6" w:space="0"/>
              <w:right w:val="single" w:color="auto" w:sz="6" w:space="0"/>
            </w:tcBorders>
            <w:vAlign w:val="center"/>
          </w:tcPr>
          <w:p w14:paraId="3BED06A9">
            <w:pPr>
              <w:keepNext w:val="0"/>
              <w:keepLines w:val="0"/>
              <w:suppressLineNumbers w:val="0"/>
              <w:wordWrap w:val="0"/>
              <w:adjustRightInd w:val="0"/>
              <w:snapToGrid w:val="0"/>
              <w:spacing w:before="0" w:beforeAutospacing="0" w:after="0" w:afterAutospacing="0"/>
              <w:ind w:left="0" w:right="0"/>
              <w:jc w:val="center"/>
              <w:rPr>
                <w:rFonts w:hint="default" w:asciiTheme="minorEastAsia" w:hAnsiTheme="minorEastAsia" w:eastAsiaTheme="minorEastAsia" w:cstheme="minorEastAsia"/>
                <w:snapToGrid w:val="0"/>
                <w:color w:val="auto"/>
                <w:kern w:val="0"/>
                <w:szCs w:val="24"/>
                <w:highlight w:val="none"/>
              </w:rPr>
            </w:pPr>
          </w:p>
        </w:tc>
      </w:tr>
      <w:tr w14:paraId="3152DAE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exact"/>
        </w:trPr>
        <w:tc>
          <w:tcPr>
            <w:tcW w:w="1738" w:type="dxa"/>
            <w:gridSpan w:val="2"/>
            <w:tcBorders>
              <w:top w:val="single" w:color="auto" w:sz="6" w:space="0"/>
              <w:left w:val="single" w:color="auto" w:sz="6" w:space="0"/>
              <w:bottom w:val="single" w:color="auto" w:sz="6" w:space="0"/>
              <w:right w:val="single" w:color="auto" w:sz="6" w:space="0"/>
            </w:tcBorders>
            <w:vAlign w:val="center"/>
          </w:tcPr>
          <w:p w14:paraId="552C0933">
            <w:pPr>
              <w:keepNext w:val="0"/>
              <w:keepLines w:val="0"/>
              <w:suppressLineNumbers w:val="0"/>
              <w:wordWrap w:val="0"/>
              <w:adjustRightInd w:val="0"/>
              <w:snapToGrid w:val="0"/>
              <w:spacing w:before="0" w:beforeAutospacing="0" w:after="0" w:afterAutospacing="0"/>
              <w:ind w:left="0" w:right="0"/>
              <w:jc w:val="center"/>
              <w:rPr>
                <w:rFonts w:hint="default" w:asciiTheme="minorEastAsia" w:hAnsiTheme="minorEastAsia" w:eastAsiaTheme="minorEastAsia" w:cstheme="minorEastAsia"/>
                <w:snapToGrid w:val="0"/>
                <w:color w:val="auto"/>
                <w:kern w:val="0"/>
                <w:szCs w:val="24"/>
                <w:highlight w:val="none"/>
              </w:rPr>
            </w:pPr>
            <w:r>
              <w:rPr>
                <w:rFonts w:asciiTheme="minorEastAsia" w:hAnsiTheme="minorEastAsia" w:eastAsiaTheme="minorEastAsia" w:cstheme="minorEastAsia"/>
                <w:snapToGrid w:val="0"/>
                <w:color w:val="auto"/>
                <w:kern w:val="0"/>
                <w:szCs w:val="24"/>
                <w:highlight w:val="none"/>
              </w:rPr>
              <w:t>参加工作时间</w:t>
            </w:r>
          </w:p>
        </w:tc>
        <w:tc>
          <w:tcPr>
            <w:tcW w:w="2526" w:type="dxa"/>
            <w:gridSpan w:val="3"/>
            <w:tcBorders>
              <w:top w:val="single" w:color="auto" w:sz="6" w:space="0"/>
              <w:left w:val="single" w:color="auto" w:sz="6" w:space="0"/>
              <w:bottom w:val="single" w:color="auto" w:sz="6" w:space="0"/>
              <w:right w:val="single" w:color="auto" w:sz="6" w:space="0"/>
            </w:tcBorders>
            <w:vAlign w:val="center"/>
          </w:tcPr>
          <w:p w14:paraId="18842FD4">
            <w:pPr>
              <w:keepNext w:val="0"/>
              <w:keepLines w:val="0"/>
              <w:suppressLineNumbers w:val="0"/>
              <w:wordWrap w:val="0"/>
              <w:adjustRightInd w:val="0"/>
              <w:snapToGrid w:val="0"/>
              <w:spacing w:before="0" w:beforeAutospacing="0" w:after="0" w:afterAutospacing="0"/>
              <w:ind w:left="0" w:right="0"/>
              <w:jc w:val="center"/>
              <w:rPr>
                <w:rFonts w:hint="default" w:asciiTheme="minorEastAsia" w:hAnsiTheme="minorEastAsia" w:eastAsiaTheme="minorEastAsia" w:cstheme="minorEastAsia"/>
                <w:snapToGrid w:val="0"/>
                <w:color w:val="auto"/>
                <w:kern w:val="0"/>
                <w:szCs w:val="24"/>
                <w:highlight w:val="none"/>
              </w:rPr>
            </w:pPr>
          </w:p>
        </w:tc>
        <w:tc>
          <w:tcPr>
            <w:tcW w:w="3679" w:type="dxa"/>
            <w:gridSpan w:val="3"/>
            <w:tcBorders>
              <w:top w:val="single" w:color="auto" w:sz="6" w:space="0"/>
              <w:left w:val="single" w:color="auto" w:sz="6" w:space="0"/>
              <w:bottom w:val="single" w:color="auto" w:sz="6" w:space="0"/>
              <w:right w:val="single" w:color="auto" w:sz="6" w:space="0"/>
            </w:tcBorders>
            <w:vAlign w:val="center"/>
          </w:tcPr>
          <w:p w14:paraId="6C37EE7A">
            <w:pPr>
              <w:keepNext w:val="0"/>
              <w:keepLines w:val="0"/>
              <w:suppressLineNumbers w:val="0"/>
              <w:wordWrap w:val="0"/>
              <w:adjustRightInd w:val="0"/>
              <w:snapToGrid w:val="0"/>
              <w:spacing w:before="0" w:beforeAutospacing="0" w:after="0" w:afterAutospacing="0"/>
              <w:ind w:left="0" w:right="0"/>
              <w:jc w:val="center"/>
              <w:rPr>
                <w:rFonts w:hint="default" w:asciiTheme="minorEastAsia" w:hAnsiTheme="minorEastAsia" w:eastAsiaTheme="minorEastAsia" w:cstheme="minorEastAsia"/>
                <w:snapToGrid w:val="0"/>
                <w:color w:val="auto"/>
                <w:kern w:val="0"/>
                <w:szCs w:val="24"/>
                <w:highlight w:val="none"/>
              </w:rPr>
            </w:pPr>
            <w:r>
              <w:rPr>
                <w:rFonts w:asciiTheme="minorEastAsia" w:hAnsiTheme="minorEastAsia" w:eastAsiaTheme="minorEastAsia" w:cstheme="minorEastAsia"/>
                <w:snapToGrid w:val="0"/>
                <w:color w:val="auto"/>
                <w:kern w:val="0"/>
                <w:szCs w:val="24"/>
                <w:highlight w:val="none"/>
              </w:rPr>
              <w:t>从事工程建设项目管理工作年限</w:t>
            </w:r>
          </w:p>
        </w:tc>
        <w:tc>
          <w:tcPr>
            <w:tcW w:w="1327" w:type="dxa"/>
            <w:tcBorders>
              <w:top w:val="single" w:color="auto" w:sz="6" w:space="0"/>
              <w:left w:val="single" w:color="auto" w:sz="6" w:space="0"/>
              <w:bottom w:val="single" w:color="auto" w:sz="6" w:space="0"/>
              <w:right w:val="single" w:color="auto" w:sz="6" w:space="0"/>
            </w:tcBorders>
            <w:vAlign w:val="center"/>
          </w:tcPr>
          <w:p w14:paraId="25CE6299">
            <w:pPr>
              <w:keepNext w:val="0"/>
              <w:keepLines w:val="0"/>
              <w:suppressLineNumbers w:val="0"/>
              <w:wordWrap w:val="0"/>
              <w:adjustRightInd w:val="0"/>
              <w:snapToGrid w:val="0"/>
              <w:spacing w:before="0" w:beforeAutospacing="0" w:after="0" w:afterAutospacing="0"/>
              <w:ind w:left="0" w:right="0"/>
              <w:jc w:val="center"/>
              <w:rPr>
                <w:rFonts w:hint="default" w:asciiTheme="minorEastAsia" w:hAnsiTheme="minorEastAsia" w:eastAsiaTheme="minorEastAsia" w:cstheme="minorEastAsia"/>
                <w:snapToGrid w:val="0"/>
                <w:color w:val="auto"/>
                <w:kern w:val="0"/>
                <w:szCs w:val="24"/>
                <w:highlight w:val="none"/>
              </w:rPr>
            </w:pPr>
          </w:p>
        </w:tc>
      </w:tr>
      <w:tr w14:paraId="30A2C372">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exact"/>
        </w:trPr>
        <w:tc>
          <w:tcPr>
            <w:tcW w:w="9270" w:type="dxa"/>
            <w:gridSpan w:val="9"/>
            <w:tcBorders>
              <w:top w:val="single" w:color="auto" w:sz="6" w:space="0"/>
              <w:left w:val="single" w:color="auto" w:sz="6" w:space="0"/>
              <w:bottom w:val="single" w:color="auto" w:sz="6" w:space="0"/>
              <w:right w:val="single" w:color="auto" w:sz="6" w:space="0"/>
            </w:tcBorders>
            <w:vAlign w:val="center"/>
          </w:tcPr>
          <w:p w14:paraId="4C174F7F">
            <w:pPr>
              <w:keepNext w:val="0"/>
              <w:keepLines w:val="0"/>
              <w:suppressLineNumbers w:val="0"/>
              <w:wordWrap w:val="0"/>
              <w:adjustRightInd w:val="0"/>
              <w:snapToGrid w:val="0"/>
              <w:spacing w:before="0" w:beforeAutospacing="0" w:after="0" w:afterAutospacing="0"/>
              <w:ind w:left="0" w:right="0"/>
              <w:jc w:val="center"/>
              <w:rPr>
                <w:rFonts w:hint="default" w:asciiTheme="minorEastAsia" w:hAnsiTheme="minorEastAsia" w:eastAsiaTheme="minorEastAsia" w:cstheme="minorEastAsia"/>
                <w:snapToGrid w:val="0"/>
                <w:color w:val="auto"/>
                <w:kern w:val="0"/>
                <w:szCs w:val="24"/>
                <w:highlight w:val="none"/>
              </w:rPr>
            </w:pPr>
            <w:r>
              <w:rPr>
                <w:rFonts w:asciiTheme="minorEastAsia" w:hAnsiTheme="minorEastAsia" w:eastAsiaTheme="minorEastAsia" w:cstheme="minorEastAsia"/>
                <w:snapToGrid w:val="0"/>
                <w:color w:val="auto"/>
                <w:kern w:val="0"/>
                <w:szCs w:val="24"/>
                <w:highlight w:val="none"/>
              </w:rPr>
              <w:t>以项目技术负责人身份参与过的主要业绩（已完工项目）</w:t>
            </w:r>
          </w:p>
        </w:tc>
      </w:tr>
      <w:tr w14:paraId="5550148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exact"/>
        </w:trPr>
        <w:tc>
          <w:tcPr>
            <w:tcW w:w="775" w:type="dxa"/>
            <w:tcBorders>
              <w:top w:val="single" w:color="auto" w:sz="6" w:space="0"/>
              <w:left w:val="single" w:color="auto" w:sz="6" w:space="0"/>
              <w:bottom w:val="single" w:color="auto" w:sz="6" w:space="0"/>
              <w:right w:val="single" w:color="auto" w:sz="4" w:space="0"/>
            </w:tcBorders>
            <w:vAlign w:val="center"/>
          </w:tcPr>
          <w:p w14:paraId="3129B1C3">
            <w:pPr>
              <w:keepNext w:val="0"/>
              <w:keepLines w:val="0"/>
              <w:suppressLineNumbers w:val="0"/>
              <w:wordWrap w:val="0"/>
              <w:adjustRightInd w:val="0"/>
              <w:snapToGrid w:val="0"/>
              <w:spacing w:before="0" w:beforeAutospacing="0" w:after="0" w:afterAutospacing="0"/>
              <w:ind w:left="0" w:right="0"/>
              <w:jc w:val="center"/>
              <w:rPr>
                <w:rFonts w:hint="default" w:asciiTheme="minorEastAsia" w:hAnsiTheme="minorEastAsia" w:eastAsiaTheme="minorEastAsia" w:cstheme="minorEastAsia"/>
                <w:snapToGrid w:val="0"/>
                <w:color w:val="auto"/>
                <w:kern w:val="0"/>
                <w:szCs w:val="24"/>
                <w:highlight w:val="none"/>
              </w:rPr>
            </w:pPr>
            <w:r>
              <w:rPr>
                <w:rFonts w:asciiTheme="minorEastAsia" w:hAnsiTheme="minorEastAsia" w:eastAsiaTheme="minorEastAsia" w:cstheme="minorEastAsia"/>
                <w:snapToGrid w:val="0"/>
                <w:color w:val="auto"/>
                <w:kern w:val="0"/>
                <w:szCs w:val="24"/>
                <w:highlight w:val="none"/>
              </w:rPr>
              <w:t>序号</w:t>
            </w:r>
          </w:p>
        </w:tc>
        <w:tc>
          <w:tcPr>
            <w:tcW w:w="1547" w:type="dxa"/>
            <w:gridSpan w:val="2"/>
            <w:tcBorders>
              <w:top w:val="single" w:color="auto" w:sz="6" w:space="0"/>
              <w:left w:val="single" w:color="auto" w:sz="4" w:space="0"/>
              <w:bottom w:val="single" w:color="auto" w:sz="6" w:space="0"/>
              <w:right w:val="single" w:color="auto" w:sz="6" w:space="0"/>
            </w:tcBorders>
            <w:vAlign w:val="center"/>
          </w:tcPr>
          <w:p w14:paraId="7049D30C">
            <w:pPr>
              <w:keepNext w:val="0"/>
              <w:keepLines w:val="0"/>
              <w:suppressLineNumbers w:val="0"/>
              <w:wordWrap w:val="0"/>
              <w:adjustRightInd w:val="0"/>
              <w:snapToGrid w:val="0"/>
              <w:spacing w:before="0" w:beforeAutospacing="0" w:after="0" w:afterAutospacing="0"/>
              <w:ind w:left="0" w:right="0"/>
              <w:jc w:val="center"/>
              <w:rPr>
                <w:rFonts w:hint="default" w:asciiTheme="minorEastAsia" w:hAnsiTheme="minorEastAsia" w:eastAsiaTheme="minorEastAsia" w:cstheme="minorEastAsia"/>
                <w:snapToGrid w:val="0"/>
                <w:color w:val="auto"/>
                <w:kern w:val="0"/>
                <w:szCs w:val="24"/>
                <w:highlight w:val="none"/>
              </w:rPr>
            </w:pPr>
            <w:r>
              <w:rPr>
                <w:rFonts w:asciiTheme="minorEastAsia" w:hAnsiTheme="minorEastAsia" w:eastAsiaTheme="minorEastAsia" w:cstheme="minorEastAsia"/>
                <w:snapToGrid w:val="0"/>
                <w:color w:val="auto"/>
                <w:kern w:val="0"/>
                <w:szCs w:val="24"/>
                <w:highlight w:val="none"/>
              </w:rPr>
              <w:t>项目名称</w:t>
            </w:r>
          </w:p>
        </w:tc>
        <w:tc>
          <w:tcPr>
            <w:tcW w:w="1942" w:type="dxa"/>
            <w:gridSpan w:val="2"/>
            <w:tcBorders>
              <w:top w:val="single" w:color="auto" w:sz="6" w:space="0"/>
              <w:left w:val="single" w:color="auto" w:sz="6" w:space="0"/>
              <w:bottom w:val="single" w:color="auto" w:sz="6" w:space="0"/>
              <w:right w:val="single" w:color="auto" w:sz="6" w:space="0"/>
            </w:tcBorders>
            <w:vAlign w:val="center"/>
          </w:tcPr>
          <w:p w14:paraId="766D0118">
            <w:pPr>
              <w:keepNext w:val="0"/>
              <w:keepLines w:val="0"/>
              <w:suppressLineNumbers w:val="0"/>
              <w:wordWrap w:val="0"/>
              <w:adjustRightInd w:val="0"/>
              <w:snapToGrid w:val="0"/>
              <w:spacing w:before="0" w:beforeAutospacing="0" w:after="0" w:afterAutospacing="0"/>
              <w:ind w:left="0" w:right="0"/>
              <w:jc w:val="center"/>
              <w:rPr>
                <w:rFonts w:hint="default" w:asciiTheme="minorEastAsia" w:hAnsiTheme="minorEastAsia" w:eastAsiaTheme="minorEastAsia" w:cstheme="minorEastAsia"/>
                <w:snapToGrid w:val="0"/>
                <w:color w:val="auto"/>
                <w:kern w:val="0"/>
                <w:szCs w:val="24"/>
                <w:highlight w:val="none"/>
              </w:rPr>
            </w:pPr>
            <w:r>
              <w:rPr>
                <w:rFonts w:asciiTheme="minorEastAsia" w:hAnsiTheme="minorEastAsia" w:eastAsiaTheme="minorEastAsia" w:cstheme="minorEastAsia"/>
                <w:snapToGrid w:val="0"/>
                <w:color w:val="auto"/>
                <w:kern w:val="0"/>
                <w:szCs w:val="24"/>
                <w:highlight w:val="none"/>
              </w:rPr>
              <w:t>建设单位</w:t>
            </w:r>
          </w:p>
        </w:tc>
        <w:tc>
          <w:tcPr>
            <w:tcW w:w="1973" w:type="dxa"/>
            <w:gridSpan w:val="2"/>
            <w:tcBorders>
              <w:top w:val="single" w:color="auto" w:sz="6" w:space="0"/>
              <w:left w:val="single" w:color="auto" w:sz="6" w:space="0"/>
              <w:bottom w:val="single" w:color="auto" w:sz="6" w:space="0"/>
              <w:right w:val="single" w:color="auto" w:sz="6" w:space="0"/>
            </w:tcBorders>
            <w:vAlign w:val="center"/>
          </w:tcPr>
          <w:p w14:paraId="1E6D6FEF">
            <w:pPr>
              <w:keepNext w:val="0"/>
              <w:keepLines w:val="0"/>
              <w:suppressLineNumbers w:val="0"/>
              <w:wordWrap w:val="0"/>
              <w:adjustRightInd w:val="0"/>
              <w:snapToGrid w:val="0"/>
              <w:spacing w:before="0" w:beforeAutospacing="0" w:after="0" w:afterAutospacing="0"/>
              <w:ind w:left="0" w:right="0"/>
              <w:jc w:val="center"/>
              <w:rPr>
                <w:rFonts w:hint="default" w:asciiTheme="minorEastAsia" w:hAnsiTheme="minorEastAsia" w:eastAsiaTheme="minorEastAsia" w:cstheme="minorEastAsia"/>
                <w:snapToGrid w:val="0"/>
                <w:color w:val="auto"/>
                <w:kern w:val="0"/>
                <w:szCs w:val="24"/>
                <w:highlight w:val="none"/>
              </w:rPr>
            </w:pPr>
            <w:r>
              <w:rPr>
                <w:rFonts w:asciiTheme="minorEastAsia" w:hAnsiTheme="minorEastAsia" w:eastAsiaTheme="minorEastAsia" w:cstheme="minorEastAsia"/>
                <w:snapToGrid w:val="0"/>
                <w:color w:val="auto"/>
                <w:kern w:val="0"/>
                <w:szCs w:val="24"/>
                <w:highlight w:val="none"/>
              </w:rPr>
              <w:t>建设内容和规模</w:t>
            </w:r>
          </w:p>
        </w:tc>
        <w:tc>
          <w:tcPr>
            <w:tcW w:w="1706" w:type="dxa"/>
            <w:tcBorders>
              <w:top w:val="single" w:color="auto" w:sz="6" w:space="0"/>
              <w:left w:val="single" w:color="auto" w:sz="6" w:space="0"/>
              <w:bottom w:val="single" w:color="auto" w:sz="6" w:space="0"/>
              <w:right w:val="single" w:color="auto" w:sz="6" w:space="0"/>
            </w:tcBorders>
            <w:vAlign w:val="center"/>
          </w:tcPr>
          <w:p w14:paraId="63681047">
            <w:pPr>
              <w:keepNext w:val="0"/>
              <w:keepLines w:val="0"/>
              <w:suppressLineNumbers w:val="0"/>
              <w:wordWrap w:val="0"/>
              <w:adjustRightInd w:val="0"/>
              <w:snapToGrid w:val="0"/>
              <w:spacing w:before="0" w:beforeAutospacing="0" w:after="0" w:afterAutospacing="0"/>
              <w:ind w:left="0" w:right="0"/>
              <w:jc w:val="center"/>
              <w:rPr>
                <w:rFonts w:hint="default" w:asciiTheme="minorEastAsia" w:hAnsiTheme="minorEastAsia" w:eastAsiaTheme="minorEastAsia" w:cstheme="minorEastAsia"/>
                <w:snapToGrid w:val="0"/>
                <w:color w:val="auto"/>
                <w:kern w:val="0"/>
                <w:szCs w:val="24"/>
                <w:highlight w:val="none"/>
              </w:rPr>
            </w:pPr>
            <w:r>
              <w:rPr>
                <w:rFonts w:asciiTheme="minorEastAsia" w:hAnsiTheme="minorEastAsia" w:eastAsiaTheme="minorEastAsia" w:cstheme="minorEastAsia"/>
                <w:snapToGrid w:val="0"/>
                <w:color w:val="auto"/>
                <w:kern w:val="0"/>
                <w:szCs w:val="24"/>
                <w:highlight w:val="none"/>
              </w:rPr>
              <w:t>开、竣工日期</w:t>
            </w:r>
          </w:p>
        </w:tc>
        <w:tc>
          <w:tcPr>
            <w:tcW w:w="1327" w:type="dxa"/>
            <w:tcBorders>
              <w:top w:val="single" w:color="auto" w:sz="6" w:space="0"/>
              <w:left w:val="single" w:color="auto" w:sz="6" w:space="0"/>
              <w:bottom w:val="single" w:color="auto" w:sz="6" w:space="0"/>
              <w:right w:val="single" w:color="auto" w:sz="6" w:space="0"/>
            </w:tcBorders>
            <w:vAlign w:val="center"/>
          </w:tcPr>
          <w:p w14:paraId="35053F61">
            <w:pPr>
              <w:keepNext w:val="0"/>
              <w:keepLines w:val="0"/>
              <w:suppressLineNumbers w:val="0"/>
              <w:wordWrap w:val="0"/>
              <w:adjustRightInd w:val="0"/>
              <w:snapToGrid w:val="0"/>
              <w:spacing w:before="0" w:beforeAutospacing="0" w:after="0" w:afterAutospacing="0"/>
              <w:ind w:left="0" w:right="0"/>
              <w:jc w:val="center"/>
              <w:rPr>
                <w:rFonts w:hint="default" w:asciiTheme="minorEastAsia" w:hAnsiTheme="minorEastAsia" w:eastAsiaTheme="minorEastAsia" w:cstheme="minorEastAsia"/>
                <w:snapToGrid w:val="0"/>
                <w:color w:val="auto"/>
                <w:kern w:val="0"/>
                <w:szCs w:val="24"/>
                <w:highlight w:val="none"/>
              </w:rPr>
            </w:pPr>
            <w:r>
              <w:rPr>
                <w:rFonts w:asciiTheme="minorEastAsia" w:hAnsiTheme="minorEastAsia" w:eastAsiaTheme="minorEastAsia" w:cstheme="minorEastAsia"/>
                <w:snapToGrid w:val="0"/>
                <w:color w:val="auto"/>
                <w:kern w:val="0"/>
                <w:szCs w:val="24"/>
                <w:highlight w:val="none"/>
              </w:rPr>
              <w:t>质量等级</w:t>
            </w:r>
          </w:p>
        </w:tc>
      </w:tr>
      <w:tr w14:paraId="21932240">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exact"/>
        </w:trPr>
        <w:tc>
          <w:tcPr>
            <w:tcW w:w="775" w:type="dxa"/>
            <w:tcBorders>
              <w:top w:val="single" w:color="auto" w:sz="6" w:space="0"/>
              <w:left w:val="single" w:color="auto" w:sz="6" w:space="0"/>
              <w:bottom w:val="single" w:color="auto" w:sz="6" w:space="0"/>
              <w:right w:val="single" w:color="auto" w:sz="4" w:space="0"/>
            </w:tcBorders>
            <w:vAlign w:val="center"/>
          </w:tcPr>
          <w:p w14:paraId="1F5BAB3B">
            <w:pPr>
              <w:keepNext w:val="0"/>
              <w:keepLines w:val="0"/>
              <w:suppressLineNumbers w:val="0"/>
              <w:wordWrap w:val="0"/>
              <w:adjustRightInd w:val="0"/>
              <w:snapToGrid w:val="0"/>
              <w:spacing w:before="0" w:beforeAutospacing="0" w:after="0" w:afterAutospacing="0"/>
              <w:ind w:left="0" w:right="0"/>
              <w:jc w:val="center"/>
              <w:rPr>
                <w:rFonts w:hint="default" w:asciiTheme="minorEastAsia" w:hAnsiTheme="minorEastAsia" w:eastAsiaTheme="minorEastAsia" w:cstheme="minorEastAsia"/>
                <w:snapToGrid w:val="0"/>
                <w:color w:val="auto"/>
                <w:kern w:val="0"/>
                <w:szCs w:val="24"/>
                <w:highlight w:val="none"/>
              </w:rPr>
            </w:pPr>
            <w:r>
              <w:rPr>
                <w:rFonts w:asciiTheme="minorEastAsia" w:hAnsiTheme="minorEastAsia" w:eastAsiaTheme="minorEastAsia" w:cstheme="minorEastAsia"/>
                <w:snapToGrid w:val="0"/>
                <w:color w:val="auto"/>
                <w:kern w:val="0"/>
                <w:szCs w:val="24"/>
                <w:highlight w:val="none"/>
              </w:rPr>
              <w:t>1</w:t>
            </w:r>
          </w:p>
        </w:tc>
        <w:tc>
          <w:tcPr>
            <w:tcW w:w="1547" w:type="dxa"/>
            <w:gridSpan w:val="2"/>
            <w:tcBorders>
              <w:top w:val="single" w:color="auto" w:sz="6" w:space="0"/>
              <w:left w:val="single" w:color="auto" w:sz="4" w:space="0"/>
              <w:bottom w:val="single" w:color="auto" w:sz="6" w:space="0"/>
              <w:right w:val="single" w:color="auto" w:sz="6" w:space="0"/>
            </w:tcBorders>
            <w:vAlign w:val="center"/>
          </w:tcPr>
          <w:p w14:paraId="61816BFF">
            <w:pPr>
              <w:keepNext w:val="0"/>
              <w:keepLines w:val="0"/>
              <w:suppressLineNumbers w:val="0"/>
              <w:wordWrap w:val="0"/>
              <w:adjustRightInd w:val="0"/>
              <w:snapToGrid w:val="0"/>
              <w:spacing w:before="0" w:beforeAutospacing="0" w:after="0" w:afterAutospacing="0"/>
              <w:ind w:left="0" w:right="0"/>
              <w:jc w:val="center"/>
              <w:rPr>
                <w:rFonts w:hint="default" w:asciiTheme="minorEastAsia" w:hAnsiTheme="minorEastAsia" w:eastAsiaTheme="minorEastAsia" w:cstheme="minorEastAsia"/>
                <w:snapToGrid w:val="0"/>
                <w:color w:val="auto"/>
                <w:kern w:val="0"/>
                <w:szCs w:val="24"/>
                <w:highlight w:val="none"/>
              </w:rPr>
            </w:pPr>
          </w:p>
        </w:tc>
        <w:tc>
          <w:tcPr>
            <w:tcW w:w="1942" w:type="dxa"/>
            <w:gridSpan w:val="2"/>
            <w:tcBorders>
              <w:top w:val="single" w:color="auto" w:sz="6" w:space="0"/>
              <w:left w:val="single" w:color="auto" w:sz="6" w:space="0"/>
              <w:bottom w:val="single" w:color="auto" w:sz="6" w:space="0"/>
              <w:right w:val="single" w:color="auto" w:sz="6" w:space="0"/>
            </w:tcBorders>
            <w:vAlign w:val="center"/>
          </w:tcPr>
          <w:p w14:paraId="347F2A84">
            <w:pPr>
              <w:keepNext w:val="0"/>
              <w:keepLines w:val="0"/>
              <w:suppressLineNumbers w:val="0"/>
              <w:wordWrap w:val="0"/>
              <w:adjustRightInd w:val="0"/>
              <w:snapToGrid w:val="0"/>
              <w:spacing w:before="0" w:beforeAutospacing="0" w:after="0" w:afterAutospacing="0"/>
              <w:ind w:left="0" w:right="0"/>
              <w:jc w:val="center"/>
              <w:rPr>
                <w:rFonts w:hint="default" w:asciiTheme="minorEastAsia" w:hAnsiTheme="minorEastAsia" w:eastAsiaTheme="minorEastAsia" w:cstheme="minorEastAsia"/>
                <w:snapToGrid w:val="0"/>
                <w:color w:val="auto"/>
                <w:kern w:val="0"/>
                <w:szCs w:val="24"/>
                <w:highlight w:val="none"/>
              </w:rPr>
            </w:pPr>
          </w:p>
        </w:tc>
        <w:tc>
          <w:tcPr>
            <w:tcW w:w="1973" w:type="dxa"/>
            <w:gridSpan w:val="2"/>
            <w:tcBorders>
              <w:top w:val="single" w:color="auto" w:sz="6" w:space="0"/>
              <w:left w:val="single" w:color="auto" w:sz="6" w:space="0"/>
              <w:bottom w:val="single" w:color="auto" w:sz="6" w:space="0"/>
              <w:right w:val="single" w:color="auto" w:sz="6" w:space="0"/>
            </w:tcBorders>
            <w:vAlign w:val="center"/>
          </w:tcPr>
          <w:p w14:paraId="73B9B80B">
            <w:pPr>
              <w:keepNext w:val="0"/>
              <w:keepLines w:val="0"/>
              <w:suppressLineNumbers w:val="0"/>
              <w:wordWrap w:val="0"/>
              <w:adjustRightInd w:val="0"/>
              <w:snapToGrid w:val="0"/>
              <w:spacing w:before="0" w:beforeAutospacing="0" w:after="0" w:afterAutospacing="0"/>
              <w:ind w:left="0" w:right="0"/>
              <w:jc w:val="center"/>
              <w:rPr>
                <w:rFonts w:hint="default" w:asciiTheme="minorEastAsia" w:hAnsiTheme="minorEastAsia" w:eastAsiaTheme="minorEastAsia" w:cstheme="minorEastAsia"/>
                <w:snapToGrid w:val="0"/>
                <w:color w:val="auto"/>
                <w:kern w:val="0"/>
                <w:szCs w:val="24"/>
                <w:highlight w:val="none"/>
              </w:rPr>
            </w:pPr>
          </w:p>
        </w:tc>
        <w:tc>
          <w:tcPr>
            <w:tcW w:w="1706" w:type="dxa"/>
            <w:tcBorders>
              <w:top w:val="single" w:color="auto" w:sz="6" w:space="0"/>
              <w:left w:val="single" w:color="auto" w:sz="6" w:space="0"/>
              <w:bottom w:val="single" w:color="auto" w:sz="6" w:space="0"/>
              <w:right w:val="single" w:color="auto" w:sz="6" w:space="0"/>
            </w:tcBorders>
            <w:vAlign w:val="center"/>
          </w:tcPr>
          <w:p w14:paraId="3D235721">
            <w:pPr>
              <w:keepNext w:val="0"/>
              <w:keepLines w:val="0"/>
              <w:suppressLineNumbers w:val="0"/>
              <w:wordWrap w:val="0"/>
              <w:adjustRightInd w:val="0"/>
              <w:snapToGrid w:val="0"/>
              <w:spacing w:before="0" w:beforeAutospacing="0" w:after="0" w:afterAutospacing="0"/>
              <w:ind w:left="0" w:right="0"/>
              <w:jc w:val="center"/>
              <w:rPr>
                <w:rFonts w:hint="default" w:asciiTheme="minorEastAsia" w:hAnsiTheme="minorEastAsia" w:eastAsiaTheme="minorEastAsia" w:cstheme="minorEastAsia"/>
                <w:snapToGrid w:val="0"/>
                <w:color w:val="auto"/>
                <w:kern w:val="0"/>
                <w:szCs w:val="24"/>
                <w:highlight w:val="none"/>
              </w:rPr>
            </w:pPr>
          </w:p>
        </w:tc>
        <w:tc>
          <w:tcPr>
            <w:tcW w:w="1327" w:type="dxa"/>
            <w:tcBorders>
              <w:top w:val="single" w:color="auto" w:sz="6" w:space="0"/>
              <w:left w:val="single" w:color="auto" w:sz="6" w:space="0"/>
              <w:bottom w:val="single" w:color="auto" w:sz="6" w:space="0"/>
              <w:right w:val="single" w:color="auto" w:sz="6" w:space="0"/>
            </w:tcBorders>
            <w:vAlign w:val="center"/>
          </w:tcPr>
          <w:p w14:paraId="66707048">
            <w:pPr>
              <w:keepNext w:val="0"/>
              <w:keepLines w:val="0"/>
              <w:suppressLineNumbers w:val="0"/>
              <w:wordWrap w:val="0"/>
              <w:adjustRightInd w:val="0"/>
              <w:snapToGrid w:val="0"/>
              <w:spacing w:before="0" w:beforeAutospacing="0" w:after="0" w:afterAutospacing="0"/>
              <w:ind w:left="0" w:right="0"/>
              <w:jc w:val="center"/>
              <w:rPr>
                <w:rFonts w:hint="default" w:asciiTheme="minorEastAsia" w:hAnsiTheme="minorEastAsia" w:eastAsiaTheme="minorEastAsia" w:cstheme="minorEastAsia"/>
                <w:snapToGrid w:val="0"/>
                <w:color w:val="auto"/>
                <w:kern w:val="0"/>
                <w:szCs w:val="24"/>
                <w:highlight w:val="none"/>
              </w:rPr>
            </w:pPr>
          </w:p>
        </w:tc>
      </w:tr>
      <w:tr w14:paraId="5B7D166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exact"/>
        </w:trPr>
        <w:tc>
          <w:tcPr>
            <w:tcW w:w="775" w:type="dxa"/>
            <w:tcBorders>
              <w:top w:val="single" w:color="auto" w:sz="6" w:space="0"/>
              <w:left w:val="single" w:color="auto" w:sz="6" w:space="0"/>
              <w:bottom w:val="single" w:color="auto" w:sz="6" w:space="0"/>
              <w:right w:val="single" w:color="auto" w:sz="4" w:space="0"/>
            </w:tcBorders>
            <w:vAlign w:val="center"/>
          </w:tcPr>
          <w:p w14:paraId="34EDB7A9">
            <w:pPr>
              <w:keepNext w:val="0"/>
              <w:keepLines w:val="0"/>
              <w:suppressLineNumbers w:val="0"/>
              <w:wordWrap w:val="0"/>
              <w:adjustRightInd w:val="0"/>
              <w:snapToGrid w:val="0"/>
              <w:spacing w:before="0" w:beforeAutospacing="0" w:after="0" w:afterAutospacing="0"/>
              <w:ind w:left="0" w:right="0"/>
              <w:jc w:val="center"/>
              <w:rPr>
                <w:rFonts w:hint="default" w:asciiTheme="minorEastAsia" w:hAnsiTheme="minorEastAsia" w:eastAsiaTheme="minorEastAsia" w:cstheme="minorEastAsia"/>
                <w:snapToGrid w:val="0"/>
                <w:color w:val="auto"/>
                <w:kern w:val="0"/>
                <w:szCs w:val="24"/>
                <w:highlight w:val="none"/>
              </w:rPr>
            </w:pPr>
            <w:r>
              <w:rPr>
                <w:rFonts w:asciiTheme="minorEastAsia" w:hAnsiTheme="minorEastAsia" w:eastAsiaTheme="minorEastAsia" w:cstheme="minorEastAsia"/>
                <w:snapToGrid w:val="0"/>
                <w:color w:val="auto"/>
                <w:kern w:val="0"/>
                <w:szCs w:val="24"/>
                <w:highlight w:val="none"/>
              </w:rPr>
              <w:t>2</w:t>
            </w:r>
          </w:p>
        </w:tc>
        <w:tc>
          <w:tcPr>
            <w:tcW w:w="1547" w:type="dxa"/>
            <w:gridSpan w:val="2"/>
            <w:tcBorders>
              <w:top w:val="single" w:color="auto" w:sz="6" w:space="0"/>
              <w:left w:val="single" w:color="auto" w:sz="4" w:space="0"/>
              <w:bottom w:val="single" w:color="auto" w:sz="6" w:space="0"/>
              <w:right w:val="single" w:color="auto" w:sz="6" w:space="0"/>
            </w:tcBorders>
            <w:vAlign w:val="center"/>
          </w:tcPr>
          <w:p w14:paraId="2E045B9E">
            <w:pPr>
              <w:keepNext w:val="0"/>
              <w:keepLines w:val="0"/>
              <w:suppressLineNumbers w:val="0"/>
              <w:wordWrap w:val="0"/>
              <w:adjustRightInd w:val="0"/>
              <w:snapToGrid w:val="0"/>
              <w:spacing w:before="0" w:beforeAutospacing="0" w:after="0" w:afterAutospacing="0"/>
              <w:ind w:left="0" w:right="0"/>
              <w:jc w:val="center"/>
              <w:rPr>
                <w:rFonts w:hint="default" w:asciiTheme="minorEastAsia" w:hAnsiTheme="minorEastAsia" w:eastAsiaTheme="minorEastAsia" w:cstheme="minorEastAsia"/>
                <w:snapToGrid w:val="0"/>
                <w:color w:val="auto"/>
                <w:kern w:val="0"/>
                <w:szCs w:val="24"/>
                <w:highlight w:val="none"/>
              </w:rPr>
            </w:pPr>
          </w:p>
        </w:tc>
        <w:tc>
          <w:tcPr>
            <w:tcW w:w="1942" w:type="dxa"/>
            <w:gridSpan w:val="2"/>
            <w:tcBorders>
              <w:top w:val="single" w:color="auto" w:sz="6" w:space="0"/>
              <w:left w:val="single" w:color="auto" w:sz="6" w:space="0"/>
              <w:bottom w:val="single" w:color="auto" w:sz="6" w:space="0"/>
              <w:right w:val="single" w:color="auto" w:sz="6" w:space="0"/>
            </w:tcBorders>
            <w:vAlign w:val="center"/>
          </w:tcPr>
          <w:p w14:paraId="2E106278">
            <w:pPr>
              <w:keepNext w:val="0"/>
              <w:keepLines w:val="0"/>
              <w:suppressLineNumbers w:val="0"/>
              <w:wordWrap w:val="0"/>
              <w:adjustRightInd w:val="0"/>
              <w:snapToGrid w:val="0"/>
              <w:spacing w:before="0" w:beforeAutospacing="0" w:after="0" w:afterAutospacing="0"/>
              <w:ind w:left="0" w:right="0"/>
              <w:jc w:val="center"/>
              <w:rPr>
                <w:rFonts w:hint="default" w:asciiTheme="minorEastAsia" w:hAnsiTheme="minorEastAsia" w:eastAsiaTheme="minorEastAsia" w:cstheme="minorEastAsia"/>
                <w:snapToGrid w:val="0"/>
                <w:color w:val="auto"/>
                <w:kern w:val="0"/>
                <w:szCs w:val="24"/>
                <w:highlight w:val="none"/>
              </w:rPr>
            </w:pPr>
          </w:p>
        </w:tc>
        <w:tc>
          <w:tcPr>
            <w:tcW w:w="1973" w:type="dxa"/>
            <w:gridSpan w:val="2"/>
            <w:tcBorders>
              <w:top w:val="single" w:color="auto" w:sz="6" w:space="0"/>
              <w:left w:val="single" w:color="auto" w:sz="6" w:space="0"/>
              <w:bottom w:val="single" w:color="auto" w:sz="6" w:space="0"/>
              <w:right w:val="single" w:color="auto" w:sz="6" w:space="0"/>
            </w:tcBorders>
            <w:vAlign w:val="center"/>
          </w:tcPr>
          <w:p w14:paraId="2BFD230C">
            <w:pPr>
              <w:keepNext w:val="0"/>
              <w:keepLines w:val="0"/>
              <w:suppressLineNumbers w:val="0"/>
              <w:wordWrap w:val="0"/>
              <w:adjustRightInd w:val="0"/>
              <w:snapToGrid w:val="0"/>
              <w:spacing w:before="0" w:beforeAutospacing="0" w:after="0" w:afterAutospacing="0"/>
              <w:ind w:left="0" w:right="0"/>
              <w:jc w:val="center"/>
              <w:rPr>
                <w:rFonts w:hint="default" w:asciiTheme="minorEastAsia" w:hAnsiTheme="minorEastAsia" w:eastAsiaTheme="minorEastAsia" w:cstheme="minorEastAsia"/>
                <w:snapToGrid w:val="0"/>
                <w:color w:val="auto"/>
                <w:kern w:val="0"/>
                <w:szCs w:val="24"/>
                <w:highlight w:val="none"/>
              </w:rPr>
            </w:pPr>
          </w:p>
        </w:tc>
        <w:tc>
          <w:tcPr>
            <w:tcW w:w="1706" w:type="dxa"/>
            <w:tcBorders>
              <w:top w:val="single" w:color="auto" w:sz="6" w:space="0"/>
              <w:left w:val="single" w:color="auto" w:sz="6" w:space="0"/>
              <w:bottom w:val="single" w:color="auto" w:sz="6" w:space="0"/>
              <w:right w:val="single" w:color="auto" w:sz="6" w:space="0"/>
            </w:tcBorders>
            <w:vAlign w:val="center"/>
          </w:tcPr>
          <w:p w14:paraId="236C34DD">
            <w:pPr>
              <w:keepNext w:val="0"/>
              <w:keepLines w:val="0"/>
              <w:suppressLineNumbers w:val="0"/>
              <w:wordWrap w:val="0"/>
              <w:adjustRightInd w:val="0"/>
              <w:snapToGrid w:val="0"/>
              <w:spacing w:before="0" w:beforeAutospacing="0" w:after="0" w:afterAutospacing="0"/>
              <w:ind w:left="0" w:right="0"/>
              <w:jc w:val="center"/>
              <w:rPr>
                <w:rFonts w:hint="default" w:asciiTheme="minorEastAsia" w:hAnsiTheme="minorEastAsia" w:eastAsiaTheme="minorEastAsia" w:cstheme="minorEastAsia"/>
                <w:snapToGrid w:val="0"/>
                <w:color w:val="auto"/>
                <w:kern w:val="0"/>
                <w:szCs w:val="24"/>
                <w:highlight w:val="none"/>
              </w:rPr>
            </w:pPr>
          </w:p>
        </w:tc>
        <w:tc>
          <w:tcPr>
            <w:tcW w:w="1327" w:type="dxa"/>
            <w:tcBorders>
              <w:top w:val="single" w:color="auto" w:sz="6" w:space="0"/>
              <w:left w:val="single" w:color="auto" w:sz="6" w:space="0"/>
              <w:bottom w:val="single" w:color="auto" w:sz="6" w:space="0"/>
              <w:right w:val="single" w:color="auto" w:sz="6" w:space="0"/>
            </w:tcBorders>
            <w:vAlign w:val="center"/>
          </w:tcPr>
          <w:p w14:paraId="12FA79D4">
            <w:pPr>
              <w:keepNext w:val="0"/>
              <w:keepLines w:val="0"/>
              <w:suppressLineNumbers w:val="0"/>
              <w:wordWrap w:val="0"/>
              <w:adjustRightInd w:val="0"/>
              <w:snapToGrid w:val="0"/>
              <w:spacing w:before="0" w:beforeAutospacing="0" w:after="0" w:afterAutospacing="0"/>
              <w:ind w:left="0" w:right="0"/>
              <w:jc w:val="center"/>
              <w:rPr>
                <w:rFonts w:hint="default" w:asciiTheme="minorEastAsia" w:hAnsiTheme="minorEastAsia" w:eastAsiaTheme="minorEastAsia" w:cstheme="minorEastAsia"/>
                <w:snapToGrid w:val="0"/>
                <w:color w:val="auto"/>
                <w:kern w:val="0"/>
                <w:szCs w:val="24"/>
                <w:highlight w:val="none"/>
              </w:rPr>
            </w:pPr>
          </w:p>
        </w:tc>
      </w:tr>
      <w:tr w14:paraId="58B454E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exact"/>
        </w:trPr>
        <w:tc>
          <w:tcPr>
            <w:tcW w:w="775" w:type="dxa"/>
            <w:tcBorders>
              <w:top w:val="single" w:color="auto" w:sz="6" w:space="0"/>
              <w:left w:val="single" w:color="auto" w:sz="6" w:space="0"/>
              <w:bottom w:val="single" w:color="auto" w:sz="6" w:space="0"/>
              <w:right w:val="single" w:color="auto" w:sz="4" w:space="0"/>
            </w:tcBorders>
            <w:vAlign w:val="center"/>
          </w:tcPr>
          <w:p w14:paraId="423E2057">
            <w:pPr>
              <w:keepNext w:val="0"/>
              <w:keepLines w:val="0"/>
              <w:suppressLineNumbers w:val="0"/>
              <w:wordWrap w:val="0"/>
              <w:adjustRightInd w:val="0"/>
              <w:snapToGrid w:val="0"/>
              <w:spacing w:before="0" w:beforeAutospacing="0" w:after="0" w:afterAutospacing="0"/>
              <w:ind w:left="0" w:right="0"/>
              <w:jc w:val="center"/>
              <w:rPr>
                <w:rFonts w:hint="default" w:asciiTheme="minorEastAsia" w:hAnsiTheme="minorEastAsia" w:eastAsiaTheme="minorEastAsia" w:cstheme="minorEastAsia"/>
                <w:snapToGrid w:val="0"/>
                <w:color w:val="auto"/>
                <w:kern w:val="0"/>
                <w:szCs w:val="24"/>
                <w:highlight w:val="none"/>
              </w:rPr>
            </w:pPr>
            <w:r>
              <w:rPr>
                <w:rFonts w:asciiTheme="minorEastAsia" w:hAnsiTheme="minorEastAsia" w:eastAsiaTheme="minorEastAsia" w:cstheme="minorEastAsia"/>
                <w:snapToGrid w:val="0"/>
                <w:color w:val="auto"/>
                <w:kern w:val="0"/>
                <w:szCs w:val="24"/>
                <w:highlight w:val="none"/>
              </w:rPr>
              <w:t>……</w:t>
            </w:r>
          </w:p>
        </w:tc>
        <w:tc>
          <w:tcPr>
            <w:tcW w:w="1547" w:type="dxa"/>
            <w:gridSpan w:val="2"/>
            <w:tcBorders>
              <w:top w:val="single" w:color="auto" w:sz="6" w:space="0"/>
              <w:left w:val="single" w:color="auto" w:sz="4" w:space="0"/>
              <w:bottom w:val="single" w:color="auto" w:sz="6" w:space="0"/>
              <w:right w:val="single" w:color="auto" w:sz="6" w:space="0"/>
            </w:tcBorders>
            <w:vAlign w:val="center"/>
          </w:tcPr>
          <w:p w14:paraId="2D2629AB">
            <w:pPr>
              <w:keepNext w:val="0"/>
              <w:keepLines w:val="0"/>
              <w:suppressLineNumbers w:val="0"/>
              <w:wordWrap w:val="0"/>
              <w:adjustRightInd w:val="0"/>
              <w:snapToGrid w:val="0"/>
              <w:spacing w:before="0" w:beforeAutospacing="0" w:after="0" w:afterAutospacing="0"/>
              <w:ind w:left="0" w:right="0"/>
              <w:jc w:val="center"/>
              <w:rPr>
                <w:rFonts w:hint="default" w:asciiTheme="minorEastAsia" w:hAnsiTheme="minorEastAsia" w:eastAsiaTheme="minorEastAsia" w:cstheme="minorEastAsia"/>
                <w:snapToGrid w:val="0"/>
                <w:color w:val="auto"/>
                <w:kern w:val="0"/>
                <w:szCs w:val="24"/>
                <w:highlight w:val="none"/>
              </w:rPr>
            </w:pPr>
          </w:p>
        </w:tc>
        <w:tc>
          <w:tcPr>
            <w:tcW w:w="1942" w:type="dxa"/>
            <w:gridSpan w:val="2"/>
            <w:tcBorders>
              <w:top w:val="single" w:color="auto" w:sz="6" w:space="0"/>
              <w:left w:val="single" w:color="auto" w:sz="6" w:space="0"/>
              <w:bottom w:val="single" w:color="auto" w:sz="6" w:space="0"/>
              <w:right w:val="single" w:color="auto" w:sz="6" w:space="0"/>
            </w:tcBorders>
            <w:vAlign w:val="center"/>
          </w:tcPr>
          <w:p w14:paraId="580FB329">
            <w:pPr>
              <w:keepNext w:val="0"/>
              <w:keepLines w:val="0"/>
              <w:suppressLineNumbers w:val="0"/>
              <w:wordWrap w:val="0"/>
              <w:adjustRightInd w:val="0"/>
              <w:snapToGrid w:val="0"/>
              <w:spacing w:before="0" w:beforeAutospacing="0" w:after="0" w:afterAutospacing="0"/>
              <w:ind w:left="0" w:right="0"/>
              <w:jc w:val="center"/>
              <w:rPr>
                <w:rFonts w:hint="default" w:asciiTheme="minorEastAsia" w:hAnsiTheme="minorEastAsia" w:eastAsiaTheme="minorEastAsia" w:cstheme="minorEastAsia"/>
                <w:snapToGrid w:val="0"/>
                <w:color w:val="auto"/>
                <w:kern w:val="0"/>
                <w:szCs w:val="24"/>
                <w:highlight w:val="none"/>
              </w:rPr>
            </w:pPr>
          </w:p>
        </w:tc>
        <w:tc>
          <w:tcPr>
            <w:tcW w:w="1973" w:type="dxa"/>
            <w:gridSpan w:val="2"/>
            <w:tcBorders>
              <w:top w:val="single" w:color="auto" w:sz="6" w:space="0"/>
              <w:left w:val="single" w:color="auto" w:sz="6" w:space="0"/>
              <w:bottom w:val="single" w:color="auto" w:sz="6" w:space="0"/>
              <w:right w:val="single" w:color="auto" w:sz="6" w:space="0"/>
            </w:tcBorders>
            <w:vAlign w:val="center"/>
          </w:tcPr>
          <w:p w14:paraId="1B898896">
            <w:pPr>
              <w:keepNext w:val="0"/>
              <w:keepLines w:val="0"/>
              <w:suppressLineNumbers w:val="0"/>
              <w:wordWrap w:val="0"/>
              <w:adjustRightInd w:val="0"/>
              <w:snapToGrid w:val="0"/>
              <w:spacing w:before="0" w:beforeAutospacing="0" w:after="0" w:afterAutospacing="0"/>
              <w:ind w:left="0" w:right="0"/>
              <w:jc w:val="center"/>
              <w:rPr>
                <w:rFonts w:hint="default" w:asciiTheme="minorEastAsia" w:hAnsiTheme="minorEastAsia" w:eastAsiaTheme="minorEastAsia" w:cstheme="minorEastAsia"/>
                <w:snapToGrid w:val="0"/>
                <w:color w:val="auto"/>
                <w:kern w:val="0"/>
                <w:szCs w:val="24"/>
                <w:highlight w:val="none"/>
              </w:rPr>
            </w:pPr>
          </w:p>
        </w:tc>
        <w:tc>
          <w:tcPr>
            <w:tcW w:w="1706" w:type="dxa"/>
            <w:tcBorders>
              <w:top w:val="single" w:color="auto" w:sz="6" w:space="0"/>
              <w:left w:val="single" w:color="auto" w:sz="6" w:space="0"/>
              <w:bottom w:val="single" w:color="auto" w:sz="6" w:space="0"/>
              <w:right w:val="single" w:color="auto" w:sz="6" w:space="0"/>
            </w:tcBorders>
            <w:vAlign w:val="center"/>
          </w:tcPr>
          <w:p w14:paraId="0C0C57E9">
            <w:pPr>
              <w:keepNext w:val="0"/>
              <w:keepLines w:val="0"/>
              <w:suppressLineNumbers w:val="0"/>
              <w:wordWrap w:val="0"/>
              <w:adjustRightInd w:val="0"/>
              <w:snapToGrid w:val="0"/>
              <w:spacing w:before="0" w:beforeAutospacing="0" w:after="0" w:afterAutospacing="0"/>
              <w:ind w:left="0" w:right="0"/>
              <w:jc w:val="center"/>
              <w:rPr>
                <w:rFonts w:hint="default" w:asciiTheme="minorEastAsia" w:hAnsiTheme="minorEastAsia" w:eastAsiaTheme="minorEastAsia" w:cstheme="minorEastAsia"/>
                <w:snapToGrid w:val="0"/>
                <w:color w:val="auto"/>
                <w:kern w:val="0"/>
                <w:szCs w:val="24"/>
                <w:highlight w:val="none"/>
              </w:rPr>
            </w:pPr>
          </w:p>
        </w:tc>
        <w:tc>
          <w:tcPr>
            <w:tcW w:w="1327" w:type="dxa"/>
            <w:tcBorders>
              <w:top w:val="single" w:color="auto" w:sz="6" w:space="0"/>
              <w:left w:val="single" w:color="auto" w:sz="6" w:space="0"/>
              <w:bottom w:val="single" w:color="auto" w:sz="6" w:space="0"/>
              <w:right w:val="single" w:color="auto" w:sz="6" w:space="0"/>
            </w:tcBorders>
            <w:vAlign w:val="center"/>
          </w:tcPr>
          <w:p w14:paraId="0BD99835">
            <w:pPr>
              <w:keepNext w:val="0"/>
              <w:keepLines w:val="0"/>
              <w:suppressLineNumbers w:val="0"/>
              <w:wordWrap w:val="0"/>
              <w:adjustRightInd w:val="0"/>
              <w:snapToGrid w:val="0"/>
              <w:spacing w:before="0" w:beforeAutospacing="0" w:after="0" w:afterAutospacing="0"/>
              <w:ind w:left="0" w:right="0"/>
              <w:jc w:val="center"/>
              <w:rPr>
                <w:rFonts w:hint="default" w:asciiTheme="minorEastAsia" w:hAnsiTheme="minorEastAsia" w:eastAsiaTheme="minorEastAsia" w:cstheme="minorEastAsia"/>
                <w:snapToGrid w:val="0"/>
                <w:color w:val="auto"/>
                <w:kern w:val="0"/>
                <w:szCs w:val="24"/>
                <w:highlight w:val="none"/>
              </w:rPr>
            </w:pPr>
          </w:p>
        </w:tc>
      </w:tr>
      <w:tr w14:paraId="2C3E5C22">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exact"/>
        </w:trPr>
        <w:tc>
          <w:tcPr>
            <w:tcW w:w="775" w:type="dxa"/>
            <w:tcBorders>
              <w:top w:val="single" w:color="auto" w:sz="6" w:space="0"/>
              <w:left w:val="single" w:color="auto" w:sz="6" w:space="0"/>
              <w:bottom w:val="single" w:color="auto" w:sz="6" w:space="0"/>
              <w:right w:val="single" w:color="auto" w:sz="4" w:space="0"/>
            </w:tcBorders>
            <w:vAlign w:val="center"/>
          </w:tcPr>
          <w:p w14:paraId="063258B2">
            <w:pPr>
              <w:keepNext w:val="0"/>
              <w:keepLines w:val="0"/>
              <w:suppressLineNumbers w:val="0"/>
              <w:wordWrap w:val="0"/>
              <w:adjustRightInd w:val="0"/>
              <w:snapToGrid w:val="0"/>
              <w:spacing w:before="0" w:beforeAutospacing="0" w:after="0" w:afterAutospacing="0"/>
              <w:ind w:left="0" w:right="0"/>
              <w:jc w:val="center"/>
              <w:rPr>
                <w:rFonts w:hint="default" w:asciiTheme="minorEastAsia" w:hAnsiTheme="minorEastAsia" w:eastAsiaTheme="minorEastAsia" w:cstheme="minorEastAsia"/>
                <w:snapToGrid w:val="0"/>
                <w:color w:val="auto"/>
                <w:kern w:val="0"/>
                <w:szCs w:val="24"/>
                <w:highlight w:val="none"/>
              </w:rPr>
            </w:pPr>
          </w:p>
        </w:tc>
        <w:tc>
          <w:tcPr>
            <w:tcW w:w="1547" w:type="dxa"/>
            <w:gridSpan w:val="2"/>
            <w:tcBorders>
              <w:top w:val="single" w:color="auto" w:sz="6" w:space="0"/>
              <w:left w:val="single" w:color="auto" w:sz="4" w:space="0"/>
              <w:bottom w:val="single" w:color="auto" w:sz="6" w:space="0"/>
              <w:right w:val="single" w:color="auto" w:sz="6" w:space="0"/>
            </w:tcBorders>
            <w:vAlign w:val="center"/>
          </w:tcPr>
          <w:p w14:paraId="1481B42A">
            <w:pPr>
              <w:keepNext w:val="0"/>
              <w:keepLines w:val="0"/>
              <w:suppressLineNumbers w:val="0"/>
              <w:wordWrap w:val="0"/>
              <w:adjustRightInd w:val="0"/>
              <w:snapToGrid w:val="0"/>
              <w:spacing w:before="0" w:beforeAutospacing="0" w:after="0" w:afterAutospacing="0"/>
              <w:ind w:left="0" w:right="0"/>
              <w:jc w:val="center"/>
              <w:rPr>
                <w:rFonts w:hint="default" w:asciiTheme="minorEastAsia" w:hAnsiTheme="minorEastAsia" w:eastAsiaTheme="minorEastAsia" w:cstheme="minorEastAsia"/>
                <w:snapToGrid w:val="0"/>
                <w:color w:val="auto"/>
                <w:kern w:val="0"/>
                <w:szCs w:val="24"/>
                <w:highlight w:val="none"/>
              </w:rPr>
            </w:pPr>
          </w:p>
        </w:tc>
        <w:tc>
          <w:tcPr>
            <w:tcW w:w="1942" w:type="dxa"/>
            <w:gridSpan w:val="2"/>
            <w:tcBorders>
              <w:top w:val="single" w:color="auto" w:sz="6" w:space="0"/>
              <w:left w:val="single" w:color="auto" w:sz="6" w:space="0"/>
              <w:bottom w:val="single" w:color="auto" w:sz="6" w:space="0"/>
              <w:right w:val="single" w:color="auto" w:sz="6" w:space="0"/>
            </w:tcBorders>
            <w:vAlign w:val="center"/>
          </w:tcPr>
          <w:p w14:paraId="1F6C3585">
            <w:pPr>
              <w:keepNext w:val="0"/>
              <w:keepLines w:val="0"/>
              <w:suppressLineNumbers w:val="0"/>
              <w:wordWrap w:val="0"/>
              <w:adjustRightInd w:val="0"/>
              <w:snapToGrid w:val="0"/>
              <w:spacing w:before="0" w:beforeAutospacing="0" w:after="0" w:afterAutospacing="0"/>
              <w:ind w:left="0" w:right="0"/>
              <w:jc w:val="center"/>
              <w:rPr>
                <w:rFonts w:hint="default" w:asciiTheme="minorEastAsia" w:hAnsiTheme="minorEastAsia" w:eastAsiaTheme="minorEastAsia" w:cstheme="minorEastAsia"/>
                <w:snapToGrid w:val="0"/>
                <w:color w:val="auto"/>
                <w:kern w:val="0"/>
                <w:szCs w:val="24"/>
                <w:highlight w:val="none"/>
              </w:rPr>
            </w:pPr>
          </w:p>
        </w:tc>
        <w:tc>
          <w:tcPr>
            <w:tcW w:w="1973" w:type="dxa"/>
            <w:gridSpan w:val="2"/>
            <w:tcBorders>
              <w:top w:val="single" w:color="auto" w:sz="6" w:space="0"/>
              <w:left w:val="single" w:color="auto" w:sz="6" w:space="0"/>
              <w:bottom w:val="single" w:color="auto" w:sz="6" w:space="0"/>
              <w:right w:val="single" w:color="auto" w:sz="6" w:space="0"/>
            </w:tcBorders>
            <w:vAlign w:val="center"/>
          </w:tcPr>
          <w:p w14:paraId="5DB5BC85">
            <w:pPr>
              <w:keepNext w:val="0"/>
              <w:keepLines w:val="0"/>
              <w:suppressLineNumbers w:val="0"/>
              <w:wordWrap w:val="0"/>
              <w:adjustRightInd w:val="0"/>
              <w:snapToGrid w:val="0"/>
              <w:spacing w:before="0" w:beforeAutospacing="0" w:after="0" w:afterAutospacing="0"/>
              <w:ind w:left="0" w:right="0"/>
              <w:jc w:val="center"/>
              <w:rPr>
                <w:rFonts w:hint="default" w:asciiTheme="minorEastAsia" w:hAnsiTheme="minorEastAsia" w:eastAsiaTheme="minorEastAsia" w:cstheme="minorEastAsia"/>
                <w:snapToGrid w:val="0"/>
                <w:color w:val="auto"/>
                <w:kern w:val="0"/>
                <w:szCs w:val="24"/>
                <w:highlight w:val="none"/>
              </w:rPr>
            </w:pPr>
          </w:p>
        </w:tc>
        <w:tc>
          <w:tcPr>
            <w:tcW w:w="1706" w:type="dxa"/>
            <w:tcBorders>
              <w:top w:val="single" w:color="auto" w:sz="6" w:space="0"/>
              <w:left w:val="single" w:color="auto" w:sz="6" w:space="0"/>
              <w:bottom w:val="single" w:color="auto" w:sz="6" w:space="0"/>
              <w:right w:val="single" w:color="auto" w:sz="6" w:space="0"/>
            </w:tcBorders>
            <w:vAlign w:val="center"/>
          </w:tcPr>
          <w:p w14:paraId="318C5C56">
            <w:pPr>
              <w:keepNext w:val="0"/>
              <w:keepLines w:val="0"/>
              <w:suppressLineNumbers w:val="0"/>
              <w:wordWrap w:val="0"/>
              <w:adjustRightInd w:val="0"/>
              <w:snapToGrid w:val="0"/>
              <w:spacing w:before="0" w:beforeAutospacing="0" w:after="0" w:afterAutospacing="0"/>
              <w:ind w:left="0" w:right="0"/>
              <w:jc w:val="center"/>
              <w:rPr>
                <w:rFonts w:hint="default" w:asciiTheme="minorEastAsia" w:hAnsiTheme="minorEastAsia" w:eastAsiaTheme="minorEastAsia" w:cstheme="minorEastAsia"/>
                <w:snapToGrid w:val="0"/>
                <w:color w:val="auto"/>
                <w:kern w:val="0"/>
                <w:szCs w:val="24"/>
                <w:highlight w:val="none"/>
              </w:rPr>
            </w:pPr>
          </w:p>
        </w:tc>
        <w:tc>
          <w:tcPr>
            <w:tcW w:w="1327" w:type="dxa"/>
            <w:tcBorders>
              <w:top w:val="single" w:color="auto" w:sz="6" w:space="0"/>
              <w:left w:val="single" w:color="auto" w:sz="6" w:space="0"/>
              <w:bottom w:val="single" w:color="auto" w:sz="6" w:space="0"/>
              <w:right w:val="single" w:color="auto" w:sz="6" w:space="0"/>
            </w:tcBorders>
            <w:vAlign w:val="center"/>
          </w:tcPr>
          <w:p w14:paraId="1D0B3548">
            <w:pPr>
              <w:keepNext w:val="0"/>
              <w:keepLines w:val="0"/>
              <w:suppressLineNumbers w:val="0"/>
              <w:wordWrap w:val="0"/>
              <w:adjustRightInd w:val="0"/>
              <w:snapToGrid w:val="0"/>
              <w:spacing w:before="0" w:beforeAutospacing="0" w:after="0" w:afterAutospacing="0"/>
              <w:ind w:left="0" w:right="0"/>
              <w:jc w:val="center"/>
              <w:rPr>
                <w:rFonts w:hint="default" w:asciiTheme="minorEastAsia" w:hAnsiTheme="minorEastAsia" w:eastAsiaTheme="minorEastAsia" w:cstheme="minorEastAsia"/>
                <w:snapToGrid w:val="0"/>
                <w:color w:val="auto"/>
                <w:kern w:val="0"/>
                <w:szCs w:val="24"/>
                <w:highlight w:val="none"/>
              </w:rPr>
            </w:pPr>
          </w:p>
        </w:tc>
      </w:tr>
    </w:tbl>
    <w:p w14:paraId="7FDF12B7">
      <w:pPr>
        <w:wordWrap w:val="0"/>
        <w:adjustRightInd w:val="0"/>
        <w:snapToGrid w:val="0"/>
        <w:spacing w:line="440" w:lineRule="exact"/>
        <w:jc w:val="center"/>
        <w:rPr>
          <w:rFonts w:hint="default" w:asciiTheme="minorEastAsia" w:hAnsiTheme="minorEastAsia" w:eastAsiaTheme="minorEastAsia" w:cstheme="minorEastAsia"/>
          <w:b/>
          <w:bCs/>
          <w:snapToGrid w:val="0"/>
          <w:color w:val="auto"/>
          <w:kern w:val="0"/>
          <w:szCs w:val="24"/>
          <w:highlight w:val="none"/>
        </w:rPr>
      </w:pPr>
      <w:r>
        <w:rPr>
          <w:rFonts w:asciiTheme="minorEastAsia" w:hAnsiTheme="minorEastAsia" w:eastAsiaTheme="minorEastAsia" w:cstheme="minorEastAsia"/>
          <w:b/>
          <w:snapToGrid w:val="0"/>
          <w:color w:val="auto"/>
          <w:kern w:val="0"/>
          <w:szCs w:val="24"/>
          <w:highlight w:val="none"/>
        </w:rPr>
        <w:t>项目技术负责人简历表</w:t>
      </w:r>
    </w:p>
    <w:p w14:paraId="447CA461">
      <w:pPr>
        <w:pStyle w:val="50"/>
        <w:wordWrap w:val="0"/>
        <w:adjustRightInd w:val="0"/>
        <w:snapToGrid w:val="0"/>
        <w:spacing w:line="440" w:lineRule="exact"/>
        <w:jc w:val="both"/>
        <w:rPr>
          <w:rFonts w:asciiTheme="minorEastAsia" w:hAnsiTheme="minorEastAsia" w:eastAsiaTheme="minorEastAsia" w:cstheme="minorEastAsia"/>
          <w:snapToGrid w:val="0"/>
          <w:color w:val="auto"/>
          <w:kern w:val="0"/>
          <w:sz w:val="24"/>
          <w:szCs w:val="24"/>
          <w:highlight w:val="none"/>
        </w:rPr>
      </w:pPr>
    </w:p>
    <w:p w14:paraId="62B18CFF">
      <w:pPr>
        <w:pStyle w:val="50"/>
        <w:wordWrap w:val="0"/>
        <w:adjustRightInd w:val="0"/>
        <w:snapToGrid w:val="0"/>
        <w:spacing w:line="440" w:lineRule="exact"/>
        <w:jc w:val="right"/>
        <w:rPr>
          <w:rFonts w:asciiTheme="minorEastAsia" w:hAnsiTheme="minorEastAsia" w:eastAsiaTheme="minorEastAsia" w:cstheme="minorEastAsia"/>
          <w:snapToGrid w:val="0"/>
          <w:color w:val="auto"/>
          <w:kern w:val="0"/>
          <w:sz w:val="24"/>
          <w:szCs w:val="24"/>
          <w:highlight w:val="none"/>
        </w:rPr>
      </w:pPr>
      <w:r>
        <w:rPr>
          <w:rFonts w:hint="eastAsia" w:asciiTheme="minorEastAsia" w:hAnsiTheme="minorEastAsia" w:eastAsiaTheme="minorEastAsia" w:cstheme="minorEastAsia"/>
          <w:snapToGrid w:val="0"/>
          <w:color w:val="auto"/>
          <w:kern w:val="0"/>
          <w:sz w:val="24"/>
          <w:szCs w:val="24"/>
          <w:highlight w:val="none"/>
        </w:rPr>
        <w:t>项目技术负责人：（签字）</w:t>
      </w:r>
    </w:p>
    <w:p w14:paraId="0FDDFF6E">
      <w:pPr>
        <w:pStyle w:val="50"/>
        <w:wordWrap w:val="0"/>
        <w:adjustRightInd w:val="0"/>
        <w:snapToGrid w:val="0"/>
        <w:spacing w:line="440" w:lineRule="exact"/>
        <w:jc w:val="right"/>
        <w:rPr>
          <w:rFonts w:asciiTheme="minorEastAsia" w:hAnsiTheme="minorEastAsia" w:eastAsiaTheme="minorEastAsia" w:cstheme="minorEastAsia"/>
          <w:snapToGrid w:val="0"/>
          <w:color w:val="auto"/>
          <w:kern w:val="0"/>
          <w:sz w:val="24"/>
          <w:szCs w:val="24"/>
          <w:highlight w:val="none"/>
        </w:rPr>
      </w:pPr>
    </w:p>
    <w:p w14:paraId="502B68ED">
      <w:pPr>
        <w:pStyle w:val="50"/>
        <w:wordWrap w:val="0"/>
        <w:adjustRightInd w:val="0"/>
        <w:snapToGrid w:val="0"/>
        <w:spacing w:line="440" w:lineRule="exact"/>
        <w:jc w:val="center"/>
        <w:rPr>
          <w:rFonts w:hint="eastAsia" w:asciiTheme="minorEastAsia" w:hAnsiTheme="minorEastAsia" w:eastAsiaTheme="minorEastAsia" w:cstheme="minorEastAsia"/>
          <w:snapToGrid w:val="0"/>
          <w:color w:val="auto"/>
          <w:kern w:val="0"/>
          <w:sz w:val="24"/>
          <w:szCs w:val="24"/>
          <w:highlight w:val="none"/>
          <w:lang w:eastAsia="zh-CN"/>
        </w:rPr>
      </w:pPr>
      <w:r>
        <w:rPr>
          <w:rFonts w:hint="eastAsia" w:asciiTheme="minorEastAsia" w:hAnsiTheme="minorEastAsia" w:eastAsiaTheme="minorEastAsia" w:cstheme="minorEastAsia"/>
          <w:snapToGrid w:val="0"/>
          <w:color w:val="auto"/>
          <w:kern w:val="0"/>
          <w:sz w:val="24"/>
          <w:szCs w:val="24"/>
          <w:highlight w:val="none"/>
          <w:lang w:val="en-US" w:eastAsia="zh-CN"/>
        </w:rPr>
        <w:t xml:space="preserve">                                                 </w:t>
      </w:r>
      <w:r>
        <w:rPr>
          <w:rFonts w:hint="eastAsia" w:asciiTheme="minorEastAsia" w:hAnsiTheme="minorEastAsia" w:eastAsiaTheme="minorEastAsia" w:cstheme="minorEastAsia"/>
          <w:snapToGrid w:val="0"/>
          <w:color w:val="auto"/>
          <w:kern w:val="0"/>
          <w:sz w:val="24"/>
          <w:szCs w:val="24"/>
          <w:highlight w:val="none"/>
          <w:lang w:eastAsia="zh-CN"/>
        </w:rPr>
        <w:t xml:space="preserve"> 年   月  日</w:t>
      </w:r>
    </w:p>
    <w:p w14:paraId="65D6ECC4">
      <w:pPr>
        <w:wordWrap w:val="0"/>
        <w:adjustRightInd w:val="0"/>
        <w:snapToGrid w:val="0"/>
        <w:spacing w:line="400" w:lineRule="exact"/>
        <w:ind w:firstLine="570"/>
        <w:rPr>
          <w:rFonts w:hint="default" w:asciiTheme="minorEastAsia" w:hAnsiTheme="minorEastAsia" w:eastAsiaTheme="minorEastAsia" w:cstheme="minorEastAsia"/>
          <w:snapToGrid w:val="0"/>
          <w:color w:val="auto"/>
          <w:kern w:val="0"/>
          <w:szCs w:val="24"/>
          <w:highlight w:val="none"/>
        </w:rPr>
      </w:pPr>
    </w:p>
    <w:p w14:paraId="2E23E45E">
      <w:pPr>
        <w:wordWrap w:val="0"/>
        <w:adjustRightInd w:val="0"/>
        <w:snapToGrid w:val="0"/>
        <w:spacing w:line="400" w:lineRule="exact"/>
        <w:rPr>
          <w:rFonts w:hint="default" w:asciiTheme="minorEastAsia" w:hAnsiTheme="minorEastAsia" w:eastAsiaTheme="minorEastAsia" w:cstheme="minorEastAsia"/>
          <w:snapToGrid w:val="0"/>
          <w:color w:val="auto"/>
          <w:kern w:val="0"/>
          <w:szCs w:val="24"/>
          <w:highlight w:val="none"/>
        </w:rPr>
      </w:pPr>
      <w:r>
        <w:rPr>
          <w:rFonts w:asciiTheme="minorEastAsia" w:hAnsiTheme="minorEastAsia" w:eastAsiaTheme="minorEastAsia" w:cstheme="minorEastAsia"/>
          <w:snapToGrid w:val="0"/>
          <w:color w:val="auto"/>
          <w:kern w:val="0"/>
          <w:szCs w:val="24"/>
          <w:highlight w:val="none"/>
        </w:rPr>
        <w:t xml:space="preserve">    说明：《项目技术负责人简历表》后应附拟派项目技术负责人以下资料：</w:t>
      </w:r>
    </w:p>
    <w:p w14:paraId="1F0BAA2B">
      <w:pPr>
        <w:wordWrap w:val="0"/>
        <w:adjustRightInd w:val="0"/>
        <w:snapToGrid w:val="0"/>
        <w:spacing w:line="400" w:lineRule="exact"/>
        <w:ind w:firstLine="480" w:firstLineChars="200"/>
        <w:rPr>
          <w:rFonts w:hint="default" w:asciiTheme="minorEastAsia" w:hAnsiTheme="minorEastAsia" w:eastAsiaTheme="minorEastAsia" w:cstheme="minorEastAsia"/>
          <w:snapToGrid w:val="0"/>
          <w:color w:val="auto"/>
          <w:kern w:val="0"/>
          <w:szCs w:val="24"/>
          <w:highlight w:val="none"/>
        </w:rPr>
      </w:pPr>
      <w:r>
        <w:rPr>
          <w:rFonts w:hint="eastAsia" w:asciiTheme="minorEastAsia" w:hAnsiTheme="minorEastAsia" w:eastAsiaTheme="minorEastAsia" w:cstheme="minorEastAsia"/>
          <w:snapToGrid w:val="0"/>
          <w:color w:val="auto"/>
          <w:kern w:val="0"/>
          <w:szCs w:val="24"/>
          <w:highlight w:val="none"/>
          <w:lang w:eastAsia="zh-CN"/>
        </w:rPr>
        <w:t>1.</w:t>
      </w:r>
      <w:r>
        <w:rPr>
          <w:rFonts w:asciiTheme="minorEastAsia" w:hAnsiTheme="minorEastAsia" w:eastAsiaTheme="minorEastAsia" w:cstheme="minorEastAsia"/>
          <w:snapToGrid w:val="0"/>
          <w:color w:val="auto"/>
          <w:kern w:val="0"/>
          <w:szCs w:val="24"/>
          <w:highlight w:val="none"/>
        </w:rPr>
        <w:t>身份证彩色扫描件；</w:t>
      </w:r>
    </w:p>
    <w:p w14:paraId="12455C36">
      <w:pPr>
        <w:wordWrap w:val="0"/>
        <w:adjustRightInd w:val="0"/>
        <w:snapToGrid w:val="0"/>
        <w:spacing w:line="400" w:lineRule="exact"/>
        <w:ind w:firstLine="480" w:firstLineChars="200"/>
        <w:rPr>
          <w:rFonts w:hint="default" w:asciiTheme="minorEastAsia" w:hAnsiTheme="minorEastAsia" w:eastAsiaTheme="minorEastAsia" w:cstheme="minorEastAsia"/>
          <w:snapToGrid w:val="0"/>
          <w:color w:val="auto"/>
          <w:kern w:val="0"/>
          <w:szCs w:val="24"/>
          <w:highlight w:val="none"/>
        </w:rPr>
      </w:pPr>
      <w:r>
        <w:rPr>
          <w:rFonts w:hint="eastAsia" w:asciiTheme="minorEastAsia" w:hAnsiTheme="minorEastAsia" w:eastAsiaTheme="minorEastAsia" w:cstheme="minorEastAsia"/>
          <w:snapToGrid w:val="0"/>
          <w:color w:val="auto"/>
          <w:kern w:val="0"/>
          <w:szCs w:val="24"/>
          <w:highlight w:val="none"/>
          <w:lang w:eastAsia="zh-CN"/>
        </w:rPr>
        <w:t>2.</w:t>
      </w:r>
      <w:r>
        <w:rPr>
          <w:rFonts w:asciiTheme="minorEastAsia" w:hAnsiTheme="minorEastAsia" w:eastAsiaTheme="minorEastAsia" w:cstheme="minorEastAsia"/>
          <w:snapToGrid w:val="0"/>
          <w:color w:val="auto"/>
          <w:kern w:val="0"/>
          <w:szCs w:val="24"/>
          <w:highlight w:val="none"/>
        </w:rPr>
        <w:t>职称证彩色扫描件；</w:t>
      </w:r>
    </w:p>
    <w:p w14:paraId="0FB95F58">
      <w:pPr>
        <w:wordWrap w:val="0"/>
        <w:adjustRightInd w:val="0"/>
        <w:snapToGrid w:val="0"/>
        <w:spacing w:line="400" w:lineRule="exact"/>
        <w:ind w:firstLine="480" w:firstLineChars="200"/>
        <w:rPr>
          <w:rFonts w:hint="eastAsia" w:asciiTheme="minorEastAsia" w:hAnsiTheme="minorEastAsia" w:eastAsiaTheme="minorEastAsia" w:cstheme="minorEastAsia"/>
          <w:snapToGrid w:val="0"/>
          <w:color w:val="auto"/>
          <w:kern w:val="0"/>
          <w:szCs w:val="24"/>
          <w:highlight w:val="none"/>
        </w:rPr>
      </w:pPr>
      <w:r>
        <w:rPr>
          <w:rFonts w:hint="eastAsia" w:asciiTheme="minorEastAsia" w:hAnsiTheme="minorEastAsia" w:eastAsiaTheme="minorEastAsia" w:cstheme="minorEastAsia"/>
          <w:snapToGrid w:val="0"/>
          <w:color w:val="auto"/>
          <w:kern w:val="0"/>
          <w:szCs w:val="24"/>
          <w:highlight w:val="none"/>
          <w:lang w:eastAsia="zh-CN"/>
        </w:rPr>
        <w:t>3.</w:t>
      </w:r>
      <w:r>
        <w:rPr>
          <w:rFonts w:hint="eastAsia" w:asciiTheme="minorEastAsia" w:hAnsiTheme="minorEastAsia" w:eastAsiaTheme="minorEastAsia" w:cstheme="minorEastAsia"/>
          <w:snapToGrid w:val="0"/>
          <w:color w:val="auto"/>
          <w:kern w:val="0"/>
          <w:szCs w:val="24"/>
          <w:highlight w:val="none"/>
        </w:rPr>
        <w:t>在本单位缴纳社保的证明（至少</w:t>
      </w:r>
      <w:r>
        <w:rPr>
          <w:rFonts w:hint="eastAsia" w:asciiTheme="minorEastAsia" w:hAnsiTheme="minorEastAsia" w:eastAsiaTheme="minorEastAsia" w:cstheme="minorEastAsia"/>
          <w:snapToGrid w:val="0"/>
          <w:color w:val="auto"/>
          <w:kern w:val="0"/>
          <w:szCs w:val="24"/>
          <w:highlight w:val="none"/>
          <w:lang w:val="en-US" w:eastAsia="zh-CN"/>
        </w:rPr>
        <w:t>3</w:t>
      </w:r>
      <w:r>
        <w:rPr>
          <w:rFonts w:hint="eastAsia" w:asciiTheme="minorEastAsia" w:hAnsiTheme="minorEastAsia" w:eastAsiaTheme="minorEastAsia" w:cstheme="minorEastAsia"/>
          <w:snapToGrid w:val="0"/>
          <w:color w:val="auto"/>
          <w:kern w:val="0"/>
          <w:szCs w:val="24"/>
          <w:highlight w:val="none"/>
        </w:rPr>
        <w:t>个月，其中</w:t>
      </w:r>
      <w:r>
        <w:rPr>
          <w:rFonts w:hint="eastAsia" w:asciiTheme="minorEastAsia" w:hAnsiTheme="minorEastAsia" w:eastAsiaTheme="minorEastAsia" w:cstheme="minorEastAsia"/>
          <w:snapToGrid w:val="0"/>
          <w:color w:val="auto"/>
          <w:kern w:val="0"/>
          <w:szCs w:val="24"/>
          <w:highlight w:val="none"/>
          <w:lang w:eastAsia="zh-CN"/>
        </w:rPr>
        <w:t>必须有202</w:t>
      </w:r>
      <w:r>
        <w:rPr>
          <w:rFonts w:hint="eastAsia" w:asciiTheme="minorEastAsia" w:hAnsiTheme="minorEastAsia" w:eastAsiaTheme="minorEastAsia" w:cstheme="minorEastAsia"/>
          <w:snapToGrid w:val="0"/>
          <w:color w:val="auto"/>
          <w:kern w:val="0"/>
          <w:szCs w:val="24"/>
          <w:highlight w:val="none"/>
          <w:lang w:val="en-US" w:eastAsia="zh-CN"/>
        </w:rPr>
        <w:t>6</w:t>
      </w:r>
      <w:r>
        <w:rPr>
          <w:rFonts w:hint="eastAsia" w:asciiTheme="minorEastAsia" w:hAnsiTheme="minorEastAsia" w:eastAsiaTheme="minorEastAsia" w:cstheme="minorEastAsia"/>
          <w:snapToGrid w:val="0"/>
          <w:color w:val="auto"/>
          <w:kern w:val="0"/>
          <w:szCs w:val="24"/>
          <w:highlight w:val="none"/>
          <w:lang w:eastAsia="zh-CN"/>
        </w:rPr>
        <w:t>年</w:t>
      </w:r>
      <w:r>
        <w:rPr>
          <w:rFonts w:hint="eastAsia" w:asciiTheme="minorEastAsia" w:hAnsiTheme="minorEastAsia" w:eastAsiaTheme="minorEastAsia" w:cstheme="minorEastAsia"/>
          <w:snapToGrid w:val="0"/>
          <w:color w:val="auto"/>
          <w:kern w:val="0"/>
          <w:szCs w:val="24"/>
          <w:highlight w:val="none"/>
          <w:lang w:val="en-US" w:eastAsia="zh-CN"/>
        </w:rPr>
        <w:t>8</w:t>
      </w:r>
      <w:r>
        <w:rPr>
          <w:rFonts w:hint="eastAsia" w:asciiTheme="minorEastAsia" w:hAnsiTheme="minorEastAsia" w:eastAsiaTheme="minorEastAsia" w:cstheme="minorEastAsia"/>
          <w:snapToGrid w:val="0"/>
          <w:color w:val="auto"/>
          <w:kern w:val="0"/>
          <w:szCs w:val="24"/>
          <w:highlight w:val="none"/>
          <w:lang w:eastAsia="zh-CN"/>
        </w:rPr>
        <w:t>月</w:t>
      </w:r>
      <w:r>
        <w:rPr>
          <w:rFonts w:hint="eastAsia" w:asciiTheme="minorEastAsia" w:hAnsiTheme="minorEastAsia" w:eastAsiaTheme="minorEastAsia" w:cstheme="minorEastAsia"/>
          <w:snapToGrid w:val="0"/>
          <w:color w:val="auto"/>
          <w:kern w:val="0"/>
          <w:szCs w:val="24"/>
          <w:highlight w:val="none"/>
        </w:rPr>
        <w:t>）</w:t>
      </w:r>
      <w:r>
        <w:rPr>
          <w:rFonts w:hint="eastAsia" w:asciiTheme="minorEastAsia" w:hAnsiTheme="minorEastAsia" w:eastAsiaTheme="minorEastAsia" w:cstheme="minorEastAsia"/>
          <w:snapToGrid w:val="0"/>
          <w:color w:val="auto"/>
          <w:kern w:val="0"/>
          <w:szCs w:val="24"/>
          <w:highlight w:val="none"/>
          <w:lang w:val="en-US" w:eastAsia="zh-CN"/>
        </w:rPr>
        <w:t>扫描件</w:t>
      </w:r>
      <w:r>
        <w:rPr>
          <w:rFonts w:hint="eastAsia" w:asciiTheme="minorEastAsia" w:hAnsiTheme="minorEastAsia" w:eastAsiaTheme="minorEastAsia" w:cstheme="minorEastAsia"/>
          <w:snapToGrid w:val="0"/>
          <w:color w:val="auto"/>
          <w:kern w:val="0"/>
          <w:szCs w:val="24"/>
          <w:highlight w:val="none"/>
        </w:rPr>
        <w:t>；拟派技术负责人为</w:t>
      </w:r>
      <w:r>
        <w:rPr>
          <w:rFonts w:hint="eastAsia" w:hAnsi="宋体" w:eastAsia="宋体" w:cs="宋体"/>
          <w:color w:val="auto"/>
          <w:sz w:val="24"/>
          <w:szCs w:val="24"/>
          <w:highlight w:val="none"/>
          <w:lang w:eastAsia="zh-CN"/>
        </w:rPr>
        <w:t>退休人员需提供退休证和返聘合同（协议）彩色扫描件</w:t>
      </w:r>
      <w:r>
        <w:rPr>
          <w:rFonts w:hint="eastAsia" w:asciiTheme="minorEastAsia" w:hAnsiTheme="minorEastAsia" w:eastAsiaTheme="minorEastAsia" w:cstheme="minorEastAsia"/>
          <w:snapToGrid w:val="0"/>
          <w:color w:val="auto"/>
          <w:kern w:val="0"/>
          <w:szCs w:val="24"/>
          <w:highlight w:val="none"/>
        </w:rPr>
        <w:t>。</w:t>
      </w:r>
    </w:p>
    <w:p w14:paraId="2F761308">
      <w:pPr>
        <w:wordWrap w:val="0"/>
        <w:adjustRightInd w:val="0"/>
        <w:snapToGrid w:val="0"/>
        <w:spacing w:line="400" w:lineRule="exact"/>
        <w:ind w:firstLine="480" w:firstLineChars="200"/>
        <w:rPr>
          <w:rFonts w:hint="default" w:asciiTheme="minorEastAsia" w:hAnsiTheme="minorEastAsia" w:eastAsiaTheme="minorEastAsia" w:cstheme="minorEastAsia"/>
          <w:snapToGrid w:val="0"/>
          <w:color w:val="auto"/>
          <w:kern w:val="0"/>
          <w:szCs w:val="24"/>
          <w:highlight w:val="none"/>
        </w:rPr>
      </w:pPr>
      <w:r>
        <w:rPr>
          <w:rFonts w:asciiTheme="minorEastAsia" w:hAnsiTheme="minorEastAsia" w:eastAsiaTheme="minorEastAsia" w:cstheme="minorEastAsia"/>
          <w:snapToGrid w:val="0"/>
          <w:color w:val="auto"/>
          <w:kern w:val="0"/>
          <w:szCs w:val="24"/>
          <w:highlight w:val="none"/>
        </w:rPr>
        <w:t>4. “进粤企业和人员诚信信息登记平台 ”个人信息情况截图。（适用于省外建筑企业）</w:t>
      </w:r>
      <w:r>
        <w:rPr>
          <w:rFonts w:hint="eastAsia" w:asciiTheme="minorEastAsia" w:hAnsiTheme="minorEastAsia" w:eastAsiaTheme="minorEastAsia" w:cstheme="minorEastAsia"/>
          <w:snapToGrid w:val="0"/>
          <w:color w:val="auto"/>
          <w:kern w:val="0"/>
          <w:sz w:val="21"/>
          <w:szCs w:val="21"/>
          <w:highlight w:val="none"/>
          <w:u w:val="none"/>
          <w:lang w:val="zh-CN"/>
        </w:rPr>
        <w:t>（若组成联合体时，由联合体牵头人提供）</w:t>
      </w:r>
    </w:p>
    <w:p w14:paraId="1CB0665F">
      <w:pPr>
        <w:wordWrap w:val="0"/>
        <w:adjustRightInd w:val="0"/>
        <w:snapToGrid w:val="0"/>
        <w:spacing w:line="400" w:lineRule="exact"/>
        <w:ind w:firstLine="480" w:firstLineChars="200"/>
        <w:rPr>
          <w:rFonts w:hint="default" w:asciiTheme="minorEastAsia" w:hAnsiTheme="minorEastAsia" w:eastAsiaTheme="minorEastAsia" w:cstheme="minorEastAsia"/>
          <w:snapToGrid w:val="0"/>
          <w:color w:val="auto"/>
          <w:szCs w:val="24"/>
          <w:highlight w:val="none"/>
        </w:rPr>
        <w:sectPr>
          <w:endnotePr>
            <w:numFmt w:val="decimal"/>
          </w:endnotePr>
          <w:pgSz w:w="11905" w:h="16838"/>
          <w:pgMar w:top="1134" w:right="1134" w:bottom="1134" w:left="1417" w:header="850" w:footer="0" w:gutter="0"/>
          <w:pgBorders>
            <w:top w:val="none" w:sz="0" w:space="0"/>
            <w:left w:val="none" w:sz="0" w:space="0"/>
            <w:bottom w:val="none" w:sz="0" w:space="0"/>
            <w:right w:val="none" w:sz="0" w:space="0"/>
          </w:pgBorders>
          <w:pgNumType w:fmt="decimal"/>
          <w:cols w:space="0" w:num="1"/>
          <w:rtlGutter w:val="0"/>
          <w:docGrid w:linePitch="327" w:charSpace="0"/>
        </w:sectPr>
      </w:pPr>
    </w:p>
    <w:p w14:paraId="3D167C40">
      <w:pPr>
        <w:pStyle w:val="4"/>
        <w:spacing w:before="120"/>
        <w:rPr>
          <w:rFonts w:hint="default" w:asciiTheme="minorEastAsia" w:hAnsiTheme="minorEastAsia" w:eastAsiaTheme="minorEastAsia" w:cstheme="minorEastAsia"/>
          <w:b/>
          <w:bCs/>
          <w:color w:val="auto"/>
          <w:szCs w:val="24"/>
          <w:highlight w:val="none"/>
        </w:rPr>
      </w:pPr>
      <w:bookmarkStart w:id="595" w:name="_Toc9115"/>
      <w:bookmarkStart w:id="596" w:name="_Toc31518"/>
      <w:r>
        <w:rPr>
          <w:rFonts w:asciiTheme="minorEastAsia" w:hAnsiTheme="minorEastAsia" w:eastAsiaTheme="minorEastAsia" w:cstheme="minorEastAsia"/>
          <w:b/>
          <w:bCs/>
          <w:color w:val="auto"/>
          <w:szCs w:val="24"/>
          <w:highlight w:val="none"/>
        </w:rPr>
        <w:t>格式十一 项目设计负责人简历表</w:t>
      </w:r>
      <w:bookmarkEnd w:id="595"/>
      <w:bookmarkEnd w:id="596"/>
    </w:p>
    <w:p w14:paraId="7DA20CEE">
      <w:pPr>
        <w:wordWrap w:val="0"/>
        <w:adjustRightInd w:val="0"/>
        <w:snapToGrid w:val="0"/>
        <w:spacing w:line="440" w:lineRule="exact"/>
        <w:jc w:val="left"/>
        <w:rPr>
          <w:rFonts w:hint="default" w:asciiTheme="minorEastAsia" w:hAnsiTheme="minorEastAsia" w:eastAsiaTheme="minorEastAsia" w:cstheme="minorEastAsia"/>
          <w:b/>
          <w:bCs/>
          <w:snapToGrid w:val="0"/>
          <w:color w:val="auto"/>
          <w:kern w:val="0"/>
          <w:szCs w:val="24"/>
          <w:highlight w:val="none"/>
        </w:rPr>
      </w:pPr>
    </w:p>
    <w:tbl>
      <w:tblPr>
        <w:tblStyle w:val="23"/>
        <w:tblpPr w:leftFromText="180" w:rightFromText="180" w:vertAnchor="text" w:horzAnchor="page" w:tblpX="1490" w:tblpY="692"/>
        <w:tblOverlap w:val="never"/>
        <w:tblW w:w="9270" w:type="dxa"/>
        <w:tblInd w:w="0"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775"/>
        <w:gridCol w:w="963"/>
        <w:gridCol w:w="584"/>
        <w:gridCol w:w="648"/>
        <w:gridCol w:w="1294"/>
        <w:gridCol w:w="1946"/>
        <w:gridCol w:w="27"/>
        <w:gridCol w:w="1706"/>
        <w:gridCol w:w="1327"/>
      </w:tblGrid>
      <w:tr w14:paraId="40FFF93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exact"/>
        </w:trPr>
        <w:tc>
          <w:tcPr>
            <w:tcW w:w="1738" w:type="dxa"/>
            <w:gridSpan w:val="2"/>
            <w:tcBorders>
              <w:top w:val="single" w:color="auto" w:sz="6" w:space="0"/>
              <w:left w:val="single" w:color="auto" w:sz="6" w:space="0"/>
              <w:bottom w:val="single" w:color="auto" w:sz="6" w:space="0"/>
              <w:right w:val="single" w:color="auto" w:sz="6" w:space="0"/>
            </w:tcBorders>
            <w:vAlign w:val="center"/>
          </w:tcPr>
          <w:p w14:paraId="4A9A21DA">
            <w:pPr>
              <w:keepNext w:val="0"/>
              <w:keepLines w:val="0"/>
              <w:suppressLineNumbers w:val="0"/>
              <w:wordWrap w:val="0"/>
              <w:adjustRightInd w:val="0"/>
              <w:snapToGrid w:val="0"/>
              <w:spacing w:before="0" w:beforeAutospacing="0" w:after="0" w:afterAutospacing="0"/>
              <w:ind w:left="0" w:right="0"/>
              <w:jc w:val="center"/>
              <w:rPr>
                <w:rFonts w:hint="default" w:asciiTheme="minorEastAsia" w:hAnsiTheme="minorEastAsia" w:eastAsiaTheme="minorEastAsia" w:cstheme="minorEastAsia"/>
                <w:snapToGrid w:val="0"/>
                <w:color w:val="auto"/>
                <w:kern w:val="0"/>
                <w:szCs w:val="24"/>
                <w:highlight w:val="none"/>
              </w:rPr>
            </w:pPr>
            <w:r>
              <w:rPr>
                <w:rFonts w:asciiTheme="minorEastAsia" w:hAnsiTheme="minorEastAsia" w:eastAsiaTheme="minorEastAsia" w:cstheme="minorEastAsia"/>
                <w:snapToGrid w:val="0"/>
                <w:color w:val="auto"/>
                <w:kern w:val="0"/>
                <w:szCs w:val="24"/>
                <w:highlight w:val="none"/>
              </w:rPr>
              <w:t>姓   名</w:t>
            </w:r>
          </w:p>
        </w:tc>
        <w:tc>
          <w:tcPr>
            <w:tcW w:w="1232" w:type="dxa"/>
            <w:gridSpan w:val="2"/>
            <w:tcBorders>
              <w:top w:val="single" w:color="auto" w:sz="6" w:space="0"/>
              <w:left w:val="single" w:color="auto" w:sz="6" w:space="0"/>
              <w:bottom w:val="single" w:color="auto" w:sz="6" w:space="0"/>
              <w:right w:val="single" w:color="auto" w:sz="6" w:space="0"/>
            </w:tcBorders>
            <w:vAlign w:val="center"/>
          </w:tcPr>
          <w:p w14:paraId="7D39F10F">
            <w:pPr>
              <w:keepNext w:val="0"/>
              <w:keepLines w:val="0"/>
              <w:suppressLineNumbers w:val="0"/>
              <w:wordWrap w:val="0"/>
              <w:adjustRightInd w:val="0"/>
              <w:snapToGrid w:val="0"/>
              <w:spacing w:before="0" w:beforeAutospacing="0" w:after="0" w:afterAutospacing="0"/>
              <w:ind w:left="0" w:right="0"/>
              <w:jc w:val="center"/>
              <w:rPr>
                <w:rFonts w:hint="default" w:asciiTheme="minorEastAsia" w:hAnsiTheme="minorEastAsia" w:eastAsiaTheme="minorEastAsia" w:cstheme="minorEastAsia"/>
                <w:snapToGrid w:val="0"/>
                <w:color w:val="auto"/>
                <w:kern w:val="0"/>
                <w:szCs w:val="24"/>
                <w:highlight w:val="none"/>
              </w:rPr>
            </w:pPr>
          </w:p>
        </w:tc>
        <w:tc>
          <w:tcPr>
            <w:tcW w:w="1294" w:type="dxa"/>
            <w:tcBorders>
              <w:top w:val="single" w:color="auto" w:sz="6" w:space="0"/>
              <w:left w:val="single" w:color="auto" w:sz="6" w:space="0"/>
              <w:bottom w:val="single" w:color="auto" w:sz="6" w:space="0"/>
              <w:right w:val="single" w:color="auto" w:sz="6" w:space="0"/>
            </w:tcBorders>
            <w:vAlign w:val="center"/>
          </w:tcPr>
          <w:p w14:paraId="485CBBF1">
            <w:pPr>
              <w:keepNext w:val="0"/>
              <w:keepLines w:val="0"/>
              <w:suppressLineNumbers w:val="0"/>
              <w:wordWrap w:val="0"/>
              <w:adjustRightInd w:val="0"/>
              <w:snapToGrid w:val="0"/>
              <w:spacing w:before="0" w:beforeAutospacing="0" w:after="0" w:afterAutospacing="0"/>
              <w:ind w:left="0" w:right="0"/>
              <w:jc w:val="center"/>
              <w:rPr>
                <w:rFonts w:hint="default" w:asciiTheme="minorEastAsia" w:hAnsiTheme="minorEastAsia" w:eastAsiaTheme="minorEastAsia" w:cstheme="minorEastAsia"/>
                <w:snapToGrid w:val="0"/>
                <w:color w:val="auto"/>
                <w:kern w:val="0"/>
                <w:szCs w:val="24"/>
                <w:highlight w:val="none"/>
              </w:rPr>
            </w:pPr>
            <w:r>
              <w:rPr>
                <w:rFonts w:asciiTheme="minorEastAsia" w:hAnsiTheme="minorEastAsia" w:eastAsiaTheme="minorEastAsia" w:cstheme="minorEastAsia"/>
                <w:snapToGrid w:val="0"/>
                <w:color w:val="auto"/>
                <w:kern w:val="0"/>
                <w:szCs w:val="24"/>
                <w:highlight w:val="none"/>
              </w:rPr>
              <w:t>性  别</w:t>
            </w:r>
          </w:p>
        </w:tc>
        <w:tc>
          <w:tcPr>
            <w:tcW w:w="1946" w:type="dxa"/>
            <w:tcBorders>
              <w:top w:val="single" w:color="auto" w:sz="6" w:space="0"/>
              <w:left w:val="single" w:color="auto" w:sz="6" w:space="0"/>
              <w:bottom w:val="single" w:color="auto" w:sz="6" w:space="0"/>
              <w:right w:val="single" w:color="auto" w:sz="6" w:space="0"/>
            </w:tcBorders>
            <w:vAlign w:val="center"/>
          </w:tcPr>
          <w:p w14:paraId="1285B028">
            <w:pPr>
              <w:keepNext w:val="0"/>
              <w:keepLines w:val="0"/>
              <w:suppressLineNumbers w:val="0"/>
              <w:wordWrap w:val="0"/>
              <w:adjustRightInd w:val="0"/>
              <w:snapToGrid w:val="0"/>
              <w:spacing w:before="0" w:beforeAutospacing="0" w:after="0" w:afterAutospacing="0"/>
              <w:ind w:left="0" w:right="0"/>
              <w:jc w:val="center"/>
              <w:rPr>
                <w:rFonts w:hint="default" w:asciiTheme="minorEastAsia" w:hAnsiTheme="minorEastAsia" w:eastAsiaTheme="minorEastAsia" w:cstheme="minorEastAsia"/>
                <w:snapToGrid w:val="0"/>
                <w:color w:val="auto"/>
                <w:kern w:val="0"/>
                <w:szCs w:val="24"/>
                <w:highlight w:val="none"/>
              </w:rPr>
            </w:pPr>
          </w:p>
        </w:tc>
        <w:tc>
          <w:tcPr>
            <w:tcW w:w="1733" w:type="dxa"/>
            <w:gridSpan w:val="2"/>
            <w:tcBorders>
              <w:top w:val="single" w:color="auto" w:sz="6" w:space="0"/>
              <w:left w:val="single" w:color="auto" w:sz="6" w:space="0"/>
              <w:bottom w:val="single" w:color="auto" w:sz="6" w:space="0"/>
              <w:right w:val="single" w:color="auto" w:sz="6" w:space="0"/>
            </w:tcBorders>
            <w:vAlign w:val="center"/>
          </w:tcPr>
          <w:p w14:paraId="7463A778">
            <w:pPr>
              <w:keepNext w:val="0"/>
              <w:keepLines w:val="0"/>
              <w:suppressLineNumbers w:val="0"/>
              <w:wordWrap w:val="0"/>
              <w:adjustRightInd w:val="0"/>
              <w:snapToGrid w:val="0"/>
              <w:spacing w:before="0" w:beforeAutospacing="0" w:after="0" w:afterAutospacing="0"/>
              <w:ind w:left="0" w:right="0"/>
              <w:jc w:val="center"/>
              <w:rPr>
                <w:rFonts w:hint="default" w:asciiTheme="minorEastAsia" w:hAnsiTheme="minorEastAsia" w:eastAsiaTheme="minorEastAsia" w:cstheme="minorEastAsia"/>
                <w:snapToGrid w:val="0"/>
                <w:color w:val="auto"/>
                <w:kern w:val="0"/>
                <w:szCs w:val="24"/>
                <w:highlight w:val="none"/>
              </w:rPr>
            </w:pPr>
            <w:r>
              <w:rPr>
                <w:rFonts w:asciiTheme="minorEastAsia" w:hAnsiTheme="minorEastAsia" w:eastAsiaTheme="minorEastAsia" w:cstheme="minorEastAsia"/>
                <w:snapToGrid w:val="0"/>
                <w:color w:val="auto"/>
                <w:kern w:val="0"/>
                <w:szCs w:val="24"/>
                <w:highlight w:val="none"/>
              </w:rPr>
              <w:t>年   龄</w:t>
            </w:r>
          </w:p>
        </w:tc>
        <w:tc>
          <w:tcPr>
            <w:tcW w:w="1327" w:type="dxa"/>
            <w:tcBorders>
              <w:top w:val="single" w:color="auto" w:sz="6" w:space="0"/>
              <w:left w:val="single" w:color="auto" w:sz="6" w:space="0"/>
              <w:bottom w:val="single" w:color="auto" w:sz="6" w:space="0"/>
              <w:right w:val="single" w:color="auto" w:sz="6" w:space="0"/>
            </w:tcBorders>
            <w:vAlign w:val="center"/>
          </w:tcPr>
          <w:p w14:paraId="051ACB14">
            <w:pPr>
              <w:keepNext w:val="0"/>
              <w:keepLines w:val="0"/>
              <w:suppressLineNumbers w:val="0"/>
              <w:wordWrap w:val="0"/>
              <w:adjustRightInd w:val="0"/>
              <w:snapToGrid w:val="0"/>
              <w:spacing w:before="0" w:beforeAutospacing="0" w:after="0" w:afterAutospacing="0"/>
              <w:ind w:left="0" w:right="0"/>
              <w:jc w:val="center"/>
              <w:rPr>
                <w:rFonts w:hint="default" w:asciiTheme="minorEastAsia" w:hAnsiTheme="minorEastAsia" w:eastAsiaTheme="minorEastAsia" w:cstheme="minorEastAsia"/>
                <w:snapToGrid w:val="0"/>
                <w:color w:val="auto"/>
                <w:kern w:val="0"/>
                <w:szCs w:val="24"/>
                <w:highlight w:val="none"/>
              </w:rPr>
            </w:pPr>
          </w:p>
        </w:tc>
      </w:tr>
      <w:tr w14:paraId="21BA3EB6">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exact"/>
        </w:trPr>
        <w:tc>
          <w:tcPr>
            <w:tcW w:w="1738" w:type="dxa"/>
            <w:gridSpan w:val="2"/>
            <w:tcBorders>
              <w:top w:val="single" w:color="auto" w:sz="6" w:space="0"/>
              <w:left w:val="single" w:color="auto" w:sz="6" w:space="0"/>
              <w:bottom w:val="single" w:color="auto" w:sz="6" w:space="0"/>
              <w:right w:val="single" w:color="auto" w:sz="6" w:space="0"/>
            </w:tcBorders>
            <w:vAlign w:val="center"/>
          </w:tcPr>
          <w:p w14:paraId="77AB6D81">
            <w:pPr>
              <w:keepNext w:val="0"/>
              <w:keepLines w:val="0"/>
              <w:suppressLineNumbers w:val="0"/>
              <w:wordWrap w:val="0"/>
              <w:adjustRightInd w:val="0"/>
              <w:snapToGrid w:val="0"/>
              <w:spacing w:before="0" w:beforeAutospacing="0" w:after="0" w:afterAutospacing="0"/>
              <w:ind w:left="0" w:right="0"/>
              <w:jc w:val="center"/>
              <w:rPr>
                <w:rFonts w:hint="default" w:asciiTheme="minorEastAsia" w:hAnsiTheme="minorEastAsia" w:eastAsiaTheme="minorEastAsia" w:cstheme="minorEastAsia"/>
                <w:snapToGrid w:val="0"/>
                <w:color w:val="auto"/>
                <w:kern w:val="0"/>
                <w:szCs w:val="24"/>
                <w:highlight w:val="none"/>
              </w:rPr>
            </w:pPr>
            <w:r>
              <w:rPr>
                <w:rFonts w:asciiTheme="minorEastAsia" w:hAnsiTheme="minorEastAsia" w:eastAsiaTheme="minorEastAsia" w:cstheme="minorEastAsia"/>
                <w:snapToGrid w:val="0"/>
                <w:color w:val="auto"/>
                <w:kern w:val="0"/>
                <w:szCs w:val="24"/>
                <w:highlight w:val="none"/>
              </w:rPr>
              <w:t>职   务</w:t>
            </w:r>
          </w:p>
        </w:tc>
        <w:tc>
          <w:tcPr>
            <w:tcW w:w="1232" w:type="dxa"/>
            <w:gridSpan w:val="2"/>
            <w:tcBorders>
              <w:top w:val="single" w:color="auto" w:sz="6" w:space="0"/>
              <w:left w:val="single" w:color="auto" w:sz="6" w:space="0"/>
              <w:bottom w:val="single" w:color="auto" w:sz="6" w:space="0"/>
              <w:right w:val="single" w:color="auto" w:sz="6" w:space="0"/>
            </w:tcBorders>
            <w:vAlign w:val="center"/>
          </w:tcPr>
          <w:p w14:paraId="0671DA2D">
            <w:pPr>
              <w:keepNext w:val="0"/>
              <w:keepLines w:val="0"/>
              <w:suppressLineNumbers w:val="0"/>
              <w:wordWrap w:val="0"/>
              <w:adjustRightInd w:val="0"/>
              <w:snapToGrid w:val="0"/>
              <w:spacing w:before="0" w:beforeAutospacing="0" w:after="0" w:afterAutospacing="0"/>
              <w:ind w:left="0" w:right="0"/>
              <w:jc w:val="center"/>
              <w:rPr>
                <w:rFonts w:hint="default" w:asciiTheme="minorEastAsia" w:hAnsiTheme="minorEastAsia" w:eastAsiaTheme="minorEastAsia" w:cstheme="minorEastAsia"/>
                <w:snapToGrid w:val="0"/>
                <w:color w:val="auto"/>
                <w:kern w:val="0"/>
                <w:szCs w:val="24"/>
                <w:highlight w:val="none"/>
              </w:rPr>
            </w:pPr>
          </w:p>
        </w:tc>
        <w:tc>
          <w:tcPr>
            <w:tcW w:w="1294" w:type="dxa"/>
            <w:tcBorders>
              <w:top w:val="single" w:color="auto" w:sz="6" w:space="0"/>
              <w:left w:val="single" w:color="auto" w:sz="6" w:space="0"/>
              <w:bottom w:val="single" w:color="auto" w:sz="6" w:space="0"/>
              <w:right w:val="single" w:color="auto" w:sz="6" w:space="0"/>
            </w:tcBorders>
            <w:vAlign w:val="center"/>
          </w:tcPr>
          <w:p w14:paraId="40FECBDA">
            <w:pPr>
              <w:keepNext w:val="0"/>
              <w:keepLines w:val="0"/>
              <w:suppressLineNumbers w:val="0"/>
              <w:wordWrap w:val="0"/>
              <w:adjustRightInd w:val="0"/>
              <w:snapToGrid w:val="0"/>
              <w:spacing w:before="0" w:beforeAutospacing="0" w:after="0" w:afterAutospacing="0"/>
              <w:ind w:left="0" w:right="0"/>
              <w:jc w:val="center"/>
              <w:rPr>
                <w:rFonts w:hint="default" w:asciiTheme="minorEastAsia" w:hAnsiTheme="minorEastAsia" w:eastAsiaTheme="minorEastAsia" w:cstheme="minorEastAsia"/>
                <w:snapToGrid w:val="0"/>
                <w:color w:val="auto"/>
                <w:kern w:val="0"/>
                <w:szCs w:val="24"/>
                <w:highlight w:val="none"/>
              </w:rPr>
            </w:pPr>
            <w:r>
              <w:rPr>
                <w:rFonts w:asciiTheme="minorEastAsia" w:hAnsiTheme="minorEastAsia" w:eastAsiaTheme="minorEastAsia" w:cstheme="minorEastAsia"/>
                <w:snapToGrid w:val="0"/>
                <w:color w:val="auto"/>
                <w:kern w:val="0"/>
                <w:szCs w:val="24"/>
                <w:highlight w:val="none"/>
              </w:rPr>
              <w:t>职  称</w:t>
            </w:r>
          </w:p>
        </w:tc>
        <w:tc>
          <w:tcPr>
            <w:tcW w:w="1946" w:type="dxa"/>
            <w:tcBorders>
              <w:top w:val="single" w:color="auto" w:sz="6" w:space="0"/>
              <w:left w:val="single" w:color="auto" w:sz="6" w:space="0"/>
              <w:bottom w:val="single" w:color="auto" w:sz="6" w:space="0"/>
              <w:right w:val="single" w:color="auto" w:sz="6" w:space="0"/>
            </w:tcBorders>
            <w:vAlign w:val="center"/>
          </w:tcPr>
          <w:p w14:paraId="342B8DDC">
            <w:pPr>
              <w:keepNext w:val="0"/>
              <w:keepLines w:val="0"/>
              <w:suppressLineNumbers w:val="0"/>
              <w:wordWrap w:val="0"/>
              <w:adjustRightInd w:val="0"/>
              <w:snapToGrid w:val="0"/>
              <w:spacing w:before="0" w:beforeAutospacing="0" w:after="0" w:afterAutospacing="0"/>
              <w:ind w:left="0" w:right="0"/>
              <w:jc w:val="center"/>
              <w:rPr>
                <w:rFonts w:hint="default" w:asciiTheme="minorEastAsia" w:hAnsiTheme="minorEastAsia" w:eastAsiaTheme="minorEastAsia" w:cstheme="minorEastAsia"/>
                <w:snapToGrid w:val="0"/>
                <w:color w:val="auto"/>
                <w:kern w:val="0"/>
                <w:szCs w:val="24"/>
                <w:highlight w:val="none"/>
              </w:rPr>
            </w:pPr>
          </w:p>
        </w:tc>
        <w:tc>
          <w:tcPr>
            <w:tcW w:w="1733" w:type="dxa"/>
            <w:gridSpan w:val="2"/>
            <w:tcBorders>
              <w:top w:val="single" w:color="auto" w:sz="6" w:space="0"/>
              <w:left w:val="single" w:color="auto" w:sz="6" w:space="0"/>
              <w:bottom w:val="single" w:color="auto" w:sz="6" w:space="0"/>
              <w:right w:val="single" w:color="auto" w:sz="6" w:space="0"/>
            </w:tcBorders>
            <w:vAlign w:val="center"/>
          </w:tcPr>
          <w:p w14:paraId="5AB941D0">
            <w:pPr>
              <w:keepNext w:val="0"/>
              <w:keepLines w:val="0"/>
              <w:suppressLineNumbers w:val="0"/>
              <w:wordWrap w:val="0"/>
              <w:adjustRightInd w:val="0"/>
              <w:snapToGrid w:val="0"/>
              <w:spacing w:before="0" w:beforeAutospacing="0" w:after="0" w:afterAutospacing="0"/>
              <w:ind w:left="0" w:right="0"/>
              <w:jc w:val="center"/>
              <w:rPr>
                <w:rFonts w:hint="default" w:asciiTheme="minorEastAsia" w:hAnsiTheme="minorEastAsia" w:eastAsiaTheme="minorEastAsia" w:cstheme="minorEastAsia"/>
                <w:snapToGrid w:val="0"/>
                <w:color w:val="auto"/>
                <w:kern w:val="0"/>
                <w:szCs w:val="24"/>
                <w:highlight w:val="none"/>
              </w:rPr>
            </w:pPr>
            <w:r>
              <w:rPr>
                <w:rFonts w:asciiTheme="minorEastAsia" w:hAnsiTheme="minorEastAsia" w:eastAsiaTheme="minorEastAsia" w:cstheme="minorEastAsia"/>
                <w:snapToGrid w:val="0"/>
                <w:color w:val="auto"/>
                <w:kern w:val="0"/>
                <w:szCs w:val="24"/>
                <w:highlight w:val="none"/>
              </w:rPr>
              <w:t>学   历</w:t>
            </w:r>
          </w:p>
        </w:tc>
        <w:tc>
          <w:tcPr>
            <w:tcW w:w="1327" w:type="dxa"/>
            <w:tcBorders>
              <w:top w:val="single" w:color="auto" w:sz="6" w:space="0"/>
              <w:left w:val="single" w:color="auto" w:sz="6" w:space="0"/>
              <w:bottom w:val="single" w:color="auto" w:sz="6" w:space="0"/>
              <w:right w:val="single" w:color="auto" w:sz="6" w:space="0"/>
            </w:tcBorders>
            <w:vAlign w:val="center"/>
          </w:tcPr>
          <w:p w14:paraId="17B386DD">
            <w:pPr>
              <w:keepNext w:val="0"/>
              <w:keepLines w:val="0"/>
              <w:suppressLineNumbers w:val="0"/>
              <w:wordWrap w:val="0"/>
              <w:adjustRightInd w:val="0"/>
              <w:snapToGrid w:val="0"/>
              <w:spacing w:before="0" w:beforeAutospacing="0" w:after="0" w:afterAutospacing="0"/>
              <w:ind w:left="0" w:right="0"/>
              <w:jc w:val="center"/>
              <w:rPr>
                <w:rFonts w:hint="default" w:asciiTheme="minorEastAsia" w:hAnsiTheme="minorEastAsia" w:eastAsiaTheme="minorEastAsia" w:cstheme="minorEastAsia"/>
                <w:snapToGrid w:val="0"/>
                <w:color w:val="auto"/>
                <w:kern w:val="0"/>
                <w:szCs w:val="24"/>
                <w:highlight w:val="none"/>
              </w:rPr>
            </w:pPr>
          </w:p>
        </w:tc>
      </w:tr>
      <w:tr w14:paraId="7277A37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exact"/>
        </w:trPr>
        <w:tc>
          <w:tcPr>
            <w:tcW w:w="1738" w:type="dxa"/>
            <w:gridSpan w:val="2"/>
            <w:tcBorders>
              <w:top w:val="single" w:color="auto" w:sz="6" w:space="0"/>
              <w:left w:val="single" w:color="auto" w:sz="6" w:space="0"/>
              <w:bottom w:val="single" w:color="auto" w:sz="6" w:space="0"/>
              <w:right w:val="single" w:color="auto" w:sz="6" w:space="0"/>
            </w:tcBorders>
            <w:vAlign w:val="center"/>
          </w:tcPr>
          <w:p w14:paraId="00EDCAE8">
            <w:pPr>
              <w:keepNext w:val="0"/>
              <w:keepLines w:val="0"/>
              <w:suppressLineNumbers w:val="0"/>
              <w:wordWrap w:val="0"/>
              <w:adjustRightInd w:val="0"/>
              <w:snapToGrid w:val="0"/>
              <w:spacing w:before="0" w:beforeAutospacing="0" w:after="0" w:afterAutospacing="0"/>
              <w:ind w:left="0" w:right="0"/>
              <w:jc w:val="center"/>
              <w:rPr>
                <w:rFonts w:hint="default" w:asciiTheme="minorEastAsia" w:hAnsiTheme="minorEastAsia" w:eastAsiaTheme="minorEastAsia" w:cstheme="minorEastAsia"/>
                <w:snapToGrid w:val="0"/>
                <w:color w:val="auto"/>
                <w:kern w:val="0"/>
                <w:szCs w:val="24"/>
                <w:highlight w:val="none"/>
              </w:rPr>
            </w:pPr>
            <w:r>
              <w:rPr>
                <w:rFonts w:asciiTheme="minorEastAsia" w:hAnsiTheme="minorEastAsia" w:eastAsiaTheme="minorEastAsia" w:cstheme="minorEastAsia"/>
                <w:snapToGrid w:val="0"/>
                <w:color w:val="auto"/>
                <w:kern w:val="0"/>
                <w:szCs w:val="24"/>
                <w:highlight w:val="none"/>
              </w:rPr>
              <w:t>参加工作时间</w:t>
            </w:r>
          </w:p>
        </w:tc>
        <w:tc>
          <w:tcPr>
            <w:tcW w:w="2526" w:type="dxa"/>
            <w:gridSpan w:val="3"/>
            <w:tcBorders>
              <w:top w:val="single" w:color="auto" w:sz="6" w:space="0"/>
              <w:left w:val="single" w:color="auto" w:sz="6" w:space="0"/>
              <w:bottom w:val="single" w:color="auto" w:sz="6" w:space="0"/>
              <w:right w:val="single" w:color="auto" w:sz="6" w:space="0"/>
            </w:tcBorders>
            <w:vAlign w:val="center"/>
          </w:tcPr>
          <w:p w14:paraId="2FB2531B">
            <w:pPr>
              <w:keepNext w:val="0"/>
              <w:keepLines w:val="0"/>
              <w:suppressLineNumbers w:val="0"/>
              <w:wordWrap w:val="0"/>
              <w:adjustRightInd w:val="0"/>
              <w:snapToGrid w:val="0"/>
              <w:spacing w:before="0" w:beforeAutospacing="0" w:after="0" w:afterAutospacing="0"/>
              <w:ind w:left="0" w:right="0"/>
              <w:jc w:val="center"/>
              <w:rPr>
                <w:rFonts w:hint="default" w:asciiTheme="minorEastAsia" w:hAnsiTheme="minorEastAsia" w:eastAsiaTheme="minorEastAsia" w:cstheme="minorEastAsia"/>
                <w:snapToGrid w:val="0"/>
                <w:color w:val="auto"/>
                <w:kern w:val="0"/>
                <w:szCs w:val="24"/>
                <w:highlight w:val="none"/>
              </w:rPr>
            </w:pPr>
          </w:p>
        </w:tc>
        <w:tc>
          <w:tcPr>
            <w:tcW w:w="3679" w:type="dxa"/>
            <w:gridSpan w:val="3"/>
            <w:tcBorders>
              <w:top w:val="single" w:color="auto" w:sz="6" w:space="0"/>
              <w:left w:val="single" w:color="auto" w:sz="6" w:space="0"/>
              <w:bottom w:val="single" w:color="auto" w:sz="6" w:space="0"/>
              <w:right w:val="single" w:color="auto" w:sz="6" w:space="0"/>
            </w:tcBorders>
            <w:vAlign w:val="center"/>
          </w:tcPr>
          <w:p w14:paraId="25B47214">
            <w:pPr>
              <w:keepNext w:val="0"/>
              <w:keepLines w:val="0"/>
              <w:suppressLineNumbers w:val="0"/>
              <w:wordWrap w:val="0"/>
              <w:adjustRightInd w:val="0"/>
              <w:snapToGrid w:val="0"/>
              <w:spacing w:before="0" w:beforeAutospacing="0" w:after="0" w:afterAutospacing="0"/>
              <w:ind w:left="0" w:right="0"/>
              <w:jc w:val="center"/>
              <w:rPr>
                <w:rFonts w:hint="default" w:asciiTheme="minorEastAsia" w:hAnsiTheme="minorEastAsia" w:eastAsiaTheme="minorEastAsia" w:cstheme="minorEastAsia"/>
                <w:snapToGrid w:val="0"/>
                <w:color w:val="auto"/>
                <w:kern w:val="0"/>
                <w:szCs w:val="24"/>
                <w:highlight w:val="none"/>
              </w:rPr>
            </w:pPr>
            <w:r>
              <w:rPr>
                <w:rFonts w:asciiTheme="minorEastAsia" w:hAnsiTheme="minorEastAsia" w:eastAsiaTheme="minorEastAsia" w:cstheme="minorEastAsia"/>
                <w:snapToGrid w:val="0"/>
                <w:color w:val="auto"/>
                <w:kern w:val="0"/>
                <w:szCs w:val="24"/>
                <w:highlight w:val="none"/>
              </w:rPr>
              <w:t>从事工程建设项目管理工作年限</w:t>
            </w:r>
          </w:p>
        </w:tc>
        <w:tc>
          <w:tcPr>
            <w:tcW w:w="1327" w:type="dxa"/>
            <w:tcBorders>
              <w:top w:val="single" w:color="auto" w:sz="6" w:space="0"/>
              <w:left w:val="single" w:color="auto" w:sz="6" w:space="0"/>
              <w:bottom w:val="single" w:color="auto" w:sz="6" w:space="0"/>
              <w:right w:val="single" w:color="auto" w:sz="6" w:space="0"/>
            </w:tcBorders>
            <w:vAlign w:val="center"/>
          </w:tcPr>
          <w:p w14:paraId="6417E3F8">
            <w:pPr>
              <w:keepNext w:val="0"/>
              <w:keepLines w:val="0"/>
              <w:suppressLineNumbers w:val="0"/>
              <w:wordWrap w:val="0"/>
              <w:adjustRightInd w:val="0"/>
              <w:snapToGrid w:val="0"/>
              <w:spacing w:before="0" w:beforeAutospacing="0" w:after="0" w:afterAutospacing="0"/>
              <w:ind w:left="0" w:right="0"/>
              <w:jc w:val="center"/>
              <w:rPr>
                <w:rFonts w:hint="default" w:asciiTheme="minorEastAsia" w:hAnsiTheme="minorEastAsia" w:eastAsiaTheme="minorEastAsia" w:cstheme="minorEastAsia"/>
                <w:snapToGrid w:val="0"/>
                <w:color w:val="auto"/>
                <w:kern w:val="0"/>
                <w:szCs w:val="24"/>
                <w:highlight w:val="none"/>
              </w:rPr>
            </w:pPr>
          </w:p>
        </w:tc>
      </w:tr>
      <w:tr w14:paraId="26B15F9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exact"/>
        </w:trPr>
        <w:tc>
          <w:tcPr>
            <w:tcW w:w="9270" w:type="dxa"/>
            <w:gridSpan w:val="9"/>
            <w:tcBorders>
              <w:top w:val="single" w:color="auto" w:sz="6" w:space="0"/>
              <w:left w:val="single" w:color="auto" w:sz="6" w:space="0"/>
              <w:bottom w:val="single" w:color="auto" w:sz="6" w:space="0"/>
              <w:right w:val="single" w:color="auto" w:sz="6" w:space="0"/>
            </w:tcBorders>
            <w:vAlign w:val="center"/>
          </w:tcPr>
          <w:p w14:paraId="26C503BF">
            <w:pPr>
              <w:keepNext w:val="0"/>
              <w:keepLines w:val="0"/>
              <w:suppressLineNumbers w:val="0"/>
              <w:wordWrap w:val="0"/>
              <w:adjustRightInd w:val="0"/>
              <w:snapToGrid w:val="0"/>
              <w:spacing w:before="0" w:beforeAutospacing="0" w:after="0" w:afterAutospacing="0"/>
              <w:ind w:left="0" w:right="0"/>
              <w:jc w:val="center"/>
              <w:rPr>
                <w:rFonts w:hint="default" w:asciiTheme="minorEastAsia" w:hAnsiTheme="minorEastAsia" w:eastAsiaTheme="minorEastAsia" w:cstheme="minorEastAsia"/>
                <w:snapToGrid w:val="0"/>
                <w:color w:val="auto"/>
                <w:kern w:val="0"/>
                <w:szCs w:val="24"/>
                <w:highlight w:val="none"/>
              </w:rPr>
            </w:pPr>
            <w:r>
              <w:rPr>
                <w:rFonts w:asciiTheme="minorEastAsia" w:hAnsiTheme="minorEastAsia" w:eastAsiaTheme="minorEastAsia" w:cstheme="minorEastAsia"/>
                <w:snapToGrid w:val="0"/>
                <w:color w:val="auto"/>
                <w:kern w:val="0"/>
                <w:szCs w:val="24"/>
                <w:highlight w:val="none"/>
              </w:rPr>
              <w:t>以项目设计负责人身份参与过的主要业绩（已完工项目）</w:t>
            </w:r>
          </w:p>
        </w:tc>
      </w:tr>
      <w:tr w14:paraId="716EA7A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exact"/>
        </w:trPr>
        <w:tc>
          <w:tcPr>
            <w:tcW w:w="775" w:type="dxa"/>
            <w:tcBorders>
              <w:top w:val="single" w:color="auto" w:sz="6" w:space="0"/>
              <w:left w:val="single" w:color="auto" w:sz="6" w:space="0"/>
              <w:bottom w:val="single" w:color="auto" w:sz="6" w:space="0"/>
              <w:right w:val="single" w:color="auto" w:sz="4" w:space="0"/>
            </w:tcBorders>
            <w:vAlign w:val="center"/>
          </w:tcPr>
          <w:p w14:paraId="2C72C9E5">
            <w:pPr>
              <w:keepNext w:val="0"/>
              <w:keepLines w:val="0"/>
              <w:suppressLineNumbers w:val="0"/>
              <w:wordWrap w:val="0"/>
              <w:adjustRightInd w:val="0"/>
              <w:snapToGrid w:val="0"/>
              <w:spacing w:before="0" w:beforeAutospacing="0" w:after="0" w:afterAutospacing="0"/>
              <w:ind w:left="0" w:right="0"/>
              <w:jc w:val="center"/>
              <w:rPr>
                <w:rFonts w:hint="default" w:asciiTheme="minorEastAsia" w:hAnsiTheme="minorEastAsia" w:eastAsiaTheme="minorEastAsia" w:cstheme="minorEastAsia"/>
                <w:snapToGrid w:val="0"/>
                <w:color w:val="auto"/>
                <w:kern w:val="0"/>
                <w:szCs w:val="24"/>
                <w:highlight w:val="none"/>
              </w:rPr>
            </w:pPr>
            <w:r>
              <w:rPr>
                <w:rFonts w:asciiTheme="minorEastAsia" w:hAnsiTheme="minorEastAsia" w:eastAsiaTheme="minorEastAsia" w:cstheme="minorEastAsia"/>
                <w:snapToGrid w:val="0"/>
                <w:color w:val="auto"/>
                <w:kern w:val="0"/>
                <w:szCs w:val="24"/>
                <w:highlight w:val="none"/>
              </w:rPr>
              <w:t>序号</w:t>
            </w:r>
          </w:p>
        </w:tc>
        <w:tc>
          <w:tcPr>
            <w:tcW w:w="1547" w:type="dxa"/>
            <w:gridSpan w:val="2"/>
            <w:tcBorders>
              <w:top w:val="single" w:color="auto" w:sz="6" w:space="0"/>
              <w:left w:val="single" w:color="auto" w:sz="4" w:space="0"/>
              <w:bottom w:val="single" w:color="auto" w:sz="6" w:space="0"/>
              <w:right w:val="single" w:color="auto" w:sz="6" w:space="0"/>
            </w:tcBorders>
            <w:vAlign w:val="center"/>
          </w:tcPr>
          <w:p w14:paraId="3E381088">
            <w:pPr>
              <w:keepNext w:val="0"/>
              <w:keepLines w:val="0"/>
              <w:suppressLineNumbers w:val="0"/>
              <w:wordWrap w:val="0"/>
              <w:adjustRightInd w:val="0"/>
              <w:snapToGrid w:val="0"/>
              <w:spacing w:before="0" w:beforeAutospacing="0" w:after="0" w:afterAutospacing="0"/>
              <w:ind w:left="0" w:right="0"/>
              <w:jc w:val="center"/>
              <w:rPr>
                <w:rFonts w:hint="default" w:asciiTheme="minorEastAsia" w:hAnsiTheme="minorEastAsia" w:eastAsiaTheme="minorEastAsia" w:cstheme="minorEastAsia"/>
                <w:snapToGrid w:val="0"/>
                <w:color w:val="auto"/>
                <w:kern w:val="0"/>
                <w:szCs w:val="24"/>
                <w:highlight w:val="none"/>
              </w:rPr>
            </w:pPr>
            <w:r>
              <w:rPr>
                <w:rFonts w:asciiTheme="minorEastAsia" w:hAnsiTheme="minorEastAsia" w:eastAsiaTheme="minorEastAsia" w:cstheme="minorEastAsia"/>
                <w:snapToGrid w:val="0"/>
                <w:color w:val="auto"/>
                <w:kern w:val="0"/>
                <w:szCs w:val="24"/>
                <w:highlight w:val="none"/>
              </w:rPr>
              <w:t>项目名称</w:t>
            </w:r>
          </w:p>
        </w:tc>
        <w:tc>
          <w:tcPr>
            <w:tcW w:w="1942" w:type="dxa"/>
            <w:gridSpan w:val="2"/>
            <w:tcBorders>
              <w:top w:val="single" w:color="auto" w:sz="6" w:space="0"/>
              <w:left w:val="single" w:color="auto" w:sz="6" w:space="0"/>
              <w:bottom w:val="single" w:color="auto" w:sz="6" w:space="0"/>
              <w:right w:val="single" w:color="auto" w:sz="6" w:space="0"/>
            </w:tcBorders>
            <w:vAlign w:val="center"/>
          </w:tcPr>
          <w:p w14:paraId="36D6CFC7">
            <w:pPr>
              <w:keepNext w:val="0"/>
              <w:keepLines w:val="0"/>
              <w:suppressLineNumbers w:val="0"/>
              <w:wordWrap w:val="0"/>
              <w:adjustRightInd w:val="0"/>
              <w:snapToGrid w:val="0"/>
              <w:spacing w:before="0" w:beforeAutospacing="0" w:after="0" w:afterAutospacing="0"/>
              <w:ind w:left="0" w:right="0"/>
              <w:jc w:val="center"/>
              <w:rPr>
                <w:rFonts w:hint="default" w:asciiTheme="minorEastAsia" w:hAnsiTheme="minorEastAsia" w:eastAsiaTheme="minorEastAsia" w:cstheme="minorEastAsia"/>
                <w:snapToGrid w:val="0"/>
                <w:color w:val="auto"/>
                <w:kern w:val="0"/>
                <w:szCs w:val="24"/>
                <w:highlight w:val="none"/>
              </w:rPr>
            </w:pPr>
            <w:r>
              <w:rPr>
                <w:rFonts w:asciiTheme="minorEastAsia" w:hAnsiTheme="minorEastAsia" w:eastAsiaTheme="minorEastAsia" w:cstheme="minorEastAsia"/>
                <w:snapToGrid w:val="0"/>
                <w:color w:val="auto"/>
                <w:kern w:val="0"/>
                <w:szCs w:val="24"/>
                <w:highlight w:val="none"/>
              </w:rPr>
              <w:t>建设单位</w:t>
            </w:r>
          </w:p>
        </w:tc>
        <w:tc>
          <w:tcPr>
            <w:tcW w:w="1973" w:type="dxa"/>
            <w:gridSpan w:val="2"/>
            <w:tcBorders>
              <w:top w:val="single" w:color="auto" w:sz="6" w:space="0"/>
              <w:left w:val="single" w:color="auto" w:sz="6" w:space="0"/>
              <w:bottom w:val="single" w:color="auto" w:sz="6" w:space="0"/>
              <w:right w:val="single" w:color="auto" w:sz="6" w:space="0"/>
            </w:tcBorders>
            <w:vAlign w:val="center"/>
          </w:tcPr>
          <w:p w14:paraId="0ECC81B9">
            <w:pPr>
              <w:keepNext w:val="0"/>
              <w:keepLines w:val="0"/>
              <w:suppressLineNumbers w:val="0"/>
              <w:wordWrap w:val="0"/>
              <w:adjustRightInd w:val="0"/>
              <w:snapToGrid w:val="0"/>
              <w:spacing w:before="0" w:beforeAutospacing="0" w:after="0" w:afterAutospacing="0"/>
              <w:ind w:left="0" w:right="0"/>
              <w:jc w:val="center"/>
              <w:rPr>
                <w:rFonts w:hint="default" w:asciiTheme="minorEastAsia" w:hAnsiTheme="minorEastAsia" w:eastAsiaTheme="minorEastAsia" w:cstheme="minorEastAsia"/>
                <w:snapToGrid w:val="0"/>
                <w:color w:val="auto"/>
                <w:kern w:val="0"/>
                <w:szCs w:val="24"/>
                <w:highlight w:val="none"/>
              </w:rPr>
            </w:pPr>
            <w:r>
              <w:rPr>
                <w:rFonts w:asciiTheme="minorEastAsia" w:hAnsiTheme="minorEastAsia" w:eastAsiaTheme="minorEastAsia" w:cstheme="minorEastAsia"/>
                <w:snapToGrid w:val="0"/>
                <w:color w:val="auto"/>
                <w:kern w:val="0"/>
                <w:szCs w:val="24"/>
                <w:highlight w:val="none"/>
              </w:rPr>
              <w:t>建设内容和规模</w:t>
            </w:r>
          </w:p>
        </w:tc>
        <w:tc>
          <w:tcPr>
            <w:tcW w:w="1706" w:type="dxa"/>
            <w:tcBorders>
              <w:top w:val="single" w:color="auto" w:sz="6" w:space="0"/>
              <w:left w:val="single" w:color="auto" w:sz="6" w:space="0"/>
              <w:bottom w:val="single" w:color="auto" w:sz="6" w:space="0"/>
              <w:right w:val="single" w:color="auto" w:sz="6" w:space="0"/>
            </w:tcBorders>
            <w:vAlign w:val="center"/>
          </w:tcPr>
          <w:p w14:paraId="65C364D3">
            <w:pPr>
              <w:keepNext w:val="0"/>
              <w:keepLines w:val="0"/>
              <w:suppressLineNumbers w:val="0"/>
              <w:wordWrap w:val="0"/>
              <w:adjustRightInd w:val="0"/>
              <w:snapToGrid w:val="0"/>
              <w:spacing w:before="0" w:beforeAutospacing="0" w:after="0" w:afterAutospacing="0"/>
              <w:ind w:left="0" w:right="0"/>
              <w:jc w:val="center"/>
              <w:rPr>
                <w:rFonts w:hint="default" w:asciiTheme="minorEastAsia" w:hAnsiTheme="minorEastAsia" w:eastAsiaTheme="minorEastAsia" w:cstheme="minorEastAsia"/>
                <w:snapToGrid w:val="0"/>
                <w:color w:val="auto"/>
                <w:kern w:val="0"/>
                <w:szCs w:val="24"/>
                <w:highlight w:val="none"/>
              </w:rPr>
            </w:pPr>
            <w:r>
              <w:rPr>
                <w:rFonts w:asciiTheme="minorEastAsia" w:hAnsiTheme="minorEastAsia" w:eastAsiaTheme="minorEastAsia" w:cstheme="minorEastAsia"/>
                <w:snapToGrid w:val="0"/>
                <w:color w:val="auto"/>
                <w:kern w:val="0"/>
                <w:szCs w:val="24"/>
                <w:highlight w:val="none"/>
              </w:rPr>
              <w:t>开、竣工日期</w:t>
            </w:r>
          </w:p>
        </w:tc>
        <w:tc>
          <w:tcPr>
            <w:tcW w:w="1327" w:type="dxa"/>
            <w:tcBorders>
              <w:top w:val="single" w:color="auto" w:sz="6" w:space="0"/>
              <w:left w:val="single" w:color="auto" w:sz="6" w:space="0"/>
              <w:bottom w:val="single" w:color="auto" w:sz="6" w:space="0"/>
              <w:right w:val="single" w:color="auto" w:sz="6" w:space="0"/>
            </w:tcBorders>
            <w:vAlign w:val="center"/>
          </w:tcPr>
          <w:p w14:paraId="7E68AA1D">
            <w:pPr>
              <w:keepNext w:val="0"/>
              <w:keepLines w:val="0"/>
              <w:suppressLineNumbers w:val="0"/>
              <w:wordWrap w:val="0"/>
              <w:adjustRightInd w:val="0"/>
              <w:snapToGrid w:val="0"/>
              <w:spacing w:before="0" w:beforeAutospacing="0" w:after="0" w:afterAutospacing="0"/>
              <w:ind w:left="0" w:right="0"/>
              <w:jc w:val="center"/>
              <w:rPr>
                <w:rFonts w:hint="default" w:asciiTheme="minorEastAsia" w:hAnsiTheme="minorEastAsia" w:eastAsiaTheme="minorEastAsia" w:cstheme="minorEastAsia"/>
                <w:snapToGrid w:val="0"/>
                <w:color w:val="auto"/>
                <w:kern w:val="0"/>
                <w:szCs w:val="24"/>
                <w:highlight w:val="none"/>
              </w:rPr>
            </w:pPr>
            <w:r>
              <w:rPr>
                <w:rFonts w:asciiTheme="minorEastAsia" w:hAnsiTheme="minorEastAsia" w:eastAsiaTheme="minorEastAsia" w:cstheme="minorEastAsia"/>
                <w:snapToGrid w:val="0"/>
                <w:color w:val="auto"/>
                <w:kern w:val="0"/>
                <w:szCs w:val="24"/>
                <w:highlight w:val="none"/>
              </w:rPr>
              <w:t>质量等级</w:t>
            </w:r>
          </w:p>
        </w:tc>
      </w:tr>
      <w:tr w14:paraId="1138989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exact"/>
        </w:trPr>
        <w:tc>
          <w:tcPr>
            <w:tcW w:w="775" w:type="dxa"/>
            <w:tcBorders>
              <w:top w:val="single" w:color="auto" w:sz="6" w:space="0"/>
              <w:left w:val="single" w:color="auto" w:sz="6" w:space="0"/>
              <w:bottom w:val="single" w:color="auto" w:sz="6" w:space="0"/>
              <w:right w:val="single" w:color="auto" w:sz="4" w:space="0"/>
            </w:tcBorders>
            <w:vAlign w:val="center"/>
          </w:tcPr>
          <w:p w14:paraId="56585173">
            <w:pPr>
              <w:keepNext w:val="0"/>
              <w:keepLines w:val="0"/>
              <w:suppressLineNumbers w:val="0"/>
              <w:wordWrap w:val="0"/>
              <w:adjustRightInd w:val="0"/>
              <w:snapToGrid w:val="0"/>
              <w:spacing w:before="0" w:beforeAutospacing="0" w:after="0" w:afterAutospacing="0"/>
              <w:ind w:left="0" w:right="0"/>
              <w:jc w:val="center"/>
              <w:rPr>
                <w:rFonts w:hint="default" w:asciiTheme="minorEastAsia" w:hAnsiTheme="minorEastAsia" w:eastAsiaTheme="minorEastAsia" w:cstheme="minorEastAsia"/>
                <w:snapToGrid w:val="0"/>
                <w:color w:val="auto"/>
                <w:kern w:val="0"/>
                <w:szCs w:val="24"/>
                <w:highlight w:val="none"/>
              </w:rPr>
            </w:pPr>
            <w:r>
              <w:rPr>
                <w:rFonts w:asciiTheme="minorEastAsia" w:hAnsiTheme="minorEastAsia" w:eastAsiaTheme="minorEastAsia" w:cstheme="minorEastAsia"/>
                <w:snapToGrid w:val="0"/>
                <w:color w:val="auto"/>
                <w:kern w:val="0"/>
                <w:szCs w:val="24"/>
                <w:highlight w:val="none"/>
              </w:rPr>
              <w:t>1</w:t>
            </w:r>
          </w:p>
        </w:tc>
        <w:tc>
          <w:tcPr>
            <w:tcW w:w="1547" w:type="dxa"/>
            <w:gridSpan w:val="2"/>
            <w:tcBorders>
              <w:top w:val="single" w:color="auto" w:sz="6" w:space="0"/>
              <w:left w:val="single" w:color="auto" w:sz="4" w:space="0"/>
              <w:bottom w:val="single" w:color="auto" w:sz="6" w:space="0"/>
              <w:right w:val="single" w:color="auto" w:sz="6" w:space="0"/>
            </w:tcBorders>
            <w:vAlign w:val="center"/>
          </w:tcPr>
          <w:p w14:paraId="3D37DD0B">
            <w:pPr>
              <w:keepNext w:val="0"/>
              <w:keepLines w:val="0"/>
              <w:suppressLineNumbers w:val="0"/>
              <w:wordWrap w:val="0"/>
              <w:adjustRightInd w:val="0"/>
              <w:snapToGrid w:val="0"/>
              <w:spacing w:before="0" w:beforeAutospacing="0" w:after="0" w:afterAutospacing="0"/>
              <w:ind w:left="0" w:right="0"/>
              <w:jc w:val="center"/>
              <w:rPr>
                <w:rFonts w:hint="default" w:asciiTheme="minorEastAsia" w:hAnsiTheme="minorEastAsia" w:eastAsiaTheme="minorEastAsia" w:cstheme="minorEastAsia"/>
                <w:snapToGrid w:val="0"/>
                <w:color w:val="auto"/>
                <w:kern w:val="0"/>
                <w:szCs w:val="24"/>
                <w:highlight w:val="none"/>
              </w:rPr>
            </w:pPr>
          </w:p>
        </w:tc>
        <w:tc>
          <w:tcPr>
            <w:tcW w:w="1942" w:type="dxa"/>
            <w:gridSpan w:val="2"/>
            <w:tcBorders>
              <w:top w:val="single" w:color="auto" w:sz="6" w:space="0"/>
              <w:left w:val="single" w:color="auto" w:sz="6" w:space="0"/>
              <w:bottom w:val="single" w:color="auto" w:sz="6" w:space="0"/>
              <w:right w:val="single" w:color="auto" w:sz="6" w:space="0"/>
            </w:tcBorders>
            <w:vAlign w:val="center"/>
          </w:tcPr>
          <w:p w14:paraId="02EC71D4">
            <w:pPr>
              <w:keepNext w:val="0"/>
              <w:keepLines w:val="0"/>
              <w:suppressLineNumbers w:val="0"/>
              <w:wordWrap w:val="0"/>
              <w:adjustRightInd w:val="0"/>
              <w:snapToGrid w:val="0"/>
              <w:spacing w:before="0" w:beforeAutospacing="0" w:after="0" w:afterAutospacing="0"/>
              <w:ind w:left="0" w:right="0"/>
              <w:jc w:val="center"/>
              <w:rPr>
                <w:rFonts w:hint="default" w:asciiTheme="minorEastAsia" w:hAnsiTheme="minorEastAsia" w:eastAsiaTheme="minorEastAsia" w:cstheme="minorEastAsia"/>
                <w:snapToGrid w:val="0"/>
                <w:color w:val="auto"/>
                <w:kern w:val="0"/>
                <w:szCs w:val="24"/>
                <w:highlight w:val="none"/>
              </w:rPr>
            </w:pPr>
          </w:p>
        </w:tc>
        <w:tc>
          <w:tcPr>
            <w:tcW w:w="1973" w:type="dxa"/>
            <w:gridSpan w:val="2"/>
            <w:tcBorders>
              <w:top w:val="single" w:color="auto" w:sz="6" w:space="0"/>
              <w:left w:val="single" w:color="auto" w:sz="6" w:space="0"/>
              <w:bottom w:val="single" w:color="auto" w:sz="6" w:space="0"/>
              <w:right w:val="single" w:color="auto" w:sz="6" w:space="0"/>
            </w:tcBorders>
            <w:vAlign w:val="center"/>
          </w:tcPr>
          <w:p w14:paraId="0DB6457D">
            <w:pPr>
              <w:keepNext w:val="0"/>
              <w:keepLines w:val="0"/>
              <w:suppressLineNumbers w:val="0"/>
              <w:wordWrap w:val="0"/>
              <w:adjustRightInd w:val="0"/>
              <w:snapToGrid w:val="0"/>
              <w:spacing w:before="0" w:beforeAutospacing="0" w:after="0" w:afterAutospacing="0"/>
              <w:ind w:left="0" w:right="0"/>
              <w:jc w:val="center"/>
              <w:rPr>
                <w:rFonts w:hint="default" w:asciiTheme="minorEastAsia" w:hAnsiTheme="minorEastAsia" w:eastAsiaTheme="minorEastAsia" w:cstheme="minorEastAsia"/>
                <w:snapToGrid w:val="0"/>
                <w:color w:val="auto"/>
                <w:kern w:val="0"/>
                <w:szCs w:val="24"/>
                <w:highlight w:val="none"/>
              </w:rPr>
            </w:pPr>
          </w:p>
        </w:tc>
        <w:tc>
          <w:tcPr>
            <w:tcW w:w="1706" w:type="dxa"/>
            <w:tcBorders>
              <w:top w:val="single" w:color="auto" w:sz="6" w:space="0"/>
              <w:left w:val="single" w:color="auto" w:sz="6" w:space="0"/>
              <w:bottom w:val="single" w:color="auto" w:sz="6" w:space="0"/>
              <w:right w:val="single" w:color="auto" w:sz="6" w:space="0"/>
            </w:tcBorders>
            <w:vAlign w:val="center"/>
          </w:tcPr>
          <w:p w14:paraId="1AAA6F5C">
            <w:pPr>
              <w:keepNext w:val="0"/>
              <w:keepLines w:val="0"/>
              <w:suppressLineNumbers w:val="0"/>
              <w:wordWrap w:val="0"/>
              <w:adjustRightInd w:val="0"/>
              <w:snapToGrid w:val="0"/>
              <w:spacing w:before="0" w:beforeAutospacing="0" w:after="0" w:afterAutospacing="0"/>
              <w:ind w:left="0" w:right="0"/>
              <w:jc w:val="center"/>
              <w:rPr>
                <w:rFonts w:hint="default" w:asciiTheme="minorEastAsia" w:hAnsiTheme="minorEastAsia" w:eastAsiaTheme="minorEastAsia" w:cstheme="minorEastAsia"/>
                <w:snapToGrid w:val="0"/>
                <w:color w:val="auto"/>
                <w:kern w:val="0"/>
                <w:szCs w:val="24"/>
                <w:highlight w:val="none"/>
              </w:rPr>
            </w:pPr>
          </w:p>
        </w:tc>
        <w:tc>
          <w:tcPr>
            <w:tcW w:w="1327" w:type="dxa"/>
            <w:tcBorders>
              <w:top w:val="single" w:color="auto" w:sz="6" w:space="0"/>
              <w:left w:val="single" w:color="auto" w:sz="6" w:space="0"/>
              <w:bottom w:val="single" w:color="auto" w:sz="6" w:space="0"/>
              <w:right w:val="single" w:color="auto" w:sz="6" w:space="0"/>
            </w:tcBorders>
            <w:vAlign w:val="center"/>
          </w:tcPr>
          <w:p w14:paraId="76BECCBC">
            <w:pPr>
              <w:keepNext w:val="0"/>
              <w:keepLines w:val="0"/>
              <w:suppressLineNumbers w:val="0"/>
              <w:wordWrap w:val="0"/>
              <w:adjustRightInd w:val="0"/>
              <w:snapToGrid w:val="0"/>
              <w:spacing w:before="0" w:beforeAutospacing="0" w:after="0" w:afterAutospacing="0"/>
              <w:ind w:left="0" w:right="0"/>
              <w:jc w:val="center"/>
              <w:rPr>
                <w:rFonts w:hint="default" w:asciiTheme="minorEastAsia" w:hAnsiTheme="minorEastAsia" w:eastAsiaTheme="minorEastAsia" w:cstheme="minorEastAsia"/>
                <w:snapToGrid w:val="0"/>
                <w:color w:val="auto"/>
                <w:kern w:val="0"/>
                <w:szCs w:val="24"/>
                <w:highlight w:val="none"/>
              </w:rPr>
            </w:pPr>
          </w:p>
        </w:tc>
      </w:tr>
      <w:tr w14:paraId="00B3D9C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exact"/>
        </w:trPr>
        <w:tc>
          <w:tcPr>
            <w:tcW w:w="775" w:type="dxa"/>
            <w:tcBorders>
              <w:top w:val="single" w:color="auto" w:sz="6" w:space="0"/>
              <w:left w:val="single" w:color="auto" w:sz="6" w:space="0"/>
              <w:bottom w:val="single" w:color="auto" w:sz="6" w:space="0"/>
              <w:right w:val="single" w:color="auto" w:sz="4" w:space="0"/>
            </w:tcBorders>
            <w:vAlign w:val="center"/>
          </w:tcPr>
          <w:p w14:paraId="5A8A2C5E">
            <w:pPr>
              <w:keepNext w:val="0"/>
              <w:keepLines w:val="0"/>
              <w:suppressLineNumbers w:val="0"/>
              <w:wordWrap w:val="0"/>
              <w:adjustRightInd w:val="0"/>
              <w:snapToGrid w:val="0"/>
              <w:spacing w:before="0" w:beforeAutospacing="0" w:after="0" w:afterAutospacing="0"/>
              <w:ind w:left="0" w:right="0"/>
              <w:jc w:val="center"/>
              <w:rPr>
                <w:rFonts w:hint="default" w:asciiTheme="minorEastAsia" w:hAnsiTheme="minorEastAsia" w:eastAsiaTheme="minorEastAsia" w:cstheme="minorEastAsia"/>
                <w:snapToGrid w:val="0"/>
                <w:color w:val="auto"/>
                <w:kern w:val="0"/>
                <w:szCs w:val="24"/>
                <w:highlight w:val="none"/>
              </w:rPr>
            </w:pPr>
            <w:r>
              <w:rPr>
                <w:rFonts w:asciiTheme="minorEastAsia" w:hAnsiTheme="minorEastAsia" w:eastAsiaTheme="minorEastAsia" w:cstheme="minorEastAsia"/>
                <w:snapToGrid w:val="0"/>
                <w:color w:val="auto"/>
                <w:kern w:val="0"/>
                <w:szCs w:val="24"/>
                <w:highlight w:val="none"/>
              </w:rPr>
              <w:t>2</w:t>
            </w:r>
          </w:p>
        </w:tc>
        <w:tc>
          <w:tcPr>
            <w:tcW w:w="1547" w:type="dxa"/>
            <w:gridSpan w:val="2"/>
            <w:tcBorders>
              <w:top w:val="single" w:color="auto" w:sz="6" w:space="0"/>
              <w:left w:val="single" w:color="auto" w:sz="4" w:space="0"/>
              <w:bottom w:val="single" w:color="auto" w:sz="6" w:space="0"/>
              <w:right w:val="single" w:color="auto" w:sz="6" w:space="0"/>
            </w:tcBorders>
            <w:vAlign w:val="center"/>
          </w:tcPr>
          <w:p w14:paraId="3BBDBFA7">
            <w:pPr>
              <w:keepNext w:val="0"/>
              <w:keepLines w:val="0"/>
              <w:suppressLineNumbers w:val="0"/>
              <w:wordWrap w:val="0"/>
              <w:adjustRightInd w:val="0"/>
              <w:snapToGrid w:val="0"/>
              <w:spacing w:before="0" w:beforeAutospacing="0" w:after="0" w:afterAutospacing="0"/>
              <w:ind w:left="0" w:right="0"/>
              <w:jc w:val="center"/>
              <w:rPr>
                <w:rFonts w:hint="default" w:asciiTheme="minorEastAsia" w:hAnsiTheme="minorEastAsia" w:eastAsiaTheme="minorEastAsia" w:cstheme="minorEastAsia"/>
                <w:snapToGrid w:val="0"/>
                <w:color w:val="auto"/>
                <w:kern w:val="0"/>
                <w:szCs w:val="24"/>
                <w:highlight w:val="none"/>
              </w:rPr>
            </w:pPr>
          </w:p>
        </w:tc>
        <w:tc>
          <w:tcPr>
            <w:tcW w:w="1942" w:type="dxa"/>
            <w:gridSpan w:val="2"/>
            <w:tcBorders>
              <w:top w:val="single" w:color="auto" w:sz="6" w:space="0"/>
              <w:left w:val="single" w:color="auto" w:sz="6" w:space="0"/>
              <w:bottom w:val="single" w:color="auto" w:sz="6" w:space="0"/>
              <w:right w:val="single" w:color="auto" w:sz="6" w:space="0"/>
            </w:tcBorders>
            <w:vAlign w:val="center"/>
          </w:tcPr>
          <w:p w14:paraId="57B04B04">
            <w:pPr>
              <w:keepNext w:val="0"/>
              <w:keepLines w:val="0"/>
              <w:suppressLineNumbers w:val="0"/>
              <w:wordWrap w:val="0"/>
              <w:adjustRightInd w:val="0"/>
              <w:snapToGrid w:val="0"/>
              <w:spacing w:before="0" w:beforeAutospacing="0" w:after="0" w:afterAutospacing="0"/>
              <w:ind w:left="0" w:right="0"/>
              <w:jc w:val="center"/>
              <w:rPr>
                <w:rFonts w:hint="default" w:asciiTheme="minorEastAsia" w:hAnsiTheme="minorEastAsia" w:eastAsiaTheme="minorEastAsia" w:cstheme="minorEastAsia"/>
                <w:snapToGrid w:val="0"/>
                <w:color w:val="auto"/>
                <w:kern w:val="0"/>
                <w:szCs w:val="24"/>
                <w:highlight w:val="none"/>
              </w:rPr>
            </w:pPr>
          </w:p>
        </w:tc>
        <w:tc>
          <w:tcPr>
            <w:tcW w:w="1973" w:type="dxa"/>
            <w:gridSpan w:val="2"/>
            <w:tcBorders>
              <w:top w:val="single" w:color="auto" w:sz="6" w:space="0"/>
              <w:left w:val="single" w:color="auto" w:sz="6" w:space="0"/>
              <w:bottom w:val="single" w:color="auto" w:sz="6" w:space="0"/>
              <w:right w:val="single" w:color="auto" w:sz="6" w:space="0"/>
            </w:tcBorders>
            <w:vAlign w:val="center"/>
          </w:tcPr>
          <w:p w14:paraId="244F916E">
            <w:pPr>
              <w:keepNext w:val="0"/>
              <w:keepLines w:val="0"/>
              <w:suppressLineNumbers w:val="0"/>
              <w:wordWrap w:val="0"/>
              <w:adjustRightInd w:val="0"/>
              <w:snapToGrid w:val="0"/>
              <w:spacing w:before="0" w:beforeAutospacing="0" w:after="0" w:afterAutospacing="0"/>
              <w:ind w:left="0" w:right="0"/>
              <w:jc w:val="center"/>
              <w:rPr>
                <w:rFonts w:hint="default" w:asciiTheme="minorEastAsia" w:hAnsiTheme="minorEastAsia" w:eastAsiaTheme="minorEastAsia" w:cstheme="minorEastAsia"/>
                <w:snapToGrid w:val="0"/>
                <w:color w:val="auto"/>
                <w:kern w:val="0"/>
                <w:szCs w:val="24"/>
                <w:highlight w:val="none"/>
              </w:rPr>
            </w:pPr>
          </w:p>
        </w:tc>
        <w:tc>
          <w:tcPr>
            <w:tcW w:w="1706" w:type="dxa"/>
            <w:tcBorders>
              <w:top w:val="single" w:color="auto" w:sz="6" w:space="0"/>
              <w:left w:val="single" w:color="auto" w:sz="6" w:space="0"/>
              <w:bottom w:val="single" w:color="auto" w:sz="6" w:space="0"/>
              <w:right w:val="single" w:color="auto" w:sz="6" w:space="0"/>
            </w:tcBorders>
            <w:vAlign w:val="center"/>
          </w:tcPr>
          <w:p w14:paraId="47A25519">
            <w:pPr>
              <w:keepNext w:val="0"/>
              <w:keepLines w:val="0"/>
              <w:suppressLineNumbers w:val="0"/>
              <w:wordWrap w:val="0"/>
              <w:adjustRightInd w:val="0"/>
              <w:snapToGrid w:val="0"/>
              <w:spacing w:before="0" w:beforeAutospacing="0" w:after="0" w:afterAutospacing="0"/>
              <w:ind w:left="0" w:right="0"/>
              <w:jc w:val="center"/>
              <w:rPr>
                <w:rFonts w:hint="default" w:asciiTheme="minorEastAsia" w:hAnsiTheme="minorEastAsia" w:eastAsiaTheme="minorEastAsia" w:cstheme="minorEastAsia"/>
                <w:snapToGrid w:val="0"/>
                <w:color w:val="auto"/>
                <w:kern w:val="0"/>
                <w:szCs w:val="24"/>
                <w:highlight w:val="none"/>
              </w:rPr>
            </w:pPr>
          </w:p>
        </w:tc>
        <w:tc>
          <w:tcPr>
            <w:tcW w:w="1327" w:type="dxa"/>
            <w:tcBorders>
              <w:top w:val="single" w:color="auto" w:sz="6" w:space="0"/>
              <w:left w:val="single" w:color="auto" w:sz="6" w:space="0"/>
              <w:bottom w:val="single" w:color="auto" w:sz="6" w:space="0"/>
              <w:right w:val="single" w:color="auto" w:sz="6" w:space="0"/>
            </w:tcBorders>
            <w:vAlign w:val="center"/>
          </w:tcPr>
          <w:p w14:paraId="35565FA1">
            <w:pPr>
              <w:keepNext w:val="0"/>
              <w:keepLines w:val="0"/>
              <w:suppressLineNumbers w:val="0"/>
              <w:wordWrap w:val="0"/>
              <w:adjustRightInd w:val="0"/>
              <w:snapToGrid w:val="0"/>
              <w:spacing w:before="0" w:beforeAutospacing="0" w:after="0" w:afterAutospacing="0"/>
              <w:ind w:left="0" w:right="0"/>
              <w:jc w:val="center"/>
              <w:rPr>
                <w:rFonts w:hint="default" w:asciiTheme="minorEastAsia" w:hAnsiTheme="minorEastAsia" w:eastAsiaTheme="minorEastAsia" w:cstheme="minorEastAsia"/>
                <w:snapToGrid w:val="0"/>
                <w:color w:val="auto"/>
                <w:kern w:val="0"/>
                <w:szCs w:val="24"/>
                <w:highlight w:val="none"/>
              </w:rPr>
            </w:pPr>
          </w:p>
        </w:tc>
      </w:tr>
      <w:tr w14:paraId="038E4E26">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exact"/>
        </w:trPr>
        <w:tc>
          <w:tcPr>
            <w:tcW w:w="775" w:type="dxa"/>
            <w:tcBorders>
              <w:top w:val="single" w:color="auto" w:sz="6" w:space="0"/>
              <w:left w:val="single" w:color="auto" w:sz="6" w:space="0"/>
              <w:bottom w:val="single" w:color="auto" w:sz="6" w:space="0"/>
              <w:right w:val="single" w:color="auto" w:sz="4" w:space="0"/>
            </w:tcBorders>
            <w:vAlign w:val="center"/>
          </w:tcPr>
          <w:p w14:paraId="7F58285B">
            <w:pPr>
              <w:keepNext w:val="0"/>
              <w:keepLines w:val="0"/>
              <w:suppressLineNumbers w:val="0"/>
              <w:wordWrap w:val="0"/>
              <w:adjustRightInd w:val="0"/>
              <w:snapToGrid w:val="0"/>
              <w:spacing w:before="0" w:beforeAutospacing="0" w:after="0" w:afterAutospacing="0"/>
              <w:ind w:left="0" w:right="0"/>
              <w:jc w:val="center"/>
              <w:rPr>
                <w:rFonts w:hint="default" w:asciiTheme="minorEastAsia" w:hAnsiTheme="minorEastAsia" w:eastAsiaTheme="minorEastAsia" w:cstheme="minorEastAsia"/>
                <w:snapToGrid w:val="0"/>
                <w:color w:val="auto"/>
                <w:kern w:val="0"/>
                <w:szCs w:val="24"/>
                <w:highlight w:val="none"/>
              </w:rPr>
            </w:pPr>
            <w:r>
              <w:rPr>
                <w:rFonts w:asciiTheme="minorEastAsia" w:hAnsiTheme="minorEastAsia" w:eastAsiaTheme="minorEastAsia" w:cstheme="minorEastAsia"/>
                <w:snapToGrid w:val="0"/>
                <w:color w:val="auto"/>
                <w:kern w:val="0"/>
                <w:szCs w:val="24"/>
                <w:highlight w:val="none"/>
              </w:rPr>
              <w:t>……</w:t>
            </w:r>
          </w:p>
        </w:tc>
        <w:tc>
          <w:tcPr>
            <w:tcW w:w="1547" w:type="dxa"/>
            <w:gridSpan w:val="2"/>
            <w:tcBorders>
              <w:top w:val="single" w:color="auto" w:sz="6" w:space="0"/>
              <w:left w:val="single" w:color="auto" w:sz="4" w:space="0"/>
              <w:bottom w:val="single" w:color="auto" w:sz="6" w:space="0"/>
              <w:right w:val="single" w:color="auto" w:sz="6" w:space="0"/>
            </w:tcBorders>
            <w:vAlign w:val="center"/>
          </w:tcPr>
          <w:p w14:paraId="58CDAB5D">
            <w:pPr>
              <w:keepNext w:val="0"/>
              <w:keepLines w:val="0"/>
              <w:suppressLineNumbers w:val="0"/>
              <w:wordWrap w:val="0"/>
              <w:adjustRightInd w:val="0"/>
              <w:snapToGrid w:val="0"/>
              <w:spacing w:before="0" w:beforeAutospacing="0" w:after="0" w:afterAutospacing="0"/>
              <w:ind w:left="0" w:right="0"/>
              <w:jc w:val="center"/>
              <w:rPr>
                <w:rFonts w:hint="default" w:asciiTheme="minorEastAsia" w:hAnsiTheme="minorEastAsia" w:eastAsiaTheme="minorEastAsia" w:cstheme="minorEastAsia"/>
                <w:snapToGrid w:val="0"/>
                <w:color w:val="auto"/>
                <w:kern w:val="0"/>
                <w:szCs w:val="24"/>
                <w:highlight w:val="none"/>
              </w:rPr>
            </w:pPr>
          </w:p>
        </w:tc>
        <w:tc>
          <w:tcPr>
            <w:tcW w:w="1942" w:type="dxa"/>
            <w:gridSpan w:val="2"/>
            <w:tcBorders>
              <w:top w:val="single" w:color="auto" w:sz="6" w:space="0"/>
              <w:left w:val="single" w:color="auto" w:sz="6" w:space="0"/>
              <w:bottom w:val="single" w:color="auto" w:sz="6" w:space="0"/>
              <w:right w:val="single" w:color="auto" w:sz="6" w:space="0"/>
            </w:tcBorders>
            <w:vAlign w:val="center"/>
          </w:tcPr>
          <w:p w14:paraId="28D39D6A">
            <w:pPr>
              <w:keepNext w:val="0"/>
              <w:keepLines w:val="0"/>
              <w:suppressLineNumbers w:val="0"/>
              <w:wordWrap w:val="0"/>
              <w:adjustRightInd w:val="0"/>
              <w:snapToGrid w:val="0"/>
              <w:spacing w:before="0" w:beforeAutospacing="0" w:after="0" w:afterAutospacing="0"/>
              <w:ind w:left="0" w:right="0"/>
              <w:jc w:val="center"/>
              <w:rPr>
                <w:rFonts w:hint="default" w:asciiTheme="minorEastAsia" w:hAnsiTheme="minorEastAsia" w:eastAsiaTheme="minorEastAsia" w:cstheme="minorEastAsia"/>
                <w:snapToGrid w:val="0"/>
                <w:color w:val="auto"/>
                <w:kern w:val="0"/>
                <w:szCs w:val="24"/>
                <w:highlight w:val="none"/>
              </w:rPr>
            </w:pPr>
          </w:p>
        </w:tc>
        <w:tc>
          <w:tcPr>
            <w:tcW w:w="1973" w:type="dxa"/>
            <w:gridSpan w:val="2"/>
            <w:tcBorders>
              <w:top w:val="single" w:color="auto" w:sz="6" w:space="0"/>
              <w:left w:val="single" w:color="auto" w:sz="6" w:space="0"/>
              <w:bottom w:val="single" w:color="auto" w:sz="6" w:space="0"/>
              <w:right w:val="single" w:color="auto" w:sz="6" w:space="0"/>
            </w:tcBorders>
            <w:vAlign w:val="center"/>
          </w:tcPr>
          <w:p w14:paraId="0D3E26C3">
            <w:pPr>
              <w:keepNext w:val="0"/>
              <w:keepLines w:val="0"/>
              <w:suppressLineNumbers w:val="0"/>
              <w:wordWrap w:val="0"/>
              <w:adjustRightInd w:val="0"/>
              <w:snapToGrid w:val="0"/>
              <w:spacing w:before="0" w:beforeAutospacing="0" w:after="0" w:afterAutospacing="0"/>
              <w:ind w:left="0" w:right="0"/>
              <w:jc w:val="center"/>
              <w:rPr>
                <w:rFonts w:hint="default" w:asciiTheme="minorEastAsia" w:hAnsiTheme="minorEastAsia" w:eastAsiaTheme="minorEastAsia" w:cstheme="minorEastAsia"/>
                <w:snapToGrid w:val="0"/>
                <w:color w:val="auto"/>
                <w:kern w:val="0"/>
                <w:szCs w:val="24"/>
                <w:highlight w:val="none"/>
              </w:rPr>
            </w:pPr>
          </w:p>
        </w:tc>
        <w:tc>
          <w:tcPr>
            <w:tcW w:w="1706" w:type="dxa"/>
            <w:tcBorders>
              <w:top w:val="single" w:color="auto" w:sz="6" w:space="0"/>
              <w:left w:val="single" w:color="auto" w:sz="6" w:space="0"/>
              <w:bottom w:val="single" w:color="auto" w:sz="6" w:space="0"/>
              <w:right w:val="single" w:color="auto" w:sz="6" w:space="0"/>
            </w:tcBorders>
            <w:vAlign w:val="center"/>
          </w:tcPr>
          <w:p w14:paraId="35506362">
            <w:pPr>
              <w:keepNext w:val="0"/>
              <w:keepLines w:val="0"/>
              <w:suppressLineNumbers w:val="0"/>
              <w:wordWrap w:val="0"/>
              <w:adjustRightInd w:val="0"/>
              <w:snapToGrid w:val="0"/>
              <w:spacing w:before="0" w:beforeAutospacing="0" w:after="0" w:afterAutospacing="0"/>
              <w:ind w:left="0" w:right="0"/>
              <w:jc w:val="center"/>
              <w:rPr>
                <w:rFonts w:hint="default" w:asciiTheme="minorEastAsia" w:hAnsiTheme="minorEastAsia" w:eastAsiaTheme="minorEastAsia" w:cstheme="minorEastAsia"/>
                <w:snapToGrid w:val="0"/>
                <w:color w:val="auto"/>
                <w:kern w:val="0"/>
                <w:szCs w:val="24"/>
                <w:highlight w:val="none"/>
              </w:rPr>
            </w:pPr>
          </w:p>
        </w:tc>
        <w:tc>
          <w:tcPr>
            <w:tcW w:w="1327" w:type="dxa"/>
            <w:tcBorders>
              <w:top w:val="single" w:color="auto" w:sz="6" w:space="0"/>
              <w:left w:val="single" w:color="auto" w:sz="6" w:space="0"/>
              <w:bottom w:val="single" w:color="auto" w:sz="6" w:space="0"/>
              <w:right w:val="single" w:color="auto" w:sz="6" w:space="0"/>
            </w:tcBorders>
            <w:vAlign w:val="center"/>
          </w:tcPr>
          <w:p w14:paraId="1BAD3D0A">
            <w:pPr>
              <w:keepNext w:val="0"/>
              <w:keepLines w:val="0"/>
              <w:suppressLineNumbers w:val="0"/>
              <w:wordWrap w:val="0"/>
              <w:adjustRightInd w:val="0"/>
              <w:snapToGrid w:val="0"/>
              <w:spacing w:before="0" w:beforeAutospacing="0" w:after="0" w:afterAutospacing="0"/>
              <w:ind w:left="0" w:right="0"/>
              <w:jc w:val="center"/>
              <w:rPr>
                <w:rFonts w:hint="default" w:asciiTheme="minorEastAsia" w:hAnsiTheme="minorEastAsia" w:eastAsiaTheme="minorEastAsia" w:cstheme="minorEastAsia"/>
                <w:snapToGrid w:val="0"/>
                <w:color w:val="auto"/>
                <w:kern w:val="0"/>
                <w:szCs w:val="24"/>
                <w:highlight w:val="none"/>
              </w:rPr>
            </w:pPr>
          </w:p>
        </w:tc>
      </w:tr>
      <w:tr w14:paraId="05BDD682">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exact"/>
        </w:trPr>
        <w:tc>
          <w:tcPr>
            <w:tcW w:w="775" w:type="dxa"/>
            <w:tcBorders>
              <w:top w:val="single" w:color="auto" w:sz="6" w:space="0"/>
              <w:left w:val="single" w:color="auto" w:sz="6" w:space="0"/>
              <w:bottom w:val="single" w:color="auto" w:sz="6" w:space="0"/>
              <w:right w:val="single" w:color="auto" w:sz="4" w:space="0"/>
            </w:tcBorders>
            <w:vAlign w:val="center"/>
          </w:tcPr>
          <w:p w14:paraId="24ED1A59">
            <w:pPr>
              <w:keepNext w:val="0"/>
              <w:keepLines w:val="0"/>
              <w:suppressLineNumbers w:val="0"/>
              <w:wordWrap w:val="0"/>
              <w:adjustRightInd w:val="0"/>
              <w:snapToGrid w:val="0"/>
              <w:spacing w:before="0" w:beforeAutospacing="0" w:after="0" w:afterAutospacing="0"/>
              <w:ind w:left="0" w:right="0"/>
              <w:jc w:val="center"/>
              <w:rPr>
                <w:rFonts w:hint="default" w:asciiTheme="minorEastAsia" w:hAnsiTheme="minorEastAsia" w:eastAsiaTheme="minorEastAsia" w:cstheme="minorEastAsia"/>
                <w:snapToGrid w:val="0"/>
                <w:color w:val="auto"/>
                <w:kern w:val="0"/>
                <w:szCs w:val="24"/>
                <w:highlight w:val="none"/>
              </w:rPr>
            </w:pPr>
          </w:p>
        </w:tc>
        <w:tc>
          <w:tcPr>
            <w:tcW w:w="1547" w:type="dxa"/>
            <w:gridSpan w:val="2"/>
            <w:tcBorders>
              <w:top w:val="single" w:color="auto" w:sz="6" w:space="0"/>
              <w:left w:val="single" w:color="auto" w:sz="4" w:space="0"/>
              <w:bottom w:val="single" w:color="auto" w:sz="6" w:space="0"/>
              <w:right w:val="single" w:color="auto" w:sz="6" w:space="0"/>
            </w:tcBorders>
            <w:vAlign w:val="center"/>
          </w:tcPr>
          <w:p w14:paraId="58E7013A">
            <w:pPr>
              <w:keepNext w:val="0"/>
              <w:keepLines w:val="0"/>
              <w:suppressLineNumbers w:val="0"/>
              <w:wordWrap w:val="0"/>
              <w:adjustRightInd w:val="0"/>
              <w:snapToGrid w:val="0"/>
              <w:spacing w:before="0" w:beforeAutospacing="0" w:after="0" w:afterAutospacing="0"/>
              <w:ind w:left="0" w:right="0"/>
              <w:jc w:val="center"/>
              <w:rPr>
                <w:rFonts w:hint="default" w:asciiTheme="minorEastAsia" w:hAnsiTheme="minorEastAsia" w:eastAsiaTheme="minorEastAsia" w:cstheme="minorEastAsia"/>
                <w:snapToGrid w:val="0"/>
                <w:color w:val="auto"/>
                <w:kern w:val="0"/>
                <w:szCs w:val="24"/>
                <w:highlight w:val="none"/>
              </w:rPr>
            </w:pPr>
          </w:p>
        </w:tc>
        <w:tc>
          <w:tcPr>
            <w:tcW w:w="1942" w:type="dxa"/>
            <w:gridSpan w:val="2"/>
            <w:tcBorders>
              <w:top w:val="single" w:color="auto" w:sz="6" w:space="0"/>
              <w:left w:val="single" w:color="auto" w:sz="6" w:space="0"/>
              <w:bottom w:val="single" w:color="auto" w:sz="6" w:space="0"/>
              <w:right w:val="single" w:color="auto" w:sz="6" w:space="0"/>
            </w:tcBorders>
            <w:vAlign w:val="center"/>
          </w:tcPr>
          <w:p w14:paraId="1D3A865E">
            <w:pPr>
              <w:keepNext w:val="0"/>
              <w:keepLines w:val="0"/>
              <w:suppressLineNumbers w:val="0"/>
              <w:wordWrap w:val="0"/>
              <w:adjustRightInd w:val="0"/>
              <w:snapToGrid w:val="0"/>
              <w:spacing w:before="0" w:beforeAutospacing="0" w:after="0" w:afterAutospacing="0"/>
              <w:ind w:left="0" w:right="0"/>
              <w:jc w:val="center"/>
              <w:rPr>
                <w:rFonts w:hint="default" w:asciiTheme="minorEastAsia" w:hAnsiTheme="minorEastAsia" w:eastAsiaTheme="minorEastAsia" w:cstheme="minorEastAsia"/>
                <w:snapToGrid w:val="0"/>
                <w:color w:val="auto"/>
                <w:kern w:val="0"/>
                <w:szCs w:val="24"/>
                <w:highlight w:val="none"/>
              </w:rPr>
            </w:pPr>
          </w:p>
        </w:tc>
        <w:tc>
          <w:tcPr>
            <w:tcW w:w="1973" w:type="dxa"/>
            <w:gridSpan w:val="2"/>
            <w:tcBorders>
              <w:top w:val="single" w:color="auto" w:sz="6" w:space="0"/>
              <w:left w:val="single" w:color="auto" w:sz="6" w:space="0"/>
              <w:bottom w:val="single" w:color="auto" w:sz="6" w:space="0"/>
              <w:right w:val="single" w:color="auto" w:sz="6" w:space="0"/>
            </w:tcBorders>
            <w:vAlign w:val="center"/>
          </w:tcPr>
          <w:p w14:paraId="3A7F01E4">
            <w:pPr>
              <w:keepNext w:val="0"/>
              <w:keepLines w:val="0"/>
              <w:suppressLineNumbers w:val="0"/>
              <w:wordWrap w:val="0"/>
              <w:adjustRightInd w:val="0"/>
              <w:snapToGrid w:val="0"/>
              <w:spacing w:before="0" w:beforeAutospacing="0" w:after="0" w:afterAutospacing="0"/>
              <w:ind w:left="0" w:right="0"/>
              <w:jc w:val="center"/>
              <w:rPr>
                <w:rFonts w:hint="default" w:asciiTheme="minorEastAsia" w:hAnsiTheme="minorEastAsia" w:eastAsiaTheme="minorEastAsia" w:cstheme="minorEastAsia"/>
                <w:snapToGrid w:val="0"/>
                <w:color w:val="auto"/>
                <w:kern w:val="0"/>
                <w:szCs w:val="24"/>
                <w:highlight w:val="none"/>
              </w:rPr>
            </w:pPr>
          </w:p>
        </w:tc>
        <w:tc>
          <w:tcPr>
            <w:tcW w:w="1706" w:type="dxa"/>
            <w:tcBorders>
              <w:top w:val="single" w:color="auto" w:sz="6" w:space="0"/>
              <w:left w:val="single" w:color="auto" w:sz="6" w:space="0"/>
              <w:bottom w:val="single" w:color="auto" w:sz="6" w:space="0"/>
              <w:right w:val="single" w:color="auto" w:sz="6" w:space="0"/>
            </w:tcBorders>
            <w:vAlign w:val="center"/>
          </w:tcPr>
          <w:p w14:paraId="311EC13E">
            <w:pPr>
              <w:keepNext w:val="0"/>
              <w:keepLines w:val="0"/>
              <w:suppressLineNumbers w:val="0"/>
              <w:wordWrap w:val="0"/>
              <w:adjustRightInd w:val="0"/>
              <w:snapToGrid w:val="0"/>
              <w:spacing w:before="0" w:beforeAutospacing="0" w:after="0" w:afterAutospacing="0"/>
              <w:ind w:left="0" w:right="0"/>
              <w:jc w:val="center"/>
              <w:rPr>
                <w:rFonts w:hint="default" w:asciiTheme="minorEastAsia" w:hAnsiTheme="minorEastAsia" w:eastAsiaTheme="minorEastAsia" w:cstheme="minorEastAsia"/>
                <w:snapToGrid w:val="0"/>
                <w:color w:val="auto"/>
                <w:kern w:val="0"/>
                <w:szCs w:val="24"/>
                <w:highlight w:val="none"/>
              </w:rPr>
            </w:pPr>
          </w:p>
        </w:tc>
        <w:tc>
          <w:tcPr>
            <w:tcW w:w="1327" w:type="dxa"/>
            <w:tcBorders>
              <w:top w:val="single" w:color="auto" w:sz="6" w:space="0"/>
              <w:left w:val="single" w:color="auto" w:sz="6" w:space="0"/>
              <w:bottom w:val="single" w:color="auto" w:sz="6" w:space="0"/>
              <w:right w:val="single" w:color="auto" w:sz="6" w:space="0"/>
            </w:tcBorders>
            <w:vAlign w:val="center"/>
          </w:tcPr>
          <w:p w14:paraId="0104747F">
            <w:pPr>
              <w:keepNext w:val="0"/>
              <w:keepLines w:val="0"/>
              <w:suppressLineNumbers w:val="0"/>
              <w:wordWrap w:val="0"/>
              <w:adjustRightInd w:val="0"/>
              <w:snapToGrid w:val="0"/>
              <w:spacing w:before="0" w:beforeAutospacing="0" w:after="0" w:afterAutospacing="0"/>
              <w:ind w:left="0" w:right="0"/>
              <w:jc w:val="center"/>
              <w:rPr>
                <w:rFonts w:hint="default" w:asciiTheme="minorEastAsia" w:hAnsiTheme="minorEastAsia" w:eastAsiaTheme="minorEastAsia" w:cstheme="minorEastAsia"/>
                <w:snapToGrid w:val="0"/>
                <w:color w:val="auto"/>
                <w:kern w:val="0"/>
                <w:szCs w:val="24"/>
                <w:highlight w:val="none"/>
              </w:rPr>
            </w:pPr>
          </w:p>
        </w:tc>
      </w:tr>
      <w:tr w14:paraId="33AAFCA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exact"/>
        </w:trPr>
        <w:tc>
          <w:tcPr>
            <w:tcW w:w="775" w:type="dxa"/>
            <w:tcBorders>
              <w:top w:val="single" w:color="auto" w:sz="6" w:space="0"/>
              <w:left w:val="single" w:color="auto" w:sz="6" w:space="0"/>
              <w:bottom w:val="single" w:color="auto" w:sz="6" w:space="0"/>
              <w:right w:val="single" w:color="auto" w:sz="4" w:space="0"/>
            </w:tcBorders>
            <w:vAlign w:val="center"/>
          </w:tcPr>
          <w:p w14:paraId="2D5D9D50">
            <w:pPr>
              <w:keepNext w:val="0"/>
              <w:keepLines w:val="0"/>
              <w:suppressLineNumbers w:val="0"/>
              <w:wordWrap w:val="0"/>
              <w:adjustRightInd w:val="0"/>
              <w:snapToGrid w:val="0"/>
              <w:spacing w:before="0" w:beforeAutospacing="0" w:after="0" w:afterAutospacing="0"/>
              <w:ind w:left="0" w:right="0"/>
              <w:jc w:val="center"/>
              <w:rPr>
                <w:rFonts w:hint="default" w:asciiTheme="minorEastAsia" w:hAnsiTheme="minorEastAsia" w:eastAsiaTheme="minorEastAsia" w:cstheme="minorEastAsia"/>
                <w:snapToGrid w:val="0"/>
                <w:color w:val="auto"/>
                <w:kern w:val="0"/>
                <w:szCs w:val="24"/>
                <w:highlight w:val="none"/>
              </w:rPr>
            </w:pPr>
          </w:p>
        </w:tc>
        <w:tc>
          <w:tcPr>
            <w:tcW w:w="1547" w:type="dxa"/>
            <w:gridSpan w:val="2"/>
            <w:tcBorders>
              <w:top w:val="single" w:color="auto" w:sz="6" w:space="0"/>
              <w:left w:val="single" w:color="auto" w:sz="4" w:space="0"/>
              <w:bottom w:val="single" w:color="auto" w:sz="6" w:space="0"/>
              <w:right w:val="single" w:color="auto" w:sz="6" w:space="0"/>
            </w:tcBorders>
            <w:vAlign w:val="center"/>
          </w:tcPr>
          <w:p w14:paraId="2105B5A3">
            <w:pPr>
              <w:keepNext w:val="0"/>
              <w:keepLines w:val="0"/>
              <w:suppressLineNumbers w:val="0"/>
              <w:wordWrap w:val="0"/>
              <w:adjustRightInd w:val="0"/>
              <w:snapToGrid w:val="0"/>
              <w:spacing w:before="0" w:beforeAutospacing="0" w:after="0" w:afterAutospacing="0"/>
              <w:ind w:left="0" w:right="0"/>
              <w:jc w:val="center"/>
              <w:rPr>
                <w:rFonts w:hint="default" w:asciiTheme="minorEastAsia" w:hAnsiTheme="minorEastAsia" w:eastAsiaTheme="minorEastAsia" w:cstheme="minorEastAsia"/>
                <w:snapToGrid w:val="0"/>
                <w:color w:val="auto"/>
                <w:kern w:val="0"/>
                <w:szCs w:val="24"/>
                <w:highlight w:val="none"/>
              </w:rPr>
            </w:pPr>
          </w:p>
        </w:tc>
        <w:tc>
          <w:tcPr>
            <w:tcW w:w="1942" w:type="dxa"/>
            <w:gridSpan w:val="2"/>
            <w:tcBorders>
              <w:top w:val="single" w:color="auto" w:sz="6" w:space="0"/>
              <w:left w:val="single" w:color="auto" w:sz="6" w:space="0"/>
              <w:bottom w:val="single" w:color="auto" w:sz="6" w:space="0"/>
              <w:right w:val="single" w:color="auto" w:sz="6" w:space="0"/>
            </w:tcBorders>
            <w:vAlign w:val="center"/>
          </w:tcPr>
          <w:p w14:paraId="43EAAB08">
            <w:pPr>
              <w:keepNext w:val="0"/>
              <w:keepLines w:val="0"/>
              <w:suppressLineNumbers w:val="0"/>
              <w:wordWrap w:val="0"/>
              <w:adjustRightInd w:val="0"/>
              <w:snapToGrid w:val="0"/>
              <w:spacing w:before="0" w:beforeAutospacing="0" w:after="0" w:afterAutospacing="0"/>
              <w:ind w:left="0" w:right="0"/>
              <w:jc w:val="center"/>
              <w:rPr>
                <w:rFonts w:hint="default" w:asciiTheme="minorEastAsia" w:hAnsiTheme="minorEastAsia" w:eastAsiaTheme="minorEastAsia" w:cstheme="minorEastAsia"/>
                <w:snapToGrid w:val="0"/>
                <w:color w:val="auto"/>
                <w:kern w:val="0"/>
                <w:szCs w:val="24"/>
                <w:highlight w:val="none"/>
              </w:rPr>
            </w:pPr>
          </w:p>
        </w:tc>
        <w:tc>
          <w:tcPr>
            <w:tcW w:w="1973" w:type="dxa"/>
            <w:gridSpan w:val="2"/>
            <w:tcBorders>
              <w:top w:val="single" w:color="auto" w:sz="6" w:space="0"/>
              <w:left w:val="single" w:color="auto" w:sz="6" w:space="0"/>
              <w:bottom w:val="single" w:color="auto" w:sz="6" w:space="0"/>
              <w:right w:val="single" w:color="auto" w:sz="6" w:space="0"/>
            </w:tcBorders>
            <w:vAlign w:val="center"/>
          </w:tcPr>
          <w:p w14:paraId="7E12176E">
            <w:pPr>
              <w:keepNext w:val="0"/>
              <w:keepLines w:val="0"/>
              <w:suppressLineNumbers w:val="0"/>
              <w:wordWrap w:val="0"/>
              <w:adjustRightInd w:val="0"/>
              <w:snapToGrid w:val="0"/>
              <w:spacing w:before="0" w:beforeAutospacing="0" w:after="0" w:afterAutospacing="0"/>
              <w:ind w:left="0" w:right="0"/>
              <w:jc w:val="center"/>
              <w:rPr>
                <w:rFonts w:hint="default" w:asciiTheme="minorEastAsia" w:hAnsiTheme="minorEastAsia" w:eastAsiaTheme="minorEastAsia" w:cstheme="minorEastAsia"/>
                <w:snapToGrid w:val="0"/>
                <w:color w:val="auto"/>
                <w:kern w:val="0"/>
                <w:szCs w:val="24"/>
                <w:highlight w:val="none"/>
              </w:rPr>
            </w:pPr>
          </w:p>
        </w:tc>
        <w:tc>
          <w:tcPr>
            <w:tcW w:w="1706" w:type="dxa"/>
            <w:tcBorders>
              <w:top w:val="single" w:color="auto" w:sz="6" w:space="0"/>
              <w:left w:val="single" w:color="auto" w:sz="6" w:space="0"/>
              <w:bottom w:val="single" w:color="auto" w:sz="6" w:space="0"/>
              <w:right w:val="single" w:color="auto" w:sz="6" w:space="0"/>
            </w:tcBorders>
            <w:vAlign w:val="center"/>
          </w:tcPr>
          <w:p w14:paraId="5CA9232A">
            <w:pPr>
              <w:keepNext w:val="0"/>
              <w:keepLines w:val="0"/>
              <w:suppressLineNumbers w:val="0"/>
              <w:wordWrap w:val="0"/>
              <w:adjustRightInd w:val="0"/>
              <w:snapToGrid w:val="0"/>
              <w:spacing w:before="0" w:beforeAutospacing="0" w:after="0" w:afterAutospacing="0"/>
              <w:ind w:left="0" w:right="0"/>
              <w:jc w:val="center"/>
              <w:rPr>
                <w:rFonts w:hint="default" w:asciiTheme="minorEastAsia" w:hAnsiTheme="minorEastAsia" w:eastAsiaTheme="minorEastAsia" w:cstheme="minorEastAsia"/>
                <w:snapToGrid w:val="0"/>
                <w:color w:val="auto"/>
                <w:kern w:val="0"/>
                <w:szCs w:val="24"/>
                <w:highlight w:val="none"/>
              </w:rPr>
            </w:pPr>
          </w:p>
        </w:tc>
        <w:tc>
          <w:tcPr>
            <w:tcW w:w="1327" w:type="dxa"/>
            <w:tcBorders>
              <w:top w:val="single" w:color="auto" w:sz="6" w:space="0"/>
              <w:left w:val="single" w:color="auto" w:sz="6" w:space="0"/>
              <w:bottom w:val="single" w:color="auto" w:sz="6" w:space="0"/>
              <w:right w:val="single" w:color="auto" w:sz="6" w:space="0"/>
            </w:tcBorders>
            <w:vAlign w:val="center"/>
          </w:tcPr>
          <w:p w14:paraId="139AD0AC">
            <w:pPr>
              <w:keepNext w:val="0"/>
              <w:keepLines w:val="0"/>
              <w:suppressLineNumbers w:val="0"/>
              <w:wordWrap w:val="0"/>
              <w:adjustRightInd w:val="0"/>
              <w:snapToGrid w:val="0"/>
              <w:spacing w:before="0" w:beforeAutospacing="0" w:after="0" w:afterAutospacing="0"/>
              <w:ind w:left="0" w:right="0"/>
              <w:jc w:val="center"/>
              <w:rPr>
                <w:rFonts w:hint="default" w:asciiTheme="minorEastAsia" w:hAnsiTheme="minorEastAsia" w:eastAsiaTheme="minorEastAsia" w:cstheme="minorEastAsia"/>
                <w:snapToGrid w:val="0"/>
                <w:color w:val="auto"/>
                <w:kern w:val="0"/>
                <w:szCs w:val="24"/>
                <w:highlight w:val="none"/>
              </w:rPr>
            </w:pPr>
          </w:p>
        </w:tc>
      </w:tr>
    </w:tbl>
    <w:p w14:paraId="434E1850">
      <w:pPr>
        <w:wordWrap w:val="0"/>
        <w:adjustRightInd w:val="0"/>
        <w:snapToGrid w:val="0"/>
        <w:spacing w:line="440" w:lineRule="exact"/>
        <w:jc w:val="center"/>
        <w:rPr>
          <w:rFonts w:hint="default" w:asciiTheme="minorEastAsia" w:hAnsiTheme="minorEastAsia" w:eastAsiaTheme="minorEastAsia" w:cstheme="minorEastAsia"/>
          <w:b/>
          <w:bCs/>
          <w:snapToGrid w:val="0"/>
          <w:color w:val="auto"/>
          <w:kern w:val="0"/>
          <w:szCs w:val="24"/>
          <w:highlight w:val="none"/>
        </w:rPr>
      </w:pPr>
      <w:r>
        <w:rPr>
          <w:rFonts w:asciiTheme="minorEastAsia" w:hAnsiTheme="minorEastAsia" w:eastAsiaTheme="minorEastAsia" w:cstheme="minorEastAsia"/>
          <w:b/>
          <w:snapToGrid w:val="0"/>
          <w:color w:val="auto"/>
          <w:kern w:val="0"/>
          <w:szCs w:val="24"/>
          <w:highlight w:val="none"/>
        </w:rPr>
        <w:t>项目设计负责人简历表</w:t>
      </w:r>
    </w:p>
    <w:p w14:paraId="5248CEEB">
      <w:pPr>
        <w:wordWrap w:val="0"/>
        <w:adjustRightInd w:val="0"/>
        <w:snapToGrid w:val="0"/>
        <w:spacing w:line="440" w:lineRule="exact"/>
        <w:ind w:firstLine="570"/>
        <w:rPr>
          <w:rFonts w:hint="default" w:asciiTheme="minorEastAsia" w:hAnsiTheme="minorEastAsia" w:eastAsiaTheme="minorEastAsia" w:cstheme="minorEastAsia"/>
          <w:snapToGrid w:val="0"/>
          <w:color w:val="auto"/>
          <w:kern w:val="0"/>
          <w:szCs w:val="24"/>
          <w:highlight w:val="none"/>
        </w:rPr>
      </w:pPr>
    </w:p>
    <w:p w14:paraId="4698B727">
      <w:pPr>
        <w:pStyle w:val="50"/>
        <w:wordWrap w:val="0"/>
        <w:adjustRightInd w:val="0"/>
        <w:snapToGrid w:val="0"/>
        <w:spacing w:line="440" w:lineRule="exact"/>
        <w:jc w:val="right"/>
        <w:rPr>
          <w:rFonts w:asciiTheme="minorEastAsia" w:hAnsiTheme="minorEastAsia" w:eastAsiaTheme="minorEastAsia" w:cstheme="minorEastAsia"/>
          <w:snapToGrid w:val="0"/>
          <w:color w:val="auto"/>
          <w:kern w:val="0"/>
          <w:sz w:val="24"/>
          <w:szCs w:val="24"/>
          <w:highlight w:val="none"/>
        </w:rPr>
      </w:pPr>
    </w:p>
    <w:p w14:paraId="6033424A">
      <w:pPr>
        <w:pStyle w:val="50"/>
        <w:wordWrap w:val="0"/>
        <w:adjustRightInd w:val="0"/>
        <w:snapToGrid w:val="0"/>
        <w:spacing w:line="440" w:lineRule="exact"/>
        <w:jc w:val="right"/>
        <w:rPr>
          <w:rFonts w:asciiTheme="minorEastAsia" w:hAnsiTheme="minorEastAsia" w:eastAsiaTheme="minorEastAsia" w:cstheme="minorEastAsia"/>
          <w:snapToGrid w:val="0"/>
          <w:color w:val="auto"/>
          <w:kern w:val="0"/>
          <w:sz w:val="24"/>
          <w:szCs w:val="24"/>
          <w:highlight w:val="none"/>
        </w:rPr>
      </w:pPr>
      <w:r>
        <w:rPr>
          <w:rFonts w:hint="eastAsia" w:asciiTheme="minorEastAsia" w:hAnsiTheme="minorEastAsia" w:eastAsiaTheme="minorEastAsia" w:cstheme="minorEastAsia"/>
          <w:snapToGrid w:val="0"/>
          <w:color w:val="auto"/>
          <w:kern w:val="0"/>
          <w:sz w:val="24"/>
          <w:szCs w:val="24"/>
          <w:highlight w:val="none"/>
        </w:rPr>
        <w:t>项目设计负责人：（签字）</w:t>
      </w:r>
    </w:p>
    <w:p w14:paraId="4991C27E">
      <w:pPr>
        <w:pStyle w:val="50"/>
        <w:wordWrap w:val="0"/>
        <w:adjustRightInd w:val="0"/>
        <w:snapToGrid w:val="0"/>
        <w:spacing w:line="440" w:lineRule="exact"/>
        <w:jc w:val="right"/>
        <w:rPr>
          <w:rFonts w:asciiTheme="minorEastAsia" w:hAnsiTheme="minorEastAsia" w:eastAsiaTheme="minorEastAsia" w:cstheme="minorEastAsia"/>
          <w:snapToGrid w:val="0"/>
          <w:color w:val="auto"/>
          <w:kern w:val="0"/>
          <w:sz w:val="24"/>
          <w:szCs w:val="24"/>
          <w:highlight w:val="none"/>
        </w:rPr>
      </w:pPr>
    </w:p>
    <w:p w14:paraId="6EF3AB49">
      <w:pPr>
        <w:pStyle w:val="50"/>
        <w:wordWrap w:val="0"/>
        <w:adjustRightInd w:val="0"/>
        <w:snapToGrid w:val="0"/>
        <w:spacing w:line="440" w:lineRule="exact"/>
        <w:jc w:val="center"/>
        <w:rPr>
          <w:rFonts w:hint="eastAsia" w:asciiTheme="minorEastAsia" w:hAnsiTheme="minorEastAsia" w:eastAsiaTheme="minorEastAsia" w:cstheme="minorEastAsia"/>
          <w:snapToGrid w:val="0"/>
          <w:color w:val="auto"/>
          <w:kern w:val="0"/>
          <w:sz w:val="24"/>
          <w:szCs w:val="24"/>
          <w:highlight w:val="none"/>
          <w:lang w:eastAsia="zh-CN"/>
        </w:rPr>
      </w:pPr>
      <w:r>
        <w:rPr>
          <w:rFonts w:hint="eastAsia" w:asciiTheme="minorEastAsia" w:hAnsiTheme="minorEastAsia" w:eastAsiaTheme="minorEastAsia" w:cstheme="minorEastAsia"/>
          <w:snapToGrid w:val="0"/>
          <w:color w:val="auto"/>
          <w:kern w:val="0"/>
          <w:sz w:val="24"/>
          <w:szCs w:val="24"/>
          <w:highlight w:val="none"/>
          <w:lang w:val="en-US" w:eastAsia="zh-CN"/>
        </w:rPr>
        <w:t xml:space="preserve">                                             </w:t>
      </w:r>
      <w:r>
        <w:rPr>
          <w:rFonts w:hint="eastAsia" w:asciiTheme="minorEastAsia" w:hAnsiTheme="minorEastAsia" w:eastAsiaTheme="minorEastAsia" w:cstheme="minorEastAsia"/>
          <w:snapToGrid w:val="0"/>
          <w:color w:val="auto"/>
          <w:kern w:val="0"/>
          <w:sz w:val="24"/>
          <w:szCs w:val="24"/>
          <w:highlight w:val="none"/>
          <w:lang w:eastAsia="zh-CN"/>
        </w:rPr>
        <w:t xml:space="preserve"> 年   月  日</w:t>
      </w:r>
    </w:p>
    <w:p w14:paraId="3A127992">
      <w:pPr>
        <w:wordWrap w:val="0"/>
        <w:adjustRightInd w:val="0"/>
        <w:snapToGrid w:val="0"/>
        <w:spacing w:line="400" w:lineRule="exact"/>
        <w:ind w:firstLine="570"/>
        <w:rPr>
          <w:rFonts w:hint="default" w:asciiTheme="minorEastAsia" w:hAnsiTheme="minorEastAsia" w:eastAsiaTheme="minorEastAsia" w:cstheme="minorEastAsia"/>
          <w:snapToGrid w:val="0"/>
          <w:color w:val="auto"/>
          <w:kern w:val="0"/>
          <w:szCs w:val="24"/>
          <w:highlight w:val="none"/>
        </w:rPr>
      </w:pPr>
    </w:p>
    <w:p w14:paraId="2EF9F944">
      <w:pPr>
        <w:wordWrap w:val="0"/>
        <w:adjustRightInd w:val="0"/>
        <w:snapToGrid w:val="0"/>
        <w:spacing w:line="400" w:lineRule="exact"/>
        <w:ind w:firstLine="570"/>
        <w:rPr>
          <w:rFonts w:hint="default" w:asciiTheme="minorEastAsia" w:hAnsiTheme="minorEastAsia" w:eastAsiaTheme="minorEastAsia" w:cstheme="minorEastAsia"/>
          <w:snapToGrid w:val="0"/>
          <w:color w:val="auto"/>
          <w:kern w:val="0"/>
          <w:szCs w:val="24"/>
          <w:highlight w:val="none"/>
        </w:rPr>
      </w:pPr>
    </w:p>
    <w:p w14:paraId="3A342C2E">
      <w:pPr>
        <w:wordWrap w:val="0"/>
        <w:adjustRightInd w:val="0"/>
        <w:snapToGrid w:val="0"/>
        <w:spacing w:line="400" w:lineRule="exact"/>
        <w:rPr>
          <w:rFonts w:hint="default" w:asciiTheme="minorEastAsia" w:hAnsiTheme="minorEastAsia" w:eastAsiaTheme="minorEastAsia" w:cstheme="minorEastAsia"/>
          <w:snapToGrid w:val="0"/>
          <w:color w:val="auto"/>
          <w:kern w:val="0"/>
          <w:szCs w:val="24"/>
          <w:highlight w:val="none"/>
        </w:rPr>
      </w:pPr>
      <w:r>
        <w:rPr>
          <w:rFonts w:asciiTheme="minorEastAsia" w:hAnsiTheme="minorEastAsia" w:eastAsiaTheme="minorEastAsia" w:cstheme="minorEastAsia"/>
          <w:snapToGrid w:val="0"/>
          <w:color w:val="auto"/>
          <w:kern w:val="0"/>
          <w:szCs w:val="24"/>
          <w:highlight w:val="none"/>
        </w:rPr>
        <w:t xml:space="preserve">    说明：《项目设计负责人简历表》后应附拟派项目设计负责人以下资料：</w:t>
      </w:r>
    </w:p>
    <w:p w14:paraId="232D6D91">
      <w:pPr>
        <w:wordWrap w:val="0"/>
        <w:adjustRightInd w:val="0"/>
        <w:snapToGrid w:val="0"/>
        <w:spacing w:line="400" w:lineRule="exact"/>
        <w:rPr>
          <w:rFonts w:hint="default" w:asciiTheme="minorEastAsia" w:hAnsiTheme="minorEastAsia" w:eastAsiaTheme="minorEastAsia" w:cstheme="minorEastAsia"/>
          <w:snapToGrid w:val="0"/>
          <w:color w:val="auto"/>
          <w:kern w:val="0"/>
          <w:szCs w:val="24"/>
          <w:highlight w:val="none"/>
        </w:rPr>
      </w:pPr>
      <w:r>
        <w:rPr>
          <w:rFonts w:asciiTheme="minorEastAsia" w:hAnsiTheme="minorEastAsia" w:eastAsiaTheme="minorEastAsia" w:cstheme="minorEastAsia"/>
          <w:snapToGrid w:val="0"/>
          <w:color w:val="auto"/>
          <w:kern w:val="0"/>
          <w:szCs w:val="24"/>
          <w:highlight w:val="none"/>
        </w:rPr>
        <w:t xml:space="preserve">    </w:t>
      </w:r>
      <w:r>
        <w:rPr>
          <w:rFonts w:hint="eastAsia" w:asciiTheme="minorEastAsia" w:hAnsiTheme="minorEastAsia" w:eastAsiaTheme="minorEastAsia" w:cstheme="minorEastAsia"/>
          <w:snapToGrid w:val="0"/>
          <w:color w:val="auto"/>
          <w:kern w:val="0"/>
          <w:szCs w:val="24"/>
          <w:highlight w:val="none"/>
          <w:lang w:eastAsia="zh-CN"/>
        </w:rPr>
        <w:t>1.</w:t>
      </w:r>
      <w:r>
        <w:rPr>
          <w:rFonts w:asciiTheme="minorEastAsia" w:hAnsiTheme="minorEastAsia" w:eastAsiaTheme="minorEastAsia" w:cstheme="minorEastAsia"/>
          <w:snapToGrid w:val="0"/>
          <w:color w:val="auto"/>
          <w:kern w:val="0"/>
          <w:szCs w:val="24"/>
          <w:highlight w:val="none"/>
        </w:rPr>
        <w:t>身份证彩色扫描件；</w:t>
      </w:r>
    </w:p>
    <w:p w14:paraId="5B8489D1">
      <w:pPr>
        <w:wordWrap w:val="0"/>
        <w:adjustRightInd w:val="0"/>
        <w:snapToGrid w:val="0"/>
        <w:spacing w:line="400" w:lineRule="exact"/>
        <w:rPr>
          <w:rFonts w:hint="default" w:asciiTheme="minorEastAsia" w:hAnsiTheme="minorEastAsia" w:eastAsiaTheme="minorEastAsia" w:cstheme="minorEastAsia"/>
          <w:snapToGrid w:val="0"/>
          <w:color w:val="auto"/>
          <w:kern w:val="0"/>
          <w:szCs w:val="24"/>
          <w:highlight w:val="none"/>
        </w:rPr>
      </w:pPr>
      <w:r>
        <w:rPr>
          <w:rFonts w:asciiTheme="minorEastAsia" w:hAnsiTheme="minorEastAsia" w:eastAsiaTheme="minorEastAsia" w:cstheme="minorEastAsia"/>
          <w:snapToGrid w:val="0"/>
          <w:color w:val="auto"/>
          <w:kern w:val="0"/>
          <w:szCs w:val="24"/>
          <w:highlight w:val="none"/>
        </w:rPr>
        <w:t xml:space="preserve">    </w:t>
      </w:r>
      <w:r>
        <w:rPr>
          <w:rFonts w:hint="eastAsia" w:asciiTheme="minorEastAsia" w:hAnsiTheme="minorEastAsia" w:eastAsiaTheme="minorEastAsia" w:cstheme="minorEastAsia"/>
          <w:snapToGrid w:val="0"/>
          <w:color w:val="auto"/>
          <w:kern w:val="0"/>
          <w:szCs w:val="24"/>
          <w:highlight w:val="none"/>
          <w:lang w:eastAsia="zh-CN"/>
        </w:rPr>
        <w:t>2.注册证书</w:t>
      </w:r>
      <w:r>
        <w:rPr>
          <w:rFonts w:asciiTheme="minorEastAsia" w:hAnsiTheme="minorEastAsia" w:eastAsiaTheme="minorEastAsia" w:cstheme="minorEastAsia"/>
          <w:snapToGrid w:val="0"/>
          <w:color w:val="auto"/>
          <w:kern w:val="0"/>
          <w:szCs w:val="24"/>
          <w:highlight w:val="none"/>
        </w:rPr>
        <w:t>彩色扫描件；</w:t>
      </w:r>
    </w:p>
    <w:p w14:paraId="1AE002D4">
      <w:pPr>
        <w:wordWrap w:val="0"/>
        <w:adjustRightInd w:val="0"/>
        <w:snapToGrid w:val="0"/>
        <w:spacing w:line="400" w:lineRule="exact"/>
        <w:ind w:firstLine="480" w:firstLineChars="200"/>
        <w:rPr>
          <w:rFonts w:hint="default" w:asciiTheme="minorEastAsia" w:hAnsiTheme="minorEastAsia" w:eastAsiaTheme="minorEastAsia" w:cstheme="minorEastAsia"/>
          <w:color w:val="auto"/>
          <w:szCs w:val="24"/>
          <w:highlight w:val="none"/>
        </w:rPr>
      </w:pPr>
      <w:r>
        <w:rPr>
          <w:rFonts w:hint="eastAsia" w:asciiTheme="minorEastAsia" w:hAnsiTheme="minorEastAsia" w:eastAsiaTheme="minorEastAsia" w:cstheme="minorEastAsia"/>
          <w:snapToGrid w:val="0"/>
          <w:color w:val="auto"/>
          <w:kern w:val="0"/>
          <w:szCs w:val="24"/>
          <w:highlight w:val="none"/>
          <w:lang w:eastAsia="zh-CN"/>
        </w:rPr>
        <w:t>3.</w:t>
      </w:r>
      <w:r>
        <w:rPr>
          <w:rFonts w:hint="eastAsia" w:asciiTheme="minorEastAsia" w:hAnsiTheme="minorEastAsia" w:eastAsiaTheme="minorEastAsia" w:cstheme="minorEastAsia"/>
          <w:snapToGrid w:val="0"/>
          <w:color w:val="auto"/>
          <w:kern w:val="0"/>
          <w:szCs w:val="24"/>
          <w:highlight w:val="none"/>
        </w:rPr>
        <w:t>在本单位缴纳社保的证明（至少</w:t>
      </w:r>
      <w:r>
        <w:rPr>
          <w:rFonts w:hint="eastAsia" w:asciiTheme="minorEastAsia" w:hAnsiTheme="minorEastAsia" w:eastAsiaTheme="minorEastAsia" w:cstheme="minorEastAsia"/>
          <w:snapToGrid w:val="0"/>
          <w:color w:val="auto"/>
          <w:kern w:val="0"/>
          <w:szCs w:val="24"/>
          <w:highlight w:val="none"/>
          <w:lang w:val="en-US" w:eastAsia="zh-CN"/>
        </w:rPr>
        <w:t>3</w:t>
      </w:r>
      <w:r>
        <w:rPr>
          <w:rFonts w:hint="eastAsia" w:asciiTheme="minorEastAsia" w:hAnsiTheme="minorEastAsia" w:eastAsiaTheme="minorEastAsia" w:cstheme="minorEastAsia"/>
          <w:snapToGrid w:val="0"/>
          <w:color w:val="auto"/>
          <w:kern w:val="0"/>
          <w:szCs w:val="24"/>
          <w:highlight w:val="none"/>
        </w:rPr>
        <w:t>个月，其中</w:t>
      </w:r>
      <w:r>
        <w:rPr>
          <w:rFonts w:hint="eastAsia" w:asciiTheme="minorEastAsia" w:hAnsiTheme="minorEastAsia" w:eastAsiaTheme="minorEastAsia" w:cstheme="minorEastAsia"/>
          <w:snapToGrid w:val="0"/>
          <w:color w:val="auto"/>
          <w:kern w:val="0"/>
          <w:szCs w:val="24"/>
          <w:highlight w:val="none"/>
          <w:lang w:eastAsia="zh-CN"/>
        </w:rPr>
        <w:t>必须有202</w:t>
      </w:r>
      <w:r>
        <w:rPr>
          <w:rFonts w:hint="eastAsia" w:asciiTheme="minorEastAsia" w:hAnsiTheme="minorEastAsia" w:eastAsiaTheme="minorEastAsia" w:cstheme="minorEastAsia"/>
          <w:snapToGrid w:val="0"/>
          <w:color w:val="auto"/>
          <w:kern w:val="0"/>
          <w:szCs w:val="24"/>
          <w:highlight w:val="none"/>
          <w:lang w:val="en-US" w:eastAsia="zh-CN"/>
        </w:rPr>
        <w:t>6</w:t>
      </w:r>
      <w:r>
        <w:rPr>
          <w:rFonts w:hint="eastAsia" w:asciiTheme="minorEastAsia" w:hAnsiTheme="minorEastAsia" w:eastAsiaTheme="minorEastAsia" w:cstheme="minorEastAsia"/>
          <w:snapToGrid w:val="0"/>
          <w:color w:val="auto"/>
          <w:kern w:val="0"/>
          <w:szCs w:val="24"/>
          <w:highlight w:val="none"/>
          <w:lang w:eastAsia="zh-CN"/>
        </w:rPr>
        <w:t>年</w:t>
      </w:r>
      <w:r>
        <w:rPr>
          <w:rFonts w:hint="eastAsia" w:asciiTheme="minorEastAsia" w:hAnsiTheme="minorEastAsia" w:eastAsiaTheme="minorEastAsia" w:cstheme="minorEastAsia"/>
          <w:snapToGrid w:val="0"/>
          <w:color w:val="auto"/>
          <w:kern w:val="0"/>
          <w:szCs w:val="24"/>
          <w:highlight w:val="none"/>
          <w:lang w:val="en-US" w:eastAsia="zh-CN"/>
        </w:rPr>
        <w:t>8</w:t>
      </w:r>
      <w:r>
        <w:rPr>
          <w:rFonts w:hint="eastAsia" w:asciiTheme="minorEastAsia" w:hAnsiTheme="minorEastAsia" w:eastAsiaTheme="minorEastAsia" w:cstheme="minorEastAsia"/>
          <w:snapToGrid w:val="0"/>
          <w:color w:val="auto"/>
          <w:kern w:val="0"/>
          <w:szCs w:val="24"/>
          <w:highlight w:val="none"/>
          <w:lang w:eastAsia="zh-CN"/>
        </w:rPr>
        <w:t>月</w:t>
      </w:r>
      <w:r>
        <w:rPr>
          <w:rFonts w:hint="eastAsia" w:asciiTheme="minorEastAsia" w:hAnsiTheme="minorEastAsia" w:eastAsiaTheme="minorEastAsia" w:cstheme="minorEastAsia"/>
          <w:snapToGrid w:val="0"/>
          <w:color w:val="auto"/>
          <w:kern w:val="0"/>
          <w:szCs w:val="24"/>
          <w:highlight w:val="none"/>
        </w:rPr>
        <w:t>）</w:t>
      </w:r>
      <w:r>
        <w:rPr>
          <w:rFonts w:hint="eastAsia" w:asciiTheme="minorEastAsia" w:hAnsiTheme="minorEastAsia" w:eastAsiaTheme="minorEastAsia" w:cstheme="minorEastAsia"/>
          <w:snapToGrid w:val="0"/>
          <w:color w:val="auto"/>
          <w:kern w:val="0"/>
          <w:szCs w:val="24"/>
          <w:highlight w:val="none"/>
          <w:lang w:val="en-US" w:eastAsia="zh-CN"/>
        </w:rPr>
        <w:t>扫描</w:t>
      </w:r>
      <w:r>
        <w:rPr>
          <w:rFonts w:hint="eastAsia" w:asciiTheme="minorEastAsia" w:hAnsiTheme="minorEastAsia" w:eastAsiaTheme="minorEastAsia" w:cstheme="minorEastAsia"/>
          <w:snapToGrid w:val="0"/>
          <w:color w:val="auto"/>
          <w:kern w:val="0"/>
          <w:szCs w:val="24"/>
          <w:highlight w:val="none"/>
        </w:rPr>
        <w:t>件；拟派设计负责人为</w:t>
      </w:r>
      <w:r>
        <w:rPr>
          <w:rFonts w:hint="eastAsia" w:hAnsi="宋体" w:eastAsia="宋体" w:cs="宋体"/>
          <w:color w:val="auto"/>
          <w:sz w:val="24"/>
          <w:szCs w:val="24"/>
          <w:highlight w:val="none"/>
          <w:lang w:eastAsia="zh-CN"/>
        </w:rPr>
        <w:t>退休人员需提供退休证和返聘合同（协议）彩色扫描件</w:t>
      </w:r>
      <w:r>
        <w:rPr>
          <w:rFonts w:asciiTheme="minorEastAsia" w:hAnsiTheme="minorEastAsia" w:eastAsiaTheme="minorEastAsia" w:cstheme="minorEastAsia"/>
          <w:snapToGrid w:val="0"/>
          <w:color w:val="auto"/>
          <w:kern w:val="0"/>
          <w:szCs w:val="24"/>
          <w:highlight w:val="none"/>
        </w:rPr>
        <w:t>。</w:t>
      </w:r>
      <w:bookmarkEnd w:id="585"/>
      <w:bookmarkEnd w:id="586"/>
      <w:bookmarkEnd w:id="587"/>
      <w:bookmarkEnd w:id="588"/>
      <w:bookmarkEnd w:id="589"/>
    </w:p>
    <w:p w14:paraId="0A142AD7">
      <w:pPr>
        <w:wordWrap w:val="0"/>
        <w:adjustRightInd w:val="0"/>
        <w:snapToGrid w:val="0"/>
        <w:spacing w:line="400" w:lineRule="exact"/>
        <w:ind w:firstLine="480" w:firstLineChars="200"/>
        <w:rPr>
          <w:rFonts w:hint="default" w:asciiTheme="minorEastAsia" w:hAnsiTheme="minorEastAsia" w:eastAsiaTheme="minorEastAsia" w:cstheme="minorEastAsia"/>
          <w:snapToGrid w:val="0"/>
          <w:color w:val="auto"/>
          <w:kern w:val="0"/>
          <w:szCs w:val="24"/>
          <w:highlight w:val="none"/>
        </w:rPr>
      </w:pPr>
      <w:r>
        <w:rPr>
          <w:rFonts w:hint="eastAsia" w:asciiTheme="minorEastAsia" w:hAnsiTheme="minorEastAsia" w:eastAsiaTheme="minorEastAsia" w:cstheme="minorEastAsia"/>
          <w:snapToGrid w:val="0"/>
          <w:color w:val="auto"/>
          <w:kern w:val="0"/>
          <w:szCs w:val="24"/>
          <w:highlight w:val="none"/>
          <w:lang w:eastAsia="zh-CN"/>
        </w:rPr>
        <w:t>4.</w:t>
      </w:r>
      <w:r>
        <w:rPr>
          <w:rFonts w:asciiTheme="minorEastAsia" w:hAnsiTheme="minorEastAsia" w:eastAsiaTheme="minorEastAsia" w:cstheme="minorEastAsia"/>
          <w:snapToGrid w:val="0"/>
          <w:color w:val="auto"/>
          <w:kern w:val="0"/>
          <w:szCs w:val="24"/>
          <w:highlight w:val="none"/>
        </w:rPr>
        <w:t>“进粤企业和人员诚信信息登记平台”个人信息情况截图。（适用于省外建筑企业）。</w:t>
      </w:r>
      <w:r>
        <w:rPr>
          <w:rFonts w:hint="eastAsia" w:asciiTheme="minorEastAsia" w:hAnsiTheme="minorEastAsia" w:eastAsiaTheme="minorEastAsia" w:cstheme="minorEastAsia"/>
          <w:snapToGrid w:val="0"/>
          <w:color w:val="auto"/>
          <w:kern w:val="0"/>
          <w:sz w:val="21"/>
          <w:szCs w:val="21"/>
          <w:highlight w:val="none"/>
          <w:u w:val="none"/>
          <w:lang w:val="zh-CN"/>
        </w:rPr>
        <w:t>（若组成联合体时，由</w:t>
      </w:r>
      <w:r>
        <w:rPr>
          <w:rFonts w:hint="eastAsia" w:asciiTheme="minorEastAsia" w:hAnsiTheme="minorEastAsia" w:eastAsiaTheme="minorEastAsia" w:cstheme="minorEastAsia"/>
          <w:snapToGrid w:val="0"/>
          <w:color w:val="auto"/>
          <w:kern w:val="0"/>
          <w:sz w:val="21"/>
          <w:szCs w:val="21"/>
          <w:highlight w:val="none"/>
          <w:u w:val="none"/>
          <w:lang w:val="en-US" w:eastAsia="zh-CN"/>
        </w:rPr>
        <w:t>设计单位</w:t>
      </w:r>
      <w:r>
        <w:rPr>
          <w:rFonts w:hint="eastAsia" w:asciiTheme="minorEastAsia" w:hAnsiTheme="minorEastAsia" w:eastAsiaTheme="minorEastAsia" w:cstheme="minorEastAsia"/>
          <w:snapToGrid w:val="0"/>
          <w:color w:val="auto"/>
          <w:kern w:val="0"/>
          <w:sz w:val="21"/>
          <w:szCs w:val="21"/>
          <w:highlight w:val="none"/>
          <w:u w:val="none"/>
          <w:lang w:val="zh-CN"/>
        </w:rPr>
        <w:t>提供）</w:t>
      </w:r>
    </w:p>
    <w:p w14:paraId="1E858B23">
      <w:pPr>
        <w:pStyle w:val="4"/>
        <w:spacing w:before="120"/>
        <w:rPr>
          <w:rFonts w:hint="default" w:asciiTheme="minorEastAsia" w:hAnsiTheme="minorEastAsia" w:eastAsiaTheme="minorEastAsia" w:cstheme="minorEastAsia"/>
          <w:bCs/>
          <w:snapToGrid w:val="0"/>
          <w:color w:val="auto"/>
          <w:szCs w:val="24"/>
          <w:highlight w:val="none"/>
        </w:rPr>
      </w:pPr>
      <w:r>
        <w:rPr>
          <w:rFonts w:asciiTheme="minorEastAsia" w:hAnsiTheme="minorEastAsia" w:eastAsiaTheme="minorEastAsia" w:cstheme="minorEastAsia"/>
          <w:bCs/>
          <w:color w:val="auto"/>
          <w:szCs w:val="24"/>
          <w:highlight w:val="none"/>
        </w:rPr>
        <w:br w:type="page"/>
      </w:r>
      <w:bookmarkStart w:id="597" w:name="_Toc10080"/>
      <w:bookmarkStart w:id="598" w:name="_Toc30731"/>
      <w:bookmarkStart w:id="599" w:name="_Toc8264"/>
      <w:r>
        <w:rPr>
          <w:rFonts w:asciiTheme="minorEastAsia" w:hAnsiTheme="minorEastAsia" w:eastAsiaTheme="minorEastAsia" w:cstheme="minorEastAsia"/>
          <w:b/>
          <w:snapToGrid w:val="0"/>
          <w:color w:val="auto"/>
          <w:szCs w:val="24"/>
          <w:highlight w:val="none"/>
        </w:rPr>
        <w:t>格式十二 项目管理机构组成表</w:t>
      </w:r>
      <w:bookmarkEnd w:id="597"/>
      <w:bookmarkEnd w:id="598"/>
    </w:p>
    <w:p w14:paraId="665ECDDE">
      <w:pPr>
        <w:wordWrap w:val="0"/>
        <w:adjustRightInd w:val="0"/>
        <w:snapToGrid w:val="0"/>
        <w:spacing w:before="260" w:after="260" w:line="440" w:lineRule="exact"/>
        <w:jc w:val="center"/>
        <w:rPr>
          <w:rFonts w:hint="default" w:asciiTheme="minorEastAsia" w:hAnsiTheme="minorEastAsia" w:eastAsiaTheme="minorEastAsia" w:cstheme="minorEastAsia"/>
          <w:b/>
          <w:snapToGrid w:val="0"/>
          <w:color w:val="auto"/>
          <w:kern w:val="0"/>
          <w:szCs w:val="24"/>
          <w:highlight w:val="none"/>
        </w:rPr>
      </w:pPr>
      <w:r>
        <w:rPr>
          <w:rFonts w:asciiTheme="minorEastAsia" w:hAnsiTheme="minorEastAsia" w:eastAsiaTheme="minorEastAsia" w:cstheme="minorEastAsia"/>
          <w:b/>
          <w:snapToGrid w:val="0"/>
          <w:color w:val="auto"/>
          <w:kern w:val="0"/>
          <w:szCs w:val="24"/>
          <w:highlight w:val="none"/>
        </w:rPr>
        <w:t>项目管理机构组成表</w:t>
      </w:r>
    </w:p>
    <w:tbl>
      <w:tblPr>
        <w:tblStyle w:val="23"/>
        <w:tblW w:w="8957" w:type="dxa"/>
        <w:tblInd w:w="0"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0" w:type="dxa"/>
          <w:bottom w:w="0" w:type="dxa"/>
          <w:right w:w="0" w:type="dxa"/>
        </w:tblCellMar>
      </w:tblPr>
      <w:tblGrid>
        <w:gridCol w:w="744"/>
        <w:gridCol w:w="1424"/>
        <w:gridCol w:w="1358"/>
        <w:gridCol w:w="902"/>
        <w:gridCol w:w="819"/>
        <w:gridCol w:w="1541"/>
        <w:gridCol w:w="2169"/>
      </w:tblGrid>
      <w:tr w14:paraId="3993DEE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610" w:hRule="atLeast"/>
        </w:trPr>
        <w:tc>
          <w:tcPr>
            <w:tcW w:w="744" w:type="dxa"/>
            <w:tcBorders>
              <w:top w:val="single" w:color="auto" w:sz="6" w:space="0"/>
              <w:left w:val="single" w:color="auto" w:sz="6" w:space="0"/>
              <w:bottom w:val="single" w:color="auto" w:sz="6" w:space="0"/>
              <w:right w:val="single" w:color="auto" w:sz="6" w:space="0"/>
            </w:tcBorders>
            <w:vAlign w:val="center"/>
          </w:tcPr>
          <w:p w14:paraId="7E4750CC">
            <w:pPr>
              <w:keepNext w:val="0"/>
              <w:keepLines w:val="0"/>
              <w:suppressLineNumbers w:val="0"/>
              <w:wordWrap w:val="0"/>
              <w:adjustRightInd w:val="0"/>
              <w:snapToGrid w:val="0"/>
              <w:spacing w:before="0" w:beforeAutospacing="0" w:after="0" w:afterAutospacing="0"/>
              <w:ind w:left="0" w:right="0"/>
              <w:jc w:val="center"/>
              <w:rPr>
                <w:rFonts w:hint="default" w:asciiTheme="minorEastAsia" w:hAnsiTheme="minorEastAsia" w:eastAsiaTheme="minorEastAsia" w:cstheme="minorEastAsia"/>
                <w:snapToGrid w:val="0"/>
                <w:color w:val="auto"/>
                <w:kern w:val="0"/>
                <w:szCs w:val="24"/>
                <w:highlight w:val="none"/>
              </w:rPr>
            </w:pPr>
            <w:r>
              <w:rPr>
                <w:rFonts w:asciiTheme="minorEastAsia" w:hAnsiTheme="minorEastAsia" w:eastAsiaTheme="minorEastAsia" w:cstheme="minorEastAsia"/>
                <w:snapToGrid w:val="0"/>
                <w:color w:val="auto"/>
                <w:kern w:val="0"/>
                <w:szCs w:val="24"/>
                <w:highlight w:val="none"/>
              </w:rPr>
              <w:t>序号</w:t>
            </w:r>
          </w:p>
        </w:tc>
        <w:tc>
          <w:tcPr>
            <w:tcW w:w="1424" w:type="dxa"/>
            <w:tcBorders>
              <w:top w:val="single" w:color="auto" w:sz="6" w:space="0"/>
              <w:left w:val="single" w:color="auto" w:sz="6" w:space="0"/>
              <w:bottom w:val="single" w:color="auto" w:sz="6" w:space="0"/>
              <w:right w:val="single" w:color="auto" w:sz="6" w:space="0"/>
            </w:tcBorders>
            <w:vAlign w:val="center"/>
          </w:tcPr>
          <w:p w14:paraId="49E47A49">
            <w:pPr>
              <w:keepNext w:val="0"/>
              <w:keepLines w:val="0"/>
              <w:suppressLineNumbers w:val="0"/>
              <w:wordWrap w:val="0"/>
              <w:adjustRightInd w:val="0"/>
              <w:snapToGrid w:val="0"/>
              <w:spacing w:before="0" w:beforeAutospacing="0" w:after="0" w:afterAutospacing="0"/>
              <w:ind w:left="0" w:right="0"/>
              <w:jc w:val="center"/>
              <w:rPr>
                <w:rFonts w:hint="default" w:asciiTheme="minorEastAsia" w:hAnsiTheme="minorEastAsia" w:eastAsiaTheme="minorEastAsia" w:cstheme="minorEastAsia"/>
                <w:snapToGrid w:val="0"/>
                <w:color w:val="auto"/>
                <w:kern w:val="0"/>
                <w:szCs w:val="24"/>
                <w:highlight w:val="none"/>
              </w:rPr>
            </w:pPr>
            <w:r>
              <w:rPr>
                <w:rFonts w:asciiTheme="minorEastAsia" w:hAnsiTheme="minorEastAsia" w:eastAsiaTheme="minorEastAsia" w:cstheme="minorEastAsia"/>
                <w:snapToGrid w:val="0"/>
                <w:color w:val="auto"/>
                <w:kern w:val="0"/>
                <w:szCs w:val="24"/>
                <w:highlight w:val="none"/>
              </w:rPr>
              <w:t>职务</w:t>
            </w:r>
          </w:p>
        </w:tc>
        <w:tc>
          <w:tcPr>
            <w:tcW w:w="1358" w:type="dxa"/>
            <w:tcBorders>
              <w:top w:val="single" w:color="auto" w:sz="6" w:space="0"/>
              <w:left w:val="single" w:color="auto" w:sz="6" w:space="0"/>
              <w:bottom w:val="single" w:color="auto" w:sz="6" w:space="0"/>
              <w:right w:val="single" w:color="auto" w:sz="6" w:space="0"/>
            </w:tcBorders>
            <w:vAlign w:val="center"/>
          </w:tcPr>
          <w:p w14:paraId="07BBE5E8">
            <w:pPr>
              <w:keepNext w:val="0"/>
              <w:keepLines w:val="0"/>
              <w:suppressLineNumbers w:val="0"/>
              <w:wordWrap w:val="0"/>
              <w:adjustRightInd w:val="0"/>
              <w:snapToGrid w:val="0"/>
              <w:spacing w:before="0" w:beforeAutospacing="0" w:after="0" w:afterAutospacing="0"/>
              <w:ind w:left="0" w:right="0"/>
              <w:jc w:val="center"/>
              <w:rPr>
                <w:rFonts w:hint="default" w:asciiTheme="minorEastAsia" w:hAnsiTheme="minorEastAsia" w:eastAsiaTheme="minorEastAsia" w:cstheme="minorEastAsia"/>
                <w:snapToGrid w:val="0"/>
                <w:color w:val="auto"/>
                <w:kern w:val="0"/>
                <w:szCs w:val="24"/>
                <w:highlight w:val="none"/>
              </w:rPr>
            </w:pPr>
            <w:r>
              <w:rPr>
                <w:rFonts w:asciiTheme="minorEastAsia" w:hAnsiTheme="minorEastAsia" w:eastAsiaTheme="minorEastAsia" w:cstheme="minorEastAsia"/>
                <w:snapToGrid w:val="0"/>
                <w:color w:val="auto"/>
                <w:kern w:val="0"/>
                <w:szCs w:val="24"/>
                <w:highlight w:val="none"/>
              </w:rPr>
              <w:t>姓名</w:t>
            </w:r>
          </w:p>
        </w:tc>
        <w:tc>
          <w:tcPr>
            <w:tcW w:w="902" w:type="dxa"/>
            <w:tcBorders>
              <w:top w:val="single" w:color="auto" w:sz="6" w:space="0"/>
              <w:left w:val="single" w:color="auto" w:sz="6" w:space="0"/>
              <w:bottom w:val="single" w:color="auto" w:sz="6" w:space="0"/>
              <w:right w:val="single" w:color="auto" w:sz="6" w:space="0"/>
            </w:tcBorders>
            <w:vAlign w:val="center"/>
          </w:tcPr>
          <w:p w14:paraId="094BFDF9">
            <w:pPr>
              <w:keepNext w:val="0"/>
              <w:keepLines w:val="0"/>
              <w:suppressLineNumbers w:val="0"/>
              <w:wordWrap w:val="0"/>
              <w:adjustRightInd w:val="0"/>
              <w:snapToGrid w:val="0"/>
              <w:spacing w:before="0" w:beforeAutospacing="0" w:after="0" w:afterAutospacing="0"/>
              <w:ind w:left="0" w:right="0"/>
              <w:jc w:val="center"/>
              <w:rPr>
                <w:rFonts w:hint="default" w:asciiTheme="minorEastAsia" w:hAnsiTheme="minorEastAsia" w:eastAsiaTheme="minorEastAsia" w:cstheme="minorEastAsia"/>
                <w:snapToGrid w:val="0"/>
                <w:color w:val="auto"/>
                <w:kern w:val="0"/>
                <w:szCs w:val="24"/>
                <w:highlight w:val="none"/>
              </w:rPr>
            </w:pPr>
            <w:r>
              <w:rPr>
                <w:rFonts w:asciiTheme="minorEastAsia" w:hAnsiTheme="minorEastAsia" w:eastAsiaTheme="minorEastAsia" w:cstheme="minorEastAsia"/>
                <w:snapToGrid w:val="0"/>
                <w:color w:val="auto"/>
                <w:kern w:val="0"/>
                <w:szCs w:val="24"/>
                <w:highlight w:val="none"/>
              </w:rPr>
              <w:t>性别</w:t>
            </w:r>
          </w:p>
        </w:tc>
        <w:tc>
          <w:tcPr>
            <w:tcW w:w="819" w:type="dxa"/>
            <w:tcBorders>
              <w:top w:val="single" w:color="auto" w:sz="6" w:space="0"/>
              <w:left w:val="single" w:color="auto" w:sz="6" w:space="0"/>
              <w:bottom w:val="single" w:color="auto" w:sz="6" w:space="0"/>
              <w:right w:val="single" w:color="auto" w:sz="6" w:space="0"/>
            </w:tcBorders>
            <w:vAlign w:val="center"/>
          </w:tcPr>
          <w:p w14:paraId="0AF5E937">
            <w:pPr>
              <w:keepNext w:val="0"/>
              <w:keepLines w:val="0"/>
              <w:suppressLineNumbers w:val="0"/>
              <w:wordWrap w:val="0"/>
              <w:adjustRightInd w:val="0"/>
              <w:snapToGrid w:val="0"/>
              <w:spacing w:before="0" w:beforeAutospacing="0" w:after="0" w:afterAutospacing="0"/>
              <w:ind w:left="0" w:right="0"/>
              <w:jc w:val="center"/>
              <w:rPr>
                <w:rFonts w:hint="default" w:asciiTheme="minorEastAsia" w:hAnsiTheme="minorEastAsia" w:eastAsiaTheme="minorEastAsia" w:cstheme="minorEastAsia"/>
                <w:snapToGrid w:val="0"/>
                <w:color w:val="auto"/>
                <w:kern w:val="0"/>
                <w:szCs w:val="24"/>
                <w:highlight w:val="none"/>
              </w:rPr>
            </w:pPr>
            <w:r>
              <w:rPr>
                <w:rFonts w:asciiTheme="minorEastAsia" w:hAnsiTheme="minorEastAsia" w:eastAsiaTheme="minorEastAsia" w:cstheme="minorEastAsia"/>
                <w:snapToGrid w:val="0"/>
                <w:color w:val="auto"/>
                <w:kern w:val="0"/>
                <w:szCs w:val="24"/>
                <w:highlight w:val="none"/>
              </w:rPr>
              <w:t>年龄</w:t>
            </w:r>
          </w:p>
        </w:tc>
        <w:tc>
          <w:tcPr>
            <w:tcW w:w="1541" w:type="dxa"/>
            <w:tcBorders>
              <w:top w:val="single" w:color="auto" w:sz="6" w:space="0"/>
              <w:left w:val="single" w:color="auto" w:sz="6" w:space="0"/>
              <w:bottom w:val="single" w:color="auto" w:sz="6" w:space="0"/>
              <w:right w:val="single" w:color="auto" w:sz="6" w:space="0"/>
            </w:tcBorders>
            <w:vAlign w:val="center"/>
          </w:tcPr>
          <w:p w14:paraId="2556DB34">
            <w:pPr>
              <w:keepNext w:val="0"/>
              <w:keepLines w:val="0"/>
              <w:suppressLineNumbers w:val="0"/>
              <w:wordWrap w:val="0"/>
              <w:adjustRightInd w:val="0"/>
              <w:snapToGrid w:val="0"/>
              <w:spacing w:before="0" w:beforeAutospacing="0" w:after="0" w:afterAutospacing="0"/>
              <w:ind w:left="0" w:right="0"/>
              <w:jc w:val="center"/>
              <w:rPr>
                <w:rFonts w:hint="default" w:asciiTheme="minorEastAsia" w:hAnsiTheme="minorEastAsia" w:eastAsiaTheme="minorEastAsia" w:cstheme="minorEastAsia"/>
                <w:snapToGrid w:val="0"/>
                <w:color w:val="auto"/>
                <w:kern w:val="0"/>
                <w:szCs w:val="24"/>
                <w:highlight w:val="none"/>
              </w:rPr>
            </w:pPr>
            <w:r>
              <w:rPr>
                <w:rFonts w:asciiTheme="minorEastAsia" w:hAnsiTheme="minorEastAsia" w:eastAsiaTheme="minorEastAsia" w:cstheme="minorEastAsia"/>
                <w:snapToGrid w:val="0"/>
                <w:color w:val="auto"/>
                <w:kern w:val="0"/>
                <w:szCs w:val="24"/>
                <w:highlight w:val="none"/>
              </w:rPr>
              <w:t>职称</w:t>
            </w:r>
          </w:p>
        </w:tc>
        <w:tc>
          <w:tcPr>
            <w:tcW w:w="2169" w:type="dxa"/>
            <w:tcBorders>
              <w:top w:val="single" w:color="auto" w:sz="6" w:space="0"/>
              <w:left w:val="single" w:color="auto" w:sz="6" w:space="0"/>
              <w:bottom w:val="single" w:color="auto" w:sz="6" w:space="0"/>
              <w:right w:val="single" w:color="auto" w:sz="6" w:space="0"/>
            </w:tcBorders>
            <w:vAlign w:val="center"/>
          </w:tcPr>
          <w:p w14:paraId="1081B7E8">
            <w:pPr>
              <w:keepNext w:val="0"/>
              <w:keepLines w:val="0"/>
              <w:suppressLineNumbers w:val="0"/>
              <w:wordWrap w:val="0"/>
              <w:adjustRightInd w:val="0"/>
              <w:snapToGrid w:val="0"/>
              <w:spacing w:before="0" w:beforeAutospacing="0" w:after="0" w:afterAutospacing="0"/>
              <w:ind w:left="0" w:right="0"/>
              <w:jc w:val="center"/>
              <w:rPr>
                <w:rFonts w:hint="default" w:asciiTheme="minorEastAsia" w:hAnsiTheme="minorEastAsia" w:eastAsiaTheme="minorEastAsia" w:cstheme="minorEastAsia"/>
                <w:snapToGrid w:val="0"/>
                <w:color w:val="auto"/>
                <w:kern w:val="0"/>
                <w:szCs w:val="24"/>
                <w:highlight w:val="none"/>
              </w:rPr>
            </w:pPr>
            <w:r>
              <w:rPr>
                <w:rFonts w:asciiTheme="minorEastAsia" w:hAnsiTheme="minorEastAsia" w:eastAsiaTheme="minorEastAsia" w:cstheme="minorEastAsia"/>
                <w:snapToGrid w:val="0"/>
                <w:color w:val="auto"/>
                <w:kern w:val="0"/>
                <w:szCs w:val="24"/>
                <w:highlight w:val="none"/>
              </w:rPr>
              <w:t>备注</w:t>
            </w:r>
          </w:p>
        </w:tc>
      </w:tr>
      <w:tr w14:paraId="4A635FB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602" w:hRule="exact"/>
        </w:trPr>
        <w:tc>
          <w:tcPr>
            <w:tcW w:w="744" w:type="dxa"/>
            <w:tcBorders>
              <w:top w:val="single" w:color="auto" w:sz="6" w:space="0"/>
              <w:left w:val="single" w:color="auto" w:sz="6" w:space="0"/>
              <w:right w:val="single" w:color="auto" w:sz="6" w:space="0"/>
            </w:tcBorders>
            <w:vAlign w:val="center"/>
          </w:tcPr>
          <w:p w14:paraId="707C57A7">
            <w:pPr>
              <w:keepNext w:val="0"/>
              <w:keepLines w:val="0"/>
              <w:suppressLineNumbers w:val="0"/>
              <w:wordWrap w:val="0"/>
              <w:adjustRightInd w:val="0"/>
              <w:snapToGrid w:val="0"/>
              <w:spacing w:before="0" w:beforeAutospacing="0" w:after="0" w:afterAutospacing="0"/>
              <w:ind w:left="0" w:right="0"/>
              <w:jc w:val="center"/>
              <w:rPr>
                <w:rFonts w:hint="default" w:asciiTheme="minorEastAsia" w:hAnsiTheme="minorEastAsia" w:eastAsiaTheme="minorEastAsia" w:cstheme="minorEastAsia"/>
                <w:snapToGrid w:val="0"/>
                <w:color w:val="auto"/>
                <w:kern w:val="0"/>
                <w:szCs w:val="24"/>
                <w:highlight w:val="none"/>
              </w:rPr>
            </w:pPr>
            <w:r>
              <w:rPr>
                <w:rFonts w:asciiTheme="minorEastAsia" w:hAnsiTheme="minorEastAsia" w:eastAsiaTheme="minorEastAsia" w:cstheme="minorEastAsia"/>
                <w:snapToGrid w:val="0"/>
                <w:color w:val="auto"/>
                <w:kern w:val="0"/>
                <w:szCs w:val="24"/>
                <w:highlight w:val="none"/>
              </w:rPr>
              <w:t>1</w:t>
            </w:r>
          </w:p>
        </w:tc>
        <w:tc>
          <w:tcPr>
            <w:tcW w:w="1424" w:type="dxa"/>
            <w:tcBorders>
              <w:top w:val="single" w:color="auto" w:sz="6" w:space="0"/>
              <w:left w:val="single" w:color="auto" w:sz="6" w:space="0"/>
              <w:right w:val="single" w:color="auto" w:sz="6" w:space="0"/>
            </w:tcBorders>
            <w:vAlign w:val="center"/>
          </w:tcPr>
          <w:p w14:paraId="1FAEB637">
            <w:pPr>
              <w:keepNext w:val="0"/>
              <w:keepLines w:val="0"/>
              <w:suppressLineNumbers w:val="0"/>
              <w:wordWrap w:val="0"/>
              <w:adjustRightInd w:val="0"/>
              <w:snapToGrid w:val="0"/>
              <w:spacing w:before="0" w:beforeAutospacing="0" w:after="0" w:afterAutospacing="0"/>
              <w:ind w:left="0" w:right="0"/>
              <w:jc w:val="center"/>
              <w:rPr>
                <w:rFonts w:hint="default" w:asciiTheme="minorEastAsia" w:hAnsiTheme="minorEastAsia" w:eastAsiaTheme="minorEastAsia" w:cstheme="minorEastAsia"/>
                <w:snapToGrid w:val="0"/>
                <w:color w:val="auto"/>
                <w:kern w:val="0"/>
                <w:szCs w:val="24"/>
                <w:highlight w:val="none"/>
              </w:rPr>
            </w:pPr>
            <w:r>
              <w:rPr>
                <w:rFonts w:asciiTheme="minorEastAsia" w:hAnsiTheme="minorEastAsia" w:eastAsiaTheme="minorEastAsia" w:cstheme="minorEastAsia"/>
                <w:snapToGrid w:val="0"/>
                <w:color w:val="auto"/>
                <w:kern w:val="0"/>
                <w:szCs w:val="24"/>
                <w:highlight w:val="none"/>
              </w:rPr>
              <w:t>项目经理</w:t>
            </w:r>
          </w:p>
        </w:tc>
        <w:tc>
          <w:tcPr>
            <w:tcW w:w="1358" w:type="dxa"/>
            <w:tcBorders>
              <w:top w:val="single" w:color="auto" w:sz="6" w:space="0"/>
              <w:left w:val="single" w:color="auto" w:sz="6" w:space="0"/>
              <w:bottom w:val="single" w:color="auto" w:sz="6" w:space="0"/>
              <w:right w:val="single" w:color="auto" w:sz="6" w:space="0"/>
            </w:tcBorders>
            <w:vAlign w:val="center"/>
          </w:tcPr>
          <w:p w14:paraId="22F6A81F">
            <w:pPr>
              <w:keepNext w:val="0"/>
              <w:keepLines w:val="0"/>
              <w:suppressLineNumbers w:val="0"/>
              <w:wordWrap w:val="0"/>
              <w:adjustRightInd w:val="0"/>
              <w:snapToGrid w:val="0"/>
              <w:spacing w:before="0" w:beforeAutospacing="0" w:after="0" w:afterAutospacing="0"/>
              <w:ind w:left="0" w:right="0"/>
              <w:jc w:val="center"/>
              <w:rPr>
                <w:rFonts w:hint="default" w:asciiTheme="minorEastAsia" w:hAnsiTheme="minorEastAsia" w:eastAsiaTheme="minorEastAsia" w:cstheme="minorEastAsia"/>
                <w:snapToGrid w:val="0"/>
                <w:color w:val="auto"/>
                <w:kern w:val="0"/>
                <w:szCs w:val="24"/>
                <w:highlight w:val="none"/>
              </w:rPr>
            </w:pPr>
          </w:p>
        </w:tc>
        <w:tc>
          <w:tcPr>
            <w:tcW w:w="902" w:type="dxa"/>
            <w:tcBorders>
              <w:top w:val="single" w:color="auto" w:sz="6" w:space="0"/>
              <w:left w:val="single" w:color="auto" w:sz="6" w:space="0"/>
              <w:bottom w:val="single" w:color="auto" w:sz="6" w:space="0"/>
              <w:right w:val="single" w:color="auto" w:sz="6" w:space="0"/>
            </w:tcBorders>
            <w:vAlign w:val="center"/>
          </w:tcPr>
          <w:p w14:paraId="619E5CAD">
            <w:pPr>
              <w:keepNext w:val="0"/>
              <w:keepLines w:val="0"/>
              <w:suppressLineNumbers w:val="0"/>
              <w:wordWrap w:val="0"/>
              <w:adjustRightInd w:val="0"/>
              <w:snapToGrid w:val="0"/>
              <w:spacing w:before="0" w:beforeAutospacing="0" w:after="0" w:afterAutospacing="0"/>
              <w:ind w:left="0" w:right="0"/>
              <w:jc w:val="center"/>
              <w:rPr>
                <w:rFonts w:hint="default" w:asciiTheme="minorEastAsia" w:hAnsiTheme="minorEastAsia" w:eastAsiaTheme="minorEastAsia" w:cstheme="minorEastAsia"/>
                <w:snapToGrid w:val="0"/>
                <w:color w:val="auto"/>
                <w:kern w:val="0"/>
                <w:szCs w:val="24"/>
                <w:highlight w:val="none"/>
              </w:rPr>
            </w:pPr>
          </w:p>
        </w:tc>
        <w:tc>
          <w:tcPr>
            <w:tcW w:w="819" w:type="dxa"/>
            <w:tcBorders>
              <w:top w:val="single" w:color="auto" w:sz="6" w:space="0"/>
              <w:left w:val="single" w:color="auto" w:sz="6" w:space="0"/>
              <w:bottom w:val="single" w:color="auto" w:sz="6" w:space="0"/>
              <w:right w:val="single" w:color="auto" w:sz="6" w:space="0"/>
            </w:tcBorders>
            <w:vAlign w:val="center"/>
          </w:tcPr>
          <w:p w14:paraId="3D2ECFA4">
            <w:pPr>
              <w:keepNext w:val="0"/>
              <w:keepLines w:val="0"/>
              <w:suppressLineNumbers w:val="0"/>
              <w:wordWrap w:val="0"/>
              <w:adjustRightInd w:val="0"/>
              <w:snapToGrid w:val="0"/>
              <w:spacing w:before="0" w:beforeAutospacing="0" w:after="0" w:afterAutospacing="0"/>
              <w:ind w:left="0" w:right="0"/>
              <w:jc w:val="center"/>
              <w:rPr>
                <w:rFonts w:hint="default" w:asciiTheme="minorEastAsia" w:hAnsiTheme="minorEastAsia" w:eastAsiaTheme="minorEastAsia" w:cstheme="minorEastAsia"/>
                <w:snapToGrid w:val="0"/>
                <w:color w:val="auto"/>
                <w:kern w:val="0"/>
                <w:szCs w:val="24"/>
                <w:highlight w:val="none"/>
              </w:rPr>
            </w:pPr>
          </w:p>
        </w:tc>
        <w:tc>
          <w:tcPr>
            <w:tcW w:w="1541" w:type="dxa"/>
            <w:tcBorders>
              <w:top w:val="single" w:color="auto" w:sz="6" w:space="0"/>
              <w:left w:val="single" w:color="auto" w:sz="6" w:space="0"/>
              <w:bottom w:val="single" w:color="auto" w:sz="6" w:space="0"/>
              <w:right w:val="single" w:color="auto" w:sz="6" w:space="0"/>
            </w:tcBorders>
            <w:vAlign w:val="center"/>
          </w:tcPr>
          <w:p w14:paraId="11C05981">
            <w:pPr>
              <w:keepNext w:val="0"/>
              <w:keepLines w:val="0"/>
              <w:suppressLineNumbers w:val="0"/>
              <w:wordWrap w:val="0"/>
              <w:adjustRightInd w:val="0"/>
              <w:snapToGrid w:val="0"/>
              <w:spacing w:before="0" w:beforeAutospacing="0" w:after="0" w:afterAutospacing="0"/>
              <w:ind w:left="0" w:right="0"/>
              <w:jc w:val="center"/>
              <w:rPr>
                <w:rFonts w:hint="default" w:asciiTheme="minorEastAsia" w:hAnsiTheme="minorEastAsia" w:eastAsiaTheme="minorEastAsia" w:cstheme="minorEastAsia"/>
                <w:snapToGrid w:val="0"/>
                <w:color w:val="auto"/>
                <w:kern w:val="0"/>
                <w:szCs w:val="24"/>
                <w:highlight w:val="none"/>
              </w:rPr>
            </w:pPr>
          </w:p>
        </w:tc>
        <w:tc>
          <w:tcPr>
            <w:tcW w:w="2169" w:type="dxa"/>
            <w:tcBorders>
              <w:top w:val="single" w:color="auto" w:sz="6" w:space="0"/>
              <w:left w:val="single" w:color="auto" w:sz="6" w:space="0"/>
              <w:bottom w:val="single" w:color="auto" w:sz="6" w:space="0"/>
              <w:right w:val="single" w:color="auto" w:sz="6" w:space="0"/>
            </w:tcBorders>
            <w:vAlign w:val="center"/>
          </w:tcPr>
          <w:p w14:paraId="6D76FC28">
            <w:pPr>
              <w:keepNext w:val="0"/>
              <w:keepLines w:val="0"/>
              <w:suppressLineNumbers w:val="0"/>
              <w:wordWrap w:val="0"/>
              <w:adjustRightInd w:val="0"/>
              <w:snapToGrid w:val="0"/>
              <w:spacing w:before="0" w:beforeAutospacing="0" w:after="0" w:afterAutospacing="0"/>
              <w:ind w:left="0" w:right="0"/>
              <w:jc w:val="center"/>
              <w:rPr>
                <w:rFonts w:hint="default" w:asciiTheme="minorEastAsia" w:hAnsiTheme="minorEastAsia" w:eastAsiaTheme="minorEastAsia" w:cstheme="minorEastAsia"/>
                <w:snapToGrid w:val="0"/>
                <w:color w:val="auto"/>
                <w:kern w:val="0"/>
                <w:szCs w:val="24"/>
                <w:highlight w:val="none"/>
              </w:rPr>
            </w:pPr>
          </w:p>
        </w:tc>
      </w:tr>
      <w:tr w14:paraId="6BC0547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673" w:hRule="exact"/>
        </w:trPr>
        <w:tc>
          <w:tcPr>
            <w:tcW w:w="744" w:type="dxa"/>
            <w:tcBorders>
              <w:top w:val="single" w:color="auto" w:sz="6" w:space="0"/>
              <w:left w:val="single" w:color="auto" w:sz="6" w:space="0"/>
              <w:right w:val="single" w:color="auto" w:sz="6" w:space="0"/>
            </w:tcBorders>
            <w:vAlign w:val="center"/>
          </w:tcPr>
          <w:p w14:paraId="6B597D36">
            <w:pPr>
              <w:keepNext w:val="0"/>
              <w:keepLines w:val="0"/>
              <w:suppressLineNumbers w:val="0"/>
              <w:wordWrap w:val="0"/>
              <w:adjustRightInd w:val="0"/>
              <w:snapToGrid w:val="0"/>
              <w:spacing w:before="0" w:beforeAutospacing="0" w:after="0" w:afterAutospacing="0"/>
              <w:ind w:left="0" w:right="0"/>
              <w:jc w:val="center"/>
              <w:rPr>
                <w:rFonts w:hint="default" w:asciiTheme="minorEastAsia" w:hAnsiTheme="minorEastAsia" w:eastAsiaTheme="minorEastAsia" w:cstheme="minorEastAsia"/>
                <w:snapToGrid w:val="0"/>
                <w:color w:val="auto"/>
                <w:kern w:val="0"/>
                <w:szCs w:val="24"/>
                <w:highlight w:val="none"/>
              </w:rPr>
            </w:pPr>
            <w:r>
              <w:rPr>
                <w:rFonts w:asciiTheme="minorEastAsia" w:hAnsiTheme="minorEastAsia" w:eastAsiaTheme="minorEastAsia" w:cstheme="minorEastAsia"/>
                <w:snapToGrid w:val="0"/>
                <w:color w:val="auto"/>
                <w:kern w:val="0"/>
                <w:szCs w:val="24"/>
                <w:highlight w:val="none"/>
              </w:rPr>
              <w:t>2</w:t>
            </w:r>
          </w:p>
        </w:tc>
        <w:tc>
          <w:tcPr>
            <w:tcW w:w="1424" w:type="dxa"/>
            <w:tcBorders>
              <w:top w:val="single" w:color="auto" w:sz="6" w:space="0"/>
              <w:left w:val="single" w:color="auto" w:sz="6" w:space="0"/>
              <w:right w:val="single" w:color="auto" w:sz="6" w:space="0"/>
            </w:tcBorders>
            <w:vAlign w:val="center"/>
          </w:tcPr>
          <w:p w14:paraId="741A0C98">
            <w:pPr>
              <w:keepNext w:val="0"/>
              <w:keepLines w:val="0"/>
              <w:suppressLineNumbers w:val="0"/>
              <w:wordWrap w:val="0"/>
              <w:adjustRightInd w:val="0"/>
              <w:snapToGrid w:val="0"/>
              <w:spacing w:before="0" w:beforeAutospacing="0" w:after="0" w:afterAutospacing="0"/>
              <w:ind w:left="0" w:right="0"/>
              <w:jc w:val="center"/>
              <w:rPr>
                <w:rFonts w:hint="default" w:asciiTheme="minorEastAsia" w:hAnsiTheme="minorEastAsia" w:eastAsiaTheme="minorEastAsia" w:cstheme="minorEastAsia"/>
                <w:snapToGrid w:val="0"/>
                <w:color w:val="auto"/>
                <w:kern w:val="0"/>
                <w:szCs w:val="24"/>
                <w:highlight w:val="none"/>
              </w:rPr>
            </w:pPr>
            <w:r>
              <w:rPr>
                <w:rFonts w:asciiTheme="minorEastAsia" w:hAnsiTheme="minorEastAsia" w:eastAsiaTheme="minorEastAsia" w:cstheme="minorEastAsia"/>
                <w:snapToGrid w:val="0"/>
                <w:color w:val="auto"/>
                <w:kern w:val="0"/>
                <w:szCs w:val="24"/>
                <w:highlight w:val="none"/>
              </w:rPr>
              <w:t>项目技术</w:t>
            </w:r>
          </w:p>
          <w:p w14:paraId="43F924A2">
            <w:pPr>
              <w:keepNext w:val="0"/>
              <w:keepLines w:val="0"/>
              <w:suppressLineNumbers w:val="0"/>
              <w:wordWrap w:val="0"/>
              <w:adjustRightInd w:val="0"/>
              <w:snapToGrid w:val="0"/>
              <w:spacing w:before="0" w:beforeAutospacing="0" w:after="0" w:afterAutospacing="0"/>
              <w:ind w:left="0" w:right="0"/>
              <w:jc w:val="center"/>
              <w:rPr>
                <w:rFonts w:hint="default" w:asciiTheme="minorEastAsia" w:hAnsiTheme="minorEastAsia" w:eastAsiaTheme="minorEastAsia" w:cstheme="minorEastAsia"/>
                <w:snapToGrid w:val="0"/>
                <w:color w:val="auto"/>
                <w:kern w:val="0"/>
                <w:szCs w:val="24"/>
                <w:highlight w:val="none"/>
              </w:rPr>
            </w:pPr>
            <w:r>
              <w:rPr>
                <w:rFonts w:asciiTheme="minorEastAsia" w:hAnsiTheme="minorEastAsia" w:eastAsiaTheme="minorEastAsia" w:cstheme="minorEastAsia"/>
                <w:snapToGrid w:val="0"/>
                <w:color w:val="auto"/>
                <w:kern w:val="0"/>
                <w:szCs w:val="24"/>
                <w:highlight w:val="none"/>
              </w:rPr>
              <w:t>负责人</w:t>
            </w:r>
          </w:p>
        </w:tc>
        <w:tc>
          <w:tcPr>
            <w:tcW w:w="1358" w:type="dxa"/>
            <w:tcBorders>
              <w:top w:val="single" w:color="auto" w:sz="6" w:space="0"/>
              <w:left w:val="single" w:color="auto" w:sz="6" w:space="0"/>
              <w:bottom w:val="single" w:color="auto" w:sz="6" w:space="0"/>
              <w:right w:val="single" w:color="auto" w:sz="6" w:space="0"/>
            </w:tcBorders>
            <w:vAlign w:val="center"/>
          </w:tcPr>
          <w:p w14:paraId="3BE50039">
            <w:pPr>
              <w:keepNext w:val="0"/>
              <w:keepLines w:val="0"/>
              <w:suppressLineNumbers w:val="0"/>
              <w:wordWrap w:val="0"/>
              <w:adjustRightInd w:val="0"/>
              <w:snapToGrid w:val="0"/>
              <w:spacing w:before="0" w:beforeAutospacing="0" w:after="0" w:afterAutospacing="0"/>
              <w:ind w:left="0" w:right="0"/>
              <w:jc w:val="center"/>
              <w:rPr>
                <w:rFonts w:hint="default" w:asciiTheme="minorEastAsia" w:hAnsiTheme="minorEastAsia" w:eastAsiaTheme="minorEastAsia" w:cstheme="minorEastAsia"/>
                <w:snapToGrid w:val="0"/>
                <w:color w:val="auto"/>
                <w:kern w:val="0"/>
                <w:szCs w:val="24"/>
                <w:highlight w:val="none"/>
              </w:rPr>
            </w:pPr>
          </w:p>
        </w:tc>
        <w:tc>
          <w:tcPr>
            <w:tcW w:w="902" w:type="dxa"/>
            <w:tcBorders>
              <w:top w:val="single" w:color="auto" w:sz="6" w:space="0"/>
              <w:left w:val="single" w:color="auto" w:sz="6" w:space="0"/>
              <w:bottom w:val="single" w:color="auto" w:sz="6" w:space="0"/>
              <w:right w:val="single" w:color="auto" w:sz="6" w:space="0"/>
            </w:tcBorders>
            <w:vAlign w:val="center"/>
          </w:tcPr>
          <w:p w14:paraId="21909BFA">
            <w:pPr>
              <w:keepNext w:val="0"/>
              <w:keepLines w:val="0"/>
              <w:suppressLineNumbers w:val="0"/>
              <w:wordWrap w:val="0"/>
              <w:adjustRightInd w:val="0"/>
              <w:snapToGrid w:val="0"/>
              <w:spacing w:before="0" w:beforeAutospacing="0" w:after="0" w:afterAutospacing="0"/>
              <w:ind w:left="0" w:right="0"/>
              <w:jc w:val="center"/>
              <w:rPr>
                <w:rFonts w:hint="default" w:asciiTheme="minorEastAsia" w:hAnsiTheme="minorEastAsia" w:eastAsiaTheme="minorEastAsia" w:cstheme="minorEastAsia"/>
                <w:snapToGrid w:val="0"/>
                <w:color w:val="auto"/>
                <w:kern w:val="0"/>
                <w:szCs w:val="24"/>
                <w:highlight w:val="none"/>
              </w:rPr>
            </w:pPr>
          </w:p>
        </w:tc>
        <w:tc>
          <w:tcPr>
            <w:tcW w:w="819" w:type="dxa"/>
            <w:tcBorders>
              <w:top w:val="single" w:color="auto" w:sz="6" w:space="0"/>
              <w:left w:val="single" w:color="auto" w:sz="6" w:space="0"/>
              <w:bottom w:val="single" w:color="auto" w:sz="6" w:space="0"/>
              <w:right w:val="single" w:color="auto" w:sz="6" w:space="0"/>
            </w:tcBorders>
            <w:vAlign w:val="center"/>
          </w:tcPr>
          <w:p w14:paraId="0BF74036">
            <w:pPr>
              <w:keepNext w:val="0"/>
              <w:keepLines w:val="0"/>
              <w:suppressLineNumbers w:val="0"/>
              <w:wordWrap w:val="0"/>
              <w:adjustRightInd w:val="0"/>
              <w:snapToGrid w:val="0"/>
              <w:spacing w:before="0" w:beforeAutospacing="0" w:after="0" w:afterAutospacing="0"/>
              <w:ind w:left="0" w:right="0"/>
              <w:jc w:val="center"/>
              <w:rPr>
                <w:rFonts w:hint="default" w:asciiTheme="minorEastAsia" w:hAnsiTheme="minorEastAsia" w:eastAsiaTheme="minorEastAsia" w:cstheme="minorEastAsia"/>
                <w:snapToGrid w:val="0"/>
                <w:color w:val="auto"/>
                <w:kern w:val="0"/>
                <w:szCs w:val="24"/>
                <w:highlight w:val="none"/>
              </w:rPr>
            </w:pPr>
          </w:p>
        </w:tc>
        <w:tc>
          <w:tcPr>
            <w:tcW w:w="1541" w:type="dxa"/>
            <w:tcBorders>
              <w:top w:val="single" w:color="auto" w:sz="6" w:space="0"/>
              <w:left w:val="single" w:color="auto" w:sz="6" w:space="0"/>
              <w:bottom w:val="single" w:color="auto" w:sz="6" w:space="0"/>
              <w:right w:val="single" w:color="auto" w:sz="6" w:space="0"/>
            </w:tcBorders>
            <w:vAlign w:val="center"/>
          </w:tcPr>
          <w:p w14:paraId="6C36C777">
            <w:pPr>
              <w:keepNext w:val="0"/>
              <w:keepLines w:val="0"/>
              <w:suppressLineNumbers w:val="0"/>
              <w:wordWrap w:val="0"/>
              <w:adjustRightInd w:val="0"/>
              <w:snapToGrid w:val="0"/>
              <w:spacing w:before="0" w:beforeAutospacing="0" w:after="0" w:afterAutospacing="0"/>
              <w:ind w:left="0" w:right="0"/>
              <w:jc w:val="center"/>
              <w:rPr>
                <w:rFonts w:hint="default" w:asciiTheme="minorEastAsia" w:hAnsiTheme="minorEastAsia" w:eastAsiaTheme="minorEastAsia" w:cstheme="minorEastAsia"/>
                <w:snapToGrid w:val="0"/>
                <w:color w:val="auto"/>
                <w:kern w:val="0"/>
                <w:szCs w:val="24"/>
                <w:highlight w:val="none"/>
              </w:rPr>
            </w:pPr>
          </w:p>
        </w:tc>
        <w:tc>
          <w:tcPr>
            <w:tcW w:w="2169" w:type="dxa"/>
            <w:tcBorders>
              <w:top w:val="single" w:color="auto" w:sz="6" w:space="0"/>
              <w:left w:val="single" w:color="auto" w:sz="6" w:space="0"/>
              <w:bottom w:val="single" w:color="auto" w:sz="6" w:space="0"/>
              <w:right w:val="single" w:color="auto" w:sz="6" w:space="0"/>
            </w:tcBorders>
            <w:vAlign w:val="center"/>
          </w:tcPr>
          <w:p w14:paraId="097576C4">
            <w:pPr>
              <w:keepNext w:val="0"/>
              <w:keepLines w:val="0"/>
              <w:suppressLineNumbers w:val="0"/>
              <w:wordWrap w:val="0"/>
              <w:adjustRightInd w:val="0"/>
              <w:snapToGrid w:val="0"/>
              <w:spacing w:before="0" w:beforeAutospacing="0" w:after="0" w:afterAutospacing="0"/>
              <w:ind w:left="0" w:right="0"/>
              <w:jc w:val="center"/>
              <w:rPr>
                <w:rFonts w:hint="default" w:asciiTheme="minorEastAsia" w:hAnsiTheme="minorEastAsia" w:eastAsiaTheme="minorEastAsia" w:cstheme="minorEastAsia"/>
                <w:snapToGrid w:val="0"/>
                <w:color w:val="auto"/>
                <w:kern w:val="0"/>
                <w:szCs w:val="24"/>
                <w:highlight w:val="none"/>
              </w:rPr>
            </w:pPr>
          </w:p>
        </w:tc>
      </w:tr>
      <w:tr w14:paraId="4A7EA75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673" w:hRule="exact"/>
        </w:trPr>
        <w:tc>
          <w:tcPr>
            <w:tcW w:w="744" w:type="dxa"/>
            <w:tcBorders>
              <w:top w:val="single" w:color="auto" w:sz="6" w:space="0"/>
              <w:left w:val="single" w:color="auto" w:sz="6" w:space="0"/>
              <w:right w:val="single" w:color="auto" w:sz="6" w:space="0"/>
            </w:tcBorders>
            <w:vAlign w:val="center"/>
          </w:tcPr>
          <w:p w14:paraId="7D1B5315">
            <w:pPr>
              <w:keepNext w:val="0"/>
              <w:keepLines w:val="0"/>
              <w:suppressLineNumbers w:val="0"/>
              <w:wordWrap w:val="0"/>
              <w:adjustRightInd w:val="0"/>
              <w:snapToGrid w:val="0"/>
              <w:spacing w:before="0" w:beforeAutospacing="0" w:after="0" w:afterAutospacing="0"/>
              <w:ind w:left="0" w:right="0"/>
              <w:jc w:val="center"/>
              <w:rPr>
                <w:rFonts w:hint="default" w:asciiTheme="minorEastAsia" w:hAnsiTheme="minorEastAsia" w:eastAsiaTheme="minorEastAsia" w:cstheme="minorEastAsia"/>
                <w:snapToGrid w:val="0"/>
                <w:color w:val="auto"/>
                <w:kern w:val="0"/>
                <w:szCs w:val="24"/>
                <w:highlight w:val="none"/>
              </w:rPr>
            </w:pPr>
            <w:r>
              <w:rPr>
                <w:rFonts w:asciiTheme="minorEastAsia" w:hAnsiTheme="minorEastAsia" w:eastAsiaTheme="minorEastAsia" w:cstheme="minorEastAsia"/>
                <w:snapToGrid w:val="0"/>
                <w:color w:val="auto"/>
                <w:kern w:val="0"/>
                <w:szCs w:val="24"/>
                <w:highlight w:val="none"/>
              </w:rPr>
              <w:t>3</w:t>
            </w:r>
          </w:p>
        </w:tc>
        <w:tc>
          <w:tcPr>
            <w:tcW w:w="1424" w:type="dxa"/>
            <w:tcBorders>
              <w:top w:val="single" w:color="auto" w:sz="6" w:space="0"/>
              <w:left w:val="single" w:color="auto" w:sz="6" w:space="0"/>
              <w:right w:val="single" w:color="auto" w:sz="6" w:space="0"/>
            </w:tcBorders>
            <w:vAlign w:val="center"/>
          </w:tcPr>
          <w:p w14:paraId="42C991CF">
            <w:pPr>
              <w:keepNext w:val="0"/>
              <w:keepLines w:val="0"/>
              <w:suppressLineNumbers w:val="0"/>
              <w:wordWrap w:val="0"/>
              <w:adjustRightInd w:val="0"/>
              <w:snapToGrid w:val="0"/>
              <w:spacing w:before="0" w:beforeAutospacing="0" w:after="0" w:afterAutospacing="0"/>
              <w:ind w:left="0" w:right="0"/>
              <w:jc w:val="center"/>
              <w:rPr>
                <w:rFonts w:hint="default" w:asciiTheme="minorEastAsia" w:hAnsiTheme="minorEastAsia" w:eastAsiaTheme="minorEastAsia" w:cstheme="minorEastAsia"/>
                <w:snapToGrid w:val="0"/>
                <w:color w:val="auto"/>
                <w:kern w:val="0"/>
                <w:szCs w:val="24"/>
                <w:highlight w:val="none"/>
              </w:rPr>
            </w:pPr>
            <w:r>
              <w:rPr>
                <w:rFonts w:asciiTheme="minorEastAsia" w:hAnsiTheme="minorEastAsia" w:eastAsiaTheme="minorEastAsia" w:cstheme="minorEastAsia"/>
                <w:snapToGrid w:val="0"/>
                <w:color w:val="auto"/>
                <w:kern w:val="0"/>
                <w:szCs w:val="24"/>
                <w:highlight w:val="none"/>
              </w:rPr>
              <w:t>项目设计</w:t>
            </w:r>
          </w:p>
          <w:p w14:paraId="2D5D0118">
            <w:pPr>
              <w:keepNext w:val="0"/>
              <w:keepLines w:val="0"/>
              <w:suppressLineNumbers w:val="0"/>
              <w:wordWrap w:val="0"/>
              <w:adjustRightInd w:val="0"/>
              <w:snapToGrid w:val="0"/>
              <w:spacing w:before="0" w:beforeAutospacing="0" w:after="0" w:afterAutospacing="0"/>
              <w:ind w:left="0" w:right="0"/>
              <w:jc w:val="center"/>
              <w:rPr>
                <w:rFonts w:hint="default" w:asciiTheme="minorEastAsia" w:hAnsiTheme="minorEastAsia" w:eastAsiaTheme="minorEastAsia" w:cstheme="minorEastAsia"/>
                <w:snapToGrid w:val="0"/>
                <w:color w:val="auto"/>
                <w:kern w:val="0"/>
                <w:szCs w:val="24"/>
                <w:highlight w:val="none"/>
              </w:rPr>
            </w:pPr>
            <w:r>
              <w:rPr>
                <w:rFonts w:asciiTheme="minorEastAsia" w:hAnsiTheme="minorEastAsia" w:eastAsiaTheme="minorEastAsia" w:cstheme="minorEastAsia"/>
                <w:snapToGrid w:val="0"/>
                <w:color w:val="auto"/>
                <w:kern w:val="0"/>
                <w:szCs w:val="24"/>
                <w:highlight w:val="none"/>
              </w:rPr>
              <w:t>负责人</w:t>
            </w:r>
          </w:p>
        </w:tc>
        <w:tc>
          <w:tcPr>
            <w:tcW w:w="1358" w:type="dxa"/>
            <w:tcBorders>
              <w:top w:val="single" w:color="auto" w:sz="6" w:space="0"/>
              <w:left w:val="single" w:color="auto" w:sz="6" w:space="0"/>
              <w:bottom w:val="single" w:color="auto" w:sz="6" w:space="0"/>
              <w:right w:val="single" w:color="auto" w:sz="6" w:space="0"/>
            </w:tcBorders>
            <w:vAlign w:val="center"/>
          </w:tcPr>
          <w:p w14:paraId="1D141855">
            <w:pPr>
              <w:keepNext w:val="0"/>
              <w:keepLines w:val="0"/>
              <w:suppressLineNumbers w:val="0"/>
              <w:wordWrap w:val="0"/>
              <w:adjustRightInd w:val="0"/>
              <w:snapToGrid w:val="0"/>
              <w:spacing w:before="0" w:beforeAutospacing="0" w:after="0" w:afterAutospacing="0"/>
              <w:ind w:left="0" w:right="0"/>
              <w:jc w:val="center"/>
              <w:rPr>
                <w:rFonts w:hint="default" w:asciiTheme="minorEastAsia" w:hAnsiTheme="minorEastAsia" w:eastAsiaTheme="minorEastAsia" w:cstheme="minorEastAsia"/>
                <w:snapToGrid w:val="0"/>
                <w:color w:val="auto"/>
                <w:kern w:val="0"/>
                <w:szCs w:val="24"/>
                <w:highlight w:val="none"/>
              </w:rPr>
            </w:pPr>
          </w:p>
        </w:tc>
        <w:tc>
          <w:tcPr>
            <w:tcW w:w="902" w:type="dxa"/>
            <w:tcBorders>
              <w:top w:val="single" w:color="auto" w:sz="6" w:space="0"/>
              <w:left w:val="single" w:color="auto" w:sz="6" w:space="0"/>
              <w:bottom w:val="single" w:color="auto" w:sz="6" w:space="0"/>
              <w:right w:val="single" w:color="auto" w:sz="6" w:space="0"/>
            </w:tcBorders>
            <w:vAlign w:val="center"/>
          </w:tcPr>
          <w:p w14:paraId="6EB4FC51">
            <w:pPr>
              <w:keepNext w:val="0"/>
              <w:keepLines w:val="0"/>
              <w:suppressLineNumbers w:val="0"/>
              <w:wordWrap w:val="0"/>
              <w:adjustRightInd w:val="0"/>
              <w:snapToGrid w:val="0"/>
              <w:spacing w:before="0" w:beforeAutospacing="0" w:after="0" w:afterAutospacing="0"/>
              <w:ind w:left="0" w:right="0"/>
              <w:jc w:val="center"/>
              <w:rPr>
                <w:rFonts w:hint="default" w:asciiTheme="minorEastAsia" w:hAnsiTheme="minorEastAsia" w:eastAsiaTheme="minorEastAsia" w:cstheme="minorEastAsia"/>
                <w:snapToGrid w:val="0"/>
                <w:color w:val="auto"/>
                <w:kern w:val="0"/>
                <w:szCs w:val="24"/>
                <w:highlight w:val="none"/>
              </w:rPr>
            </w:pPr>
          </w:p>
        </w:tc>
        <w:tc>
          <w:tcPr>
            <w:tcW w:w="819" w:type="dxa"/>
            <w:tcBorders>
              <w:top w:val="single" w:color="auto" w:sz="6" w:space="0"/>
              <w:left w:val="single" w:color="auto" w:sz="6" w:space="0"/>
              <w:bottom w:val="single" w:color="auto" w:sz="6" w:space="0"/>
              <w:right w:val="single" w:color="auto" w:sz="6" w:space="0"/>
            </w:tcBorders>
            <w:vAlign w:val="center"/>
          </w:tcPr>
          <w:p w14:paraId="235DB2D7">
            <w:pPr>
              <w:keepNext w:val="0"/>
              <w:keepLines w:val="0"/>
              <w:suppressLineNumbers w:val="0"/>
              <w:wordWrap w:val="0"/>
              <w:adjustRightInd w:val="0"/>
              <w:snapToGrid w:val="0"/>
              <w:spacing w:before="0" w:beforeAutospacing="0" w:after="0" w:afterAutospacing="0"/>
              <w:ind w:left="0" w:right="0"/>
              <w:jc w:val="center"/>
              <w:rPr>
                <w:rFonts w:hint="default" w:asciiTheme="minorEastAsia" w:hAnsiTheme="minorEastAsia" w:eastAsiaTheme="minorEastAsia" w:cstheme="minorEastAsia"/>
                <w:snapToGrid w:val="0"/>
                <w:color w:val="auto"/>
                <w:kern w:val="0"/>
                <w:szCs w:val="24"/>
                <w:highlight w:val="none"/>
              </w:rPr>
            </w:pPr>
          </w:p>
        </w:tc>
        <w:tc>
          <w:tcPr>
            <w:tcW w:w="1541" w:type="dxa"/>
            <w:tcBorders>
              <w:top w:val="single" w:color="auto" w:sz="6" w:space="0"/>
              <w:left w:val="single" w:color="auto" w:sz="6" w:space="0"/>
              <w:bottom w:val="single" w:color="auto" w:sz="6" w:space="0"/>
              <w:right w:val="single" w:color="auto" w:sz="6" w:space="0"/>
            </w:tcBorders>
            <w:vAlign w:val="center"/>
          </w:tcPr>
          <w:p w14:paraId="29B22E20">
            <w:pPr>
              <w:keepNext w:val="0"/>
              <w:keepLines w:val="0"/>
              <w:suppressLineNumbers w:val="0"/>
              <w:wordWrap w:val="0"/>
              <w:adjustRightInd w:val="0"/>
              <w:snapToGrid w:val="0"/>
              <w:spacing w:before="0" w:beforeAutospacing="0" w:after="0" w:afterAutospacing="0"/>
              <w:ind w:left="0" w:right="0"/>
              <w:jc w:val="center"/>
              <w:rPr>
                <w:rFonts w:hint="default" w:asciiTheme="minorEastAsia" w:hAnsiTheme="minorEastAsia" w:eastAsiaTheme="minorEastAsia" w:cstheme="minorEastAsia"/>
                <w:snapToGrid w:val="0"/>
                <w:color w:val="auto"/>
                <w:kern w:val="0"/>
                <w:szCs w:val="24"/>
                <w:highlight w:val="none"/>
              </w:rPr>
            </w:pPr>
          </w:p>
        </w:tc>
        <w:tc>
          <w:tcPr>
            <w:tcW w:w="2169" w:type="dxa"/>
            <w:tcBorders>
              <w:top w:val="single" w:color="auto" w:sz="6" w:space="0"/>
              <w:left w:val="single" w:color="auto" w:sz="6" w:space="0"/>
              <w:bottom w:val="single" w:color="auto" w:sz="6" w:space="0"/>
              <w:right w:val="single" w:color="auto" w:sz="6" w:space="0"/>
            </w:tcBorders>
            <w:vAlign w:val="center"/>
          </w:tcPr>
          <w:p w14:paraId="74DE84A8">
            <w:pPr>
              <w:keepNext w:val="0"/>
              <w:keepLines w:val="0"/>
              <w:suppressLineNumbers w:val="0"/>
              <w:wordWrap w:val="0"/>
              <w:adjustRightInd w:val="0"/>
              <w:snapToGrid w:val="0"/>
              <w:spacing w:before="0" w:beforeAutospacing="0" w:after="0" w:afterAutospacing="0"/>
              <w:ind w:left="0" w:right="0"/>
              <w:jc w:val="center"/>
              <w:rPr>
                <w:rFonts w:hint="default" w:asciiTheme="minorEastAsia" w:hAnsiTheme="minorEastAsia" w:eastAsiaTheme="minorEastAsia" w:cstheme="minorEastAsia"/>
                <w:snapToGrid w:val="0"/>
                <w:color w:val="auto"/>
                <w:kern w:val="0"/>
                <w:szCs w:val="24"/>
                <w:highlight w:val="none"/>
              </w:rPr>
            </w:pPr>
          </w:p>
        </w:tc>
      </w:tr>
      <w:tr w14:paraId="0B37C32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513" w:hRule="exact"/>
        </w:trPr>
        <w:tc>
          <w:tcPr>
            <w:tcW w:w="744" w:type="dxa"/>
            <w:vMerge w:val="restart"/>
            <w:tcBorders>
              <w:top w:val="single" w:color="auto" w:sz="6" w:space="0"/>
              <w:left w:val="single" w:color="auto" w:sz="6" w:space="0"/>
              <w:right w:val="single" w:color="auto" w:sz="6" w:space="0"/>
            </w:tcBorders>
            <w:vAlign w:val="center"/>
          </w:tcPr>
          <w:p w14:paraId="42B73662">
            <w:pPr>
              <w:keepNext w:val="0"/>
              <w:keepLines w:val="0"/>
              <w:suppressLineNumbers w:val="0"/>
              <w:wordWrap w:val="0"/>
              <w:adjustRightInd w:val="0"/>
              <w:snapToGrid w:val="0"/>
              <w:spacing w:before="0" w:beforeAutospacing="0" w:after="0" w:afterAutospacing="0"/>
              <w:ind w:left="0" w:right="0"/>
              <w:jc w:val="center"/>
              <w:rPr>
                <w:rFonts w:hint="default" w:asciiTheme="minorEastAsia" w:hAnsiTheme="minorEastAsia" w:eastAsiaTheme="minorEastAsia" w:cstheme="minorEastAsia"/>
                <w:snapToGrid w:val="0"/>
                <w:color w:val="auto"/>
                <w:kern w:val="0"/>
                <w:szCs w:val="24"/>
                <w:highlight w:val="none"/>
              </w:rPr>
            </w:pPr>
            <w:r>
              <w:rPr>
                <w:rFonts w:asciiTheme="minorEastAsia" w:hAnsiTheme="minorEastAsia" w:eastAsiaTheme="minorEastAsia" w:cstheme="minorEastAsia"/>
                <w:snapToGrid w:val="0"/>
                <w:color w:val="auto"/>
                <w:kern w:val="0"/>
                <w:szCs w:val="24"/>
                <w:highlight w:val="none"/>
              </w:rPr>
              <w:t>4</w:t>
            </w:r>
          </w:p>
        </w:tc>
        <w:tc>
          <w:tcPr>
            <w:tcW w:w="1424" w:type="dxa"/>
            <w:tcBorders>
              <w:top w:val="single" w:color="auto" w:sz="6" w:space="0"/>
              <w:left w:val="single" w:color="auto" w:sz="6" w:space="0"/>
              <w:bottom w:val="single" w:color="auto" w:sz="6" w:space="0"/>
              <w:right w:val="single" w:color="auto" w:sz="6" w:space="0"/>
            </w:tcBorders>
            <w:vAlign w:val="center"/>
          </w:tcPr>
          <w:p w14:paraId="765BDD78">
            <w:pPr>
              <w:keepNext w:val="0"/>
              <w:keepLines w:val="0"/>
              <w:suppressLineNumbers w:val="0"/>
              <w:wordWrap w:val="0"/>
              <w:adjustRightInd w:val="0"/>
              <w:snapToGrid w:val="0"/>
              <w:spacing w:before="0" w:beforeAutospacing="0" w:after="0" w:afterAutospacing="0"/>
              <w:ind w:left="0" w:right="0"/>
              <w:jc w:val="center"/>
              <w:rPr>
                <w:rFonts w:hint="eastAsia" w:asciiTheme="minorEastAsia" w:hAnsiTheme="minorEastAsia" w:eastAsiaTheme="minorEastAsia" w:cstheme="minorEastAsia"/>
                <w:snapToGrid w:val="0"/>
                <w:color w:val="auto"/>
                <w:kern w:val="0"/>
                <w:szCs w:val="24"/>
                <w:highlight w:val="none"/>
                <w:lang w:val="en-US" w:eastAsia="zh-CN"/>
              </w:rPr>
            </w:pPr>
            <w:r>
              <w:rPr>
                <w:rFonts w:asciiTheme="minorEastAsia" w:hAnsiTheme="minorEastAsia" w:eastAsiaTheme="minorEastAsia" w:cstheme="minorEastAsia"/>
                <w:snapToGrid w:val="0"/>
                <w:color w:val="auto"/>
                <w:kern w:val="0"/>
                <w:szCs w:val="24"/>
                <w:highlight w:val="none"/>
              </w:rPr>
              <w:t>专职安全员</w:t>
            </w:r>
            <w:r>
              <w:rPr>
                <w:rFonts w:hint="eastAsia" w:asciiTheme="minorEastAsia" w:hAnsiTheme="minorEastAsia" w:eastAsiaTheme="minorEastAsia" w:cstheme="minorEastAsia"/>
                <w:snapToGrid w:val="0"/>
                <w:color w:val="auto"/>
                <w:kern w:val="0"/>
                <w:szCs w:val="24"/>
                <w:highlight w:val="none"/>
                <w:lang w:val="en-US" w:eastAsia="zh-CN"/>
              </w:rPr>
              <w:t>1</w:t>
            </w:r>
          </w:p>
        </w:tc>
        <w:tc>
          <w:tcPr>
            <w:tcW w:w="1358" w:type="dxa"/>
            <w:tcBorders>
              <w:top w:val="single" w:color="auto" w:sz="6" w:space="0"/>
              <w:left w:val="single" w:color="auto" w:sz="6" w:space="0"/>
              <w:bottom w:val="single" w:color="auto" w:sz="6" w:space="0"/>
              <w:right w:val="single" w:color="auto" w:sz="6" w:space="0"/>
            </w:tcBorders>
            <w:vAlign w:val="center"/>
          </w:tcPr>
          <w:p w14:paraId="58D1E71B">
            <w:pPr>
              <w:keepNext w:val="0"/>
              <w:keepLines w:val="0"/>
              <w:suppressLineNumbers w:val="0"/>
              <w:wordWrap w:val="0"/>
              <w:adjustRightInd w:val="0"/>
              <w:snapToGrid w:val="0"/>
              <w:spacing w:before="0" w:beforeAutospacing="0" w:after="0" w:afterAutospacing="0"/>
              <w:ind w:left="0" w:right="0"/>
              <w:jc w:val="center"/>
              <w:rPr>
                <w:rFonts w:hint="default" w:asciiTheme="minorEastAsia" w:hAnsiTheme="minorEastAsia" w:eastAsiaTheme="minorEastAsia" w:cstheme="minorEastAsia"/>
                <w:snapToGrid w:val="0"/>
                <w:color w:val="auto"/>
                <w:kern w:val="0"/>
                <w:szCs w:val="24"/>
                <w:highlight w:val="none"/>
              </w:rPr>
            </w:pPr>
          </w:p>
        </w:tc>
        <w:tc>
          <w:tcPr>
            <w:tcW w:w="902" w:type="dxa"/>
            <w:tcBorders>
              <w:top w:val="single" w:color="auto" w:sz="6" w:space="0"/>
              <w:left w:val="single" w:color="auto" w:sz="6" w:space="0"/>
              <w:bottom w:val="single" w:color="auto" w:sz="6" w:space="0"/>
              <w:right w:val="single" w:color="auto" w:sz="6" w:space="0"/>
            </w:tcBorders>
            <w:vAlign w:val="center"/>
          </w:tcPr>
          <w:p w14:paraId="70D877C4">
            <w:pPr>
              <w:keepNext w:val="0"/>
              <w:keepLines w:val="0"/>
              <w:suppressLineNumbers w:val="0"/>
              <w:wordWrap w:val="0"/>
              <w:adjustRightInd w:val="0"/>
              <w:snapToGrid w:val="0"/>
              <w:spacing w:before="0" w:beforeAutospacing="0" w:after="0" w:afterAutospacing="0"/>
              <w:ind w:left="0" w:right="0"/>
              <w:jc w:val="center"/>
              <w:rPr>
                <w:rFonts w:hint="default" w:asciiTheme="minorEastAsia" w:hAnsiTheme="minorEastAsia" w:eastAsiaTheme="minorEastAsia" w:cstheme="minorEastAsia"/>
                <w:snapToGrid w:val="0"/>
                <w:color w:val="auto"/>
                <w:kern w:val="0"/>
                <w:szCs w:val="24"/>
                <w:highlight w:val="none"/>
              </w:rPr>
            </w:pPr>
          </w:p>
        </w:tc>
        <w:tc>
          <w:tcPr>
            <w:tcW w:w="819" w:type="dxa"/>
            <w:tcBorders>
              <w:top w:val="single" w:color="auto" w:sz="6" w:space="0"/>
              <w:left w:val="single" w:color="auto" w:sz="6" w:space="0"/>
              <w:bottom w:val="single" w:color="auto" w:sz="6" w:space="0"/>
              <w:right w:val="single" w:color="auto" w:sz="6" w:space="0"/>
            </w:tcBorders>
            <w:vAlign w:val="center"/>
          </w:tcPr>
          <w:p w14:paraId="11D1CCAB">
            <w:pPr>
              <w:keepNext w:val="0"/>
              <w:keepLines w:val="0"/>
              <w:suppressLineNumbers w:val="0"/>
              <w:wordWrap w:val="0"/>
              <w:adjustRightInd w:val="0"/>
              <w:snapToGrid w:val="0"/>
              <w:spacing w:before="0" w:beforeAutospacing="0" w:after="0" w:afterAutospacing="0"/>
              <w:ind w:left="0" w:right="0"/>
              <w:jc w:val="center"/>
              <w:rPr>
                <w:rFonts w:hint="default" w:asciiTheme="minorEastAsia" w:hAnsiTheme="minorEastAsia" w:eastAsiaTheme="minorEastAsia" w:cstheme="minorEastAsia"/>
                <w:snapToGrid w:val="0"/>
                <w:color w:val="auto"/>
                <w:kern w:val="0"/>
                <w:szCs w:val="24"/>
                <w:highlight w:val="none"/>
              </w:rPr>
            </w:pPr>
          </w:p>
        </w:tc>
        <w:tc>
          <w:tcPr>
            <w:tcW w:w="1541" w:type="dxa"/>
            <w:tcBorders>
              <w:top w:val="single" w:color="auto" w:sz="6" w:space="0"/>
              <w:left w:val="single" w:color="auto" w:sz="6" w:space="0"/>
              <w:bottom w:val="single" w:color="auto" w:sz="6" w:space="0"/>
              <w:right w:val="single" w:color="auto" w:sz="6" w:space="0"/>
            </w:tcBorders>
            <w:vAlign w:val="center"/>
          </w:tcPr>
          <w:p w14:paraId="578D8EA6">
            <w:pPr>
              <w:keepNext w:val="0"/>
              <w:keepLines w:val="0"/>
              <w:suppressLineNumbers w:val="0"/>
              <w:wordWrap w:val="0"/>
              <w:adjustRightInd w:val="0"/>
              <w:snapToGrid w:val="0"/>
              <w:spacing w:before="0" w:beforeAutospacing="0" w:after="0" w:afterAutospacing="0"/>
              <w:ind w:left="0" w:right="0"/>
              <w:jc w:val="center"/>
              <w:rPr>
                <w:rFonts w:hint="default" w:asciiTheme="minorEastAsia" w:hAnsiTheme="minorEastAsia" w:eastAsiaTheme="minorEastAsia" w:cstheme="minorEastAsia"/>
                <w:snapToGrid w:val="0"/>
                <w:color w:val="auto"/>
                <w:kern w:val="0"/>
                <w:szCs w:val="24"/>
                <w:highlight w:val="none"/>
              </w:rPr>
            </w:pPr>
          </w:p>
        </w:tc>
        <w:tc>
          <w:tcPr>
            <w:tcW w:w="2169" w:type="dxa"/>
            <w:tcBorders>
              <w:top w:val="single" w:color="auto" w:sz="6" w:space="0"/>
              <w:left w:val="single" w:color="auto" w:sz="6" w:space="0"/>
              <w:bottom w:val="single" w:color="auto" w:sz="6" w:space="0"/>
              <w:right w:val="single" w:color="auto" w:sz="6" w:space="0"/>
            </w:tcBorders>
            <w:vAlign w:val="center"/>
          </w:tcPr>
          <w:p w14:paraId="55676581">
            <w:pPr>
              <w:keepNext w:val="0"/>
              <w:keepLines w:val="0"/>
              <w:suppressLineNumbers w:val="0"/>
              <w:wordWrap w:val="0"/>
              <w:adjustRightInd w:val="0"/>
              <w:snapToGrid w:val="0"/>
              <w:spacing w:before="0" w:beforeAutospacing="0" w:after="0" w:afterAutospacing="0"/>
              <w:ind w:left="0" w:right="0"/>
              <w:jc w:val="center"/>
              <w:rPr>
                <w:rFonts w:hint="default" w:asciiTheme="minorEastAsia" w:hAnsiTheme="minorEastAsia" w:eastAsiaTheme="minorEastAsia" w:cstheme="minorEastAsia"/>
                <w:snapToGrid w:val="0"/>
                <w:color w:val="auto"/>
                <w:kern w:val="0"/>
                <w:szCs w:val="24"/>
                <w:highlight w:val="none"/>
              </w:rPr>
            </w:pPr>
          </w:p>
        </w:tc>
      </w:tr>
      <w:tr w14:paraId="1836FB2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513" w:hRule="exact"/>
        </w:trPr>
        <w:tc>
          <w:tcPr>
            <w:tcW w:w="744" w:type="dxa"/>
            <w:vMerge w:val="continue"/>
            <w:tcBorders>
              <w:left w:val="single" w:color="auto" w:sz="6" w:space="0"/>
              <w:right w:val="single" w:color="auto" w:sz="6" w:space="0"/>
            </w:tcBorders>
            <w:vAlign w:val="center"/>
          </w:tcPr>
          <w:p w14:paraId="526223F1">
            <w:pPr>
              <w:keepNext w:val="0"/>
              <w:keepLines w:val="0"/>
              <w:suppressLineNumbers w:val="0"/>
              <w:wordWrap w:val="0"/>
              <w:adjustRightInd w:val="0"/>
              <w:snapToGrid w:val="0"/>
              <w:spacing w:before="0" w:beforeAutospacing="0" w:after="0" w:afterAutospacing="0"/>
              <w:ind w:left="0" w:right="0"/>
              <w:jc w:val="center"/>
              <w:rPr>
                <w:rFonts w:asciiTheme="minorEastAsia" w:hAnsiTheme="minorEastAsia" w:eastAsiaTheme="minorEastAsia" w:cstheme="minorEastAsia"/>
                <w:snapToGrid w:val="0"/>
                <w:color w:val="auto"/>
                <w:kern w:val="0"/>
                <w:szCs w:val="24"/>
                <w:highlight w:val="none"/>
              </w:rPr>
            </w:pPr>
          </w:p>
        </w:tc>
        <w:tc>
          <w:tcPr>
            <w:tcW w:w="1424" w:type="dxa"/>
            <w:tcBorders>
              <w:top w:val="single" w:color="auto" w:sz="6" w:space="0"/>
              <w:left w:val="single" w:color="auto" w:sz="6" w:space="0"/>
              <w:bottom w:val="single" w:color="auto" w:sz="6" w:space="0"/>
              <w:right w:val="single" w:color="auto" w:sz="6" w:space="0"/>
            </w:tcBorders>
            <w:vAlign w:val="center"/>
          </w:tcPr>
          <w:p w14:paraId="21AC8FAD">
            <w:pPr>
              <w:keepNext w:val="0"/>
              <w:keepLines w:val="0"/>
              <w:suppressLineNumbers w:val="0"/>
              <w:wordWrap w:val="0"/>
              <w:adjustRightInd w:val="0"/>
              <w:snapToGrid w:val="0"/>
              <w:spacing w:before="0" w:beforeAutospacing="0" w:after="0" w:afterAutospacing="0"/>
              <w:ind w:left="0" w:right="0"/>
              <w:jc w:val="center"/>
              <w:rPr>
                <w:rFonts w:hint="eastAsia" w:asciiTheme="minorEastAsia" w:hAnsiTheme="minorEastAsia" w:eastAsiaTheme="minorEastAsia" w:cstheme="minorEastAsia"/>
                <w:snapToGrid w:val="0"/>
                <w:color w:val="auto"/>
                <w:kern w:val="0"/>
                <w:szCs w:val="24"/>
                <w:highlight w:val="none"/>
                <w:lang w:val="en-US" w:eastAsia="zh-CN"/>
              </w:rPr>
            </w:pPr>
            <w:r>
              <w:rPr>
                <w:rFonts w:asciiTheme="minorEastAsia" w:hAnsiTheme="minorEastAsia" w:eastAsiaTheme="minorEastAsia" w:cstheme="minorEastAsia"/>
                <w:snapToGrid w:val="0"/>
                <w:color w:val="auto"/>
                <w:kern w:val="0"/>
                <w:szCs w:val="24"/>
                <w:highlight w:val="none"/>
              </w:rPr>
              <w:t>专职安全员</w:t>
            </w:r>
            <w:r>
              <w:rPr>
                <w:rFonts w:hint="eastAsia" w:asciiTheme="minorEastAsia" w:hAnsiTheme="minorEastAsia" w:eastAsiaTheme="minorEastAsia" w:cstheme="minorEastAsia"/>
                <w:snapToGrid w:val="0"/>
                <w:color w:val="auto"/>
                <w:kern w:val="0"/>
                <w:szCs w:val="24"/>
                <w:highlight w:val="none"/>
                <w:lang w:val="en-US" w:eastAsia="zh-CN"/>
              </w:rPr>
              <w:t>2</w:t>
            </w:r>
          </w:p>
        </w:tc>
        <w:tc>
          <w:tcPr>
            <w:tcW w:w="1358" w:type="dxa"/>
            <w:tcBorders>
              <w:top w:val="single" w:color="auto" w:sz="6" w:space="0"/>
              <w:left w:val="single" w:color="auto" w:sz="6" w:space="0"/>
              <w:bottom w:val="single" w:color="auto" w:sz="6" w:space="0"/>
              <w:right w:val="single" w:color="auto" w:sz="6" w:space="0"/>
            </w:tcBorders>
            <w:vAlign w:val="center"/>
          </w:tcPr>
          <w:p w14:paraId="54F43167">
            <w:pPr>
              <w:keepNext w:val="0"/>
              <w:keepLines w:val="0"/>
              <w:suppressLineNumbers w:val="0"/>
              <w:wordWrap w:val="0"/>
              <w:adjustRightInd w:val="0"/>
              <w:snapToGrid w:val="0"/>
              <w:spacing w:before="0" w:beforeAutospacing="0" w:after="0" w:afterAutospacing="0"/>
              <w:ind w:left="0" w:right="0"/>
              <w:jc w:val="center"/>
              <w:rPr>
                <w:rFonts w:hint="default" w:asciiTheme="minorEastAsia" w:hAnsiTheme="minorEastAsia" w:eastAsiaTheme="minorEastAsia" w:cstheme="minorEastAsia"/>
                <w:snapToGrid w:val="0"/>
                <w:color w:val="auto"/>
                <w:kern w:val="0"/>
                <w:szCs w:val="24"/>
                <w:highlight w:val="none"/>
              </w:rPr>
            </w:pPr>
          </w:p>
        </w:tc>
        <w:tc>
          <w:tcPr>
            <w:tcW w:w="902" w:type="dxa"/>
            <w:tcBorders>
              <w:top w:val="single" w:color="auto" w:sz="6" w:space="0"/>
              <w:left w:val="single" w:color="auto" w:sz="6" w:space="0"/>
              <w:bottom w:val="single" w:color="auto" w:sz="6" w:space="0"/>
              <w:right w:val="single" w:color="auto" w:sz="6" w:space="0"/>
            </w:tcBorders>
            <w:vAlign w:val="center"/>
          </w:tcPr>
          <w:p w14:paraId="2A4C2B31">
            <w:pPr>
              <w:keepNext w:val="0"/>
              <w:keepLines w:val="0"/>
              <w:suppressLineNumbers w:val="0"/>
              <w:wordWrap w:val="0"/>
              <w:adjustRightInd w:val="0"/>
              <w:snapToGrid w:val="0"/>
              <w:spacing w:before="0" w:beforeAutospacing="0" w:after="0" w:afterAutospacing="0"/>
              <w:ind w:left="0" w:right="0"/>
              <w:jc w:val="center"/>
              <w:rPr>
                <w:rFonts w:hint="default" w:asciiTheme="minorEastAsia" w:hAnsiTheme="minorEastAsia" w:eastAsiaTheme="minorEastAsia" w:cstheme="minorEastAsia"/>
                <w:snapToGrid w:val="0"/>
                <w:color w:val="auto"/>
                <w:kern w:val="0"/>
                <w:szCs w:val="24"/>
                <w:highlight w:val="none"/>
              </w:rPr>
            </w:pPr>
          </w:p>
        </w:tc>
        <w:tc>
          <w:tcPr>
            <w:tcW w:w="819" w:type="dxa"/>
            <w:tcBorders>
              <w:top w:val="single" w:color="auto" w:sz="6" w:space="0"/>
              <w:left w:val="single" w:color="auto" w:sz="6" w:space="0"/>
              <w:bottom w:val="single" w:color="auto" w:sz="6" w:space="0"/>
              <w:right w:val="single" w:color="auto" w:sz="6" w:space="0"/>
            </w:tcBorders>
            <w:vAlign w:val="center"/>
          </w:tcPr>
          <w:p w14:paraId="6C91CADF">
            <w:pPr>
              <w:keepNext w:val="0"/>
              <w:keepLines w:val="0"/>
              <w:suppressLineNumbers w:val="0"/>
              <w:wordWrap w:val="0"/>
              <w:adjustRightInd w:val="0"/>
              <w:snapToGrid w:val="0"/>
              <w:spacing w:before="0" w:beforeAutospacing="0" w:after="0" w:afterAutospacing="0"/>
              <w:ind w:left="0" w:right="0"/>
              <w:jc w:val="center"/>
              <w:rPr>
                <w:rFonts w:hint="default" w:asciiTheme="minorEastAsia" w:hAnsiTheme="minorEastAsia" w:eastAsiaTheme="minorEastAsia" w:cstheme="minorEastAsia"/>
                <w:snapToGrid w:val="0"/>
                <w:color w:val="auto"/>
                <w:kern w:val="0"/>
                <w:szCs w:val="24"/>
                <w:highlight w:val="none"/>
              </w:rPr>
            </w:pPr>
          </w:p>
        </w:tc>
        <w:tc>
          <w:tcPr>
            <w:tcW w:w="1541" w:type="dxa"/>
            <w:tcBorders>
              <w:top w:val="single" w:color="auto" w:sz="6" w:space="0"/>
              <w:left w:val="single" w:color="auto" w:sz="6" w:space="0"/>
              <w:bottom w:val="single" w:color="auto" w:sz="6" w:space="0"/>
              <w:right w:val="single" w:color="auto" w:sz="6" w:space="0"/>
            </w:tcBorders>
            <w:vAlign w:val="center"/>
          </w:tcPr>
          <w:p w14:paraId="2D50FAFB">
            <w:pPr>
              <w:keepNext w:val="0"/>
              <w:keepLines w:val="0"/>
              <w:suppressLineNumbers w:val="0"/>
              <w:wordWrap w:val="0"/>
              <w:adjustRightInd w:val="0"/>
              <w:snapToGrid w:val="0"/>
              <w:spacing w:before="0" w:beforeAutospacing="0" w:after="0" w:afterAutospacing="0"/>
              <w:ind w:left="0" w:right="0"/>
              <w:jc w:val="center"/>
              <w:rPr>
                <w:rFonts w:hint="default" w:asciiTheme="minorEastAsia" w:hAnsiTheme="minorEastAsia" w:eastAsiaTheme="minorEastAsia" w:cstheme="minorEastAsia"/>
                <w:snapToGrid w:val="0"/>
                <w:color w:val="auto"/>
                <w:kern w:val="0"/>
                <w:szCs w:val="24"/>
                <w:highlight w:val="none"/>
              </w:rPr>
            </w:pPr>
          </w:p>
        </w:tc>
        <w:tc>
          <w:tcPr>
            <w:tcW w:w="2169" w:type="dxa"/>
            <w:tcBorders>
              <w:top w:val="single" w:color="auto" w:sz="6" w:space="0"/>
              <w:left w:val="single" w:color="auto" w:sz="6" w:space="0"/>
              <w:bottom w:val="single" w:color="auto" w:sz="6" w:space="0"/>
              <w:right w:val="single" w:color="auto" w:sz="6" w:space="0"/>
            </w:tcBorders>
            <w:vAlign w:val="center"/>
          </w:tcPr>
          <w:p w14:paraId="0A50A6DA">
            <w:pPr>
              <w:keepNext w:val="0"/>
              <w:keepLines w:val="0"/>
              <w:suppressLineNumbers w:val="0"/>
              <w:wordWrap w:val="0"/>
              <w:adjustRightInd w:val="0"/>
              <w:snapToGrid w:val="0"/>
              <w:spacing w:before="0" w:beforeAutospacing="0" w:after="0" w:afterAutospacing="0"/>
              <w:ind w:left="0" w:right="0"/>
              <w:jc w:val="center"/>
              <w:rPr>
                <w:rFonts w:hint="default" w:asciiTheme="minorEastAsia" w:hAnsiTheme="minorEastAsia" w:eastAsiaTheme="minorEastAsia" w:cstheme="minorEastAsia"/>
                <w:snapToGrid w:val="0"/>
                <w:color w:val="auto"/>
                <w:kern w:val="0"/>
                <w:szCs w:val="24"/>
                <w:highlight w:val="none"/>
              </w:rPr>
            </w:pPr>
          </w:p>
        </w:tc>
      </w:tr>
      <w:tr w14:paraId="493D677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513" w:hRule="exact"/>
        </w:trPr>
        <w:tc>
          <w:tcPr>
            <w:tcW w:w="744" w:type="dxa"/>
            <w:vMerge w:val="continue"/>
            <w:tcBorders>
              <w:left w:val="single" w:color="auto" w:sz="6" w:space="0"/>
              <w:right w:val="single" w:color="auto" w:sz="6" w:space="0"/>
            </w:tcBorders>
            <w:vAlign w:val="center"/>
          </w:tcPr>
          <w:p w14:paraId="2AD971D6">
            <w:pPr>
              <w:keepNext w:val="0"/>
              <w:keepLines w:val="0"/>
              <w:suppressLineNumbers w:val="0"/>
              <w:wordWrap w:val="0"/>
              <w:adjustRightInd w:val="0"/>
              <w:snapToGrid w:val="0"/>
              <w:spacing w:before="0" w:beforeAutospacing="0" w:after="0" w:afterAutospacing="0"/>
              <w:ind w:left="0" w:right="0"/>
              <w:jc w:val="center"/>
              <w:rPr>
                <w:rFonts w:asciiTheme="minorEastAsia" w:hAnsiTheme="minorEastAsia" w:eastAsiaTheme="minorEastAsia" w:cstheme="minorEastAsia"/>
                <w:snapToGrid w:val="0"/>
                <w:color w:val="auto"/>
                <w:kern w:val="0"/>
                <w:szCs w:val="24"/>
                <w:highlight w:val="none"/>
              </w:rPr>
            </w:pPr>
          </w:p>
        </w:tc>
        <w:tc>
          <w:tcPr>
            <w:tcW w:w="1424" w:type="dxa"/>
            <w:tcBorders>
              <w:top w:val="single" w:color="auto" w:sz="6" w:space="0"/>
              <w:left w:val="single" w:color="auto" w:sz="6" w:space="0"/>
              <w:bottom w:val="single" w:color="auto" w:sz="6" w:space="0"/>
              <w:right w:val="single" w:color="auto" w:sz="6" w:space="0"/>
            </w:tcBorders>
            <w:vAlign w:val="center"/>
          </w:tcPr>
          <w:p w14:paraId="5792EF29">
            <w:pPr>
              <w:keepNext w:val="0"/>
              <w:keepLines w:val="0"/>
              <w:suppressLineNumbers w:val="0"/>
              <w:wordWrap w:val="0"/>
              <w:adjustRightInd w:val="0"/>
              <w:snapToGrid w:val="0"/>
              <w:spacing w:before="0" w:beforeAutospacing="0" w:after="0" w:afterAutospacing="0"/>
              <w:ind w:left="0" w:right="0"/>
              <w:jc w:val="center"/>
              <w:rPr>
                <w:rFonts w:hint="eastAsia" w:asciiTheme="minorEastAsia" w:hAnsiTheme="minorEastAsia" w:eastAsiaTheme="minorEastAsia" w:cstheme="minorEastAsia"/>
                <w:snapToGrid w:val="0"/>
                <w:color w:val="auto"/>
                <w:kern w:val="0"/>
                <w:szCs w:val="24"/>
                <w:highlight w:val="none"/>
                <w:lang w:val="en-US" w:eastAsia="zh-CN"/>
              </w:rPr>
            </w:pPr>
            <w:r>
              <w:rPr>
                <w:rFonts w:asciiTheme="minorEastAsia" w:hAnsiTheme="minorEastAsia" w:eastAsiaTheme="minorEastAsia" w:cstheme="minorEastAsia"/>
                <w:snapToGrid w:val="0"/>
                <w:color w:val="auto"/>
                <w:kern w:val="0"/>
                <w:szCs w:val="24"/>
                <w:highlight w:val="none"/>
              </w:rPr>
              <w:t>专职安全员</w:t>
            </w:r>
            <w:r>
              <w:rPr>
                <w:rFonts w:hint="eastAsia" w:asciiTheme="minorEastAsia" w:hAnsiTheme="minorEastAsia" w:eastAsiaTheme="minorEastAsia" w:cstheme="minorEastAsia"/>
                <w:snapToGrid w:val="0"/>
                <w:color w:val="auto"/>
                <w:kern w:val="0"/>
                <w:szCs w:val="24"/>
                <w:highlight w:val="none"/>
                <w:lang w:val="en-US" w:eastAsia="zh-CN"/>
              </w:rPr>
              <w:t>3</w:t>
            </w:r>
          </w:p>
        </w:tc>
        <w:tc>
          <w:tcPr>
            <w:tcW w:w="1358" w:type="dxa"/>
            <w:tcBorders>
              <w:top w:val="single" w:color="auto" w:sz="6" w:space="0"/>
              <w:left w:val="single" w:color="auto" w:sz="6" w:space="0"/>
              <w:bottom w:val="single" w:color="auto" w:sz="6" w:space="0"/>
              <w:right w:val="single" w:color="auto" w:sz="6" w:space="0"/>
            </w:tcBorders>
            <w:vAlign w:val="center"/>
          </w:tcPr>
          <w:p w14:paraId="16317BCE">
            <w:pPr>
              <w:keepNext w:val="0"/>
              <w:keepLines w:val="0"/>
              <w:suppressLineNumbers w:val="0"/>
              <w:wordWrap w:val="0"/>
              <w:adjustRightInd w:val="0"/>
              <w:snapToGrid w:val="0"/>
              <w:spacing w:before="0" w:beforeAutospacing="0" w:after="0" w:afterAutospacing="0"/>
              <w:ind w:left="0" w:right="0"/>
              <w:jc w:val="center"/>
              <w:rPr>
                <w:rFonts w:hint="default" w:asciiTheme="minorEastAsia" w:hAnsiTheme="minorEastAsia" w:eastAsiaTheme="minorEastAsia" w:cstheme="minorEastAsia"/>
                <w:snapToGrid w:val="0"/>
                <w:color w:val="auto"/>
                <w:kern w:val="0"/>
                <w:szCs w:val="24"/>
                <w:highlight w:val="none"/>
              </w:rPr>
            </w:pPr>
          </w:p>
        </w:tc>
        <w:tc>
          <w:tcPr>
            <w:tcW w:w="902" w:type="dxa"/>
            <w:tcBorders>
              <w:top w:val="single" w:color="auto" w:sz="6" w:space="0"/>
              <w:left w:val="single" w:color="auto" w:sz="6" w:space="0"/>
              <w:bottom w:val="single" w:color="auto" w:sz="6" w:space="0"/>
              <w:right w:val="single" w:color="auto" w:sz="6" w:space="0"/>
            </w:tcBorders>
            <w:vAlign w:val="center"/>
          </w:tcPr>
          <w:p w14:paraId="303C5F86">
            <w:pPr>
              <w:keepNext w:val="0"/>
              <w:keepLines w:val="0"/>
              <w:suppressLineNumbers w:val="0"/>
              <w:wordWrap w:val="0"/>
              <w:adjustRightInd w:val="0"/>
              <w:snapToGrid w:val="0"/>
              <w:spacing w:before="0" w:beforeAutospacing="0" w:after="0" w:afterAutospacing="0"/>
              <w:ind w:left="0" w:right="0"/>
              <w:jc w:val="center"/>
              <w:rPr>
                <w:rFonts w:hint="default" w:asciiTheme="minorEastAsia" w:hAnsiTheme="minorEastAsia" w:eastAsiaTheme="minorEastAsia" w:cstheme="minorEastAsia"/>
                <w:snapToGrid w:val="0"/>
                <w:color w:val="auto"/>
                <w:kern w:val="0"/>
                <w:szCs w:val="24"/>
                <w:highlight w:val="none"/>
              </w:rPr>
            </w:pPr>
          </w:p>
        </w:tc>
        <w:tc>
          <w:tcPr>
            <w:tcW w:w="819" w:type="dxa"/>
            <w:tcBorders>
              <w:top w:val="single" w:color="auto" w:sz="6" w:space="0"/>
              <w:left w:val="single" w:color="auto" w:sz="6" w:space="0"/>
              <w:bottom w:val="single" w:color="auto" w:sz="6" w:space="0"/>
              <w:right w:val="single" w:color="auto" w:sz="6" w:space="0"/>
            </w:tcBorders>
            <w:vAlign w:val="center"/>
          </w:tcPr>
          <w:p w14:paraId="0171F351">
            <w:pPr>
              <w:keepNext w:val="0"/>
              <w:keepLines w:val="0"/>
              <w:suppressLineNumbers w:val="0"/>
              <w:wordWrap w:val="0"/>
              <w:adjustRightInd w:val="0"/>
              <w:snapToGrid w:val="0"/>
              <w:spacing w:before="0" w:beforeAutospacing="0" w:after="0" w:afterAutospacing="0"/>
              <w:ind w:left="0" w:right="0"/>
              <w:jc w:val="center"/>
              <w:rPr>
                <w:rFonts w:hint="default" w:asciiTheme="minorEastAsia" w:hAnsiTheme="minorEastAsia" w:eastAsiaTheme="minorEastAsia" w:cstheme="minorEastAsia"/>
                <w:snapToGrid w:val="0"/>
                <w:color w:val="auto"/>
                <w:kern w:val="0"/>
                <w:szCs w:val="24"/>
                <w:highlight w:val="none"/>
              </w:rPr>
            </w:pPr>
          </w:p>
        </w:tc>
        <w:tc>
          <w:tcPr>
            <w:tcW w:w="1541" w:type="dxa"/>
            <w:tcBorders>
              <w:top w:val="single" w:color="auto" w:sz="6" w:space="0"/>
              <w:left w:val="single" w:color="auto" w:sz="6" w:space="0"/>
              <w:bottom w:val="single" w:color="auto" w:sz="6" w:space="0"/>
              <w:right w:val="single" w:color="auto" w:sz="6" w:space="0"/>
            </w:tcBorders>
            <w:vAlign w:val="center"/>
          </w:tcPr>
          <w:p w14:paraId="1679C0F2">
            <w:pPr>
              <w:keepNext w:val="0"/>
              <w:keepLines w:val="0"/>
              <w:suppressLineNumbers w:val="0"/>
              <w:wordWrap w:val="0"/>
              <w:adjustRightInd w:val="0"/>
              <w:snapToGrid w:val="0"/>
              <w:spacing w:before="0" w:beforeAutospacing="0" w:after="0" w:afterAutospacing="0"/>
              <w:ind w:left="0" w:right="0"/>
              <w:jc w:val="center"/>
              <w:rPr>
                <w:rFonts w:hint="default" w:asciiTheme="minorEastAsia" w:hAnsiTheme="minorEastAsia" w:eastAsiaTheme="minorEastAsia" w:cstheme="minorEastAsia"/>
                <w:snapToGrid w:val="0"/>
                <w:color w:val="auto"/>
                <w:kern w:val="0"/>
                <w:szCs w:val="24"/>
                <w:highlight w:val="none"/>
              </w:rPr>
            </w:pPr>
          </w:p>
        </w:tc>
        <w:tc>
          <w:tcPr>
            <w:tcW w:w="2169" w:type="dxa"/>
            <w:tcBorders>
              <w:top w:val="single" w:color="auto" w:sz="6" w:space="0"/>
              <w:left w:val="single" w:color="auto" w:sz="6" w:space="0"/>
              <w:bottom w:val="single" w:color="auto" w:sz="6" w:space="0"/>
              <w:right w:val="single" w:color="auto" w:sz="6" w:space="0"/>
            </w:tcBorders>
            <w:vAlign w:val="center"/>
          </w:tcPr>
          <w:p w14:paraId="4FC474C4">
            <w:pPr>
              <w:keepNext w:val="0"/>
              <w:keepLines w:val="0"/>
              <w:suppressLineNumbers w:val="0"/>
              <w:wordWrap w:val="0"/>
              <w:adjustRightInd w:val="0"/>
              <w:snapToGrid w:val="0"/>
              <w:spacing w:before="0" w:beforeAutospacing="0" w:after="0" w:afterAutospacing="0"/>
              <w:ind w:left="0" w:right="0"/>
              <w:jc w:val="center"/>
              <w:rPr>
                <w:rFonts w:hint="default" w:asciiTheme="minorEastAsia" w:hAnsiTheme="minorEastAsia" w:eastAsiaTheme="minorEastAsia" w:cstheme="minorEastAsia"/>
                <w:snapToGrid w:val="0"/>
                <w:color w:val="auto"/>
                <w:kern w:val="0"/>
                <w:szCs w:val="24"/>
                <w:highlight w:val="none"/>
              </w:rPr>
            </w:pPr>
          </w:p>
        </w:tc>
      </w:tr>
      <w:tr w14:paraId="58B9BCE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513" w:hRule="exact"/>
        </w:trPr>
        <w:tc>
          <w:tcPr>
            <w:tcW w:w="744" w:type="dxa"/>
            <w:vMerge w:val="continue"/>
            <w:tcBorders>
              <w:left w:val="single" w:color="auto" w:sz="6" w:space="0"/>
              <w:bottom w:val="single" w:color="auto" w:sz="6" w:space="0"/>
              <w:right w:val="single" w:color="auto" w:sz="6" w:space="0"/>
            </w:tcBorders>
            <w:vAlign w:val="center"/>
          </w:tcPr>
          <w:p w14:paraId="64D39547">
            <w:pPr>
              <w:keepNext w:val="0"/>
              <w:keepLines w:val="0"/>
              <w:suppressLineNumbers w:val="0"/>
              <w:wordWrap w:val="0"/>
              <w:adjustRightInd w:val="0"/>
              <w:snapToGrid w:val="0"/>
              <w:spacing w:before="0" w:beforeAutospacing="0" w:after="0" w:afterAutospacing="0"/>
              <w:ind w:left="0" w:right="0"/>
              <w:jc w:val="center"/>
              <w:rPr>
                <w:rFonts w:asciiTheme="minorEastAsia" w:hAnsiTheme="minorEastAsia" w:eastAsiaTheme="minorEastAsia" w:cstheme="minorEastAsia"/>
                <w:snapToGrid w:val="0"/>
                <w:color w:val="auto"/>
                <w:kern w:val="0"/>
                <w:szCs w:val="24"/>
                <w:highlight w:val="none"/>
              </w:rPr>
            </w:pPr>
          </w:p>
        </w:tc>
        <w:tc>
          <w:tcPr>
            <w:tcW w:w="1424" w:type="dxa"/>
            <w:tcBorders>
              <w:top w:val="single" w:color="auto" w:sz="6" w:space="0"/>
              <w:left w:val="single" w:color="auto" w:sz="6" w:space="0"/>
              <w:bottom w:val="single" w:color="auto" w:sz="6" w:space="0"/>
              <w:right w:val="single" w:color="auto" w:sz="6" w:space="0"/>
            </w:tcBorders>
            <w:vAlign w:val="center"/>
          </w:tcPr>
          <w:p w14:paraId="2C5A115B">
            <w:pPr>
              <w:keepNext w:val="0"/>
              <w:keepLines w:val="0"/>
              <w:suppressLineNumbers w:val="0"/>
              <w:wordWrap w:val="0"/>
              <w:adjustRightInd w:val="0"/>
              <w:snapToGrid w:val="0"/>
              <w:spacing w:before="0" w:beforeAutospacing="0" w:after="0" w:afterAutospacing="0"/>
              <w:ind w:left="0" w:right="0"/>
              <w:jc w:val="center"/>
              <w:rPr>
                <w:rFonts w:hint="default" w:asciiTheme="minorEastAsia" w:hAnsiTheme="minorEastAsia" w:eastAsiaTheme="minorEastAsia" w:cstheme="minorEastAsia"/>
                <w:snapToGrid w:val="0"/>
                <w:color w:val="auto"/>
                <w:kern w:val="0"/>
                <w:szCs w:val="24"/>
                <w:highlight w:val="none"/>
                <w:lang w:val="en-US" w:eastAsia="zh-CN"/>
              </w:rPr>
            </w:pPr>
            <w:r>
              <w:rPr>
                <w:rFonts w:hint="eastAsia" w:asciiTheme="minorEastAsia" w:hAnsiTheme="minorEastAsia" w:eastAsiaTheme="minorEastAsia" w:cstheme="minorEastAsia"/>
                <w:snapToGrid w:val="0"/>
                <w:color w:val="auto"/>
                <w:kern w:val="0"/>
                <w:szCs w:val="24"/>
                <w:highlight w:val="none"/>
                <w:lang w:val="en-US" w:eastAsia="zh-CN"/>
              </w:rPr>
              <w:t>...</w:t>
            </w:r>
          </w:p>
        </w:tc>
        <w:tc>
          <w:tcPr>
            <w:tcW w:w="1358" w:type="dxa"/>
            <w:tcBorders>
              <w:top w:val="single" w:color="auto" w:sz="6" w:space="0"/>
              <w:left w:val="single" w:color="auto" w:sz="6" w:space="0"/>
              <w:bottom w:val="single" w:color="auto" w:sz="6" w:space="0"/>
              <w:right w:val="single" w:color="auto" w:sz="6" w:space="0"/>
            </w:tcBorders>
            <w:vAlign w:val="center"/>
          </w:tcPr>
          <w:p w14:paraId="08E9903D">
            <w:pPr>
              <w:keepNext w:val="0"/>
              <w:keepLines w:val="0"/>
              <w:suppressLineNumbers w:val="0"/>
              <w:wordWrap w:val="0"/>
              <w:adjustRightInd w:val="0"/>
              <w:snapToGrid w:val="0"/>
              <w:spacing w:before="0" w:beforeAutospacing="0" w:after="0" w:afterAutospacing="0"/>
              <w:ind w:left="0" w:right="0"/>
              <w:jc w:val="center"/>
              <w:rPr>
                <w:rFonts w:hint="default" w:asciiTheme="minorEastAsia" w:hAnsiTheme="minorEastAsia" w:eastAsiaTheme="minorEastAsia" w:cstheme="minorEastAsia"/>
                <w:snapToGrid w:val="0"/>
                <w:color w:val="auto"/>
                <w:kern w:val="0"/>
                <w:szCs w:val="24"/>
                <w:highlight w:val="none"/>
              </w:rPr>
            </w:pPr>
          </w:p>
        </w:tc>
        <w:tc>
          <w:tcPr>
            <w:tcW w:w="902" w:type="dxa"/>
            <w:tcBorders>
              <w:top w:val="single" w:color="auto" w:sz="6" w:space="0"/>
              <w:left w:val="single" w:color="auto" w:sz="6" w:space="0"/>
              <w:bottom w:val="single" w:color="auto" w:sz="6" w:space="0"/>
              <w:right w:val="single" w:color="auto" w:sz="6" w:space="0"/>
            </w:tcBorders>
            <w:vAlign w:val="center"/>
          </w:tcPr>
          <w:p w14:paraId="0820ADD2">
            <w:pPr>
              <w:keepNext w:val="0"/>
              <w:keepLines w:val="0"/>
              <w:suppressLineNumbers w:val="0"/>
              <w:wordWrap w:val="0"/>
              <w:adjustRightInd w:val="0"/>
              <w:snapToGrid w:val="0"/>
              <w:spacing w:before="0" w:beforeAutospacing="0" w:after="0" w:afterAutospacing="0"/>
              <w:ind w:left="0" w:right="0"/>
              <w:jc w:val="center"/>
              <w:rPr>
                <w:rFonts w:hint="default" w:asciiTheme="minorEastAsia" w:hAnsiTheme="minorEastAsia" w:eastAsiaTheme="minorEastAsia" w:cstheme="minorEastAsia"/>
                <w:snapToGrid w:val="0"/>
                <w:color w:val="auto"/>
                <w:kern w:val="0"/>
                <w:szCs w:val="24"/>
                <w:highlight w:val="none"/>
              </w:rPr>
            </w:pPr>
          </w:p>
        </w:tc>
        <w:tc>
          <w:tcPr>
            <w:tcW w:w="819" w:type="dxa"/>
            <w:tcBorders>
              <w:top w:val="single" w:color="auto" w:sz="6" w:space="0"/>
              <w:left w:val="single" w:color="auto" w:sz="6" w:space="0"/>
              <w:bottom w:val="single" w:color="auto" w:sz="6" w:space="0"/>
              <w:right w:val="single" w:color="auto" w:sz="6" w:space="0"/>
            </w:tcBorders>
            <w:vAlign w:val="center"/>
          </w:tcPr>
          <w:p w14:paraId="1C212E30">
            <w:pPr>
              <w:keepNext w:val="0"/>
              <w:keepLines w:val="0"/>
              <w:suppressLineNumbers w:val="0"/>
              <w:wordWrap w:val="0"/>
              <w:adjustRightInd w:val="0"/>
              <w:snapToGrid w:val="0"/>
              <w:spacing w:before="0" w:beforeAutospacing="0" w:after="0" w:afterAutospacing="0"/>
              <w:ind w:left="0" w:right="0"/>
              <w:jc w:val="center"/>
              <w:rPr>
                <w:rFonts w:hint="default" w:asciiTheme="minorEastAsia" w:hAnsiTheme="minorEastAsia" w:eastAsiaTheme="minorEastAsia" w:cstheme="minorEastAsia"/>
                <w:snapToGrid w:val="0"/>
                <w:color w:val="auto"/>
                <w:kern w:val="0"/>
                <w:szCs w:val="24"/>
                <w:highlight w:val="none"/>
              </w:rPr>
            </w:pPr>
          </w:p>
        </w:tc>
        <w:tc>
          <w:tcPr>
            <w:tcW w:w="1541" w:type="dxa"/>
            <w:tcBorders>
              <w:top w:val="single" w:color="auto" w:sz="6" w:space="0"/>
              <w:left w:val="single" w:color="auto" w:sz="6" w:space="0"/>
              <w:bottom w:val="single" w:color="auto" w:sz="6" w:space="0"/>
              <w:right w:val="single" w:color="auto" w:sz="6" w:space="0"/>
            </w:tcBorders>
            <w:vAlign w:val="center"/>
          </w:tcPr>
          <w:p w14:paraId="39DF13FF">
            <w:pPr>
              <w:keepNext w:val="0"/>
              <w:keepLines w:val="0"/>
              <w:suppressLineNumbers w:val="0"/>
              <w:wordWrap w:val="0"/>
              <w:adjustRightInd w:val="0"/>
              <w:snapToGrid w:val="0"/>
              <w:spacing w:before="0" w:beforeAutospacing="0" w:after="0" w:afterAutospacing="0"/>
              <w:ind w:left="0" w:right="0"/>
              <w:jc w:val="center"/>
              <w:rPr>
                <w:rFonts w:hint="default" w:asciiTheme="minorEastAsia" w:hAnsiTheme="minorEastAsia" w:eastAsiaTheme="minorEastAsia" w:cstheme="minorEastAsia"/>
                <w:snapToGrid w:val="0"/>
                <w:color w:val="auto"/>
                <w:kern w:val="0"/>
                <w:szCs w:val="24"/>
                <w:highlight w:val="none"/>
              </w:rPr>
            </w:pPr>
          </w:p>
        </w:tc>
        <w:tc>
          <w:tcPr>
            <w:tcW w:w="2169" w:type="dxa"/>
            <w:tcBorders>
              <w:top w:val="single" w:color="auto" w:sz="6" w:space="0"/>
              <w:left w:val="single" w:color="auto" w:sz="6" w:space="0"/>
              <w:bottom w:val="single" w:color="auto" w:sz="6" w:space="0"/>
              <w:right w:val="single" w:color="auto" w:sz="6" w:space="0"/>
            </w:tcBorders>
            <w:vAlign w:val="center"/>
          </w:tcPr>
          <w:p w14:paraId="08C51349">
            <w:pPr>
              <w:keepNext w:val="0"/>
              <w:keepLines w:val="0"/>
              <w:suppressLineNumbers w:val="0"/>
              <w:wordWrap w:val="0"/>
              <w:adjustRightInd w:val="0"/>
              <w:snapToGrid w:val="0"/>
              <w:spacing w:before="0" w:beforeAutospacing="0" w:after="0" w:afterAutospacing="0"/>
              <w:ind w:left="0" w:right="0"/>
              <w:jc w:val="center"/>
              <w:rPr>
                <w:rFonts w:hint="default" w:asciiTheme="minorEastAsia" w:hAnsiTheme="minorEastAsia" w:eastAsiaTheme="minorEastAsia" w:cstheme="minorEastAsia"/>
                <w:snapToGrid w:val="0"/>
                <w:color w:val="auto"/>
                <w:kern w:val="0"/>
                <w:szCs w:val="24"/>
                <w:highlight w:val="none"/>
              </w:rPr>
            </w:pPr>
          </w:p>
        </w:tc>
      </w:tr>
      <w:tr w14:paraId="369D1EE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513" w:hRule="exact"/>
        </w:trPr>
        <w:tc>
          <w:tcPr>
            <w:tcW w:w="744" w:type="dxa"/>
            <w:tcBorders>
              <w:top w:val="single" w:color="auto" w:sz="6" w:space="0"/>
              <w:left w:val="single" w:color="auto" w:sz="6" w:space="0"/>
              <w:bottom w:val="single" w:color="auto" w:sz="6" w:space="0"/>
              <w:right w:val="single" w:color="auto" w:sz="6" w:space="0"/>
            </w:tcBorders>
            <w:vAlign w:val="center"/>
          </w:tcPr>
          <w:p w14:paraId="6C4710F0">
            <w:pPr>
              <w:keepNext w:val="0"/>
              <w:keepLines w:val="0"/>
              <w:suppressLineNumbers w:val="0"/>
              <w:wordWrap w:val="0"/>
              <w:adjustRightInd w:val="0"/>
              <w:snapToGrid w:val="0"/>
              <w:spacing w:before="0" w:beforeAutospacing="0" w:after="0" w:afterAutospacing="0"/>
              <w:ind w:left="0" w:right="0"/>
              <w:jc w:val="center"/>
              <w:rPr>
                <w:rFonts w:hint="default" w:asciiTheme="minorEastAsia" w:hAnsiTheme="minorEastAsia" w:eastAsiaTheme="minorEastAsia" w:cstheme="minorEastAsia"/>
                <w:snapToGrid w:val="0"/>
                <w:color w:val="auto"/>
                <w:kern w:val="0"/>
                <w:szCs w:val="24"/>
                <w:highlight w:val="none"/>
              </w:rPr>
            </w:pPr>
            <w:r>
              <w:rPr>
                <w:rFonts w:asciiTheme="minorEastAsia" w:hAnsiTheme="minorEastAsia" w:eastAsiaTheme="minorEastAsia" w:cstheme="minorEastAsia"/>
                <w:snapToGrid w:val="0"/>
                <w:color w:val="auto"/>
                <w:kern w:val="0"/>
                <w:szCs w:val="24"/>
                <w:highlight w:val="none"/>
              </w:rPr>
              <w:t>5</w:t>
            </w:r>
          </w:p>
        </w:tc>
        <w:tc>
          <w:tcPr>
            <w:tcW w:w="1424" w:type="dxa"/>
            <w:tcBorders>
              <w:top w:val="single" w:color="auto" w:sz="6" w:space="0"/>
              <w:left w:val="single" w:color="auto" w:sz="6" w:space="0"/>
              <w:bottom w:val="single" w:color="auto" w:sz="6" w:space="0"/>
              <w:right w:val="single" w:color="auto" w:sz="6" w:space="0"/>
            </w:tcBorders>
            <w:vAlign w:val="center"/>
          </w:tcPr>
          <w:p w14:paraId="66F804E9">
            <w:pPr>
              <w:keepNext w:val="0"/>
              <w:keepLines w:val="0"/>
              <w:suppressLineNumbers w:val="0"/>
              <w:wordWrap w:val="0"/>
              <w:adjustRightInd w:val="0"/>
              <w:snapToGrid w:val="0"/>
              <w:spacing w:before="0" w:beforeAutospacing="0" w:after="0" w:afterAutospacing="0"/>
              <w:ind w:left="0" w:right="0"/>
              <w:jc w:val="center"/>
              <w:rPr>
                <w:rFonts w:hint="default" w:asciiTheme="minorEastAsia" w:hAnsiTheme="minorEastAsia" w:eastAsiaTheme="minorEastAsia" w:cstheme="minorEastAsia"/>
                <w:snapToGrid w:val="0"/>
                <w:color w:val="auto"/>
                <w:kern w:val="0"/>
                <w:szCs w:val="24"/>
                <w:highlight w:val="none"/>
              </w:rPr>
            </w:pPr>
            <w:r>
              <w:rPr>
                <w:rFonts w:asciiTheme="minorEastAsia" w:hAnsiTheme="minorEastAsia" w:eastAsiaTheme="minorEastAsia" w:cstheme="minorEastAsia"/>
                <w:snapToGrid w:val="0"/>
                <w:color w:val="auto"/>
                <w:kern w:val="0"/>
                <w:szCs w:val="24"/>
                <w:highlight w:val="none"/>
              </w:rPr>
              <w:t>施工员</w:t>
            </w:r>
          </w:p>
        </w:tc>
        <w:tc>
          <w:tcPr>
            <w:tcW w:w="1358" w:type="dxa"/>
            <w:tcBorders>
              <w:top w:val="single" w:color="auto" w:sz="6" w:space="0"/>
              <w:left w:val="single" w:color="auto" w:sz="6" w:space="0"/>
              <w:bottom w:val="single" w:color="auto" w:sz="6" w:space="0"/>
              <w:right w:val="single" w:color="auto" w:sz="6" w:space="0"/>
            </w:tcBorders>
            <w:vAlign w:val="center"/>
          </w:tcPr>
          <w:p w14:paraId="4EBDBEB9">
            <w:pPr>
              <w:keepNext w:val="0"/>
              <w:keepLines w:val="0"/>
              <w:suppressLineNumbers w:val="0"/>
              <w:wordWrap w:val="0"/>
              <w:adjustRightInd w:val="0"/>
              <w:snapToGrid w:val="0"/>
              <w:spacing w:before="0" w:beforeAutospacing="0" w:after="0" w:afterAutospacing="0"/>
              <w:ind w:left="0" w:right="0"/>
              <w:jc w:val="center"/>
              <w:rPr>
                <w:rFonts w:hint="default" w:asciiTheme="minorEastAsia" w:hAnsiTheme="minorEastAsia" w:eastAsiaTheme="minorEastAsia" w:cstheme="minorEastAsia"/>
                <w:snapToGrid w:val="0"/>
                <w:color w:val="auto"/>
                <w:kern w:val="0"/>
                <w:szCs w:val="24"/>
                <w:highlight w:val="none"/>
              </w:rPr>
            </w:pPr>
          </w:p>
        </w:tc>
        <w:tc>
          <w:tcPr>
            <w:tcW w:w="902" w:type="dxa"/>
            <w:tcBorders>
              <w:top w:val="single" w:color="auto" w:sz="6" w:space="0"/>
              <w:left w:val="single" w:color="auto" w:sz="6" w:space="0"/>
              <w:bottom w:val="single" w:color="auto" w:sz="6" w:space="0"/>
              <w:right w:val="single" w:color="auto" w:sz="6" w:space="0"/>
            </w:tcBorders>
            <w:vAlign w:val="center"/>
          </w:tcPr>
          <w:p w14:paraId="50230E87">
            <w:pPr>
              <w:keepNext w:val="0"/>
              <w:keepLines w:val="0"/>
              <w:suppressLineNumbers w:val="0"/>
              <w:wordWrap w:val="0"/>
              <w:adjustRightInd w:val="0"/>
              <w:snapToGrid w:val="0"/>
              <w:spacing w:before="0" w:beforeAutospacing="0" w:after="0" w:afterAutospacing="0"/>
              <w:ind w:left="0" w:right="0"/>
              <w:jc w:val="center"/>
              <w:rPr>
                <w:rFonts w:hint="default" w:asciiTheme="minorEastAsia" w:hAnsiTheme="minorEastAsia" w:eastAsiaTheme="minorEastAsia" w:cstheme="minorEastAsia"/>
                <w:snapToGrid w:val="0"/>
                <w:color w:val="auto"/>
                <w:kern w:val="0"/>
                <w:szCs w:val="24"/>
                <w:highlight w:val="none"/>
              </w:rPr>
            </w:pPr>
          </w:p>
        </w:tc>
        <w:tc>
          <w:tcPr>
            <w:tcW w:w="819" w:type="dxa"/>
            <w:tcBorders>
              <w:top w:val="single" w:color="auto" w:sz="6" w:space="0"/>
              <w:left w:val="single" w:color="auto" w:sz="6" w:space="0"/>
              <w:bottom w:val="single" w:color="auto" w:sz="6" w:space="0"/>
              <w:right w:val="single" w:color="auto" w:sz="6" w:space="0"/>
            </w:tcBorders>
            <w:vAlign w:val="center"/>
          </w:tcPr>
          <w:p w14:paraId="168F2A36">
            <w:pPr>
              <w:keepNext w:val="0"/>
              <w:keepLines w:val="0"/>
              <w:suppressLineNumbers w:val="0"/>
              <w:wordWrap w:val="0"/>
              <w:adjustRightInd w:val="0"/>
              <w:snapToGrid w:val="0"/>
              <w:spacing w:before="0" w:beforeAutospacing="0" w:after="0" w:afterAutospacing="0"/>
              <w:ind w:left="0" w:right="0"/>
              <w:jc w:val="center"/>
              <w:rPr>
                <w:rFonts w:hint="default" w:asciiTheme="minorEastAsia" w:hAnsiTheme="minorEastAsia" w:eastAsiaTheme="minorEastAsia" w:cstheme="minorEastAsia"/>
                <w:snapToGrid w:val="0"/>
                <w:color w:val="auto"/>
                <w:kern w:val="0"/>
                <w:szCs w:val="24"/>
                <w:highlight w:val="none"/>
              </w:rPr>
            </w:pPr>
          </w:p>
        </w:tc>
        <w:tc>
          <w:tcPr>
            <w:tcW w:w="1541" w:type="dxa"/>
            <w:tcBorders>
              <w:top w:val="single" w:color="auto" w:sz="6" w:space="0"/>
              <w:left w:val="single" w:color="auto" w:sz="6" w:space="0"/>
              <w:bottom w:val="single" w:color="auto" w:sz="6" w:space="0"/>
              <w:right w:val="single" w:color="auto" w:sz="6" w:space="0"/>
            </w:tcBorders>
            <w:vAlign w:val="center"/>
          </w:tcPr>
          <w:p w14:paraId="7D06EEC4">
            <w:pPr>
              <w:keepNext w:val="0"/>
              <w:keepLines w:val="0"/>
              <w:suppressLineNumbers w:val="0"/>
              <w:wordWrap w:val="0"/>
              <w:adjustRightInd w:val="0"/>
              <w:snapToGrid w:val="0"/>
              <w:spacing w:before="0" w:beforeAutospacing="0" w:after="0" w:afterAutospacing="0"/>
              <w:ind w:left="0" w:right="0"/>
              <w:jc w:val="center"/>
              <w:rPr>
                <w:rFonts w:hint="default" w:asciiTheme="minorEastAsia" w:hAnsiTheme="minorEastAsia" w:eastAsiaTheme="minorEastAsia" w:cstheme="minorEastAsia"/>
                <w:snapToGrid w:val="0"/>
                <w:color w:val="auto"/>
                <w:kern w:val="0"/>
                <w:szCs w:val="24"/>
                <w:highlight w:val="none"/>
              </w:rPr>
            </w:pPr>
          </w:p>
        </w:tc>
        <w:tc>
          <w:tcPr>
            <w:tcW w:w="2169" w:type="dxa"/>
            <w:tcBorders>
              <w:top w:val="single" w:color="auto" w:sz="6" w:space="0"/>
              <w:left w:val="single" w:color="auto" w:sz="6" w:space="0"/>
              <w:bottom w:val="single" w:color="auto" w:sz="6" w:space="0"/>
              <w:right w:val="single" w:color="auto" w:sz="6" w:space="0"/>
            </w:tcBorders>
            <w:vAlign w:val="center"/>
          </w:tcPr>
          <w:p w14:paraId="5D9C2A5B">
            <w:pPr>
              <w:keepNext w:val="0"/>
              <w:keepLines w:val="0"/>
              <w:suppressLineNumbers w:val="0"/>
              <w:wordWrap w:val="0"/>
              <w:adjustRightInd w:val="0"/>
              <w:snapToGrid w:val="0"/>
              <w:spacing w:before="0" w:beforeAutospacing="0" w:after="0" w:afterAutospacing="0"/>
              <w:ind w:left="0" w:right="0"/>
              <w:jc w:val="center"/>
              <w:rPr>
                <w:rFonts w:hint="default" w:asciiTheme="minorEastAsia" w:hAnsiTheme="minorEastAsia" w:eastAsiaTheme="minorEastAsia" w:cstheme="minorEastAsia"/>
                <w:snapToGrid w:val="0"/>
                <w:color w:val="auto"/>
                <w:kern w:val="0"/>
                <w:szCs w:val="24"/>
                <w:highlight w:val="none"/>
              </w:rPr>
            </w:pPr>
          </w:p>
        </w:tc>
      </w:tr>
      <w:tr w14:paraId="0BEF9FF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513" w:hRule="exact"/>
        </w:trPr>
        <w:tc>
          <w:tcPr>
            <w:tcW w:w="744" w:type="dxa"/>
            <w:tcBorders>
              <w:top w:val="single" w:color="auto" w:sz="6" w:space="0"/>
              <w:left w:val="single" w:color="auto" w:sz="6" w:space="0"/>
              <w:bottom w:val="single" w:color="auto" w:sz="6" w:space="0"/>
              <w:right w:val="single" w:color="auto" w:sz="6" w:space="0"/>
            </w:tcBorders>
            <w:vAlign w:val="center"/>
          </w:tcPr>
          <w:p w14:paraId="7D89DB8A">
            <w:pPr>
              <w:keepNext w:val="0"/>
              <w:keepLines w:val="0"/>
              <w:suppressLineNumbers w:val="0"/>
              <w:wordWrap w:val="0"/>
              <w:adjustRightInd w:val="0"/>
              <w:snapToGrid w:val="0"/>
              <w:spacing w:before="0" w:beforeAutospacing="0" w:after="0" w:afterAutospacing="0"/>
              <w:ind w:left="0" w:right="0"/>
              <w:jc w:val="center"/>
              <w:rPr>
                <w:rFonts w:hint="default" w:asciiTheme="minorEastAsia" w:hAnsiTheme="minorEastAsia" w:eastAsiaTheme="minorEastAsia" w:cstheme="minorEastAsia"/>
                <w:snapToGrid w:val="0"/>
                <w:color w:val="auto"/>
                <w:kern w:val="0"/>
                <w:szCs w:val="24"/>
                <w:highlight w:val="none"/>
              </w:rPr>
            </w:pPr>
            <w:r>
              <w:rPr>
                <w:rFonts w:asciiTheme="minorEastAsia" w:hAnsiTheme="minorEastAsia" w:eastAsiaTheme="minorEastAsia" w:cstheme="minorEastAsia"/>
                <w:snapToGrid w:val="0"/>
                <w:color w:val="auto"/>
                <w:kern w:val="0"/>
                <w:szCs w:val="24"/>
                <w:highlight w:val="none"/>
              </w:rPr>
              <w:t>6</w:t>
            </w:r>
          </w:p>
        </w:tc>
        <w:tc>
          <w:tcPr>
            <w:tcW w:w="1424" w:type="dxa"/>
            <w:tcBorders>
              <w:top w:val="single" w:color="auto" w:sz="6" w:space="0"/>
              <w:left w:val="single" w:color="auto" w:sz="6" w:space="0"/>
              <w:bottom w:val="single" w:color="auto" w:sz="6" w:space="0"/>
              <w:right w:val="single" w:color="auto" w:sz="6" w:space="0"/>
            </w:tcBorders>
            <w:vAlign w:val="center"/>
          </w:tcPr>
          <w:p w14:paraId="44A11368">
            <w:pPr>
              <w:keepNext w:val="0"/>
              <w:keepLines w:val="0"/>
              <w:suppressLineNumbers w:val="0"/>
              <w:wordWrap w:val="0"/>
              <w:adjustRightInd w:val="0"/>
              <w:snapToGrid w:val="0"/>
              <w:spacing w:before="0" w:beforeAutospacing="0" w:after="0" w:afterAutospacing="0"/>
              <w:ind w:left="0" w:right="0"/>
              <w:jc w:val="center"/>
              <w:rPr>
                <w:rFonts w:hint="default" w:asciiTheme="minorEastAsia" w:hAnsiTheme="minorEastAsia" w:eastAsiaTheme="minorEastAsia" w:cstheme="minorEastAsia"/>
                <w:snapToGrid w:val="0"/>
                <w:color w:val="auto"/>
                <w:kern w:val="0"/>
                <w:szCs w:val="24"/>
                <w:highlight w:val="none"/>
              </w:rPr>
            </w:pPr>
            <w:r>
              <w:rPr>
                <w:rFonts w:asciiTheme="minorEastAsia" w:hAnsiTheme="minorEastAsia" w:eastAsiaTheme="minorEastAsia" w:cstheme="minorEastAsia"/>
                <w:snapToGrid w:val="0"/>
                <w:color w:val="auto"/>
                <w:kern w:val="0"/>
                <w:szCs w:val="24"/>
                <w:highlight w:val="none"/>
              </w:rPr>
              <w:t>质量员</w:t>
            </w:r>
          </w:p>
        </w:tc>
        <w:tc>
          <w:tcPr>
            <w:tcW w:w="1358" w:type="dxa"/>
            <w:tcBorders>
              <w:top w:val="single" w:color="auto" w:sz="6" w:space="0"/>
              <w:left w:val="single" w:color="auto" w:sz="6" w:space="0"/>
              <w:bottom w:val="single" w:color="auto" w:sz="6" w:space="0"/>
              <w:right w:val="single" w:color="auto" w:sz="6" w:space="0"/>
            </w:tcBorders>
            <w:vAlign w:val="center"/>
          </w:tcPr>
          <w:p w14:paraId="345FDB31">
            <w:pPr>
              <w:keepNext w:val="0"/>
              <w:keepLines w:val="0"/>
              <w:suppressLineNumbers w:val="0"/>
              <w:wordWrap w:val="0"/>
              <w:adjustRightInd w:val="0"/>
              <w:snapToGrid w:val="0"/>
              <w:spacing w:before="0" w:beforeAutospacing="0" w:after="0" w:afterAutospacing="0"/>
              <w:ind w:left="0" w:right="0"/>
              <w:jc w:val="center"/>
              <w:rPr>
                <w:rFonts w:hint="default" w:asciiTheme="minorEastAsia" w:hAnsiTheme="minorEastAsia" w:eastAsiaTheme="minorEastAsia" w:cstheme="minorEastAsia"/>
                <w:snapToGrid w:val="0"/>
                <w:color w:val="auto"/>
                <w:kern w:val="0"/>
                <w:szCs w:val="24"/>
                <w:highlight w:val="none"/>
              </w:rPr>
            </w:pPr>
          </w:p>
        </w:tc>
        <w:tc>
          <w:tcPr>
            <w:tcW w:w="902" w:type="dxa"/>
            <w:tcBorders>
              <w:top w:val="single" w:color="auto" w:sz="6" w:space="0"/>
              <w:left w:val="single" w:color="auto" w:sz="6" w:space="0"/>
              <w:bottom w:val="single" w:color="auto" w:sz="6" w:space="0"/>
              <w:right w:val="single" w:color="auto" w:sz="6" w:space="0"/>
            </w:tcBorders>
            <w:vAlign w:val="center"/>
          </w:tcPr>
          <w:p w14:paraId="5AD90C55">
            <w:pPr>
              <w:keepNext w:val="0"/>
              <w:keepLines w:val="0"/>
              <w:suppressLineNumbers w:val="0"/>
              <w:wordWrap w:val="0"/>
              <w:adjustRightInd w:val="0"/>
              <w:snapToGrid w:val="0"/>
              <w:spacing w:before="0" w:beforeAutospacing="0" w:after="0" w:afterAutospacing="0"/>
              <w:ind w:left="0" w:right="0"/>
              <w:jc w:val="center"/>
              <w:rPr>
                <w:rFonts w:hint="default" w:asciiTheme="minorEastAsia" w:hAnsiTheme="minorEastAsia" w:eastAsiaTheme="minorEastAsia" w:cstheme="minorEastAsia"/>
                <w:snapToGrid w:val="0"/>
                <w:color w:val="auto"/>
                <w:kern w:val="0"/>
                <w:szCs w:val="24"/>
                <w:highlight w:val="none"/>
              </w:rPr>
            </w:pPr>
          </w:p>
        </w:tc>
        <w:tc>
          <w:tcPr>
            <w:tcW w:w="819" w:type="dxa"/>
            <w:tcBorders>
              <w:top w:val="single" w:color="auto" w:sz="6" w:space="0"/>
              <w:left w:val="single" w:color="auto" w:sz="6" w:space="0"/>
              <w:bottom w:val="single" w:color="auto" w:sz="6" w:space="0"/>
              <w:right w:val="single" w:color="auto" w:sz="6" w:space="0"/>
            </w:tcBorders>
            <w:vAlign w:val="center"/>
          </w:tcPr>
          <w:p w14:paraId="5E5BC2B4">
            <w:pPr>
              <w:keepNext w:val="0"/>
              <w:keepLines w:val="0"/>
              <w:suppressLineNumbers w:val="0"/>
              <w:wordWrap w:val="0"/>
              <w:adjustRightInd w:val="0"/>
              <w:snapToGrid w:val="0"/>
              <w:spacing w:before="0" w:beforeAutospacing="0" w:after="0" w:afterAutospacing="0"/>
              <w:ind w:left="0" w:right="0"/>
              <w:jc w:val="center"/>
              <w:rPr>
                <w:rFonts w:hint="default" w:asciiTheme="minorEastAsia" w:hAnsiTheme="minorEastAsia" w:eastAsiaTheme="minorEastAsia" w:cstheme="minorEastAsia"/>
                <w:snapToGrid w:val="0"/>
                <w:color w:val="auto"/>
                <w:kern w:val="0"/>
                <w:szCs w:val="24"/>
                <w:highlight w:val="none"/>
              </w:rPr>
            </w:pPr>
          </w:p>
        </w:tc>
        <w:tc>
          <w:tcPr>
            <w:tcW w:w="1541" w:type="dxa"/>
            <w:tcBorders>
              <w:top w:val="single" w:color="auto" w:sz="6" w:space="0"/>
              <w:left w:val="single" w:color="auto" w:sz="6" w:space="0"/>
              <w:bottom w:val="single" w:color="auto" w:sz="6" w:space="0"/>
              <w:right w:val="single" w:color="auto" w:sz="6" w:space="0"/>
            </w:tcBorders>
            <w:vAlign w:val="center"/>
          </w:tcPr>
          <w:p w14:paraId="2364C4C1">
            <w:pPr>
              <w:keepNext w:val="0"/>
              <w:keepLines w:val="0"/>
              <w:suppressLineNumbers w:val="0"/>
              <w:wordWrap w:val="0"/>
              <w:adjustRightInd w:val="0"/>
              <w:snapToGrid w:val="0"/>
              <w:spacing w:before="0" w:beforeAutospacing="0" w:after="0" w:afterAutospacing="0"/>
              <w:ind w:left="0" w:right="0"/>
              <w:jc w:val="center"/>
              <w:rPr>
                <w:rFonts w:hint="default" w:asciiTheme="minorEastAsia" w:hAnsiTheme="minorEastAsia" w:eastAsiaTheme="minorEastAsia" w:cstheme="minorEastAsia"/>
                <w:snapToGrid w:val="0"/>
                <w:color w:val="auto"/>
                <w:kern w:val="0"/>
                <w:szCs w:val="24"/>
                <w:highlight w:val="none"/>
              </w:rPr>
            </w:pPr>
          </w:p>
        </w:tc>
        <w:tc>
          <w:tcPr>
            <w:tcW w:w="2169" w:type="dxa"/>
            <w:tcBorders>
              <w:top w:val="single" w:color="auto" w:sz="6" w:space="0"/>
              <w:left w:val="single" w:color="auto" w:sz="6" w:space="0"/>
              <w:bottom w:val="single" w:color="auto" w:sz="6" w:space="0"/>
              <w:right w:val="single" w:color="auto" w:sz="6" w:space="0"/>
            </w:tcBorders>
            <w:vAlign w:val="center"/>
          </w:tcPr>
          <w:p w14:paraId="25DE0006">
            <w:pPr>
              <w:keepNext w:val="0"/>
              <w:keepLines w:val="0"/>
              <w:suppressLineNumbers w:val="0"/>
              <w:wordWrap w:val="0"/>
              <w:adjustRightInd w:val="0"/>
              <w:snapToGrid w:val="0"/>
              <w:spacing w:before="0" w:beforeAutospacing="0" w:after="0" w:afterAutospacing="0"/>
              <w:ind w:left="0" w:right="0"/>
              <w:jc w:val="center"/>
              <w:rPr>
                <w:rFonts w:hint="default" w:asciiTheme="minorEastAsia" w:hAnsiTheme="minorEastAsia" w:eastAsiaTheme="minorEastAsia" w:cstheme="minorEastAsia"/>
                <w:snapToGrid w:val="0"/>
                <w:color w:val="auto"/>
                <w:kern w:val="0"/>
                <w:szCs w:val="24"/>
                <w:highlight w:val="none"/>
              </w:rPr>
            </w:pPr>
          </w:p>
        </w:tc>
      </w:tr>
      <w:tr w14:paraId="43624A5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513" w:hRule="exact"/>
        </w:trPr>
        <w:tc>
          <w:tcPr>
            <w:tcW w:w="744" w:type="dxa"/>
            <w:tcBorders>
              <w:top w:val="single" w:color="auto" w:sz="6" w:space="0"/>
              <w:left w:val="single" w:color="auto" w:sz="6" w:space="0"/>
              <w:bottom w:val="single" w:color="auto" w:sz="6" w:space="0"/>
              <w:right w:val="single" w:color="auto" w:sz="6" w:space="0"/>
            </w:tcBorders>
            <w:vAlign w:val="center"/>
          </w:tcPr>
          <w:p w14:paraId="700D952A">
            <w:pPr>
              <w:keepNext w:val="0"/>
              <w:keepLines w:val="0"/>
              <w:suppressLineNumbers w:val="0"/>
              <w:wordWrap w:val="0"/>
              <w:adjustRightInd w:val="0"/>
              <w:snapToGrid w:val="0"/>
              <w:spacing w:before="0" w:beforeAutospacing="0" w:after="0" w:afterAutospacing="0"/>
              <w:ind w:left="0" w:right="0"/>
              <w:jc w:val="center"/>
              <w:rPr>
                <w:rFonts w:hint="default" w:asciiTheme="minorEastAsia" w:hAnsiTheme="minorEastAsia" w:eastAsiaTheme="minorEastAsia" w:cstheme="minorEastAsia"/>
                <w:snapToGrid w:val="0"/>
                <w:color w:val="auto"/>
                <w:kern w:val="0"/>
                <w:szCs w:val="24"/>
                <w:highlight w:val="none"/>
              </w:rPr>
            </w:pPr>
            <w:r>
              <w:rPr>
                <w:rFonts w:asciiTheme="minorEastAsia" w:hAnsiTheme="minorEastAsia" w:eastAsiaTheme="minorEastAsia" w:cstheme="minorEastAsia"/>
                <w:snapToGrid w:val="0"/>
                <w:color w:val="auto"/>
                <w:kern w:val="0"/>
                <w:szCs w:val="24"/>
                <w:highlight w:val="none"/>
              </w:rPr>
              <w:t>7</w:t>
            </w:r>
          </w:p>
        </w:tc>
        <w:tc>
          <w:tcPr>
            <w:tcW w:w="1424" w:type="dxa"/>
            <w:tcBorders>
              <w:top w:val="single" w:color="auto" w:sz="6" w:space="0"/>
              <w:left w:val="single" w:color="auto" w:sz="6" w:space="0"/>
              <w:bottom w:val="single" w:color="auto" w:sz="6" w:space="0"/>
              <w:right w:val="single" w:color="auto" w:sz="6" w:space="0"/>
            </w:tcBorders>
            <w:vAlign w:val="center"/>
          </w:tcPr>
          <w:p w14:paraId="2FEC4DE7">
            <w:pPr>
              <w:keepNext w:val="0"/>
              <w:keepLines w:val="0"/>
              <w:suppressLineNumbers w:val="0"/>
              <w:wordWrap w:val="0"/>
              <w:adjustRightInd w:val="0"/>
              <w:snapToGrid w:val="0"/>
              <w:spacing w:before="0" w:beforeAutospacing="0" w:after="0" w:afterAutospacing="0"/>
              <w:ind w:left="0" w:right="0"/>
              <w:jc w:val="center"/>
              <w:rPr>
                <w:rFonts w:hint="default" w:asciiTheme="minorEastAsia" w:hAnsiTheme="minorEastAsia" w:eastAsiaTheme="minorEastAsia" w:cstheme="minorEastAsia"/>
                <w:snapToGrid w:val="0"/>
                <w:color w:val="auto"/>
                <w:kern w:val="0"/>
                <w:szCs w:val="24"/>
                <w:highlight w:val="none"/>
              </w:rPr>
            </w:pPr>
            <w:r>
              <w:rPr>
                <w:rFonts w:asciiTheme="minorEastAsia" w:hAnsiTheme="minorEastAsia" w:eastAsiaTheme="minorEastAsia" w:cstheme="minorEastAsia"/>
                <w:snapToGrid w:val="0"/>
                <w:color w:val="auto"/>
                <w:kern w:val="0"/>
                <w:szCs w:val="24"/>
                <w:highlight w:val="none"/>
              </w:rPr>
              <w:t>材料员</w:t>
            </w:r>
          </w:p>
        </w:tc>
        <w:tc>
          <w:tcPr>
            <w:tcW w:w="1358" w:type="dxa"/>
            <w:tcBorders>
              <w:top w:val="single" w:color="auto" w:sz="6" w:space="0"/>
              <w:left w:val="single" w:color="auto" w:sz="6" w:space="0"/>
              <w:bottom w:val="single" w:color="auto" w:sz="6" w:space="0"/>
              <w:right w:val="single" w:color="auto" w:sz="6" w:space="0"/>
            </w:tcBorders>
            <w:vAlign w:val="center"/>
          </w:tcPr>
          <w:p w14:paraId="50EAEEAD">
            <w:pPr>
              <w:keepNext w:val="0"/>
              <w:keepLines w:val="0"/>
              <w:suppressLineNumbers w:val="0"/>
              <w:wordWrap w:val="0"/>
              <w:adjustRightInd w:val="0"/>
              <w:snapToGrid w:val="0"/>
              <w:spacing w:before="0" w:beforeAutospacing="0" w:after="0" w:afterAutospacing="0"/>
              <w:ind w:left="0" w:right="0"/>
              <w:jc w:val="center"/>
              <w:rPr>
                <w:rFonts w:hint="default" w:asciiTheme="minorEastAsia" w:hAnsiTheme="minorEastAsia" w:eastAsiaTheme="minorEastAsia" w:cstheme="minorEastAsia"/>
                <w:snapToGrid w:val="0"/>
                <w:color w:val="auto"/>
                <w:kern w:val="0"/>
                <w:szCs w:val="24"/>
                <w:highlight w:val="none"/>
              </w:rPr>
            </w:pPr>
          </w:p>
        </w:tc>
        <w:tc>
          <w:tcPr>
            <w:tcW w:w="902" w:type="dxa"/>
            <w:tcBorders>
              <w:top w:val="single" w:color="auto" w:sz="6" w:space="0"/>
              <w:left w:val="single" w:color="auto" w:sz="6" w:space="0"/>
              <w:bottom w:val="single" w:color="auto" w:sz="6" w:space="0"/>
              <w:right w:val="single" w:color="auto" w:sz="6" w:space="0"/>
            </w:tcBorders>
            <w:vAlign w:val="center"/>
          </w:tcPr>
          <w:p w14:paraId="3F3A4DFE">
            <w:pPr>
              <w:keepNext w:val="0"/>
              <w:keepLines w:val="0"/>
              <w:suppressLineNumbers w:val="0"/>
              <w:wordWrap w:val="0"/>
              <w:adjustRightInd w:val="0"/>
              <w:snapToGrid w:val="0"/>
              <w:spacing w:before="0" w:beforeAutospacing="0" w:after="0" w:afterAutospacing="0"/>
              <w:ind w:left="0" w:right="0"/>
              <w:jc w:val="center"/>
              <w:rPr>
                <w:rFonts w:hint="default" w:asciiTheme="minorEastAsia" w:hAnsiTheme="minorEastAsia" w:eastAsiaTheme="minorEastAsia" w:cstheme="minorEastAsia"/>
                <w:snapToGrid w:val="0"/>
                <w:color w:val="auto"/>
                <w:kern w:val="0"/>
                <w:szCs w:val="24"/>
                <w:highlight w:val="none"/>
              </w:rPr>
            </w:pPr>
          </w:p>
        </w:tc>
        <w:tc>
          <w:tcPr>
            <w:tcW w:w="819" w:type="dxa"/>
            <w:tcBorders>
              <w:top w:val="single" w:color="auto" w:sz="6" w:space="0"/>
              <w:left w:val="single" w:color="auto" w:sz="6" w:space="0"/>
              <w:bottom w:val="single" w:color="auto" w:sz="6" w:space="0"/>
              <w:right w:val="single" w:color="auto" w:sz="6" w:space="0"/>
            </w:tcBorders>
            <w:vAlign w:val="center"/>
          </w:tcPr>
          <w:p w14:paraId="12B995ED">
            <w:pPr>
              <w:keepNext w:val="0"/>
              <w:keepLines w:val="0"/>
              <w:suppressLineNumbers w:val="0"/>
              <w:wordWrap w:val="0"/>
              <w:adjustRightInd w:val="0"/>
              <w:snapToGrid w:val="0"/>
              <w:spacing w:before="0" w:beforeAutospacing="0" w:after="0" w:afterAutospacing="0"/>
              <w:ind w:left="0" w:right="0"/>
              <w:jc w:val="center"/>
              <w:rPr>
                <w:rFonts w:hint="default" w:asciiTheme="minorEastAsia" w:hAnsiTheme="minorEastAsia" w:eastAsiaTheme="minorEastAsia" w:cstheme="minorEastAsia"/>
                <w:snapToGrid w:val="0"/>
                <w:color w:val="auto"/>
                <w:kern w:val="0"/>
                <w:szCs w:val="24"/>
                <w:highlight w:val="none"/>
              </w:rPr>
            </w:pPr>
          </w:p>
        </w:tc>
        <w:tc>
          <w:tcPr>
            <w:tcW w:w="1541" w:type="dxa"/>
            <w:tcBorders>
              <w:top w:val="single" w:color="auto" w:sz="6" w:space="0"/>
              <w:left w:val="single" w:color="auto" w:sz="6" w:space="0"/>
              <w:bottom w:val="single" w:color="auto" w:sz="6" w:space="0"/>
              <w:right w:val="single" w:color="auto" w:sz="6" w:space="0"/>
            </w:tcBorders>
            <w:vAlign w:val="center"/>
          </w:tcPr>
          <w:p w14:paraId="3167B692">
            <w:pPr>
              <w:keepNext w:val="0"/>
              <w:keepLines w:val="0"/>
              <w:suppressLineNumbers w:val="0"/>
              <w:wordWrap w:val="0"/>
              <w:adjustRightInd w:val="0"/>
              <w:snapToGrid w:val="0"/>
              <w:spacing w:before="0" w:beforeAutospacing="0" w:after="0" w:afterAutospacing="0"/>
              <w:ind w:left="0" w:right="0"/>
              <w:jc w:val="center"/>
              <w:rPr>
                <w:rFonts w:hint="default" w:asciiTheme="minorEastAsia" w:hAnsiTheme="minorEastAsia" w:eastAsiaTheme="minorEastAsia" w:cstheme="minorEastAsia"/>
                <w:snapToGrid w:val="0"/>
                <w:color w:val="auto"/>
                <w:kern w:val="0"/>
                <w:szCs w:val="24"/>
                <w:highlight w:val="none"/>
              </w:rPr>
            </w:pPr>
          </w:p>
        </w:tc>
        <w:tc>
          <w:tcPr>
            <w:tcW w:w="2169" w:type="dxa"/>
            <w:tcBorders>
              <w:top w:val="single" w:color="auto" w:sz="6" w:space="0"/>
              <w:left w:val="single" w:color="auto" w:sz="6" w:space="0"/>
              <w:bottom w:val="single" w:color="auto" w:sz="6" w:space="0"/>
              <w:right w:val="single" w:color="auto" w:sz="6" w:space="0"/>
            </w:tcBorders>
            <w:vAlign w:val="center"/>
          </w:tcPr>
          <w:p w14:paraId="7CBFD350">
            <w:pPr>
              <w:keepNext w:val="0"/>
              <w:keepLines w:val="0"/>
              <w:suppressLineNumbers w:val="0"/>
              <w:wordWrap w:val="0"/>
              <w:adjustRightInd w:val="0"/>
              <w:snapToGrid w:val="0"/>
              <w:spacing w:before="0" w:beforeAutospacing="0" w:after="0" w:afterAutospacing="0"/>
              <w:ind w:left="0" w:right="0"/>
              <w:jc w:val="center"/>
              <w:rPr>
                <w:rFonts w:hint="default" w:asciiTheme="minorEastAsia" w:hAnsiTheme="minorEastAsia" w:eastAsiaTheme="minorEastAsia" w:cstheme="minorEastAsia"/>
                <w:snapToGrid w:val="0"/>
                <w:color w:val="auto"/>
                <w:kern w:val="0"/>
                <w:szCs w:val="24"/>
                <w:highlight w:val="none"/>
              </w:rPr>
            </w:pPr>
          </w:p>
        </w:tc>
      </w:tr>
      <w:tr w14:paraId="045FD60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513" w:hRule="exact"/>
        </w:trPr>
        <w:tc>
          <w:tcPr>
            <w:tcW w:w="744" w:type="dxa"/>
            <w:tcBorders>
              <w:top w:val="single" w:color="auto" w:sz="6" w:space="0"/>
              <w:left w:val="single" w:color="auto" w:sz="6" w:space="0"/>
              <w:bottom w:val="single" w:color="auto" w:sz="6" w:space="0"/>
              <w:right w:val="single" w:color="auto" w:sz="6" w:space="0"/>
            </w:tcBorders>
            <w:vAlign w:val="center"/>
          </w:tcPr>
          <w:p w14:paraId="54E97E63">
            <w:pPr>
              <w:keepNext w:val="0"/>
              <w:keepLines w:val="0"/>
              <w:suppressLineNumbers w:val="0"/>
              <w:wordWrap w:val="0"/>
              <w:adjustRightInd w:val="0"/>
              <w:snapToGrid w:val="0"/>
              <w:spacing w:before="0" w:beforeAutospacing="0" w:after="0" w:afterAutospacing="0"/>
              <w:ind w:left="0" w:right="0"/>
              <w:jc w:val="center"/>
              <w:rPr>
                <w:rFonts w:hint="default" w:asciiTheme="minorEastAsia" w:hAnsiTheme="minorEastAsia" w:eastAsiaTheme="minorEastAsia" w:cstheme="minorEastAsia"/>
                <w:snapToGrid w:val="0"/>
                <w:color w:val="auto"/>
                <w:kern w:val="0"/>
                <w:szCs w:val="24"/>
                <w:highlight w:val="none"/>
              </w:rPr>
            </w:pPr>
            <w:r>
              <w:rPr>
                <w:rFonts w:asciiTheme="minorEastAsia" w:hAnsiTheme="minorEastAsia" w:eastAsiaTheme="minorEastAsia" w:cstheme="minorEastAsia"/>
                <w:snapToGrid w:val="0"/>
                <w:color w:val="auto"/>
                <w:kern w:val="0"/>
                <w:szCs w:val="24"/>
                <w:highlight w:val="none"/>
              </w:rPr>
              <w:t>8</w:t>
            </w:r>
          </w:p>
        </w:tc>
        <w:tc>
          <w:tcPr>
            <w:tcW w:w="1424" w:type="dxa"/>
            <w:tcBorders>
              <w:top w:val="single" w:color="auto" w:sz="6" w:space="0"/>
              <w:left w:val="single" w:color="auto" w:sz="6" w:space="0"/>
              <w:bottom w:val="single" w:color="auto" w:sz="6" w:space="0"/>
              <w:right w:val="single" w:color="auto" w:sz="6" w:space="0"/>
            </w:tcBorders>
            <w:vAlign w:val="center"/>
          </w:tcPr>
          <w:p w14:paraId="59E4F419">
            <w:pPr>
              <w:keepNext w:val="0"/>
              <w:keepLines w:val="0"/>
              <w:suppressLineNumbers w:val="0"/>
              <w:wordWrap w:val="0"/>
              <w:adjustRightInd w:val="0"/>
              <w:snapToGrid w:val="0"/>
              <w:spacing w:before="0" w:beforeAutospacing="0" w:after="0" w:afterAutospacing="0"/>
              <w:ind w:left="0" w:right="0"/>
              <w:jc w:val="center"/>
              <w:rPr>
                <w:rFonts w:hint="default" w:asciiTheme="minorEastAsia" w:hAnsiTheme="minorEastAsia" w:eastAsiaTheme="minorEastAsia" w:cstheme="minorEastAsia"/>
                <w:snapToGrid w:val="0"/>
                <w:color w:val="auto"/>
                <w:kern w:val="0"/>
                <w:szCs w:val="24"/>
                <w:highlight w:val="none"/>
              </w:rPr>
            </w:pPr>
            <w:r>
              <w:rPr>
                <w:rFonts w:asciiTheme="minorEastAsia" w:hAnsiTheme="minorEastAsia" w:eastAsiaTheme="minorEastAsia" w:cstheme="minorEastAsia"/>
                <w:snapToGrid w:val="0"/>
                <w:color w:val="auto"/>
                <w:kern w:val="0"/>
                <w:szCs w:val="24"/>
                <w:highlight w:val="none"/>
              </w:rPr>
              <w:t>资料员</w:t>
            </w:r>
          </w:p>
        </w:tc>
        <w:tc>
          <w:tcPr>
            <w:tcW w:w="1358" w:type="dxa"/>
            <w:tcBorders>
              <w:top w:val="single" w:color="auto" w:sz="6" w:space="0"/>
              <w:left w:val="single" w:color="auto" w:sz="6" w:space="0"/>
              <w:bottom w:val="single" w:color="auto" w:sz="6" w:space="0"/>
              <w:right w:val="single" w:color="auto" w:sz="6" w:space="0"/>
            </w:tcBorders>
            <w:vAlign w:val="center"/>
          </w:tcPr>
          <w:p w14:paraId="236F8C13">
            <w:pPr>
              <w:keepNext w:val="0"/>
              <w:keepLines w:val="0"/>
              <w:suppressLineNumbers w:val="0"/>
              <w:wordWrap w:val="0"/>
              <w:adjustRightInd w:val="0"/>
              <w:snapToGrid w:val="0"/>
              <w:spacing w:before="0" w:beforeAutospacing="0" w:after="0" w:afterAutospacing="0"/>
              <w:ind w:left="0" w:right="0"/>
              <w:jc w:val="center"/>
              <w:rPr>
                <w:rFonts w:hint="default" w:asciiTheme="minorEastAsia" w:hAnsiTheme="minorEastAsia" w:eastAsiaTheme="minorEastAsia" w:cstheme="minorEastAsia"/>
                <w:snapToGrid w:val="0"/>
                <w:color w:val="auto"/>
                <w:kern w:val="0"/>
                <w:szCs w:val="24"/>
                <w:highlight w:val="none"/>
              </w:rPr>
            </w:pPr>
          </w:p>
        </w:tc>
        <w:tc>
          <w:tcPr>
            <w:tcW w:w="902" w:type="dxa"/>
            <w:tcBorders>
              <w:top w:val="single" w:color="auto" w:sz="6" w:space="0"/>
              <w:left w:val="single" w:color="auto" w:sz="6" w:space="0"/>
              <w:bottom w:val="single" w:color="auto" w:sz="6" w:space="0"/>
              <w:right w:val="single" w:color="auto" w:sz="6" w:space="0"/>
            </w:tcBorders>
            <w:vAlign w:val="center"/>
          </w:tcPr>
          <w:p w14:paraId="401B2808">
            <w:pPr>
              <w:keepNext w:val="0"/>
              <w:keepLines w:val="0"/>
              <w:suppressLineNumbers w:val="0"/>
              <w:wordWrap w:val="0"/>
              <w:adjustRightInd w:val="0"/>
              <w:snapToGrid w:val="0"/>
              <w:spacing w:before="0" w:beforeAutospacing="0" w:after="0" w:afterAutospacing="0"/>
              <w:ind w:left="0" w:right="0"/>
              <w:jc w:val="center"/>
              <w:rPr>
                <w:rFonts w:hint="default" w:asciiTheme="minorEastAsia" w:hAnsiTheme="minorEastAsia" w:eastAsiaTheme="minorEastAsia" w:cstheme="minorEastAsia"/>
                <w:snapToGrid w:val="0"/>
                <w:color w:val="auto"/>
                <w:kern w:val="0"/>
                <w:szCs w:val="24"/>
                <w:highlight w:val="none"/>
              </w:rPr>
            </w:pPr>
          </w:p>
        </w:tc>
        <w:tc>
          <w:tcPr>
            <w:tcW w:w="819" w:type="dxa"/>
            <w:tcBorders>
              <w:top w:val="single" w:color="auto" w:sz="6" w:space="0"/>
              <w:left w:val="single" w:color="auto" w:sz="6" w:space="0"/>
              <w:bottom w:val="single" w:color="auto" w:sz="6" w:space="0"/>
              <w:right w:val="single" w:color="auto" w:sz="6" w:space="0"/>
            </w:tcBorders>
            <w:vAlign w:val="center"/>
          </w:tcPr>
          <w:p w14:paraId="2120BC58">
            <w:pPr>
              <w:keepNext w:val="0"/>
              <w:keepLines w:val="0"/>
              <w:suppressLineNumbers w:val="0"/>
              <w:wordWrap w:val="0"/>
              <w:adjustRightInd w:val="0"/>
              <w:snapToGrid w:val="0"/>
              <w:spacing w:before="0" w:beforeAutospacing="0" w:after="0" w:afterAutospacing="0"/>
              <w:ind w:left="0" w:right="0"/>
              <w:jc w:val="center"/>
              <w:rPr>
                <w:rFonts w:hint="default" w:asciiTheme="minorEastAsia" w:hAnsiTheme="minorEastAsia" w:eastAsiaTheme="minorEastAsia" w:cstheme="minorEastAsia"/>
                <w:snapToGrid w:val="0"/>
                <w:color w:val="auto"/>
                <w:kern w:val="0"/>
                <w:szCs w:val="24"/>
                <w:highlight w:val="none"/>
              </w:rPr>
            </w:pPr>
          </w:p>
        </w:tc>
        <w:tc>
          <w:tcPr>
            <w:tcW w:w="1541" w:type="dxa"/>
            <w:tcBorders>
              <w:top w:val="single" w:color="auto" w:sz="6" w:space="0"/>
              <w:left w:val="single" w:color="auto" w:sz="6" w:space="0"/>
              <w:bottom w:val="single" w:color="auto" w:sz="6" w:space="0"/>
              <w:right w:val="single" w:color="auto" w:sz="6" w:space="0"/>
            </w:tcBorders>
            <w:vAlign w:val="center"/>
          </w:tcPr>
          <w:p w14:paraId="5FE10C5B">
            <w:pPr>
              <w:keepNext w:val="0"/>
              <w:keepLines w:val="0"/>
              <w:suppressLineNumbers w:val="0"/>
              <w:wordWrap w:val="0"/>
              <w:adjustRightInd w:val="0"/>
              <w:snapToGrid w:val="0"/>
              <w:spacing w:before="0" w:beforeAutospacing="0" w:after="0" w:afterAutospacing="0"/>
              <w:ind w:left="0" w:right="0"/>
              <w:jc w:val="center"/>
              <w:rPr>
                <w:rFonts w:hint="default" w:asciiTheme="minorEastAsia" w:hAnsiTheme="minorEastAsia" w:eastAsiaTheme="minorEastAsia" w:cstheme="minorEastAsia"/>
                <w:snapToGrid w:val="0"/>
                <w:color w:val="auto"/>
                <w:kern w:val="0"/>
                <w:szCs w:val="24"/>
                <w:highlight w:val="none"/>
              </w:rPr>
            </w:pPr>
          </w:p>
        </w:tc>
        <w:tc>
          <w:tcPr>
            <w:tcW w:w="2169" w:type="dxa"/>
            <w:tcBorders>
              <w:top w:val="single" w:color="auto" w:sz="6" w:space="0"/>
              <w:left w:val="single" w:color="auto" w:sz="6" w:space="0"/>
              <w:bottom w:val="single" w:color="auto" w:sz="6" w:space="0"/>
              <w:right w:val="single" w:color="auto" w:sz="6" w:space="0"/>
            </w:tcBorders>
            <w:vAlign w:val="center"/>
          </w:tcPr>
          <w:p w14:paraId="10943BF1">
            <w:pPr>
              <w:keepNext w:val="0"/>
              <w:keepLines w:val="0"/>
              <w:suppressLineNumbers w:val="0"/>
              <w:wordWrap w:val="0"/>
              <w:adjustRightInd w:val="0"/>
              <w:snapToGrid w:val="0"/>
              <w:spacing w:before="0" w:beforeAutospacing="0" w:after="0" w:afterAutospacing="0"/>
              <w:ind w:left="0" w:right="0"/>
              <w:jc w:val="center"/>
              <w:rPr>
                <w:rFonts w:hint="default" w:asciiTheme="minorEastAsia" w:hAnsiTheme="minorEastAsia" w:eastAsiaTheme="minorEastAsia" w:cstheme="minorEastAsia"/>
                <w:snapToGrid w:val="0"/>
                <w:color w:val="auto"/>
                <w:kern w:val="0"/>
                <w:szCs w:val="24"/>
                <w:highlight w:val="none"/>
              </w:rPr>
            </w:pPr>
          </w:p>
        </w:tc>
      </w:tr>
      <w:tr w14:paraId="6836BF30">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513" w:hRule="exact"/>
        </w:trPr>
        <w:tc>
          <w:tcPr>
            <w:tcW w:w="744" w:type="dxa"/>
            <w:tcBorders>
              <w:top w:val="single" w:color="auto" w:sz="6" w:space="0"/>
              <w:left w:val="single" w:color="auto" w:sz="6" w:space="0"/>
              <w:bottom w:val="single" w:color="auto" w:sz="6" w:space="0"/>
              <w:right w:val="single" w:color="auto" w:sz="6" w:space="0"/>
            </w:tcBorders>
            <w:vAlign w:val="center"/>
          </w:tcPr>
          <w:p w14:paraId="753AAD6C">
            <w:pPr>
              <w:keepNext w:val="0"/>
              <w:keepLines w:val="0"/>
              <w:suppressLineNumbers w:val="0"/>
              <w:wordWrap w:val="0"/>
              <w:adjustRightInd w:val="0"/>
              <w:snapToGrid w:val="0"/>
              <w:spacing w:before="0" w:beforeAutospacing="0" w:after="0" w:afterAutospacing="0"/>
              <w:ind w:left="0" w:right="0"/>
              <w:jc w:val="center"/>
              <w:rPr>
                <w:rFonts w:hint="default" w:asciiTheme="minorEastAsia" w:hAnsiTheme="minorEastAsia" w:eastAsiaTheme="minorEastAsia" w:cstheme="minorEastAsia"/>
                <w:snapToGrid w:val="0"/>
                <w:color w:val="auto"/>
                <w:kern w:val="0"/>
                <w:szCs w:val="24"/>
                <w:highlight w:val="none"/>
              </w:rPr>
            </w:pPr>
            <w:r>
              <w:rPr>
                <w:rFonts w:asciiTheme="minorEastAsia" w:hAnsiTheme="minorEastAsia" w:eastAsiaTheme="minorEastAsia" w:cstheme="minorEastAsia"/>
                <w:snapToGrid w:val="0"/>
                <w:color w:val="auto"/>
                <w:kern w:val="0"/>
                <w:szCs w:val="24"/>
                <w:highlight w:val="none"/>
              </w:rPr>
              <w:t>9</w:t>
            </w:r>
          </w:p>
        </w:tc>
        <w:tc>
          <w:tcPr>
            <w:tcW w:w="1424" w:type="dxa"/>
            <w:tcBorders>
              <w:top w:val="single" w:color="auto" w:sz="6" w:space="0"/>
              <w:left w:val="single" w:color="auto" w:sz="6" w:space="0"/>
              <w:bottom w:val="single" w:color="auto" w:sz="6" w:space="0"/>
              <w:right w:val="single" w:color="auto" w:sz="6" w:space="0"/>
            </w:tcBorders>
            <w:vAlign w:val="center"/>
          </w:tcPr>
          <w:p w14:paraId="45B2BFFD">
            <w:pPr>
              <w:keepNext w:val="0"/>
              <w:keepLines w:val="0"/>
              <w:suppressLineNumbers w:val="0"/>
              <w:wordWrap w:val="0"/>
              <w:adjustRightInd w:val="0"/>
              <w:snapToGrid w:val="0"/>
              <w:spacing w:before="0" w:beforeAutospacing="0" w:after="0" w:afterAutospacing="0"/>
              <w:ind w:left="0" w:right="0"/>
              <w:jc w:val="center"/>
              <w:rPr>
                <w:rFonts w:hint="default" w:asciiTheme="minorEastAsia" w:hAnsiTheme="minorEastAsia" w:eastAsiaTheme="minorEastAsia" w:cstheme="minorEastAsia"/>
                <w:snapToGrid w:val="0"/>
                <w:color w:val="auto"/>
                <w:kern w:val="0"/>
                <w:szCs w:val="24"/>
                <w:highlight w:val="none"/>
              </w:rPr>
            </w:pPr>
            <w:r>
              <w:rPr>
                <w:rFonts w:asciiTheme="minorEastAsia" w:hAnsiTheme="minorEastAsia" w:eastAsiaTheme="minorEastAsia" w:cstheme="minorEastAsia"/>
                <w:snapToGrid w:val="0"/>
                <w:color w:val="auto"/>
                <w:kern w:val="0"/>
                <w:szCs w:val="24"/>
                <w:highlight w:val="none"/>
              </w:rPr>
              <w:t>造价员</w:t>
            </w:r>
          </w:p>
        </w:tc>
        <w:tc>
          <w:tcPr>
            <w:tcW w:w="1358" w:type="dxa"/>
            <w:tcBorders>
              <w:top w:val="single" w:color="auto" w:sz="6" w:space="0"/>
              <w:left w:val="single" w:color="auto" w:sz="6" w:space="0"/>
              <w:bottom w:val="single" w:color="auto" w:sz="6" w:space="0"/>
              <w:right w:val="single" w:color="auto" w:sz="6" w:space="0"/>
            </w:tcBorders>
            <w:vAlign w:val="center"/>
          </w:tcPr>
          <w:p w14:paraId="026DB257">
            <w:pPr>
              <w:keepNext w:val="0"/>
              <w:keepLines w:val="0"/>
              <w:suppressLineNumbers w:val="0"/>
              <w:wordWrap w:val="0"/>
              <w:adjustRightInd w:val="0"/>
              <w:snapToGrid w:val="0"/>
              <w:spacing w:before="0" w:beforeAutospacing="0" w:after="0" w:afterAutospacing="0"/>
              <w:ind w:left="0" w:right="0"/>
              <w:jc w:val="center"/>
              <w:rPr>
                <w:rFonts w:hint="default" w:asciiTheme="minorEastAsia" w:hAnsiTheme="minorEastAsia" w:eastAsiaTheme="minorEastAsia" w:cstheme="minorEastAsia"/>
                <w:snapToGrid w:val="0"/>
                <w:color w:val="auto"/>
                <w:kern w:val="0"/>
                <w:szCs w:val="24"/>
                <w:highlight w:val="none"/>
              </w:rPr>
            </w:pPr>
          </w:p>
        </w:tc>
        <w:tc>
          <w:tcPr>
            <w:tcW w:w="902" w:type="dxa"/>
            <w:tcBorders>
              <w:top w:val="single" w:color="auto" w:sz="6" w:space="0"/>
              <w:left w:val="single" w:color="auto" w:sz="6" w:space="0"/>
              <w:bottom w:val="single" w:color="auto" w:sz="6" w:space="0"/>
              <w:right w:val="single" w:color="auto" w:sz="6" w:space="0"/>
            </w:tcBorders>
            <w:vAlign w:val="center"/>
          </w:tcPr>
          <w:p w14:paraId="397EEBAC">
            <w:pPr>
              <w:keepNext w:val="0"/>
              <w:keepLines w:val="0"/>
              <w:suppressLineNumbers w:val="0"/>
              <w:wordWrap w:val="0"/>
              <w:adjustRightInd w:val="0"/>
              <w:snapToGrid w:val="0"/>
              <w:spacing w:before="0" w:beforeAutospacing="0" w:after="0" w:afterAutospacing="0"/>
              <w:ind w:left="0" w:right="0"/>
              <w:jc w:val="center"/>
              <w:rPr>
                <w:rFonts w:hint="default" w:asciiTheme="minorEastAsia" w:hAnsiTheme="minorEastAsia" w:eastAsiaTheme="minorEastAsia" w:cstheme="minorEastAsia"/>
                <w:snapToGrid w:val="0"/>
                <w:color w:val="auto"/>
                <w:kern w:val="0"/>
                <w:szCs w:val="24"/>
                <w:highlight w:val="none"/>
              </w:rPr>
            </w:pPr>
          </w:p>
        </w:tc>
        <w:tc>
          <w:tcPr>
            <w:tcW w:w="819" w:type="dxa"/>
            <w:tcBorders>
              <w:top w:val="single" w:color="auto" w:sz="6" w:space="0"/>
              <w:left w:val="single" w:color="auto" w:sz="6" w:space="0"/>
              <w:bottom w:val="single" w:color="auto" w:sz="6" w:space="0"/>
              <w:right w:val="single" w:color="auto" w:sz="6" w:space="0"/>
            </w:tcBorders>
            <w:vAlign w:val="center"/>
          </w:tcPr>
          <w:p w14:paraId="5D376CD2">
            <w:pPr>
              <w:keepNext w:val="0"/>
              <w:keepLines w:val="0"/>
              <w:suppressLineNumbers w:val="0"/>
              <w:wordWrap w:val="0"/>
              <w:adjustRightInd w:val="0"/>
              <w:snapToGrid w:val="0"/>
              <w:spacing w:before="0" w:beforeAutospacing="0" w:after="0" w:afterAutospacing="0"/>
              <w:ind w:left="0" w:right="0"/>
              <w:jc w:val="center"/>
              <w:rPr>
                <w:rFonts w:hint="default" w:asciiTheme="minorEastAsia" w:hAnsiTheme="minorEastAsia" w:eastAsiaTheme="minorEastAsia" w:cstheme="minorEastAsia"/>
                <w:snapToGrid w:val="0"/>
                <w:color w:val="auto"/>
                <w:kern w:val="0"/>
                <w:szCs w:val="24"/>
                <w:highlight w:val="none"/>
              </w:rPr>
            </w:pPr>
          </w:p>
        </w:tc>
        <w:tc>
          <w:tcPr>
            <w:tcW w:w="1541" w:type="dxa"/>
            <w:tcBorders>
              <w:top w:val="single" w:color="auto" w:sz="6" w:space="0"/>
              <w:left w:val="single" w:color="auto" w:sz="6" w:space="0"/>
              <w:bottom w:val="single" w:color="auto" w:sz="6" w:space="0"/>
              <w:right w:val="single" w:color="auto" w:sz="6" w:space="0"/>
            </w:tcBorders>
            <w:vAlign w:val="center"/>
          </w:tcPr>
          <w:p w14:paraId="50D4A94E">
            <w:pPr>
              <w:keepNext w:val="0"/>
              <w:keepLines w:val="0"/>
              <w:suppressLineNumbers w:val="0"/>
              <w:wordWrap w:val="0"/>
              <w:adjustRightInd w:val="0"/>
              <w:snapToGrid w:val="0"/>
              <w:spacing w:before="0" w:beforeAutospacing="0" w:after="0" w:afterAutospacing="0"/>
              <w:ind w:left="0" w:right="0"/>
              <w:jc w:val="center"/>
              <w:rPr>
                <w:rFonts w:hint="default" w:asciiTheme="minorEastAsia" w:hAnsiTheme="minorEastAsia" w:eastAsiaTheme="minorEastAsia" w:cstheme="minorEastAsia"/>
                <w:snapToGrid w:val="0"/>
                <w:color w:val="auto"/>
                <w:kern w:val="0"/>
                <w:szCs w:val="24"/>
                <w:highlight w:val="none"/>
              </w:rPr>
            </w:pPr>
          </w:p>
        </w:tc>
        <w:tc>
          <w:tcPr>
            <w:tcW w:w="2169" w:type="dxa"/>
            <w:tcBorders>
              <w:top w:val="single" w:color="auto" w:sz="6" w:space="0"/>
              <w:left w:val="single" w:color="auto" w:sz="6" w:space="0"/>
              <w:bottom w:val="single" w:color="auto" w:sz="6" w:space="0"/>
              <w:right w:val="single" w:color="auto" w:sz="6" w:space="0"/>
            </w:tcBorders>
            <w:vAlign w:val="center"/>
          </w:tcPr>
          <w:p w14:paraId="2C585E9C">
            <w:pPr>
              <w:keepNext w:val="0"/>
              <w:keepLines w:val="0"/>
              <w:suppressLineNumbers w:val="0"/>
              <w:wordWrap w:val="0"/>
              <w:adjustRightInd w:val="0"/>
              <w:snapToGrid w:val="0"/>
              <w:spacing w:before="0" w:beforeAutospacing="0" w:after="0" w:afterAutospacing="0"/>
              <w:ind w:left="0" w:right="0"/>
              <w:jc w:val="center"/>
              <w:rPr>
                <w:rFonts w:hint="default" w:asciiTheme="minorEastAsia" w:hAnsiTheme="minorEastAsia" w:eastAsiaTheme="minorEastAsia" w:cstheme="minorEastAsia"/>
                <w:snapToGrid w:val="0"/>
                <w:color w:val="auto"/>
                <w:kern w:val="0"/>
                <w:szCs w:val="24"/>
                <w:highlight w:val="none"/>
              </w:rPr>
            </w:pPr>
          </w:p>
        </w:tc>
      </w:tr>
      <w:tr w14:paraId="7809B78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526" w:hRule="exact"/>
        </w:trPr>
        <w:tc>
          <w:tcPr>
            <w:tcW w:w="744" w:type="dxa"/>
            <w:tcBorders>
              <w:top w:val="single" w:color="auto" w:sz="6" w:space="0"/>
              <w:left w:val="single" w:color="auto" w:sz="6" w:space="0"/>
              <w:bottom w:val="single" w:color="auto" w:sz="6" w:space="0"/>
              <w:right w:val="single" w:color="auto" w:sz="6" w:space="0"/>
            </w:tcBorders>
            <w:vAlign w:val="center"/>
          </w:tcPr>
          <w:p w14:paraId="25B75F1E">
            <w:pPr>
              <w:keepNext w:val="0"/>
              <w:keepLines w:val="0"/>
              <w:suppressLineNumbers w:val="0"/>
              <w:wordWrap w:val="0"/>
              <w:adjustRightInd w:val="0"/>
              <w:snapToGrid w:val="0"/>
              <w:spacing w:before="0" w:beforeAutospacing="0" w:after="0" w:afterAutospacing="0"/>
              <w:ind w:left="0" w:right="0"/>
              <w:jc w:val="center"/>
              <w:rPr>
                <w:rFonts w:hint="default" w:asciiTheme="minorEastAsia" w:hAnsiTheme="minorEastAsia" w:eastAsiaTheme="minorEastAsia" w:cstheme="minorEastAsia"/>
                <w:snapToGrid w:val="0"/>
                <w:color w:val="auto"/>
                <w:kern w:val="0"/>
                <w:szCs w:val="24"/>
                <w:highlight w:val="none"/>
              </w:rPr>
            </w:pPr>
          </w:p>
        </w:tc>
        <w:tc>
          <w:tcPr>
            <w:tcW w:w="1424" w:type="dxa"/>
            <w:tcBorders>
              <w:top w:val="single" w:color="auto" w:sz="6" w:space="0"/>
              <w:left w:val="single" w:color="auto" w:sz="6" w:space="0"/>
              <w:bottom w:val="single" w:color="auto" w:sz="6" w:space="0"/>
              <w:right w:val="single" w:color="auto" w:sz="6" w:space="0"/>
            </w:tcBorders>
            <w:vAlign w:val="center"/>
          </w:tcPr>
          <w:p w14:paraId="3BCFADE4">
            <w:pPr>
              <w:keepNext w:val="0"/>
              <w:keepLines w:val="0"/>
              <w:suppressLineNumbers w:val="0"/>
              <w:wordWrap w:val="0"/>
              <w:adjustRightInd w:val="0"/>
              <w:snapToGrid w:val="0"/>
              <w:spacing w:before="0" w:beforeAutospacing="0" w:after="0" w:afterAutospacing="0"/>
              <w:ind w:left="0" w:right="0"/>
              <w:jc w:val="center"/>
              <w:rPr>
                <w:rFonts w:hint="default" w:asciiTheme="minorEastAsia" w:hAnsiTheme="minorEastAsia" w:eastAsiaTheme="minorEastAsia" w:cstheme="minorEastAsia"/>
                <w:snapToGrid w:val="0"/>
                <w:color w:val="auto"/>
                <w:kern w:val="0"/>
                <w:szCs w:val="24"/>
                <w:highlight w:val="none"/>
              </w:rPr>
            </w:pPr>
            <w:r>
              <w:rPr>
                <w:rFonts w:asciiTheme="minorEastAsia" w:hAnsiTheme="minorEastAsia" w:eastAsiaTheme="minorEastAsia" w:cstheme="minorEastAsia"/>
                <w:snapToGrid w:val="0"/>
                <w:color w:val="auto"/>
                <w:kern w:val="0"/>
                <w:szCs w:val="24"/>
                <w:highlight w:val="none"/>
              </w:rPr>
              <w:t>...</w:t>
            </w:r>
          </w:p>
        </w:tc>
        <w:tc>
          <w:tcPr>
            <w:tcW w:w="1358" w:type="dxa"/>
            <w:tcBorders>
              <w:top w:val="single" w:color="auto" w:sz="6" w:space="0"/>
              <w:left w:val="single" w:color="auto" w:sz="6" w:space="0"/>
              <w:bottom w:val="single" w:color="auto" w:sz="6" w:space="0"/>
              <w:right w:val="single" w:color="auto" w:sz="6" w:space="0"/>
            </w:tcBorders>
            <w:vAlign w:val="center"/>
          </w:tcPr>
          <w:p w14:paraId="51AF2D7B">
            <w:pPr>
              <w:keepNext w:val="0"/>
              <w:keepLines w:val="0"/>
              <w:suppressLineNumbers w:val="0"/>
              <w:wordWrap w:val="0"/>
              <w:adjustRightInd w:val="0"/>
              <w:snapToGrid w:val="0"/>
              <w:spacing w:before="0" w:beforeAutospacing="0" w:after="0" w:afterAutospacing="0"/>
              <w:ind w:left="0" w:right="0"/>
              <w:jc w:val="center"/>
              <w:rPr>
                <w:rFonts w:hint="default" w:asciiTheme="minorEastAsia" w:hAnsiTheme="minorEastAsia" w:eastAsiaTheme="minorEastAsia" w:cstheme="minorEastAsia"/>
                <w:snapToGrid w:val="0"/>
                <w:color w:val="auto"/>
                <w:kern w:val="0"/>
                <w:szCs w:val="24"/>
                <w:highlight w:val="none"/>
              </w:rPr>
            </w:pPr>
          </w:p>
        </w:tc>
        <w:tc>
          <w:tcPr>
            <w:tcW w:w="902" w:type="dxa"/>
            <w:tcBorders>
              <w:top w:val="single" w:color="auto" w:sz="6" w:space="0"/>
              <w:left w:val="single" w:color="auto" w:sz="6" w:space="0"/>
              <w:bottom w:val="single" w:color="auto" w:sz="6" w:space="0"/>
              <w:right w:val="single" w:color="auto" w:sz="6" w:space="0"/>
            </w:tcBorders>
            <w:vAlign w:val="center"/>
          </w:tcPr>
          <w:p w14:paraId="22F14A20">
            <w:pPr>
              <w:keepNext w:val="0"/>
              <w:keepLines w:val="0"/>
              <w:suppressLineNumbers w:val="0"/>
              <w:wordWrap w:val="0"/>
              <w:adjustRightInd w:val="0"/>
              <w:snapToGrid w:val="0"/>
              <w:spacing w:before="0" w:beforeAutospacing="0" w:after="0" w:afterAutospacing="0"/>
              <w:ind w:left="0" w:right="0"/>
              <w:jc w:val="center"/>
              <w:rPr>
                <w:rFonts w:hint="default" w:asciiTheme="minorEastAsia" w:hAnsiTheme="minorEastAsia" w:eastAsiaTheme="minorEastAsia" w:cstheme="minorEastAsia"/>
                <w:snapToGrid w:val="0"/>
                <w:color w:val="auto"/>
                <w:kern w:val="0"/>
                <w:szCs w:val="24"/>
                <w:highlight w:val="none"/>
              </w:rPr>
            </w:pPr>
          </w:p>
        </w:tc>
        <w:tc>
          <w:tcPr>
            <w:tcW w:w="819" w:type="dxa"/>
            <w:tcBorders>
              <w:top w:val="single" w:color="auto" w:sz="6" w:space="0"/>
              <w:left w:val="single" w:color="auto" w:sz="6" w:space="0"/>
              <w:bottom w:val="single" w:color="auto" w:sz="6" w:space="0"/>
              <w:right w:val="single" w:color="auto" w:sz="6" w:space="0"/>
            </w:tcBorders>
            <w:vAlign w:val="center"/>
          </w:tcPr>
          <w:p w14:paraId="42E83BF3">
            <w:pPr>
              <w:keepNext w:val="0"/>
              <w:keepLines w:val="0"/>
              <w:suppressLineNumbers w:val="0"/>
              <w:wordWrap w:val="0"/>
              <w:adjustRightInd w:val="0"/>
              <w:snapToGrid w:val="0"/>
              <w:spacing w:before="0" w:beforeAutospacing="0" w:after="0" w:afterAutospacing="0"/>
              <w:ind w:left="0" w:right="0"/>
              <w:jc w:val="center"/>
              <w:rPr>
                <w:rFonts w:hint="default" w:asciiTheme="minorEastAsia" w:hAnsiTheme="minorEastAsia" w:eastAsiaTheme="minorEastAsia" w:cstheme="minorEastAsia"/>
                <w:snapToGrid w:val="0"/>
                <w:color w:val="auto"/>
                <w:kern w:val="0"/>
                <w:szCs w:val="24"/>
                <w:highlight w:val="none"/>
              </w:rPr>
            </w:pPr>
          </w:p>
        </w:tc>
        <w:tc>
          <w:tcPr>
            <w:tcW w:w="1541" w:type="dxa"/>
            <w:tcBorders>
              <w:top w:val="single" w:color="auto" w:sz="6" w:space="0"/>
              <w:left w:val="single" w:color="auto" w:sz="6" w:space="0"/>
              <w:bottom w:val="single" w:color="auto" w:sz="6" w:space="0"/>
              <w:right w:val="single" w:color="auto" w:sz="6" w:space="0"/>
            </w:tcBorders>
            <w:vAlign w:val="center"/>
          </w:tcPr>
          <w:p w14:paraId="27A6C91D">
            <w:pPr>
              <w:keepNext w:val="0"/>
              <w:keepLines w:val="0"/>
              <w:suppressLineNumbers w:val="0"/>
              <w:wordWrap w:val="0"/>
              <w:adjustRightInd w:val="0"/>
              <w:snapToGrid w:val="0"/>
              <w:spacing w:before="0" w:beforeAutospacing="0" w:after="0" w:afterAutospacing="0"/>
              <w:ind w:left="0" w:right="0"/>
              <w:jc w:val="center"/>
              <w:rPr>
                <w:rFonts w:hint="default" w:asciiTheme="minorEastAsia" w:hAnsiTheme="minorEastAsia" w:eastAsiaTheme="minorEastAsia" w:cstheme="minorEastAsia"/>
                <w:snapToGrid w:val="0"/>
                <w:color w:val="auto"/>
                <w:kern w:val="0"/>
                <w:szCs w:val="24"/>
                <w:highlight w:val="none"/>
              </w:rPr>
            </w:pPr>
          </w:p>
        </w:tc>
        <w:tc>
          <w:tcPr>
            <w:tcW w:w="2169" w:type="dxa"/>
            <w:tcBorders>
              <w:top w:val="single" w:color="auto" w:sz="6" w:space="0"/>
              <w:left w:val="single" w:color="auto" w:sz="6" w:space="0"/>
              <w:bottom w:val="single" w:color="auto" w:sz="6" w:space="0"/>
              <w:right w:val="single" w:color="auto" w:sz="6" w:space="0"/>
            </w:tcBorders>
            <w:vAlign w:val="center"/>
          </w:tcPr>
          <w:p w14:paraId="0A882D59">
            <w:pPr>
              <w:keepNext w:val="0"/>
              <w:keepLines w:val="0"/>
              <w:suppressLineNumbers w:val="0"/>
              <w:wordWrap w:val="0"/>
              <w:adjustRightInd w:val="0"/>
              <w:snapToGrid w:val="0"/>
              <w:spacing w:before="0" w:beforeAutospacing="0" w:after="0" w:afterAutospacing="0"/>
              <w:ind w:left="0" w:right="0"/>
              <w:jc w:val="center"/>
              <w:rPr>
                <w:rFonts w:hint="default" w:asciiTheme="minorEastAsia" w:hAnsiTheme="minorEastAsia" w:eastAsiaTheme="minorEastAsia" w:cstheme="minorEastAsia"/>
                <w:snapToGrid w:val="0"/>
                <w:color w:val="auto"/>
                <w:kern w:val="0"/>
                <w:szCs w:val="24"/>
                <w:highlight w:val="none"/>
              </w:rPr>
            </w:pPr>
          </w:p>
        </w:tc>
      </w:tr>
      <w:bookmarkEnd w:id="599"/>
    </w:tbl>
    <w:p w14:paraId="55C31AD0">
      <w:pPr>
        <w:wordWrap w:val="0"/>
        <w:adjustRightInd w:val="0"/>
        <w:snapToGrid w:val="0"/>
        <w:spacing w:line="400" w:lineRule="exact"/>
        <w:rPr>
          <w:rFonts w:hint="default" w:asciiTheme="minorEastAsia" w:hAnsiTheme="minorEastAsia" w:eastAsiaTheme="minorEastAsia" w:cstheme="minorEastAsia"/>
          <w:snapToGrid w:val="0"/>
          <w:color w:val="auto"/>
          <w:kern w:val="0"/>
          <w:szCs w:val="24"/>
          <w:highlight w:val="none"/>
        </w:rPr>
      </w:pPr>
      <w:bookmarkStart w:id="600" w:name="_Toc36804690"/>
      <w:bookmarkStart w:id="601" w:name="_Toc25577"/>
      <w:bookmarkStart w:id="602" w:name="_Toc8648"/>
    </w:p>
    <w:p w14:paraId="0EDA8DE2">
      <w:pPr>
        <w:wordWrap w:val="0"/>
        <w:adjustRightInd w:val="0"/>
        <w:snapToGrid w:val="0"/>
        <w:spacing w:line="400" w:lineRule="exact"/>
        <w:rPr>
          <w:rFonts w:hint="default" w:asciiTheme="minorEastAsia" w:hAnsiTheme="minorEastAsia" w:eastAsiaTheme="minorEastAsia" w:cstheme="minorEastAsia"/>
          <w:snapToGrid w:val="0"/>
          <w:color w:val="auto"/>
          <w:kern w:val="0"/>
          <w:szCs w:val="24"/>
          <w:highlight w:val="none"/>
        </w:rPr>
      </w:pPr>
      <w:r>
        <w:rPr>
          <w:rFonts w:asciiTheme="minorEastAsia" w:hAnsiTheme="minorEastAsia" w:eastAsiaTheme="minorEastAsia" w:cstheme="minorEastAsia"/>
          <w:snapToGrid w:val="0"/>
          <w:color w:val="auto"/>
          <w:kern w:val="0"/>
          <w:szCs w:val="24"/>
          <w:highlight w:val="none"/>
        </w:rPr>
        <w:t>说明：</w:t>
      </w:r>
    </w:p>
    <w:p w14:paraId="6D3AB52D">
      <w:pPr>
        <w:wordWrap w:val="0"/>
        <w:adjustRightInd w:val="0"/>
        <w:snapToGrid w:val="0"/>
        <w:spacing w:line="400" w:lineRule="exact"/>
        <w:ind w:firstLine="480" w:firstLineChars="200"/>
        <w:rPr>
          <w:rFonts w:hint="default" w:asciiTheme="minorEastAsia" w:hAnsiTheme="minorEastAsia" w:eastAsiaTheme="minorEastAsia" w:cstheme="minorEastAsia"/>
          <w:snapToGrid w:val="0"/>
          <w:color w:val="auto"/>
          <w:kern w:val="0"/>
          <w:szCs w:val="24"/>
          <w:highlight w:val="none"/>
        </w:rPr>
      </w:pPr>
      <w:r>
        <w:rPr>
          <w:rFonts w:hint="eastAsia" w:asciiTheme="minorEastAsia" w:hAnsiTheme="minorEastAsia" w:eastAsiaTheme="minorEastAsia" w:cstheme="minorEastAsia"/>
          <w:snapToGrid w:val="0"/>
          <w:color w:val="auto"/>
          <w:kern w:val="0"/>
          <w:szCs w:val="24"/>
          <w:highlight w:val="none"/>
          <w:lang w:eastAsia="zh-CN"/>
        </w:rPr>
        <w:t>1.</w:t>
      </w:r>
      <w:r>
        <w:rPr>
          <w:rFonts w:asciiTheme="minorEastAsia" w:hAnsiTheme="minorEastAsia" w:eastAsiaTheme="minorEastAsia" w:cstheme="minorEastAsia"/>
          <w:snapToGrid w:val="0"/>
          <w:color w:val="auto"/>
          <w:kern w:val="0"/>
          <w:szCs w:val="24"/>
          <w:highlight w:val="none"/>
        </w:rPr>
        <w:t>《项目管理机构组成表》后应附表中拟派人员（项目经理、项目技术负责人、项目设计负责人除外）以下资料：</w:t>
      </w:r>
    </w:p>
    <w:p w14:paraId="382A7C0E">
      <w:pPr>
        <w:wordWrap w:val="0"/>
        <w:adjustRightInd w:val="0"/>
        <w:snapToGrid w:val="0"/>
        <w:spacing w:line="400" w:lineRule="exact"/>
        <w:ind w:firstLine="480" w:firstLineChars="200"/>
        <w:rPr>
          <w:rFonts w:hint="default" w:asciiTheme="minorEastAsia" w:hAnsiTheme="minorEastAsia" w:eastAsiaTheme="minorEastAsia" w:cstheme="minorEastAsia"/>
          <w:snapToGrid w:val="0"/>
          <w:color w:val="auto"/>
          <w:kern w:val="0"/>
          <w:szCs w:val="24"/>
          <w:highlight w:val="none"/>
        </w:rPr>
      </w:pPr>
      <w:r>
        <w:rPr>
          <w:rFonts w:asciiTheme="minorEastAsia" w:hAnsiTheme="minorEastAsia" w:eastAsiaTheme="minorEastAsia" w:cstheme="minorEastAsia"/>
          <w:snapToGrid w:val="0"/>
          <w:color w:val="auto"/>
          <w:kern w:val="0"/>
          <w:szCs w:val="24"/>
          <w:highlight w:val="none"/>
        </w:rPr>
        <w:t>（1）身份</w:t>
      </w:r>
      <w:r>
        <w:rPr>
          <w:rFonts w:hint="eastAsia" w:asciiTheme="minorEastAsia" w:hAnsiTheme="minorEastAsia" w:eastAsiaTheme="minorEastAsia" w:cstheme="minorEastAsia"/>
          <w:snapToGrid w:val="0"/>
          <w:color w:val="auto"/>
          <w:kern w:val="0"/>
          <w:szCs w:val="24"/>
          <w:highlight w:val="none"/>
          <w:lang w:eastAsia="zh-CN"/>
        </w:rPr>
        <w:t>证</w:t>
      </w:r>
      <w:r>
        <w:rPr>
          <w:rFonts w:asciiTheme="minorEastAsia" w:hAnsiTheme="minorEastAsia" w:eastAsiaTheme="minorEastAsia" w:cstheme="minorEastAsia"/>
          <w:snapToGrid w:val="0"/>
          <w:color w:val="auto"/>
          <w:kern w:val="0"/>
          <w:szCs w:val="24"/>
          <w:highlight w:val="none"/>
        </w:rPr>
        <w:t>彩色扫描件；</w:t>
      </w:r>
    </w:p>
    <w:p w14:paraId="2EA90D8A">
      <w:pPr>
        <w:wordWrap w:val="0"/>
        <w:adjustRightInd w:val="0"/>
        <w:snapToGrid w:val="0"/>
        <w:spacing w:line="400" w:lineRule="exact"/>
        <w:ind w:firstLine="480" w:firstLineChars="200"/>
        <w:rPr>
          <w:rFonts w:hint="default" w:asciiTheme="minorEastAsia" w:hAnsiTheme="minorEastAsia" w:eastAsiaTheme="minorEastAsia" w:cstheme="minorEastAsia"/>
          <w:snapToGrid w:val="0"/>
          <w:color w:val="auto"/>
          <w:kern w:val="0"/>
          <w:szCs w:val="24"/>
          <w:highlight w:val="none"/>
        </w:rPr>
      </w:pPr>
      <w:r>
        <w:rPr>
          <w:rFonts w:asciiTheme="minorEastAsia" w:hAnsiTheme="minorEastAsia" w:eastAsiaTheme="minorEastAsia" w:cstheme="minorEastAsia"/>
          <w:snapToGrid w:val="0"/>
          <w:color w:val="auto"/>
          <w:kern w:val="0"/>
          <w:szCs w:val="24"/>
          <w:highlight w:val="none"/>
        </w:rPr>
        <w:t>（</w:t>
      </w:r>
      <w:r>
        <w:rPr>
          <w:rFonts w:hint="eastAsia" w:asciiTheme="minorEastAsia" w:hAnsiTheme="minorEastAsia" w:eastAsiaTheme="minorEastAsia" w:cstheme="minorEastAsia"/>
          <w:snapToGrid w:val="0"/>
          <w:color w:val="auto"/>
          <w:kern w:val="0"/>
          <w:szCs w:val="24"/>
          <w:highlight w:val="none"/>
          <w:lang w:val="en-US" w:eastAsia="zh-CN"/>
        </w:rPr>
        <w:t>2</w:t>
      </w:r>
      <w:r>
        <w:rPr>
          <w:rFonts w:asciiTheme="minorEastAsia" w:hAnsiTheme="minorEastAsia" w:eastAsiaTheme="minorEastAsia" w:cstheme="minorEastAsia"/>
          <w:snapToGrid w:val="0"/>
          <w:color w:val="auto"/>
          <w:kern w:val="0"/>
          <w:szCs w:val="24"/>
          <w:highlight w:val="none"/>
        </w:rPr>
        <w:t>）</w:t>
      </w:r>
      <w:r>
        <w:rPr>
          <w:rFonts w:hint="eastAsia" w:ascii="宋体" w:hAnsi="宋体" w:eastAsia="宋体" w:cs="宋体"/>
          <w:color w:val="auto"/>
          <w:spacing w:val="9"/>
          <w:sz w:val="24"/>
          <w:szCs w:val="24"/>
          <w:highlight w:val="none"/>
        </w:rPr>
        <w:t>专职安全员须提供C类安全生产考核合格证书扫描件或“建筑施工企业管理人员安全生产考核信息系统”考核合格信息扫描件；施工员、质量员、材料员、资料员附岗位证书或培训证书彩色扫描件或打印件</w:t>
      </w:r>
      <w:r>
        <w:rPr>
          <w:rFonts w:asciiTheme="minorEastAsia" w:hAnsiTheme="minorEastAsia" w:eastAsiaTheme="minorEastAsia" w:cstheme="minorEastAsia"/>
          <w:snapToGrid w:val="0"/>
          <w:color w:val="auto"/>
          <w:kern w:val="0"/>
          <w:szCs w:val="24"/>
          <w:highlight w:val="none"/>
        </w:rPr>
        <w:t>；</w:t>
      </w:r>
    </w:p>
    <w:p w14:paraId="0E71BE95">
      <w:pPr>
        <w:wordWrap w:val="0"/>
        <w:adjustRightInd w:val="0"/>
        <w:snapToGrid w:val="0"/>
        <w:spacing w:line="400" w:lineRule="exact"/>
        <w:ind w:firstLine="480" w:firstLineChars="200"/>
        <w:rPr>
          <w:rFonts w:hint="default" w:asciiTheme="minorEastAsia" w:hAnsiTheme="minorEastAsia" w:eastAsiaTheme="minorEastAsia" w:cstheme="minorEastAsia"/>
          <w:snapToGrid w:val="0"/>
          <w:color w:val="auto"/>
          <w:kern w:val="0"/>
          <w:szCs w:val="24"/>
          <w:highlight w:val="none"/>
        </w:rPr>
      </w:pPr>
      <w:r>
        <w:rPr>
          <w:rFonts w:asciiTheme="minorEastAsia" w:hAnsiTheme="minorEastAsia" w:eastAsiaTheme="minorEastAsia" w:cstheme="minorEastAsia"/>
          <w:snapToGrid w:val="0"/>
          <w:color w:val="auto"/>
          <w:kern w:val="0"/>
          <w:szCs w:val="24"/>
          <w:highlight w:val="none"/>
        </w:rPr>
        <w:t>（4）</w:t>
      </w:r>
      <w:r>
        <w:rPr>
          <w:rFonts w:hint="eastAsia" w:asciiTheme="minorEastAsia" w:hAnsiTheme="minorEastAsia" w:eastAsiaTheme="minorEastAsia" w:cstheme="minorEastAsia"/>
          <w:snapToGrid w:val="0"/>
          <w:color w:val="auto"/>
          <w:kern w:val="0"/>
          <w:szCs w:val="24"/>
          <w:highlight w:val="none"/>
        </w:rPr>
        <w:t>在本单位缴纳社保的证明（至少</w:t>
      </w:r>
      <w:r>
        <w:rPr>
          <w:rFonts w:hint="eastAsia" w:asciiTheme="minorEastAsia" w:hAnsiTheme="minorEastAsia" w:eastAsiaTheme="minorEastAsia" w:cstheme="minorEastAsia"/>
          <w:snapToGrid w:val="0"/>
          <w:color w:val="auto"/>
          <w:kern w:val="0"/>
          <w:szCs w:val="24"/>
          <w:highlight w:val="none"/>
          <w:lang w:val="en-US" w:eastAsia="zh-CN"/>
        </w:rPr>
        <w:t>3</w:t>
      </w:r>
      <w:r>
        <w:rPr>
          <w:rFonts w:hint="eastAsia" w:asciiTheme="minorEastAsia" w:hAnsiTheme="minorEastAsia" w:eastAsiaTheme="minorEastAsia" w:cstheme="minorEastAsia"/>
          <w:snapToGrid w:val="0"/>
          <w:color w:val="auto"/>
          <w:kern w:val="0"/>
          <w:szCs w:val="24"/>
          <w:highlight w:val="none"/>
        </w:rPr>
        <w:t>个月，其中</w:t>
      </w:r>
      <w:r>
        <w:rPr>
          <w:rFonts w:hint="eastAsia" w:asciiTheme="minorEastAsia" w:hAnsiTheme="minorEastAsia" w:eastAsiaTheme="minorEastAsia" w:cstheme="minorEastAsia"/>
          <w:snapToGrid w:val="0"/>
          <w:color w:val="auto"/>
          <w:kern w:val="0"/>
          <w:szCs w:val="24"/>
          <w:highlight w:val="none"/>
          <w:lang w:eastAsia="zh-CN"/>
        </w:rPr>
        <w:t>必须有202</w:t>
      </w:r>
      <w:r>
        <w:rPr>
          <w:rFonts w:hint="eastAsia" w:asciiTheme="minorEastAsia" w:hAnsiTheme="minorEastAsia" w:eastAsiaTheme="minorEastAsia" w:cstheme="minorEastAsia"/>
          <w:snapToGrid w:val="0"/>
          <w:color w:val="auto"/>
          <w:kern w:val="0"/>
          <w:szCs w:val="24"/>
          <w:highlight w:val="none"/>
          <w:lang w:val="en-US" w:eastAsia="zh-CN"/>
        </w:rPr>
        <w:t>6</w:t>
      </w:r>
      <w:r>
        <w:rPr>
          <w:rFonts w:hint="eastAsia" w:asciiTheme="minorEastAsia" w:hAnsiTheme="minorEastAsia" w:eastAsiaTheme="minorEastAsia" w:cstheme="minorEastAsia"/>
          <w:snapToGrid w:val="0"/>
          <w:color w:val="auto"/>
          <w:kern w:val="0"/>
          <w:szCs w:val="24"/>
          <w:highlight w:val="none"/>
          <w:lang w:eastAsia="zh-CN"/>
        </w:rPr>
        <w:t>年</w:t>
      </w:r>
      <w:r>
        <w:rPr>
          <w:rFonts w:hint="eastAsia" w:asciiTheme="minorEastAsia" w:hAnsiTheme="minorEastAsia" w:eastAsiaTheme="minorEastAsia" w:cstheme="minorEastAsia"/>
          <w:snapToGrid w:val="0"/>
          <w:color w:val="auto"/>
          <w:kern w:val="0"/>
          <w:szCs w:val="24"/>
          <w:highlight w:val="none"/>
          <w:lang w:val="en-US" w:eastAsia="zh-CN"/>
        </w:rPr>
        <w:t>8</w:t>
      </w:r>
      <w:r>
        <w:rPr>
          <w:rFonts w:hint="eastAsia" w:asciiTheme="minorEastAsia" w:hAnsiTheme="minorEastAsia" w:eastAsiaTheme="minorEastAsia" w:cstheme="minorEastAsia"/>
          <w:snapToGrid w:val="0"/>
          <w:color w:val="auto"/>
          <w:kern w:val="0"/>
          <w:szCs w:val="24"/>
          <w:highlight w:val="none"/>
          <w:lang w:eastAsia="zh-CN"/>
        </w:rPr>
        <w:t>月</w:t>
      </w:r>
      <w:r>
        <w:rPr>
          <w:rFonts w:hint="eastAsia" w:asciiTheme="minorEastAsia" w:hAnsiTheme="minorEastAsia" w:eastAsiaTheme="minorEastAsia" w:cstheme="minorEastAsia"/>
          <w:snapToGrid w:val="0"/>
          <w:color w:val="auto"/>
          <w:kern w:val="0"/>
          <w:szCs w:val="24"/>
          <w:highlight w:val="none"/>
        </w:rPr>
        <w:t>）</w:t>
      </w:r>
      <w:r>
        <w:rPr>
          <w:rFonts w:hint="eastAsia" w:asciiTheme="minorEastAsia" w:hAnsiTheme="minorEastAsia" w:eastAsiaTheme="minorEastAsia" w:cstheme="minorEastAsia"/>
          <w:snapToGrid w:val="0"/>
          <w:color w:val="auto"/>
          <w:kern w:val="0"/>
          <w:szCs w:val="24"/>
          <w:highlight w:val="none"/>
          <w:lang w:val="en-US" w:eastAsia="zh-CN"/>
        </w:rPr>
        <w:t>扫描</w:t>
      </w:r>
      <w:r>
        <w:rPr>
          <w:rFonts w:hint="eastAsia" w:asciiTheme="minorEastAsia" w:hAnsiTheme="minorEastAsia" w:eastAsiaTheme="minorEastAsia" w:cstheme="minorEastAsia"/>
          <w:snapToGrid w:val="0"/>
          <w:color w:val="auto"/>
          <w:kern w:val="0"/>
          <w:szCs w:val="24"/>
          <w:highlight w:val="none"/>
        </w:rPr>
        <w:t>件；拟派人员为</w:t>
      </w:r>
      <w:r>
        <w:rPr>
          <w:rFonts w:hint="eastAsia" w:hAnsi="宋体" w:eastAsia="宋体" w:cs="宋体"/>
          <w:color w:val="auto"/>
          <w:sz w:val="24"/>
          <w:szCs w:val="24"/>
          <w:highlight w:val="none"/>
          <w:lang w:eastAsia="zh-CN"/>
        </w:rPr>
        <w:t>退休人员需提供退休证和返聘合同（协议）彩色扫描件</w:t>
      </w:r>
      <w:r>
        <w:rPr>
          <w:rFonts w:hint="eastAsia" w:asciiTheme="minorEastAsia" w:hAnsiTheme="minorEastAsia" w:eastAsiaTheme="minorEastAsia" w:cstheme="minorEastAsia"/>
          <w:snapToGrid w:val="0"/>
          <w:color w:val="auto"/>
          <w:kern w:val="0"/>
          <w:szCs w:val="24"/>
          <w:highlight w:val="none"/>
        </w:rPr>
        <w:t>；</w:t>
      </w:r>
    </w:p>
    <w:p w14:paraId="1C1B8F99">
      <w:pPr>
        <w:wordWrap w:val="0"/>
        <w:adjustRightInd w:val="0"/>
        <w:snapToGrid w:val="0"/>
        <w:spacing w:line="400" w:lineRule="exact"/>
        <w:rPr>
          <w:rFonts w:hint="default" w:asciiTheme="minorEastAsia" w:hAnsiTheme="minorEastAsia" w:eastAsiaTheme="minorEastAsia" w:cstheme="minorEastAsia"/>
          <w:color w:val="auto"/>
          <w:szCs w:val="24"/>
          <w:highlight w:val="none"/>
        </w:rPr>
      </w:pPr>
      <w:r>
        <w:rPr>
          <w:rFonts w:asciiTheme="minorEastAsia" w:hAnsiTheme="minorEastAsia" w:eastAsiaTheme="minorEastAsia" w:cstheme="minorEastAsia"/>
          <w:snapToGrid w:val="0"/>
          <w:color w:val="auto"/>
          <w:kern w:val="0"/>
          <w:szCs w:val="24"/>
          <w:highlight w:val="none"/>
        </w:rPr>
        <w:t xml:space="preserve">    </w:t>
      </w:r>
      <w:r>
        <w:rPr>
          <w:rFonts w:hint="eastAsia" w:asciiTheme="minorEastAsia" w:hAnsiTheme="minorEastAsia" w:eastAsiaTheme="minorEastAsia" w:cstheme="minorEastAsia"/>
          <w:snapToGrid w:val="0"/>
          <w:color w:val="auto"/>
          <w:kern w:val="0"/>
          <w:szCs w:val="24"/>
          <w:highlight w:val="none"/>
          <w:lang w:eastAsia="zh-CN"/>
        </w:rPr>
        <w:t>2.</w:t>
      </w:r>
      <w:r>
        <w:rPr>
          <w:rFonts w:asciiTheme="minorEastAsia" w:hAnsiTheme="minorEastAsia" w:eastAsiaTheme="minorEastAsia" w:cstheme="minorEastAsia"/>
          <w:snapToGrid w:val="0"/>
          <w:color w:val="auto"/>
          <w:kern w:val="0"/>
          <w:szCs w:val="24"/>
          <w:highlight w:val="none"/>
        </w:rPr>
        <w:t>联合体投标的，《项目管理机构组成表》应包括联合体成员单位参与项目管理机构的人员，并提供以上所需资料。</w:t>
      </w:r>
    </w:p>
    <w:p w14:paraId="7EF84CE6">
      <w:pPr>
        <w:rPr>
          <w:rFonts w:hint="default"/>
          <w:color w:val="auto"/>
          <w:highlight w:val="none"/>
        </w:rPr>
      </w:pPr>
    </w:p>
    <w:p w14:paraId="7A644302">
      <w:pPr>
        <w:pStyle w:val="4"/>
        <w:spacing w:before="136"/>
        <w:rPr>
          <w:rFonts w:hint="default" w:asciiTheme="minorEastAsia" w:hAnsiTheme="minorEastAsia" w:eastAsiaTheme="minorEastAsia" w:cstheme="minorEastAsia"/>
          <w:b/>
          <w:bCs/>
          <w:color w:val="auto"/>
          <w:szCs w:val="24"/>
          <w:highlight w:val="none"/>
          <w:lang w:val="en-US" w:eastAsia="zh-CN"/>
        </w:rPr>
      </w:pPr>
      <w:bookmarkStart w:id="603" w:name="_Toc25555"/>
      <w:r>
        <w:rPr>
          <w:rFonts w:asciiTheme="minorEastAsia" w:hAnsiTheme="minorEastAsia" w:eastAsiaTheme="minorEastAsia" w:cstheme="minorEastAsia"/>
          <w:b/>
          <w:bCs/>
          <w:color w:val="auto"/>
          <w:szCs w:val="24"/>
          <w:highlight w:val="none"/>
        </w:rPr>
        <w:t>格式十三 原件一览表</w:t>
      </w:r>
      <w:bookmarkEnd w:id="600"/>
      <w:bookmarkEnd w:id="601"/>
      <w:bookmarkEnd w:id="602"/>
      <w:r>
        <w:rPr>
          <w:rFonts w:hint="eastAsia" w:asciiTheme="minorEastAsia" w:hAnsiTheme="minorEastAsia" w:eastAsiaTheme="minorEastAsia" w:cstheme="minorEastAsia"/>
          <w:b/>
          <w:bCs/>
          <w:color w:val="auto"/>
          <w:szCs w:val="24"/>
          <w:highlight w:val="none"/>
          <w:lang w:eastAsia="zh-CN"/>
        </w:rPr>
        <w:t>（</w:t>
      </w:r>
      <w:r>
        <w:rPr>
          <w:rFonts w:hint="eastAsia" w:asciiTheme="minorEastAsia" w:hAnsiTheme="minorEastAsia" w:eastAsiaTheme="minorEastAsia" w:cstheme="minorEastAsia"/>
          <w:b/>
          <w:bCs/>
          <w:color w:val="auto"/>
          <w:szCs w:val="24"/>
          <w:highlight w:val="none"/>
          <w:lang w:val="en-US" w:eastAsia="zh-CN"/>
        </w:rPr>
        <w:t>须提供原件时适用）</w:t>
      </w:r>
      <w:bookmarkEnd w:id="603"/>
    </w:p>
    <w:p w14:paraId="389C4636">
      <w:pPr>
        <w:spacing w:line="336" w:lineRule="auto"/>
        <w:contextualSpacing/>
        <w:jc w:val="left"/>
        <w:rPr>
          <w:rFonts w:hint="default" w:asciiTheme="minorEastAsia" w:hAnsiTheme="minorEastAsia" w:eastAsiaTheme="minorEastAsia" w:cstheme="minorEastAsia"/>
          <w:color w:val="auto"/>
          <w:szCs w:val="24"/>
          <w:highlight w:val="none"/>
        </w:rPr>
      </w:pPr>
    </w:p>
    <w:tbl>
      <w:tblPr>
        <w:tblStyle w:val="23"/>
        <w:tblpPr w:leftFromText="180" w:rightFromText="180" w:vertAnchor="text" w:horzAnchor="page" w:tblpX="1664" w:tblpY="438"/>
        <w:tblOverlap w:val="never"/>
        <w:tblW w:w="910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 w:type="dxa"/>
          <w:bottom w:w="0" w:type="dxa"/>
          <w:right w:w="10" w:type="dxa"/>
        </w:tblCellMar>
      </w:tblPr>
      <w:tblGrid>
        <w:gridCol w:w="700"/>
        <w:gridCol w:w="1505"/>
        <w:gridCol w:w="623"/>
        <w:gridCol w:w="1369"/>
        <w:gridCol w:w="1623"/>
        <w:gridCol w:w="753"/>
        <w:gridCol w:w="957"/>
        <w:gridCol w:w="1570"/>
      </w:tblGrid>
      <w:tr w14:paraId="42BE44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510" w:hRule="atLeast"/>
        </w:trPr>
        <w:tc>
          <w:tcPr>
            <w:tcW w:w="9100" w:type="dxa"/>
            <w:gridSpan w:val="8"/>
            <w:tcMar>
              <w:left w:w="108" w:type="dxa"/>
              <w:right w:w="108" w:type="dxa"/>
            </w:tcMar>
            <w:vAlign w:val="center"/>
          </w:tcPr>
          <w:p w14:paraId="220358A6">
            <w:pPr>
              <w:keepNext w:val="0"/>
              <w:keepLines w:val="0"/>
              <w:suppressLineNumbers w:val="0"/>
              <w:spacing w:before="0" w:beforeAutospacing="0" w:after="0" w:afterAutospacing="0"/>
              <w:ind w:left="0" w:right="0"/>
              <w:jc w:val="center"/>
              <w:rPr>
                <w:rFonts w:hint="default" w:asciiTheme="minorEastAsia" w:hAnsiTheme="minorEastAsia" w:eastAsiaTheme="minorEastAsia" w:cstheme="minorEastAsia"/>
                <w:color w:val="auto"/>
                <w:szCs w:val="24"/>
                <w:highlight w:val="none"/>
              </w:rPr>
            </w:pPr>
            <w:r>
              <w:rPr>
                <w:rFonts w:asciiTheme="minorEastAsia" w:hAnsiTheme="minorEastAsia" w:eastAsiaTheme="minorEastAsia" w:cstheme="minorEastAsia"/>
                <w:b/>
                <w:color w:val="auto"/>
                <w:szCs w:val="24"/>
                <w:highlight w:val="none"/>
              </w:rPr>
              <w:t>原件一览表</w:t>
            </w:r>
          </w:p>
        </w:tc>
      </w:tr>
      <w:tr w14:paraId="023294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805" w:hRule="atLeast"/>
        </w:trPr>
        <w:tc>
          <w:tcPr>
            <w:tcW w:w="2828" w:type="dxa"/>
            <w:gridSpan w:val="3"/>
            <w:tcMar>
              <w:left w:w="108" w:type="dxa"/>
              <w:right w:w="108" w:type="dxa"/>
            </w:tcMar>
            <w:vAlign w:val="center"/>
          </w:tcPr>
          <w:p w14:paraId="309E8031">
            <w:pPr>
              <w:keepNext w:val="0"/>
              <w:keepLines w:val="0"/>
              <w:suppressLineNumbers w:val="0"/>
              <w:spacing w:before="0" w:beforeAutospacing="0" w:after="0" w:afterAutospacing="0"/>
              <w:ind w:left="0" w:right="0"/>
              <w:jc w:val="center"/>
              <w:rPr>
                <w:rFonts w:hint="default" w:asciiTheme="minorEastAsia" w:hAnsiTheme="minorEastAsia" w:eastAsiaTheme="minorEastAsia" w:cstheme="minorEastAsia"/>
                <w:color w:val="auto"/>
                <w:szCs w:val="24"/>
                <w:highlight w:val="none"/>
              </w:rPr>
            </w:pPr>
            <w:r>
              <w:rPr>
                <w:rFonts w:asciiTheme="minorEastAsia" w:hAnsiTheme="minorEastAsia" w:eastAsiaTheme="minorEastAsia" w:cstheme="minorEastAsia"/>
                <w:color w:val="auto"/>
                <w:szCs w:val="24"/>
                <w:highlight w:val="none"/>
              </w:rPr>
              <w:t>工程名称</w:t>
            </w:r>
          </w:p>
        </w:tc>
        <w:tc>
          <w:tcPr>
            <w:tcW w:w="6272" w:type="dxa"/>
            <w:gridSpan w:val="5"/>
            <w:tcMar>
              <w:left w:w="108" w:type="dxa"/>
              <w:right w:w="108" w:type="dxa"/>
            </w:tcMar>
            <w:vAlign w:val="center"/>
          </w:tcPr>
          <w:p w14:paraId="1B170327">
            <w:pPr>
              <w:keepNext w:val="0"/>
              <w:keepLines w:val="0"/>
              <w:suppressLineNumbers w:val="0"/>
              <w:spacing w:before="0" w:beforeAutospacing="0" w:after="0" w:afterAutospacing="0"/>
              <w:ind w:left="0" w:right="0"/>
              <w:jc w:val="center"/>
              <w:rPr>
                <w:rFonts w:hint="default" w:asciiTheme="minorEastAsia" w:hAnsiTheme="minorEastAsia" w:eastAsiaTheme="minorEastAsia" w:cstheme="minorEastAsia"/>
                <w:color w:val="auto"/>
                <w:szCs w:val="24"/>
                <w:highlight w:val="none"/>
              </w:rPr>
            </w:pPr>
          </w:p>
        </w:tc>
      </w:tr>
      <w:tr w14:paraId="46B0F7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805" w:hRule="atLeast"/>
        </w:trPr>
        <w:tc>
          <w:tcPr>
            <w:tcW w:w="2828" w:type="dxa"/>
            <w:gridSpan w:val="3"/>
            <w:tcMar>
              <w:left w:w="108" w:type="dxa"/>
              <w:right w:w="108" w:type="dxa"/>
            </w:tcMar>
            <w:vAlign w:val="center"/>
          </w:tcPr>
          <w:p w14:paraId="1CFF749D">
            <w:pPr>
              <w:keepNext w:val="0"/>
              <w:keepLines w:val="0"/>
              <w:suppressLineNumbers w:val="0"/>
              <w:spacing w:before="0" w:beforeAutospacing="0" w:after="0" w:afterAutospacing="0"/>
              <w:ind w:left="0" w:right="0"/>
              <w:jc w:val="center"/>
              <w:rPr>
                <w:rFonts w:hint="default" w:asciiTheme="minorEastAsia" w:hAnsiTheme="minorEastAsia" w:eastAsiaTheme="minorEastAsia" w:cstheme="minorEastAsia"/>
                <w:color w:val="auto"/>
                <w:szCs w:val="24"/>
                <w:highlight w:val="none"/>
              </w:rPr>
            </w:pPr>
            <w:r>
              <w:rPr>
                <w:rFonts w:asciiTheme="minorEastAsia" w:hAnsiTheme="minorEastAsia" w:eastAsiaTheme="minorEastAsia" w:cstheme="minorEastAsia"/>
                <w:color w:val="auto"/>
                <w:szCs w:val="24"/>
                <w:highlight w:val="none"/>
              </w:rPr>
              <w:t>投标人名称                （请务必填写单位全称）</w:t>
            </w:r>
          </w:p>
        </w:tc>
        <w:tc>
          <w:tcPr>
            <w:tcW w:w="6272" w:type="dxa"/>
            <w:gridSpan w:val="5"/>
            <w:tcMar>
              <w:left w:w="108" w:type="dxa"/>
              <w:right w:w="108" w:type="dxa"/>
            </w:tcMar>
            <w:vAlign w:val="center"/>
          </w:tcPr>
          <w:p w14:paraId="4A9AB4A5">
            <w:pPr>
              <w:keepNext w:val="0"/>
              <w:keepLines w:val="0"/>
              <w:suppressLineNumbers w:val="0"/>
              <w:spacing w:before="0" w:beforeAutospacing="0" w:after="0" w:afterAutospacing="0"/>
              <w:ind w:left="0" w:right="0"/>
              <w:jc w:val="center"/>
              <w:rPr>
                <w:rFonts w:hint="default" w:asciiTheme="minorEastAsia" w:hAnsiTheme="minorEastAsia" w:eastAsiaTheme="minorEastAsia" w:cstheme="minorEastAsia"/>
                <w:color w:val="auto"/>
                <w:szCs w:val="24"/>
                <w:highlight w:val="none"/>
              </w:rPr>
            </w:pPr>
            <w:r>
              <w:rPr>
                <w:rFonts w:asciiTheme="minorEastAsia" w:hAnsiTheme="minorEastAsia" w:eastAsiaTheme="minorEastAsia" w:cstheme="minorEastAsia"/>
                <w:color w:val="auto"/>
                <w:szCs w:val="24"/>
                <w:highlight w:val="none"/>
              </w:rPr>
              <w:t>　</w:t>
            </w:r>
          </w:p>
        </w:tc>
      </w:tr>
      <w:tr w14:paraId="0D5D59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805" w:hRule="atLeast"/>
        </w:trPr>
        <w:tc>
          <w:tcPr>
            <w:tcW w:w="2828" w:type="dxa"/>
            <w:gridSpan w:val="3"/>
            <w:tcMar>
              <w:left w:w="108" w:type="dxa"/>
              <w:right w:w="108" w:type="dxa"/>
            </w:tcMar>
            <w:vAlign w:val="center"/>
          </w:tcPr>
          <w:p w14:paraId="604C0ACE">
            <w:pPr>
              <w:keepNext w:val="0"/>
              <w:keepLines w:val="0"/>
              <w:suppressLineNumbers w:val="0"/>
              <w:spacing w:before="0" w:beforeAutospacing="0" w:after="0" w:afterAutospacing="0"/>
              <w:ind w:left="0" w:right="0"/>
              <w:jc w:val="center"/>
              <w:rPr>
                <w:rFonts w:hint="default" w:asciiTheme="minorEastAsia" w:hAnsiTheme="minorEastAsia" w:eastAsiaTheme="minorEastAsia" w:cstheme="minorEastAsia"/>
                <w:color w:val="auto"/>
                <w:szCs w:val="24"/>
                <w:highlight w:val="none"/>
              </w:rPr>
            </w:pPr>
            <w:r>
              <w:rPr>
                <w:rFonts w:asciiTheme="minorEastAsia" w:hAnsiTheme="minorEastAsia" w:eastAsiaTheme="minorEastAsia" w:cstheme="minorEastAsia"/>
                <w:color w:val="auto"/>
                <w:szCs w:val="24"/>
                <w:highlight w:val="none"/>
              </w:rPr>
              <w:t>投标人法定代表人或其</w:t>
            </w:r>
          </w:p>
          <w:p w14:paraId="1BC8A30C">
            <w:pPr>
              <w:keepNext w:val="0"/>
              <w:keepLines w:val="0"/>
              <w:suppressLineNumbers w:val="0"/>
              <w:spacing w:before="0" w:beforeAutospacing="0" w:after="0" w:afterAutospacing="0"/>
              <w:ind w:left="0" w:right="0"/>
              <w:jc w:val="center"/>
              <w:rPr>
                <w:rFonts w:hint="default" w:asciiTheme="minorEastAsia" w:hAnsiTheme="minorEastAsia" w:eastAsiaTheme="minorEastAsia" w:cstheme="minorEastAsia"/>
                <w:color w:val="auto"/>
                <w:szCs w:val="24"/>
                <w:highlight w:val="none"/>
              </w:rPr>
            </w:pPr>
            <w:r>
              <w:rPr>
                <w:rFonts w:asciiTheme="minorEastAsia" w:hAnsiTheme="minorEastAsia" w:eastAsiaTheme="minorEastAsia" w:cstheme="minorEastAsia"/>
                <w:color w:val="auto"/>
                <w:szCs w:val="24"/>
                <w:highlight w:val="none"/>
              </w:rPr>
              <w:t>委托代理人签名</w:t>
            </w:r>
          </w:p>
        </w:tc>
        <w:tc>
          <w:tcPr>
            <w:tcW w:w="2992" w:type="dxa"/>
            <w:gridSpan w:val="2"/>
            <w:tcMar>
              <w:left w:w="108" w:type="dxa"/>
              <w:right w:w="108" w:type="dxa"/>
            </w:tcMar>
            <w:vAlign w:val="center"/>
          </w:tcPr>
          <w:p w14:paraId="743924D3">
            <w:pPr>
              <w:keepNext w:val="0"/>
              <w:keepLines w:val="0"/>
              <w:suppressLineNumbers w:val="0"/>
              <w:spacing w:before="0" w:beforeAutospacing="0" w:after="0" w:afterAutospacing="0"/>
              <w:ind w:left="0" w:right="0"/>
              <w:jc w:val="center"/>
              <w:rPr>
                <w:rFonts w:hint="default" w:asciiTheme="minorEastAsia" w:hAnsiTheme="minorEastAsia" w:eastAsiaTheme="minorEastAsia" w:cstheme="minorEastAsia"/>
                <w:color w:val="auto"/>
                <w:szCs w:val="24"/>
                <w:highlight w:val="none"/>
              </w:rPr>
            </w:pPr>
            <w:r>
              <w:rPr>
                <w:rFonts w:asciiTheme="minorEastAsia" w:hAnsiTheme="minorEastAsia" w:eastAsiaTheme="minorEastAsia" w:cstheme="minorEastAsia"/>
                <w:color w:val="auto"/>
                <w:szCs w:val="24"/>
                <w:highlight w:val="none"/>
              </w:rPr>
              <w:t>　</w:t>
            </w:r>
          </w:p>
        </w:tc>
        <w:tc>
          <w:tcPr>
            <w:tcW w:w="753" w:type="dxa"/>
            <w:tcMar>
              <w:left w:w="108" w:type="dxa"/>
              <w:right w:w="108" w:type="dxa"/>
            </w:tcMar>
            <w:vAlign w:val="center"/>
          </w:tcPr>
          <w:p w14:paraId="7273194B">
            <w:pPr>
              <w:keepNext w:val="0"/>
              <w:keepLines w:val="0"/>
              <w:suppressLineNumbers w:val="0"/>
              <w:spacing w:before="0" w:beforeAutospacing="0" w:after="0" w:afterAutospacing="0"/>
              <w:ind w:left="0" w:right="0"/>
              <w:jc w:val="center"/>
              <w:rPr>
                <w:rFonts w:hint="default" w:asciiTheme="minorEastAsia" w:hAnsiTheme="minorEastAsia" w:eastAsiaTheme="minorEastAsia" w:cstheme="minorEastAsia"/>
                <w:color w:val="auto"/>
                <w:szCs w:val="24"/>
                <w:highlight w:val="none"/>
              </w:rPr>
            </w:pPr>
            <w:r>
              <w:rPr>
                <w:rFonts w:asciiTheme="minorEastAsia" w:hAnsiTheme="minorEastAsia" w:eastAsiaTheme="minorEastAsia" w:cstheme="minorEastAsia"/>
                <w:color w:val="auto"/>
                <w:szCs w:val="24"/>
                <w:highlight w:val="none"/>
              </w:rPr>
              <w:t>手机号码</w:t>
            </w:r>
          </w:p>
        </w:tc>
        <w:tc>
          <w:tcPr>
            <w:tcW w:w="2527" w:type="dxa"/>
            <w:gridSpan w:val="2"/>
            <w:tcMar>
              <w:left w:w="108" w:type="dxa"/>
              <w:right w:w="108" w:type="dxa"/>
            </w:tcMar>
            <w:vAlign w:val="center"/>
          </w:tcPr>
          <w:p w14:paraId="39D6C8E6">
            <w:pPr>
              <w:keepNext w:val="0"/>
              <w:keepLines w:val="0"/>
              <w:suppressLineNumbers w:val="0"/>
              <w:spacing w:before="0" w:beforeAutospacing="0" w:after="0" w:afterAutospacing="0"/>
              <w:ind w:left="0" w:right="0"/>
              <w:jc w:val="center"/>
              <w:rPr>
                <w:rFonts w:hint="default" w:asciiTheme="minorEastAsia" w:hAnsiTheme="minorEastAsia" w:eastAsiaTheme="minorEastAsia" w:cstheme="minorEastAsia"/>
                <w:color w:val="auto"/>
                <w:szCs w:val="24"/>
                <w:highlight w:val="none"/>
              </w:rPr>
            </w:pPr>
            <w:r>
              <w:rPr>
                <w:rFonts w:asciiTheme="minorEastAsia" w:hAnsiTheme="minorEastAsia" w:eastAsiaTheme="minorEastAsia" w:cstheme="minorEastAsia"/>
                <w:color w:val="auto"/>
                <w:szCs w:val="24"/>
                <w:highlight w:val="none"/>
              </w:rPr>
              <w:t>　</w:t>
            </w:r>
          </w:p>
        </w:tc>
      </w:tr>
      <w:tr w14:paraId="668152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805" w:hRule="atLeast"/>
        </w:trPr>
        <w:tc>
          <w:tcPr>
            <w:tcW w:w="9100" w:type="dxa"/>
            <w:gridSpan w:val="8"/>
            <w:tcMar>
              <w:left w:w="108" w:type="dxa"/>
              <w:right w:w="108" w:type="dxa"/>
            </w:tcMar>
            <w:vAlign w:val="center"/>
          </w:tcPr>
          <w:p w14:paraId="45CEBFD4">
            <w:pPr>
              <w:keepNext w:val="0"/>
              <w:keepLines w:val="0"/>
              <w:suppressLineNumbers w:val="0"/>
              <w:spacing w:before="0" w:beforeAutospacing="0" w:after="0" w:afterAutospacing="0"/>
              <w:ind w:left="0" w:right="0"/>
              <w:jc w:val="center"/>
              <w:rPr>
                <w:rFonts w:hint="default" w:asciiTheme="minorEastAsia" w:hAnsiTheme="minorEastAsia" w:eastAsiaTheme="minorEastAsia" w:cstheme="minorEastAsia"/>
                <w:color w:val="auto"/>
                <w:szCs w:val="24"/>
                <w:highlight w:val="none"/>
              </w:rPr>
            </w:pPr>
            <w:r>
              <w:rPr>
                <w:rFonts w:asciiTheme="minorEastAsia" w:hAnsiTheme="minorEastAsia" w:eastAsiaTheme="minorEastAsia" w:cstheme="minorEastAsia"/>
                <w:color w:val="auto"/>
                <w:szCs w:val="24"/>
                <w:highlight w:val="none"/>
              </w:rPr>
              <w:t>递交的证明材料原件如下：</w:t>
            </w:r>
          </w:p>
        </w:tc>
      </w:tr>
      <w:tr w14:paraId="41CB99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805" w:hRule="atLeast"/>
        </w:trPr>
        <w:tc>
          <w:tcPr>
            <w:tcW w:w="700" w:type="dxa"/>
            <w:tcMar>
              <w:left w:w="108" w:type="dxa"/>
              <w:right w:w="108" w:type="dxa"/>
            </w:tcMar>
            <w:vAlign w:val="center"/>
          </w:tcPr>
          <w:p w14:paraId="4388C4DE">
            <w:pPr>
              <w:keepNext w:val="0"/>
              <w:keepLines w:val="0"/>
              <w:suppressLineNumbers w:val="0"/>
              <w:spacing w:before="0" w:beforeAutospacing="0" w:after="0" w:afterAutospacing="0"/>
              <w:ind w:left="0" w:right="0"/>
              <w:jc w:val="center"/>
              <w:rPr>
                <w:rFonts w:hint="default" w:asciiTheme="minorEastAsia" w:hAnsiTheme="minorEastAsia" w:eastAsiaTheme="minorEastAsia" w:cstheme="minorEastAsia"/>
                <w:color w:val="auto"/>
                <w:szCs w:val="24"/>
                <w:highlight w:val="none"/>
              </w:rPr>
            </w:pPr>
            <w:r>
              <w:rPr>
                <w:rFonts w:asciiTheme="minorEastAsia" w:hAnsiTheme="minorEastAsia" w:eastAsiaTheme="minorEastAsia" w:cstheme="minorEastAsia"/>
                <w:color w:val="auto"/>
                <w:szCs w:val="24"/>
                <w:highlight w:val="none"/>
              </w:rPr>
              <w:t>序号</w:t>
            </w:r>
          </w:p>
        </w:tc>
        <w:tc>
          <w:tcPr>
            <w:tcW w:w="5120" w:type="dxa"/>
            <w:gridSpan w:val="4"/>
            <w:tcMar>
              <w:left w:w="108" w:type="dxa"/>
              <w:right w:w="108" w:type="dxa"/>
            </w:tcMar>
            <w:vAlign w:val="center"/>
          </w:tcPr>
          <w:p w14:paraId="6582AC3A">
            <w:pPr>
              <w:keepNext w:val="0"/>
              <w:keepLines w:val="0"/>
              <w:suppressLineNumbers w:val="0"/>
              <w:spacing w:before="0" w:beforeAutospacing="0" w:after="0" w:afterAutospacing="0"/>
              <w:ind w:left="0" w:right="0"/>
              <w:jc w:val="center"/>
              <w:rPr>
                <w:rFonts w:hint="default" w:asciiTheme="minorEastAsia" w:hAnsiTheme="minorEastAsia" w:eastAsiaTheme="minorEastAsia" w:cstheme="minorEastAsia"/>
                <w:color w:val="auto"/>
                <w:szCs w:val="24"/>
                <w:highlight w:val="none"/>
              </w:rPr>
            </w:pPr>
            <w:r>
              <w:rPr>
                <w:rFonts w:asciiTheme="minorEastAsia" w:hAnsiTheme="minorEastAsia" w:eastAsiaTheme="minorEastAsia" w:cstheme="minorEastAsia"/>
                <w:color w:val="auto"/>
                <w:szCs w:val="24"/>
                <w:highlight w:val="none"/>
              </w:rPr>
              <w:t>证明材料原件名称</w:t>
            </w:r>
          </w:p>
        </w:tc>
        <w:tc>
          <w:tcPr>
            <w:tcW w:w="1710" w:type="dxa"/>
            <w:gridSpan w:val="2"/>
            <w:tcMar>
              <w:left w:w="108" w:type="dxa"/>
              <w:right w:w="108" w:type="dxa"/>
            </w:tcMar>
            <w:vAlign w:val="center"/>
          </w:tcPr>
          <w:p w14:paraId="70165A43">
            <w:pPr>
              <w:keepNext w:val="0"/>
              <w:keepLines w:val="0"/>
              <w:suppressLineNumbers w:val="0"/>
              <w:spacing w:before="0" w:beforeAutospacing="0" w:after="0" w:afterAutospacing="0"/>
              <w:ind w:left="0" w:right="0"/>
              <w:jc w:val="center"/>
              <w:rPr>
                <w:rFonts w:hint="default" w:asciiTheme="minorEastAsia" w:hAnsiTheme="minorEastAsia" w:eastAsiaTheme="minorEastAsia" w:cstheme="minorEastAsia"/>
                <w:color w:val="auto"/>
                <w:szCs w:val="24"/>
                <w:highlight w:val="none"/>
              </w:rPr>
            </w:pPr>
            <w:r>
              <w:rPr>
                <w:rFonts w:asciiTheme="minorEastAsia" w:hAnsiTheme="minorEastAsia" w:eastAsiaTheme="minorEastAsia" w:cstheme="minorEastAsia"/>
                <w:color w:val="auto"/>
                <w:szCs w:val="24"/>
                <w:highlight w:val="none"/>
              </w:rPr>
              <w:t>单位</w:t>
            </w:r>
          </w:p>
        </w:tc>
        <w:tc>
          <w:tcPr>
            <w:tcW w:w="1570" w:type="dxa"/>
            <w:tcMar>
              <w:left w:w="108" w:type="dxa"/>
              <w:right w:w="108" w:type="dxa"/>
            </w:tcMar>
            <w:vAlign w:val="center"/>
          </w:tcPr>
          <w:p w14:paraId="3A9ABE01">
            <w:pPr>
              <w:keepNext w:val="0"/>
              <w:keepLines w:val="0"/>
              <w:suppressLineNumbers w:val="0"/>
              <w:spacing w:before="0" w:beforeAutospacing="0" w:after="0" w:afterAutospacing="0"/>
              <w:ind w:left="0" w:right="0"/>
              <w:jc w:val="center"/>
              <w:rPr>
                <w:rFonts w:hint="default" w:asciiTheme="minorEastAsia" w:hAnsiTheme="minorEastAsia" w:eastAsiaTheme="minorEastAsia" w:cstheme="minorEastAsia"/>
                <w:color w:val="auto"/>
                <w:szCs w:val="24"/>
                <w:highlight w:val="none"/>
              </w:rPr>
            </w:pPr>
            <w:r>
              <w:rPr>
                <w:rFonts w:asciiTheme="minorEastAsia" w:hAnsiTheme="minorEastAsia" w:eastAsiaTheme="minorEastAsia" w:cstheme="minorEastAsia"/>
                <w:color w:val="auto"/>
                <w:szCs w:val="24"/>
                <w:highlight w:val="none"/>
              </w:rPr>
              <w:t>数量</w:t>
            </w:r>
          </w:p>
        </w:tc>
      </w:tr>
      <w:tr w14:paraId="543BDB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805" w:hRule="atLeast"/>
        </w:trPr>
        <w:tc>
          <w:tcPr>
            <w:tcW w:w="700" w:type="dxa"/>
            <w:tcMar>
              <w:left w:w="108" w:type="dxa"/>
              <w:right w:w="108" w:type="dxa"/>
            </w:tcMar>
            <w:vAlign w:val="center"/>
          </w:tcPr>
          <w:p w14:paraId="7303BD6F">
            <w:pPr>
              <w:keepNext w:val="0"/>
              <w:keepLines w:val="0"/>
              <w:suppressLineNumbers w:val="0"/>
              <w:spacing w:before="0" w:beforeAutospacing="0" w:after="0" w:afterAutospacing="0"/>
              <w:ind w:left="0" w:right="0"/>
              <w:jc w:val="center"/>
              <w:rPr>
                <w:rFonts w:hint="default" w:asciiTheme="minorEastAsia" w:hAnsiTheme="minorEastAsia" w:eastAsiaTheme="minorEastAsia" w:cstheme="minorEastAsia"/>
                <w:color w:val="auto"/>
                <w:szCs w:val="24"/>
                <w:highlight w:val="none"/>
              </w:rPr>
            </w:pPr>
            <w:r>
              <w:rPr>
                <w:rFonts w:asciiTheme="minorEastAsia" w:hAnsiTheme="minorEastAsia" w:eastAsiaTheme="minorEastAsia" w:cstheme="minorEastAsia"/>
                <w:color w:val="auto"/>
                <w:szCs w:val="24"/>
                <w:highlight w:val="none"/>
              </w:rPr>
              <w:t>1</w:t>
            </w:r>
          </w:p>
        </w:tc>
        <w:tc>
          <w:tcPr>
            <w:tcW w:w="5120" w:type="dxa"/>
            <w:gridSpan w:val="4"/>
            <w:tcMar>
              <w:left w:w="108" w:type="dxa"/>
              <w:right w:w="108" w:type="dxa"/>
            </w:tcMar>
            <w:vAlign w:val="center"/>
          </w:tcPr>
          <w:p w14:paraId="43DE045E">
            <w:pPr>
              <w:keepNext w:val="0"/>
              <w:keepLines w:val="0"/>
              <w:suppressLineNumbers w:val="0"/>
              <w:spacing w:before="0" w:beforeAutospacing="0" w:after="0" w:afterAutospacing="0"/>
              <w:ind w:left="0" w:right="0"/>
              <w:jc w:val="center"/>
              <w:rPr>
                <w:rFonts w:hint="default" w:asciiTheme="minorEastAsia" w:hAnsiTheme="minorEastAsia" w:eastAsiaTheme="minorEastAsia" w:cstheme="minorEastAsia"/>
                <w:color w:val="auto"/>
                <w:szCs w:val="24"/>
                <w:highlight w:val="none"/>
              </w:rPr>
            </w:pPr>
          </w:p>
        </w:tc>
        <w:tc>
          <w:tcPr>
            <w:tcW w:w="1710" w:type="dxa"/>
            <w:gridSpan w:val="2"/>
            <w:tcMar>
              <w:left w:w="108" w:type="dxa"/>
              <w:right w:w="108" w:type="dxa"/>
            </w:tcMar>
            <w:vAlign w:val="center"/>
          </w:tcPr>
          <w:p w14:paraId="1A71C32D">
            <w:pPr>
              <w:keepNext w:val="0"/>
              <w:keepLines w:val="0"/>
              <w:suppressLineNumbers w:val="0"/>
              <w:spacing w:before="0" w:beforeAutospacing="0" w:after="0" w:afterAutospacing="0"/>
              <w:ind w:left="0" w:right="0"/>
              <w:jc w:val="center"/>
              <w:rPr>
                <w:rFonts w:hint="default" w:asciiTheme="minorEastAsia" w:hAnsiTheme="minorEastAsia" w:eastAsiaTheme="minorEastAsia" w:cstheme="minorEastAsia"/>
                <w:color w:val="auto"/>
                <w:szCs w:val="24"/>
                <w:highlight w:val="none"/>
              </w:rPr>
            </w:pPr>
          </w:p>
        </w:tc>
        <w:tc>
          <w:tcPr>
            <w:tcW w:w="1570" w:type="dxa"/>
            <w:tcMar>
              <w:left w:w="108" w:type="dxa"/>
              <w:right w:w="108" w:type="dxa"/>
            </w:tcMar>
            <w:vAlign w:val="center"/>
          </w:tcPr>
          <w:p w14:paraId="61CED46C">
            <w:pPr>
              <w:keepNext w:val="0"/>
              <w:keepLines w:val="0"/>
              <w:suppressLineNumbers w:val="0"/>
              <w:spacing w:before="0" w:beforeAutospacing="0" w:after="0" w:afterAutospacing="0"/>
              <w:ind w:left="0" w:right="0"/>
              <w:jc w:val="center"/>
              <w:rPr>
                <w:rFonts w:hint="default" w:asciiTheme="minorEastAsia" w:hAnsiTheme="minorEastAsia" w:eastAsiaTheme="minorEastAsia" w:cstheme="minorEastAsia"/>
                <w:color w:val="auto"/>
                <w:szCs w:val="24"/>
                <w:highlight w:val="none"/>
              </w:rPr>
            </w:pPr>
            <w:r>
              <w:rPr>
                <w:rFonts w:asciiTheme="minorEastAsia" w:hAnsiTheme="minorEastAsia" w:eastAsiaTheme="minorEastAsia" w:cstheme="minorEastAsia"/>
                <w:color w:val="auto"/>
                <w:szCs w:val="24"/>
                <w:highlight w:val="none"/>
              </w:rPr>
              <w:t>　</w:t>
            </w:r>
          </w:p>
        </w:tc>
      </w:tr>
      <w:tr w14:paraId="31D85F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805" w:hRule="atLeast"/>
        </w:trPr>
        <w:tc>
          <w:tcPr>
            <w:tcW w:w="700" w:type="dxa"/>
            <w:tcMar>
              <w:left w:w="108" w:type="dxa"/>
              <w:right w:w="108" w:type="dxa"/>
            </w:tcMar>
            <w:vAlign w:val="center"/>
          </w:tcPr>
          <w:p w14:paraId="19CF4077">
            <w:pPr>
              <w:keepNext w:val="0"/>
              <w:keepLines w:val="0"/>
              <w:suppressLineNumbers w:val="0"/>
              <w:spacing w:before="0" w:beforeAutospacing="0" w:after="0" w:afterAutospacing="0"/>
              <w:ind w:left="0" w:right="0"/>
              <w:jc w:val="center"/>
              <w:rPr>
                <w:rFonts w:hint="default" w:asciiTheme="minorEastAsia" w:hAnsiTheme="minorEastAsia" w:eastAsiaTheme="minorEastAsia" w:cstheme="minorEastAsia"/>
                <w:color w:val="auto"/>
                <w:szCs w:val="24"/>
                <w:highlight w:val="none"/>
              </w:rPr>
            </w:pPr>
            <w:r>
              <w:rPr>
                <w:rFonts w:asciiTheme="minorEastAsia" w:hAnsiTheme="minorEastAsia" w:eastAsiaTheme="minorEastAsia" w:cstheme="minorEastAsia"/>
                <w:color w:val="auto"/>
                <w:szCs w:val="24"/>
                <w:highlight w:val="none"/>
              </w:rPr>
              <w:t>2</w:t>
            </w:r>
          </w:p>
        </w:tc>
        <w:tc>
          <w:tcPr>
            <w:tcW w:w="5120" w:type="dxa"/>
            <w:gridSpan w:val="4"/>
            <w:tcMar>
              <w:left w:w="108" w:type="dxa"/>
              <w:right w:w="108" w:type="dxa"/>
            </w:tcMar>
            <w:vAlign w:val="center"/>
          </w:tcPr>
          <w:p w14:paraId="3C8E1A20">
            <w:pPr>
              <w:keepNext w:val="0"/>
              <w:keepLines w:val="0"/>
              <w:suppressLineNumbers w:val="0"/>
              <w:spacing w:before="0" w:beforeAutospacing="0" w:after="0" w:afterAutospacing="0"/>
              <w:ind w:left="0" w:right="0"/>
              <w:jc w:val="center"/>
              <w:rPr>
                <w:rFonts w:hint="default" w:asciiTheme="minorEastAsia" w:hAnsiTheme="minorEastAsia" w:eastAsiaTheme="minorEastAsia" w:cstheme="minorEastAsia"/>
                <w:color w:val="auto"/>
                <w:szCs w:val="24"/>
                <w:highlight w:val="none"/>
              </w:rPr>
            </w:pPr>
          </w:p>
        </w:tc>
        <w:tc>
          <w:tcPr>
            <w:tcW w:w="1710" w:type="dxa"/>
            <w:gridSpan w:val="2"/>
            <w:tcMar>
              <w:left w:w="108" w:type="dxa"/>
              <w:right w:w="108" w:type="dxa"/>
            </w:tcMar>
            <w:vAlign w:val="center"/>
          </w:tcPr>
          <w:p w14:paraId="286CF84A">
            <w:pPr>
              <w:keepNext w:val="0"/>
              <w:keepLines w:val="0"/>
              <w:suppressLineNumbers w:val="0"/>
              <w:spacing w:before="0" w:beforeAutospacing="0" w:after="0" w:afterAutospacing="0"/>
              <w:ind w:left="0" w:right="0"/>
              <w:jc w:val="center"/>
              <w:rPr>
                <w:rFonts w:hint="default" w:asciiTheme="minorEastAsia" w:hAnsiTheme="minorEastAsia" w:eastAsiaTheme="minorEastAsia" w:cstheme="minorEastAsia"/>
                <w:color w:val="auto"/>
                <w:szCs w:val="24"/>
                <w:highlight w:val="none"/>
              </w:rPr>
            </w:pPr>
          </w:p>
        </w:tc>
        <w:tc>
          <w:tcPr>
            <w:tcW w:w="1570" w:type="dxa"/>
            <w:tcMar>
              <w:left w:w="108" w:type="dxa"/>
              <w:right w:w="108" w:type="dxa"/>
            </w:tcMar>
            <w:vAlign w:val="center"/>
          </w:tcPr>
          <w:p w14:paraId="562EFCBC">
            <w:pPr>
              <w:keepNext w:val="0"/>
              <w:keepLines w:val="0"/>
              <w:suppressLineNumbers w:val="0"/>
              <w:spacing w:before="0" w:beforeAutospacing="0" w:after="0" w:afterAutospacing="0"/>
              <w:ind w:left="0" w:right="0"/>
              <w:jc w:val="center"/>
              <w:rPr>
                <w:rFonts w:hint="default" w:asciiTheme="minorEastAsia" w:hAnsiTheme="minorEastAsia" w:eastAsiaTheme="minorEastAsia" w:cstheme="minorEastAsia"/>
                <w:color w:val="auto"/>
                <w:szCs w:val="24"/>
                <w:highlight w:val="none"/>
              </w:rPr>
            </w:pPr>
          </w:p>
        </w:tc>
      </w:tr>
      <w:tr w14:paraId="46CAC8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805" w:hRule="atLeast"/>
        </w:trPr>
        <w:tc>
          <w:tcPr>
            <w:tcW w:w="700" w:type="dxa"/>
            <w:tcMar>
              <w:left w:w="108" w:type="dxa"/>
              <w:right w:w="108" w:type="dxa"/>
            </w:tcMar>
            <w:vAlign w:val="center"/>
          </w:tcPr>
          <w:p w14:paraId="7F5CE407">
            <w:pPr>
              <w:keepNext w:val="0"/>
              <w:keepLines w:val="0"/>
              <w:suppressLineNumbers w:val="0"/>
              <w:spacing w:before="0" w:beforeAutospacing="0" w:after="0" w:afterAutospacing="0"/>
              <w:ind w:left="0" w:right="0"/>
              <w:jc w:val="center"/>
              <w:rPr>
                <w:rFonts w:hint="default" w:asciiTheme="minorEastAsia" w:hAnsiTheme="minorEastAsia" w:eastAsiaTheme="minorEastAsia" w:cstheme="minorEastAsia"/>
                <w:color w:val="auto"/>
                <w:szCs w:val="24"/>
                <w:highlight w:val="none"/>
              </w:rPr>
            </w:pPr>
            <w:r>
              <w:rPr>
                <w:rFonts w:asciiTheme="minorEastAsia" w:hAnsiTheme="minorEastAsia" w:eastAsiaTheme="minorEastAsia" w:cstheme="minorEastAsia"/>
                <w:color w:val="auto"/>
                <w:szCs w:val="24"/>
                <w:highlight w:val="none"/>
              </w:rPr>
              <w:t>3</w:t>
            </w:r>
          </w:p>
        </w:tc>
        <w:tc>
          <w:tcPr>
            <w:tcW w:w="5120" w:type="dxa"/>
            <w:gridSpan w:val="4"/>
            <w:tcMar>
              <w:left w:w="108" w:type="dxa"/>
              <w:right w:w="108" w:type="dxa"/>
            </w:tcMar>
            <w:vAlign w:val="center"/>
          </w:tcPr>
          <w:p w14:paraId="2BE04911">
            <w:pPr>
              <w:keepNext w:val="0"/>
              <w:keepLines w:val="0"/>
              <w:suppressLineNumbers w:val="0"/>
              <w:spacing w:before="0" w:beforeAutospacing="0" w:after="0" w:afterAutospacing="0"/>
              <w:ind w:left="0" w:right="0"/>
              <w:jc w:val="center"/>
              <w:rPr>
                <w:rFonts w:hint="default" w:asciiTheme="minorEastAsia" w:hAnsiTheme="minorEastAsia" w:eastAsiaTheme="minorEastAsia" w:cstheme="minorEastAsia"/>
                <w:color w:val="auto"/>
                <w:szCs w:val="24"/>
                <w:highlight w:val="none"/>
              </w:rPr>
            </w:pPr>
          </w:p>
        </w:tc>
        <w:tc>
          <w:tcPr>
            <w:tcW w:w="1710" w:type="dxa"/>
            <w:gridSpan w:val="2"/>
            <w:tcMar>
              <w:left w:w="108" w:type="dxa"/>
              <w:right w:w="108" w:type="dxa"/>
            </w:tcMar>
            <w:vAlign w:val="center"/>
          </w:tcPr>
          <w:p w14:paraId="082FD35F">
            <w:pPr>
              <w:keepNext w:val="0"/>
              <w:keepLines w:val="0"/>
              <w:suppressLineNumbers w:val="0"/>
              <w:spacing w:before="0" w:beforeAutospacing="0" w:after="0" w:afterAutospacing="0"/>
              <w:ind w:left="0" w:right="0"/>
              <w:jc w:val="center"/>
              <w:rPr>
                <w:rFonts w:hint="default" w:asciiTheme="minorEastAsia" w:hAnsiTheme="minorEastAsia" w:eastAsiaTheme="minorEastAsia" w:cstheme="minorEastAsia"/>
                <w:color w:val="auto"/>
                <w:szCs w:val="24"/>
                <w:highlight w:val="none"/>
              </w:rPr>
            </w:pPr>
          </w:p>
        </w:tc>
        <w:tc>
          <w:tcPr>
            <w:tcW w:w="1570" w:type="dxa"/>
            <w:tcMar>
              <w:left w:w="108" w:type="dxa"/>
              <w:right w:w="108" w:type="dxa"/>
            </w:tcMar>
            <w:vAlign w:val="center"/>
          </w:tcPr>
          <w:p w14:paraId="7C7AB403">
            <w:pPr>
              <w:keepNext w:val="0"/>
              <w:keepLines w:val="0"/>
              <w:suppressLineNumbers w:val="0"/>
              <w:spacing w:before="0" w:beforeAutospacing="0" w:after="0" w:afterAutospacing="0"/>
              <w:ind w:left="0" w:right="0"/>
              <w:jc w:val="center"/>
              <w:rPr>
                <w:rFonts w:hint="default" w:asciiTheme="minorEastAsia" w:hAnsiTheme="minorEastAsia" w:eastAsiaTheme="minorEastAsia" w:cstheme="minorEastAsia"/>
                <w:color w:val="auto"/>
                <w:szCs w:val="24"/>
                <w:highlight w:val="none"/>
              </w:rPr>
            </w:pPr>
          </w:p>
        </w:tc>
      </w:tr>
      <w:tr w14:paraId="14C692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805" w:hRule="atLeast"/>
        </w:trPr>
        <w:tc>
          <w:tcPr>
            <w:tcW w:w="700" w:type="dxa"/>
            <w:tcMar>
              <w:left w:w="108" w:type="dxa"/>
              <w:right w:w="108" w:type="dxa"/>
            </w:tcMar>
            <w:vAlign w:val="center"/>
          </w:tcPr>
          <w:p w14:paraId="2C523196">
            <w:pPr>
              <w:keepNext w:val="0"/>
              <w:keepLines w:val="0"/>
              <w:suppressLineNumbers w:val="0"/>
              <w:spacing w:before="0" w:beforeAutospacing="0" w:after="0" w:afterAutospacing="0"/>
              <w:ind w:left="0" w:right="0"/>
              <w:jc w:val="center"/>
              <w:rPr>
                <w:rFonts w:hint="default" w:asciiTheme="minorEastAsia" w:hAnsiTheme="minorEastAsia" w:eastAsiaTheme="minorEastAsia" w:cstheme="minorEastAsia"/>
                <w:color w:val="auto"/>
                <w:szCs w:val="24"/>
                <w:highlight w:val="none"/>
              </w:rPr>
            </w:pPr>
            <w:r>
              <w:rPr>
                <w:rFonts w:asciiTheme="minorEastAsia" w:hAnsiTheme="minorEastAsia" w:eastAsiaTheme="minorEastAsia" w:cstheme="minorEastAsia"/>
                <w:color w:val="auto"/>
                <w:szCs w:val="24"/>
                <w:highlight w:val="none"/>
              </w:rPr>
              <w:t>...</w:t>
            </w:r>
          </w:p>
        </w:tc>
        <w:tc>
          <w:tcPr>
            <w:tcW w:w="5120" w:type="dxa"/>
            <w:gridSpan w:val="4"/>
            <w:tcMar>
              <w:left w:w="108" w:type="dxa"/>
              <w:right w:w="108" w:type="dxa"/>
            </w:tcMar>
            <w:vAlign w:val="center"/>
          </w:tcPr>
          <w:p w14:paraId="42E9BE7F">
            <w:pPr>
              <w:keepNext w:val="0"/>
              <w:keepLines w:val="0"/>
              <w:suppressLineNumbers w:val="0"/>
              <w:spacing w:before="0" w:beforeAutospacing="0" w:after="0" w:afterAutospacing="0"/>
              <w:ind w:left="0" w:right="0"/>
              <w:jc w:val="center"/>
              <w:rPr>
                <w:rFonts w:hint="default" w:asciiTheme="minorEastAsia" w:hAnsiTheme="minorEastAsia" w:eastAsiaTheme="minorEastAsia" w:cstheme="minorEastAsia"/>
                <w:color w:val="auto"/>
                <w:szCs w:val="24"/>
                <w:highlight w:val="none"/>
              </w:rPr>
            </w:pPr>
          </w:p>
        </w:tc>
        <w:tc>
          <w:tcPr>
            <w:tcW w:w="1710" w:type="dxa"/>
            <w:gridSpan w:val="2"/>
            <w:tcMar>
              <w:left w:w="108" w:type="dxa"/>
              <w:right w:w="108" w:type="dxa"/>
            </w:tcMar>
            <w:vAlign w:val="center"/>
          </w:tcPr>
          <w:p w14:paraId="60F39679">
            <w:pPr>
              <w:keepNext w:val="0"/>
              <w:keepLines w:val="0"/>
              <w:suppressLineNumbers w:val="0"/>
              <w:spacing w:before="0" w:beforeAutospacing="0" w:after="0" w:afterAutospacing="0"/>
              <w:ind w:left="0" w:right="0"/>
              <w:jc w:val="center"/>
              <w:rPr>
                <w:rFonts w:hint="default" w:asciiTheme="minorEastAsia" w:hAnsiTheme="minorEastAsia" w:eastAsiaTheme="minorEastAsia" w:cstheme="minorEastAsia"/>
                <w:color w:val="auto"/>
                <w:szCs w:val="24"/>
                <w:highlight w:val="none"/>
              </w:rPr>
            </w:pPr>
          </w:p>
        </w:tc>
        <w:tc>
          <w:tcPr>
            <w:tcW w:w="1570" w:type="dxa"/>
            <w:tcMar>
              <w:left w:w="108" w:type="dxa"/>
              <w:right w:w="108" w:type="dxa"/>
            </w:tcMar>
            <w:vAlign w:val="center"/>
          </w:tcPr>
          <w:p w14:paraId="0E090AC9">
            <w:pPr>
              <w:keepNext w:val="0"/>
              <w:keepLines w:val="0"/>
              <w:suppressLineNumbers w:val="0"/>
              <w:spacing w:before="0" w:beforeAutospacing="0" w:after="0" w:afterAutospacing="0"/>
              <w:ind w:left="0" w:right="0"/>
              <w:jc w:val="center"/>
              <w:rPr>
                <w:rFonts w:hint="default" w:asciiTheme="minorEastAsia" w:hAnsiTheme="minorEastAsia" w:eastAsiaTheme="minorEastAsia" w:cstheme="minorEastAsia"/>
                <w:color w:val="auto"/>
                <w:szCs w:val="24"/>
                <w:highlight w:val="none"/>
              </w:rPr>
            </w:pPr>
            <w:r>
              <w:rPr>
                <w:rFonts w:asciiTheme="minorEastAsia" w:hAnsiTheme="minorEastAsia" w:eastAsiaTheme="minorEastAsia" w:cstheme="minorEastAsia"/>
                <w:color w:val="auto"/>
                <w:szCs w:val="24"/>
                <w:highlight w:val="none"/>
              </w:rPr>
              <w:t>　</w:t>
            </w:r>
          </w:p>
        </w:tc>
      </w:tr>
      <w:tr w14:paraId="2EE519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1928" w:hRule="atLeast"/>
        </w:trPr>
        <w:tc>
          <w:tcPr>
            <w:tcW w:w="700" w:type="dxa"/>
            <w:tcMar>
              <w:left w:w="108" w:type="dxa"/>
              <w:right w:w="108" w:type="dxa"/>
            </w:tcMar>
            <w:vAlign w:val="center"/>
          </w:tcPr>
          <w:p w14:paraId="2C859D4F">
            <w:pPr>
              <w:keepNext w:val="0"/>
              <w:keepLines w:val="0"/>
              <w:suppressLineNumbers w:val="0"/>
              <w:spacing w:before="0" w:beforeAutospacing="0" w:after="0" w:afterAutospacing="0"/>
              <w:ind w:left="8" w:right="0" w:hanging="94"/>
              <w:jc w:val="center"/>
              <w:rPr>
                <w:rFonts w:hint="default" w:asciiTheme="minorEastAsia" w:hAnsiTheme="minorEastAsia" w:eastAsiaTheme="minorEastAsia" w:cstheme="minorEastAsia"/>
                <w:color w:val="auto"/>
                <w:szCs w:val="24"/>
                <w:highlight w:val="none"/>
              </w:rPr>
            </w:pPr>
            <w:r>
              <w:rPr>
                <w:rFonts w:asciiTheme="minorEastAsia" w:hAnsiTheme="minorEastAsia" w:eastAsiaTheme="minorEastAsia" w:cstheme="minorEastAsia"/>
                <w:color w:val="auto"/>
                <w:szCs w:val="24"/>
                <w:highlight w:val="none"/>
              </w:rPr>
              <w:t>注意：</w:t>
            </w:r>
          </w:p>
        </w:tc>
        <w:tc>
          <w:tcPr>
            <w:tcW w:w="8400" w:type="dxa"/>
            <w:gridSpan w:val="7"/>
            <w:tcMar>
              <w:left w:w="108" w:type="dxa"/>
              <w:right w:w="108" w:type="dxa"/>
            </w:tcMar>
            <w:vAlign w:val="center"/>
          </w:tcPr>
          <w:p w14:paraId="1AB5AAF4">
            <w:pPr>
              <w:keepNext w:val="0"/>
              <w:keepLines w:val="0"/>
              <w:suppressLineNumbers w:val="0"/>
              <w:spacing w:before="0" w:beforeAutospacing="0" w:after="0" w:afterAutospacing="0"/>
              <w:ind w:left="0" w:right="0" w:firstLine="480"/>
              <w:rPr>
                <w:rFonts w:hint="default" w:asciiTheme="minorEastAsia" w:hAnsiTheme="minorEastAsia" w:eastAsiaTheme="minorEastAsia" w:cstheme="minorEastAsia"/>
                <w:color w:val="auto"/>
                <w:szCs w:val="24"/>
                <w:highlight w:val="none"/>
              </w:rPr>
            </w:pPr>
            <w:r>
              <w:rPr>
                <w:rFonts w:asciiTheme="minorEastAsia" w:hAnsiTheme="minorEastAsia" w:eastAsiaTheme="minorEastAsia" w:cstheme="minorEastAsia"/>
                <w:color w:val="auto"/>
                <w:szCs w:val="24"/>
                <w:highlight w:val="none"/>
              </w:rPr>
              <w:t>该表一式两份，两份表格投标人均需如实填写各项内容，两份表格的填写内容应一致。一份贴于装纳原件的文件袋（箱），一份在递交文件袋（箱）时由招标代理机构、投标人签字后交招标代理机构。招标代理机构仅代签收装纳原件的文件袋（箱），而不对文件袋（箱）中资料的数量、内容及真实性负责。</w:t>
            </w:r>
          </w:p>
        </w:tc>
      </w:tr>
      <w:tr w14:paraId="01A122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715" w:hRule="atLeast"/>
        </w:trPr>
        <w:tc>
          <w:tcPr>
            <w:tcW w:w="2205" w:type="dxa"/>
            <w:gridSpan w:val="2"/>
            <w:tcMar>
              <w:left w:w="108" w:type="dxa"/>
              <w:right w:w="108" w:type="dxa"/>
            </w:tcMar>
            <w:vAlign w:val="center"/>
          </w:tcPr>
          <w:p w14:paraId="6392907B">
            <w:pPr>
              <w:keepNext w:val="0"/>
              <w:keepLines w:val="0"/>
              <w:suppressLineNumbers w:val="0"/>
              <w:spacing w:before="0" w:beforeAutospacing="0" w:after="0" w:afterAutospacing="0"/>
              <w:ind w:left="0" w:right="0"/>
              <w:jc w:val="center"/>
              <w:rPr>
                <w:rFonts w:hint="default" w:asciiTheme="minorEastAsia" w:hAnsiTheme="minorEastAsia" w:eastAsiaTheme="minorEastAsia" w:cstheme="minorEastAsia"/>
                <w:color w:val="auto"/>
                <w:szCs w:val="24"/>
                <w:highlight w:val="none"/>
              </w:rPr>
            </w:pPr>
            <w:r>
              <w:rPr>
                <w:rFonts w:asciiTheme="minorEastAsia" w:hAnsiTheme="minorEastAsia" w:eastAsiaTheme="minorEastAsia" w:cstheme="minorEastAsia"/>
                <w:color w:val="auto"/>
                <w:szCs w:val="24"/>
                <w:highlight w:val="none"/>
              </w:rPr>
              <w:t>接收原件经办人（招标代理）：</w:t>
            </w:r>
          </w:p>
        </w:tc>
        <w:tc>
          <w:tcPr>
            <w:tcW w:w="1992" w:type="dxa"/>
            <w:gridSpan w:val="2"/>
            <w:tcMar>
              <w:left w:w="108" w:type="dxa"/>
              <w:right w:w="108" w:type="dxa"/>
            </w:tcMar>
            <w:vAlign w:val="center"/>
          </w:tcPr>
          <w:p w14:paraId="30B83CFF">
            <w:pPr>
              <w:keepNext w:val="0"/>
              <w:keepLines w:val="0"/>
              <w:suppressLineNumbers w:val="0"/>
              <w:spacing w:before="0" w:beforeAutospacing="0" w:after="0" w:afterAutospacing="0"/>
              <w:ind w:left="0" w:right="0"/>
              <w:jc w:val="center"/>
              <w:rPr>
                <w:rFonts w:hint="default" w:asciiTheme="minorEastAsia" w:hAnsiTheme="minorEastAsia" w:eastAsiaTheme="minorEastAsia" w:cstheme="minorEastAsia"/>
                <w:color w:val="auto"/>
                <w:szCs w:val="24"/>
                <w:highlight w:val="none"/>
              </w:rPr>
            </w:pPr>
          </w:p>
        </w:tc>
        <w:tc>
          <w:tcPr>
            <w:tcW w:w="1623" w:type="dxa"/>
            <w:tcMar>
              <w:left w:w="108" w:type="dxa"/>
              <w:right w:w="108" w:type="dxa"/>
            </w:tcMar>
            <w:vAlign w:val="center"/>
          </w:tcPr>
          <w:p w14:paraId="6A6FE64F">
            <w:pPr>
              <w:keepNext w:val="0"/>
              <w:keepLines w:val="0"/>
              <w:suppressLineNumbers w:val="0"/>
              <w:spacing w:before="0" w:beforeAutospacing="0" w:after="0" w:afterAutospacing="0"/>
              <w:ind w:left="0" w:right="0"/>
              <w:jc w:val="center"/>
              <w:rPr>
                <w:rFonts w:hint="default" w:asciiTheme="minorEastAsia" w:hAnsiTheme="minorEastAsia" w:eastAsiaTheme="minorEastAsia" w:cstheme="minorEastAsia"/>
                <w:color w:val="auto"/>
                <w:szCs w:val="24"/>
                <w:highlight w:val="none"/>
              </w:rPr>
            </w:pPr>
            <w:r>
              <w:rPr>
                <w:rFonts w:asciiTheme="minorEastAsia" w:hAnsiTheme="minorEastAsia" w:eastAsiaTheme="minorEastAsia" w:cstheme="minorEastAsia"/>
                <w:color w:val="auto"/>
                <w:szCs w:val="24"/>
                <w:highlight w:val="none"/>
              </w:rPr>
              <w:t>接收时间：</w:t>
            </w:r>
          </w:p>
        </w:tc>
        <w:tc>
          <w:tcPr>
            <w:tcW w:w="3280" w:type="dxa"/>
            <w:gridSpan w:val="3"/>
            <w:tcMar>
              <w:left w:w="108" w:type="dxa"/>
              <w:right w:w="108" w:type="dxa"/>
            </w:tcMar>
            <w:vAlign w:val="center"/>
          </w:tcPr>
          <w:p w14:paraId="46C91653">
            <w:pPr>
              <w:keepNext w:val="0"/>
              <w:keepLines w:val="0"/>
              <w:suppressLineNumbers w:val="0"/>
              <w:spacing w:before="0" w:beforeAutospacing="0" w:after="0" w:afterAutospacing="0"/>
              <w:ind w:left="0" w:right="0" w:firstLine="720" w:firstLineChars="300"/>
              <w:jc w:val="left"/>
              <w:rPr>
                <w:rFonts w:hint="default" w:asciiTheme="minorEastAsia" w:hAnsiTheme="minorEastAsia" w:eastAsiaTheme="minorEastAsia" w:cstheme="minorEastAsia"/>
                <w:color w:val="auto"/>
                <w:szCs w:val="24"/>
                <w:highlight w:val="none"/>
              </w:rPr>
            </w:pPr>
            <w:r>
              <w:rPr>
                <w:rFonts w:asciiTheme="minorEastAsia" w:hAnsiTheme="minorEastAsia" w:eastAsiaTheme="minorEastAsia" w:cstheme="minorEastAsia"/>
                <w:color w:val="auto"/>
                <w:szCs w:val="24"/>
                <w:highlight w:val="none"/>
              </w:rPr>
              <w:t>年   月   日   时  分</w:t>
            </w:r>
          </w:p>
        </w:tc>
      </w:tr>
      <w:tr w14:paraId="6624D0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1089" w:hRule="atLeast"/>
        </w:trPr>
        <w:tc>
          <w:tcPr>
            <w:tcW w:w="2205" w:type="dxa"/>
            <w:gridSpan w:val="2"/>
            <w:tcMar>
              <w:left w:w="108" w:type="dxa"/>
              <w:right w:w="108" w:type="dxa"/>
            </w:tcMar>
            <w:vAlign w:val="center"/>
          </w:tcPr>
          <w:p w14:paraId="72FCFCF1">
            <w:pPr>
              <w:keepNext w:val="0"/>
              <w:keepLines w:val="0"/>
              <w:suppressLineNumbers w:val="0"/>
              <w:spacing w:before="0" w:beforeAutospacing="0" w:after="0" w:afterAutospacing="0"/>
              <w:ind w:left="0" w:right="0"/>
              <w:jc w:val="center"/>
              <w:rPr>
                <w:rFonts w:hint="default" w:asciiTheme="minorEastAsia" w:hAnsiTheme="minorEastAsia" w:eastAsiaTheme="minorEastAsia" w:cstheme="minorEastAsia"/>
                <w:color w:val="auto"/>
                <w:szCs w:val="24"/>
                <w:highlight w:val="none"/>
              </w:rPr>
            </w:pPr>
            <w:r>
              <w:rPr>
                <w:rFonts w:asciiTheme="minorEastAsia" w:hAnsiTheme="minorEastAsia" w:eastAsiaTheme="minorEastAsia" w:cstheme="minorEastAsia"/>
                <w:color w:val="auto"/>
                <w:szCs w:val="24"/>
                <w:highlight w:val="none"/>
              </w:rPr>
              <w:t>退还原件接收人（投标人）：</w:t>
            </w:r>
          </w:p>
        </w:tc>
        <w:tc>
          <w:tcPr>
            <w:tcW w:w="1992" w:type="dxa"/>
            <w:gridSpan w:val="2"/>
            <w:tcMar>
              <w:left w:w="108" w:type="dxa"/>
              <w:right w:w="108" w:type="dxa"/>
            </w:tcMar>
            <w:vAlign w:val="center"/>
          </w:tcPr>
          <w:p w14:paraId="3E9CC999">
            <w:pPr>
              <w:keepNext w:val="0"/>
              <w:keepLines w:val="0"/>
              <w:suppressLineNumbers w:val="0"/>
              <w:spacing w:before="0" w:beforeAutospacing="0" w:after="0" w:afterAutospacing="0"/>
              <w:ind w:left="0" w:right="0"/>
              <w:jc w:val="center"/>
              <w:rPr>
                <w:rFonts w:hint="default" w:asciiTheme="minorEastAsia" w:hAnsiTheme="minorEastAsia" w:eastAsiaTheme="minorEastAsia" w:cstheme="minorEastAsia"/>
                <w:color w:val="auto"/>
                <w:szCs w:val="24"/>
                <w:highlight w:val="none"/>
              </w:rPr>
            </w:pPr>
          </w:p>
        </w:tc>
        <w:tc>
          <w:tcPr>
            <w:tcW w:w="1623" w:type="dxa"/>
            <w:tcMar>
              <w:left w:w="108" w:type="dxa"/>
              <w:right w:w="108" w:type="dxa"/>
            </w:tcMar>
            <w:vAlign w:val="center"/>
          </w:tcPr>
          <w:p w14:paraId="50BB682A">
            <w:pPr>
              <w:keepNext w:val="0"/>
              <w:keepLines w:val="0"/>
              <w:suppressLineNumbers w:val="0"/>
              <w:spacing w:before="0" w:beforeAutospacing="0" w:after="0" w:afterAutospacing="0"/>
              <w:ind w:left="0" w:right="0"/>
              <w:jc w:val="center"/>
              <w:rPr>
                <w:rFonts w:hint="default" w:asciiTheme="minorEastAsia" w:hAnsiTheme="minorEastAsia" w:eastAsiaTheme="minorEastAsia" w:cstheme="minorEastAsia"/>
                <w:color w:val="auto"/>
                <w:szCs w:val="24"/>
                <w:highlight w:val="none"/>
              </w:rPr>
            </w:pPr>
            <w:r>
              <w:rPr>
                <w:rFonts w:asciiTheme="minorEastAsia" w:hAnsiTheme="minorEastAsia" w:eastAsiaTheme="minorEastAsia" w:cstheme="minorEastAsia"/>
                <w:color w:val="auto"/>
                <w:szCs w:val="24"/>
                <w:highlight w:val="none"/>
              </w:rPr>
              <w:t>退还时间：</w:t>
            </w:r>
          </w:p>
        </w:tc>
        <w:tc>
          <w:tcPr>
            <w:tcW w:w="3280" w:type="dxa"/>
            <w:gridSpan w:val="3"/>
            <w:tcMar>
              <w:left w:w="108" w:type="dxa"/>
              <w:right w:w="108" w:type="dxa"/>
            </w:tcMar>
            <w:vAlign w:val="center"/>
          </w:tcPr>
          <w:p w14:paraId="1A0F7B37">
            <w:pPr>
              <w:keepNext w:val="0"/>
              <w:keepLines w:val="0"/>
              <w:suppressLineNumbers w:val="0"/>
              <w:spacing w:before="0" w:beforeAutospacing="0" w:after="0" w:afterAutospacing="0"/>
              <w:ind w:left="0" w:right="0" w:firstLine="720" w:firstLineChars="300"/>
              <w:jc w:val="left"/>
              <w:rPr>
                <w:rFonts w:hint="default" w:asciiTheme="minorEastAsia" w:hAnsiTheme="minorEastAsia" w:eastAsiaTheme="minorEastAsia" w:cstheme="minorEastAsia"/>
                <w:color w:val="auto"/>
                <w:szCs w:val="24"/>
                <w:highlight w:val="none"/>
              </w:rPr>
            </w:pPr>
            <w:r>
              <w:rPr>
                <w:rFonts w:asciiTheme="minorEastAsia" w:hAnsiTheme="minorEastAsia" w:eastAsiaTheme="minorEastAsia" w:cstheme="minorEastAsia"/>
                <w:color w:val="auto"/>
                <w:szCs w:val="24"/>
                <w:highlight w:val="none"/>
              </w:rPr>
              <w:t>年   月   日   时   分</w:t>
            </w:r>
          </w:p>
        </w:tc>
      </w:tr>
    </w:tbl>
    <w:p w14:paraId="1D54F4AA">
      <w:pPr>
        <w:snapToGrid w:val="0"/>
        <w:spacing w:line="440" w:lineRule="exact"/>
        <w:rPr>
          <w:rFonts w:hint="default" w:asciiTheme="minorEastAsia" w:hAnsiTheme="minorEastAsia" w:eastAsiaTheme="minorEastAsia" w:cstheme="minorEastAsia"/>
          <w:color w:val="auto"/>
          <w:szCs w:val="24"/>
          <w:highlight w:val="none"/>
        </w:rPr>
      </w:pPr>
      <w:r>
        <w:rPr>
          <w:rFonts w:asciiTheme="minorEastAsia" w:hAnsiTheme="minorEastAsia" w:eastAsiaTheme="minorEastAsia" w:cstheme="minorEastAsia"/>
          <w:b/>
          <w:snapToGrid w:val="0"/>
          <w:color w:val="auto"/>
          <w:highlight w:val="none"/>
        </w:rPr>
        <w:br w:type="page"/>
      </w:r>
    </w:p>
    <w:p w14:paraId="1C3921B8">
      <w:pPr>
        <w:pStyle w:val="4"/>
        <w:spacing w:before="136"/>
        <w:rPr>
          <w:rFonts w:hint="eastAsia" w:asciiTheme="minorEastAsia" w:hAnsiTheme="minorEastAsia" w:eastAsiaTheme="minorEastAsia" w:cstheme="minorEastAsia"/>
          <w:b/>
          <w:bCs/>
          <w:color w:val="auto"/>
          <w:szCs w:val="24"/>
          <w:highlight w:val="none"/>
          <w:lang w:val="en-US" w:eastAsia="zh-CN"/>
        </w:rPr>
      </w:pPr>
      <w:bookmarkStart w:id="604" w:name="_Toc31078"/>
      <w:bookmarkStart w:id="605" w:name="_Toc26638"/>
      <w:bookmarkStart w:id="606" w:name="_Toc6918"/>
      <w:bookmarkStart w:id="607" w:name="_Toc8121"/>
      <w:bookmarkStart w:id="608" w:name="_Toc8821"/>
      <w:bookmarkStart w:id="609" w:name="_Toc22541"/>
      <w:bookmarkStart w:id="610" w:name="_Toc23446"/>
      <w:bookmarkStart w:id="611" w:name="_Toc26622"/>
      <w:bookmarkStart w:id="612" w:name="_Toc9816"/>
      <w:r>
        <w:rPr>
          <w:rFonts w:hint="eastAsia" w:asciiTheme="minorEastAsia" w:hAnsiTheme="minorEastAsia" w:eastAsiaTheme="minorEastAsia" w:cstheme="minorEastAsia"/>
          <w:b/>
          <w:bCs/>
          <w:color w:val="auto"/>
          <w:szCs w:val="24"/>
          <w:highlight w:val="none"/>
          <w:lang w:val="en-US" w:eastAsia="zh-CN"/>
        </w:rPr>
        <w:t>格式十四 定标因素评审资料</w:t>
      </w:r>
      <w:bookmarkEnd w:id="604"/>
    </w:p>
    <w:p w14:paraId="575C99BA">
      <w:pPr>
        <w:wordWrap w:val="0"/>
        <w:adjustRightInd w:val="0"/>
        <w:snapToGrid w:val="0"/>
        <w:spacing w:line="400" w:lineRule="exact"/>
        <w:jc w:val="center"/>
        <w:rPr>
          <w:rFonts w:hint="eastAsia" w:asciiTheme="minorEastAsia" w:hAnsiTheme="minorEastAsia" w:eastAsiaTheme="minorEastAsia" w:cstheme="minorEastAsia"/>
          <w:color w:val="auto"/>
          <w:sz w:val="36"/>
          <w:szCs w:val="36"/>
          <w:highlight w:val="none"/>
          <w:lang w:val="en-US" w:eastAsia="zh-CN"/>
        </w:rPr>
      </w:pPr>
    </w:p>
    <w:p w14:paraId="6F31E3FC">
      <w:pPr>
        <w:wordWrap w:val="0"/>
        <w:adjustRightInd w:val="0"/>
        <w:snapToGrid w:val="0"/>
        <w:spacing w:line="400" w:lineRule="exact"/>
        <w:jc w:val="center"/>
        <w:rPr>
          <w:rFonts w:hint="eastAsia" w:asciiTheme="minorEastAsia" w:hAnsiTheme="minorEastAsia" w:eastAsiaTheme="minorEastAsia" w:cstheme="minorEastAsia"/>
          <w:b/>
          <w:bCs/>
          <w:color w:val="auto"/>
          <w:sz w:val="32"/>
          <w:szCs w:val="32"/>
          <w:highlight w:val="none"/>
          <w:lang w:val="en-US" w:eastAsia="zh-CN"/>
        </w:rPr>
      </w:pPr>
      <w:r>
        <w:rPr>
          <w:rFonts w:hint="eastAsia" w:asciiTheme="minorEastAsia" w:hAnsiTheme="minorEastAsia" w:eastAsiaTheme="minorEastAsia" w:cstheme="minorEastAsia"/>
          <w:b/>
          <w:bCs/>
          <w:color w:val="auto"/>
          <w:sz w:val="32"/>
          <w:szCs w:val="32"/>
          <w:highlight w:val="none"/>
          <w:lang w:val="en-US" w:eastAsia="zh-CN"/>
        </w:rPr>
        <w:t>定标因素评审资料</w:t>
      </w:r>
    </w:p>
    <w:p w14:paraId="407A24B3">
      <w:pPr>
        <w:wordWrap w:val="0"/>
        <w:adjustRightInd w:val="0"/>
        <w:snapToGrid w:val="0"/>
        <w:spacing w:line="400" w:lineRule="exact"/>
        <w:jc w:val="center"/>
        <w:rPr>
          <w:rFonts w:hint="eastAsia" w:asciiTheme="minorEastAsia" w:hAnsiTheme="minorEastAsia" w:eastAsiaTheme="minorEastAsia" w:cstheme="minorEastAsia"/>
          <w:b/>
          <w:bCs/>
          <w:color w:val="auto"/>
          <w:sz w:val="32"/>
          <w:szCs w:val="32"/>
          <w:highlight w:val="none"/>
          <w:lang w:val="en-US" w:eastAsia="zh-CN"/>
        </w:rPr>
      </w:pPr>
    </w:p>
    <w:p w14:paraId="6241D6F2">
      <w:pPr>
        <w:wordWrap w:val="0"/>
        <w:adjustRightInd w:val="0"/>
        <w:snapToGrid w:val="0"/>
        <w:spacing w:line="400" w:lineRule="exact"/>
        <w:jc w:val="center"/>
        <w:rPr>
          <w:rFonts w:hint="eastAsia" w:asciiTheme="minorEastAsia" w:hAnsiTheme="minorEastAsia" w:eastAsiaTheme="minorEastAsia" w:cstheme="minorEastAsia"/>
          <w:b/>
          <w:bCs/>
          <w:color w:val="auto"/>
          <w:sz w:val="32"/>
          <w:szCs w:val="32"/>
          <w:highlight w:val="none"/>
          <w:lang w:val="en-US" w:eastAsia="zh-CN"/>
        </w:rPr>
      </w:pPr>
    </w:p>
    <w:p w14:paraId="7CFA64C5">
      <w:pPr>
        <w:keepNext w:val="0"/>
        <w:keepLines w:val="0"/>
        <w:pageBreakBefore w:val="0"/>
        <w:widowControl w:val="0"/>
        <w:kinsoku/>
        <w:wordWrap w:val="0"/>
        <w:overflowPunct/>
        <w:topLinePunct w:val="0"/>
        <w:autoSpaceDE/>
        <w:autoSpaceDN/>
        <w:bidi w:val="0"/>
        <w:adjustRightInd w:val="0"/>
        <w:snapToGrid w:val="0"/>
        <w:spacing w:line="400" w:lineRule="exact"/>
        <w:ind w:firstLine="480" w:firstLineChars="200"/>
        <w:jc w:val="left"/>
        <w:textAlignment w:val="auto"/>
        <w:rPr>
          <w:rFonts w:hint="eastAsia" w:asciiTheme="minorEastAsia" w:hAnsiTheme="minorEastAsia" w:eastAsiaTheme="minorEastAsia" w:cstheme="minorEastAsia"/>
          <w:b w:val="0"/>
          <w:bCs w:val="0"/>
          <w:color w:val="auto"/>
          <w:sz w:val="24"/>
          <w:szCs w:val="24"/>
          <w:highlight w:val="none"/>
          <w:lang w:val="en-US" w:eastAsia="zh-CN"/>
        </w:rPr>
      </w:pPr>
      <w:r>
        <w:rPr>
          <w:rFonts w:hint="default" w:asciiTheme="minorEastAsia" w:hAnsiTheme="minorEastAsia" w:eastAsiaTheme="minorEastAsia" w:cstheme="minorEastAsia"/>
          <w:b w:val="0"/>
          <w:bCs w:val="0"/>
          <w:color w:val="auto"/>
          <w:sz w:val="24"/>
          <w:szCs w:val="24"/>
          <w:highlight w:val="none"/>
          <w:lang w:val="en-US" w:eastAsia="zh-CN"/>
        </w:rPr>
        <w:t>投标人根据“第一章 第五节 定标规定及定标办法”载明的定标因素，提交评审资料。</w:t>
      </w:r>
      <w:r>
        <w:rPr>
          <w:rFonts w:hint="eastAsia" w:asciiTheme="minorEastAsia" w:hAnsiTheme="minorEastAsia" w:eastAsiaTheme="minorEastAsia" w:cstheme="minorEastAsia"/>
          <w:b w:val="0"/>
          <w:bCs w:val="0"/>
          <w:color w:val="auto"/>
          <w:sz w:val="24"/>
          <w:szCs w:val="24"/>
          <w:highlight w:val="none"/>
          <w:lang w:val="en-US" w:eastAsia="zh-CN"/>
        </w:rPr>
        <w:t>（评标报告除外）</w:t>
      </w:r>
    </w:p>
    <w:p w14:paraId="5AE92209">
      <w:pPr>
        <w:rPr>
          <w:rFonts w:hint="eastAsia" w:asciiTheme="minorEastAsia" w:hAnsiTheme="minorEastAsia" w:eastAsiaTheme="minorEastAsia" w:cstheme="minorEastAsia"/>
          <w:b w:val="0"/>
          <w:bCs w:val="0"/>
          <w:color w:val="auto"/>
          <w:sz w:val="24"/>
          <w:szCs w:val="24"/>
          <w:highlight w:val="none"/>
          <w:lang w:val="en-US" w:eastAsia="zh-CN"/>
        </w:rPr>
      </w:pPr>
      <w:r>
        <w:rPr>
          <w:rFonts w:hint="eastAsia" w:asciiTheme="minorEastAsia" w:hAnsiTheme="minorEastAsia" w:eastAsiaTheme="minorEastAsia" w:cstheme="minorEastAsia"/>
          <w:b w:val="0"/>
          <w:bCs w:val="0"/>
          <w:color w:val="auto"/>
          <w:sz w:val="24"/>
          <w:szCs w:val="24"/>
          <w:highlight w:val="none"/>
          <w:lang w:val="en-US" w:eastAsia="zh-CN"/>
        </w:rPr>
        <w:br w:type="page"/>
      </w:r>
    </w:p>
    <w:p w14:paraId="17039EDF">
      <w:pPr>
        <w:pStyle w:val="4"/>
        <w:spacing w:before="136"/>
        <w:rPr>
          <w:rFonts w:hint="eastAsia" w:ascii="宋体" w:hAnsi="宋体" w:eastAsia="宋体" w:cs="宋体"/>
          <w:b/>
          <w:bCs/>
          <w:color w:val="auto"/>
          <w:spacing w:val="-4"/>
          <w:sz w:val="24"/>
          <w:szCs w:val="24"/>
          <w:highlight w:val="none"/>
        </w:rPr>
      </w:pPr>
      <w:bookmarkStart w:id="613" w:name="_Toc12638"/>
      <w:r>
        <w:rPr>
          <w:rFonts w:hint="eastAsia" w:hAnsi="宋体" w:eastAsia="宋体" w:cs="宋体"/>
          <w:b/>
          <w:bCs/>
          <w:color w:val="auto"/>
          <w:spacing w:val="-4"/>
          <w:sz w:val="24"/>
          <w:szCs w:val="24"/>
          <w:highlight w:val="none"/>
          <w:lang w:eastAsia="zh-CN"/>
        </w:rPr>
        <w:t>格式十五</w:t>
      </w:r>
      <w:r>
        <w:rPr>
          <w:rFonts w:hint="eastAsia" w:hAnsi="宋体" w:eastAsia="宋体" w:cs="宋体"/>
          <w:b/>
          <w:bCs/>
          <w:color w:val="auto"/>
          <w:spacing w:val="-4"/>
          <w:sz w:val="24"/>
          <w:szCs w:val="24"/>
          <w:highlight w:val="none"/>
          <w:lang w:val="en-US" w:eastAsia="zh-CN"/>
        </w:rPr>
        <w:t xml:space="preserve"> </w:t>
      </w:r>
      <w:r>
        <w:rPr>
          <w:rFonts w:hint="eastAsia" w:ascii="宋体" w:hAnsi="宋体" w:eastAsia="宋体" w:cs="宋体"/>
          <w:b/>
          <w:bCs/>
          <w:color w:val="auto"/>
          <w:spacing w:val="-4"/>
          <w:sz w:val="24"/>
          <w:szCs w:val="24"/>
          <w:highlight w:val="none"/>
        </w:rPr>
        <w:t>建造师查询页（有效期+建造师签字）</w:t>
      </w:r>
      <w:bookmarkEnd w:id="613"/>
    </w:p>
    <w:p w14:paraId="36FF43B2">
      <w:pPr>
        <w:rPr>
          <w:rFonts w:hint="eastAsia" w:ascii="宋体" w:hAnsi="宋体" w:eastAsia="宋体" w:cs="宋体"/>
          <w:b/>
          <w:bCs/>
          <w:color w:val="auto"/>
          <w:spacing w:val="-4"/>
          <w:sz w:val="24"/>
          <w:szCs w:val="24"/>
          <w:highlight w:val="none"/>
        </w:rPr>
      </w:pPr>
    </w:p>
    <w:p w14:paraId="492C72E4">
      <w:pPr>
        <w:rPr>
          <w:rFonts w:hint="default" w:ascii="宋体" w:hAnsi="宋体" w:eastAsia="宋体" w:cs="宋体"/>
          <w:b/>
          <w:bCs/>
          <w:color w:val="auto"/>
          <w:spacing w:val="-4"/>
          <w:sz w:val="24"/>
          <w:szCs w:val="24"/>
          <w:highlight w:val="none"/>
          <w:lang w:val="en-US" w:eastAsia="zh-CN"/>
        </w:rPr>
        <w:sectPr>
          <w:pgSz w:w="11905" w:h="16838"/>
          <w:pgMar w:top="1134" w:right="1134" w:bottom="1134" w:left="1417" w:header="850" w:footer="0" w:gutter="0"/>
          <w:pgBorders>
            <w:top w:val="none" w:sz="0" w:space="0"/>
            <w:left w:val="none" w:sz="0" w:space="0"/>
            <w:bottom w:val="none" w:sz="0" w:space="0"/>
            <w:right w:val="none" w:sz="0" w:space="0"/>
          </w:pgBorders>
          <w:pgNumType w:fmt="decimal"/>
          <w:cols w:space="0" w:num="1"/>
          <w:rtlGutter w:val="0"/>
          <w:docGrid w:linePitch="0" w:charSpace="0"/>
        </w:sectPr>
      </w:pPr>
      <w:r>
        <w:rPr>
          <w:rFonts w:hint="eastAsia" w:ascii="宋体" w:hAnsi="宋体" w:eastAsia="宋体" w:cs="宋体"/>
          <w:color w:val="auto"/>
          <w:position w:val="-214"/>
          <w:highlight w:val="none"/>
        </w:rPr>
        <w:drawing>
          <wp:inline distT="0" distB="0" distL="114300" distR="114300">
            <wp:extent cx="6285865" cy="6925310"/>
            <wp:effectExtent l="0" t="0" r="635" b="8890"/>
            <wp:docPr id="6" name="图片 1"/>
            <wp:cNvGraphicFramePr/>
            <a:graphic xmlns:a="http://schemas.openxmlformats.org/drawingml/2006/main">
              <a:graphicData uri="http://schemas.openxmlformats.org/drawingml/2006/picture">
                <pic:pic xmlns:pic="http://schemas.openxmlformats.org/drawingml/2006/picture">
                  <pic:nvPicPr>
                    <pic:cNvPr id="6" name="图片 1"/>
                    <pic:cNvPicPr/>
                  </pic:nvPicPr>
                  <pic:blipFill>
                    <a:blip r:embed="rId11"/>
                    <a:stretch>
                      <a:fillRect/>
                    </a:stretch>
                  </pic:blipFill>
                  <pic:spPr>
                    <a:xfrm>
                      <a:off x="0" y="0"/>
                      <a:ext cx="6285865" cy="6925310"/>
                    </a:xfrm>
                    <a:prstGeom prst="rect">
                      <a:avLst/>
                    </a:prstGeom>
                    <a:noFill/>
                    <a:ln>
                      <a:noFill/>
                    </a:ln>
                  </pic:spPr>
                </pic:pic>
              </a:graphicData>
            </a:graphic>
          </wp:inline>
        </w:drawing>
      </w:r>
    </w:p>
    <w:bookmarkEnd w:id="605"/>
    <w:bookmarkEnd w:id="606"/>
    <w:bookmarkEnd w:id="607"/>
    <w:bookmarkEnd w:id="608"/>
    <w:bookmarkEnd w:id="609"/>
    <w:bookmarkEnd w:id="610"/>
    <w:bookmarkEnd w:id="611"/>
    <w:bookmarkEnd w:id="612"/>
    <w:p w14:paraId="4CC23A0A">
      <w:pPr>
        <w:pStyle w:val="63"/>
        <w:spacing w:line="440" w:lineRule="exact"/>
        <w:ind w:firstLine="0" w:firstLineChars="0"/>
        <w:rPr>
          <w:rFonts w:asciiTheme="minorEastAsia" w:hAnsiTheme="minorEastAsia" w:eastAsiaTheme="minorEastAsia" w:cstheme="minorEastAsia"/>
          <w:color w:val="auto"/>
          <w:szCs w:val="32"/>
          <w:highlight w:val="none"/>
        </w:rPr>
      </w:pPr>
    </w:p>
    <w:p w14:paraId="4ABB12E8">
      <w:pPr>
        <w:pStyle w:val="3"/>
        <w:jc w:val="center"/>
        <w:rPr>
          <w:rFonts w:hint="default" w:asciiTheme="minorEastAsia" w:hAnsiTheme="minorEastAsia" w:eastAsiaTheme="minorEastAsia" w:cstheme="minorEastAsia"/>
          <w:b/>
          <w:color w:val="auto"/>
          <w:kern w:val="44"/>
          <w:sz w:val="36"/>
          <w:szCs w:val="36"/>
          <w:highlight w:val="none"/>
        </w:rPr>
      </w:pPr>
      <w:bookmarkStart w:id="614" w:name="_Toc466640622"/>
      <w:bookmarkStart w:id="615" w:name="_Toc21777"/>
      <w:bookmarkStart w:id="616" w:name="_Toc19434"/>
      <w:bookmarkStart w:id="617" w:name="_Toc3894"/>
      <w:bookmarkStart w:id="618" w:name="_Toc420"/>
      <w:bookmarkStart w:id="619" w:name="_Toc9802"/>
      <w:bookmarkStart w:id="620" w:name="_Toc26594"/>
      <w:bookmarkStart w:id="621" w:name="_Toc3242"/>
      <w:bookmarkStart w:id="622" w:name="_Toc1879"/>
      <w:bookmarkStart w:id="623" w:name="_Toc13641"/>
      <w:r>
        <w:rPr>
          <w:rFonts w:asciiTheme="minorEastAsia" w:hAnsiTheme="minorEastAsia" w:eastAsiaTheme="minorEastAsia" w:cstheme="minorEastAsia"/>
          <w:b/>
          <w:color w:val="auto"/>
          <w:kern w:val="44"/>
          <w:sz w:val="36"/>
          <w:szCs w:val="36"/>
          <w:highlight w:val="none"/>
        </w:rPr>
        <w:t>第</w:t>
      </w:r>
      <w:r>
        <w:rPr>
          <w:rFonts w:hint="eastAsia" w:asciiTheme="minorEastAsia" w:hAnsiTheme="minorEastAsia" w:eastAsiaTheme="minorEastAsia" w:cstheme="minorEastAsia"/>
          <w:b/>
          <w:color w:val="auto"/>
          <w:kern w:val="44"/>
          <w:sz w:val="36"/>
          <w:szCs w:val="36"/>
          <w:highlight w:val="none"/>
          <w:lang w:eastAsia="zh-CN"/>
        </w:rPr>
        <w:t>八</w:t>
      </w:r>
      <w:r>
        <w:rPr>
          <w:rFonts w:asciiTheme="minorEastAsia" w:hAnsiTheme="minorEastAsia" w:eastAsiaTheme="minorEastAsia" w:cstheme="minorEastAsia"/>
          <w:b/>
          <w:color w:val="auto"/>
          <w:kern w:val="44"/>
          <w:sz w:val="36"/>
          <w:szCs w:val="36"/>
          <w:highlight w:val="none"/>
        </w:rPr>
        <w:t xml:space="preserve">章  </w:t>
      </w:r>
      <w:bookmarkEnd w:id="509"/>
      <w:bookmarkEnd w:id="510"/>
      <w:bookmarkEnd w:id="511"/>
      <w:bookmarkEnd w:id="512"/>
      <w:bookmarkEnd w:id="614"/>
      <w:r>
        <w:rPr>
          <w:rFonts w:asciiTheme="minorEastAsia" w:hAnsiTheme="minorEastAsia" w:eastAsiaTheme="minorEastAsia" w:cstheme="minorEastAsia"/>
          <w:b/>
          <w:color w:val="auto"/>
          <w:kern w:val="44"/>
          <w:sz w:val="36"/>
          <w:szCs w:val="36"/>
          <w:highlight w:val="none"/>
        </w:rPr>
        <w:t>建设工程合同</w:t>
      </w:r>
      <w:bookmarkEnd w:id="615"/>
      <w:bookmarkEnd w:id="616"/>
      <w:bookmarkEnd w:id="617"/>
      <w:bookmarkEnd w:id="618"/>
      <w:bookmarkEnd w:id="619"/>
      <w:bookmarkEnd w:id="620"/>
      <w:bookmarkEnd w:id="621"/>
      <w:bookmarkEnd w:id="622"/>
      <w:bookmarkEnd w:id="623"/>
    </w:p>
    <w:p w14:paraId="3D706E6B">
      <w:pPr>
        <w:rPr>
          <w:rFonts w:hint="default" w:asciiTheme="minorEastAsia" w:hAnsiTheme="minorEastAsia" w:eastAsiaTheme="minorEastAsia" w:cstheme="minorEastAsia"/>
          <w:color w:val="auto"/>
          <w:highlight w:val="none"/>
        </w:rPr>
      </w:pPr>
    </w:p>
    <w:bookmarkEnd w:id="513"/>
    <w:bookmarkEnd w:id="514"/>
    <w:p w14:paraId="41D7CF0A">
      <w:pPr>
        <w:spacing w:line="360" w:lineRule="auto"/>
        <w:ind w:firstLine="480" w:firstLineChars="200"/>
        <w:rPr>
          <w:rFonts w:hint="default" w:asciiTheme="minorEastAsia" w:hAnsiTheme="minorEastAsia" w:eastAsiaTheme="minorEastAsia" w:cstheme="minorEastAsia"/>
          <w:color w:val="auto"/>
          <w:szCs w:val="24"/>
          <w:highlight w:val="none"/>
        </w:rPr>
      </w:pPr>
      <w:r>
        <w:rPr>
          <w:rFonts w:asciiTheme="minorEastAsia" w:hAnsiTheme="minorEastAsia" w:eastAsiaTheme="minorEastAsia" w:cstheme="minorEastAsia"/>
          <w:color w:val="auto"/>
          <w:szCs w:val="24"/>
          <w:highlight w:val="none"/>
        </w:rPr>
        <w:t xml:space="preserve"> 略。总承包合同参照住</w:t>
      </w:r>
      <w:r>
        <w:rPr>
          <w:rFonts w:hint="eastAsia" w:asciiTheme="minorEastAsia" w:hAnsiTheme="minorEastAsia" w:eastAsiaTheme="minorEastAsia" w:cstheme="minorEastAsia"/>
          <w:color w:val="auto"/>
          <w:szCs w:val="24"/>
          <w:highlight w:val="none"/>
          <w:lang w:eastAsia="zh-CN"/>
        </w:rPr>
        <w:t>房和</w:t>
      </w:r>
      <w:r>
        <w:rPr>
          <w:rFonts w:asciiTheme="minorEastAsia" w:hAnsiTheme="minorEastAsia" w:eastAsiaTheme="minorEastAsia" w:cstheme="minorEastAsia"/>
          <w:color w:val="auto"/>
          <w:szCs w:val="24"/>
          <w:highlight w:val="none"/>
        </w:rPr>
        <w:t>城乡建设部、国家工商行政管理总局制定的《建设项目工程总承包合同（示范文本）》GF-2020-0216。</w:t>
      </w:r>
    </w:p>
    <w:p w14:paraId="13A69BEA">
      <w:pPr>
        <w:spacing w:line="360" w:lineRule="auto"/>
        <w:ind w:firstLine="480" w:firstLineChars="200"/>
        <w:rPr>
          <w:rFonts w:hint="default" w:asciiTheme="minorEastAsia" w:hAnsiTheme="minorEastAsia" w:eastAsiaTheme="minorEastAsia" w:cstheme="minorEastAsia"/>
          <w:color w:val="auto"/>
          <w:szCs w:val="24"/>
          <w:highlight w:val="none"/>
        </w:rPr>
      </w:pPr>
      <w:r>
        <w:rPr>
          <w:rFonts w:asciiTheme="minorEastAsia" w:hAnsiTheme="minorEastAsia" w:eastAsiaTheme="minorEastAsia" w:cstheme="minorEastAsia"/>
          <w:color w:val="auto"/>
          <w:szCs w:val="24"/>
          <w:highlight w:val="none"/>
        </w:rPr>
        <w:t>施工合同按广东省建设厅《广东省建设工程标准施工合同》范本（2009）执行。</w:t>
      </w:r>
    </w:p>
    <w:p w14:paraId="2ED4E0B1">
      <w:pPr>
        <w:spacing w:line="360" w:lineRule="auto"/>
        <w:ind w:firstLine="480" w:firstLineChars="200"/>
        <w:rPr>
          <w:rFonts w:hint="default" w:asciiTheme="minorEastAsia" w:hAnsiTheme="minorEastAsia" w:eastAsiaTheme="minorEastAsia" w:cstheme="minorEastAsia"/>
          <w:color w:val="auto"/>
          <w:szCs w:val="24"/>
          <w:highlight w:val="none"/>
        </w:rPr>
      </w:pPr>
      <w:r>
        <w:rPr>
          <w:rFonts w:asciiTheme="minorEastAsia" w:hAnsiTheme="minorEastAsia" w:eastAsiaTheme="minorEastAsia" w:cstheme="minorEastAsia"/>
          <w:color w:val="auto"/>
          <w:szCs w:val="24"/>
          <w:highlight w:val="none"/>
        </w:rPr>
        <w:t>设计合同按</w:t>
      </w:r>
      <w:r>
        <w:rPr>
          <w:rFonts w:hint="eastAsia" w:asciiTheme="minorEastAsia" w:hAnsiTheme="minorEastAsia" w:eastAsiaTheme="minorEastAsia" w:cstheme="minorEastAsia"/>
          <w:color w:val="auto"/>
          <w:szCs w:val="24"/>
          <w:highlight w:val="none"/>
          <w:lang w:eastAsia="zh-CN"/>
        </w:rPr>
        <w:t>住房和城乡建设部</w:t>
      </w:r>
      <w:r>
        <w:rPr>
          <w:rFonts w:asciiTheme="minorEastAsia" w:hAnsiTheme="minorEastAsia" w:eastAsiaTheme="minorEastAsia" w:cstheme="minorEastAsia"/>
          <w:color w:val="auto"/>
          <w:szCs w:val="24"/>
          <w:highlight w:val="none"/>
        </w:rPr>
        <w:t xml:space="preserve">、国家工商行政管理总局制定《建设工程设计合同示范文本（市政公用工程）》（GF-2015-0209）、《建设工程设计合同示范文本（专业建设工程）》（GF-2015-0210）执行。 </w:t>
      </w:r>
    </w:p>
    <w:p w14:paraId="0636993B">
      <w:pPr>
        <w:spacing w:line="420" w:lineRule="atLeast"/>
        <w:ind w:firstLine="480" w:firstLineChars="200"/>
        <w:rPr>
          <w:rFonts w:hint="default" w:asciiTheme="minorEastAsia" w:hAnsiTheme="minorEastAsia" w:eastAsiaTheme="minorEastAsia" w:cstheme="minorEastAsia"/>
          <w:color w:val="auto"/>
          <w:highlight w:val="none"/>
        </w:rPr>
      </w:pPr>
    </w:p>
    <w:p w14:paraId="32BC109B">
      <w:pPr>
        <w:spacing w:line="420" w:lineRule="atLeast"/>
        <w:ind w:firstLine="480" w:firstLineChars="200"/>
        <w:rPr>
          <w:rFonts w:hint="default" w:asciiTheme="minorEastAsia" w:hAnsiTheme="minorEastAsia" w:eastAsiaTheme="minorEastAsia" w:cstheme="minorEastAsia"/>
          <w:color w:val="auto"/>
          <w:highlight w:val="none"/>
        </w:rPr>
      </w:pPr>
    </w:p>
    <w:p w14:paraId="674ADDB6">
      <w:pPr>
        <w:rPr>
          <w:rFonts w:hint="default" w:asciiTheme="minorEastAsia" w:hAnsiTheme="minorEastAsia" w:eastAsiaTheme="minorEastAsia" w:cstheme="minorEastAsia"/>
          <w:color w:val="auto"/>
          <w:highlight w:val="none"/>
        </w:rPr>
      </w:pPr>
    </w:p>
    <w:sectPr>
      <w:headerReference r:id="rId8" w:type="default"/>
      <w:footerReference r:id="rId9" w:type="default"/>
      <w:endnotePr>
        <w:numFmt w:val="decimal"/>
      </w:endnotePr>
      <w:pgSz w:w="11905" w:h="16838"/>
      <w:pgMar w:top="1134" w:right="1134" w:bottom="1134" w:left="1417" w:header="850" w:footer="567" w:gutter="0"/>
      <w:pgBorders>
        <w:top w:val="none" w:sz="0" w:space="0"/>
        <w:left w:val="none" w:sz="0" w:space="0"/>
        <w:bottom w:val="none" w:sz="0" w:space="0"/>
        <w:right w:val="none" w:sz="0" w:space="0"/>
      </w:pgBorders>
      <w:pgNumType w:fmt="decimal"/>
      <w:cols w:space="0" w:num="1"/>
      <w:rtlGutter w:val="0"/>
      <w:docGrid w:linePitch="27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A"/>
    <w:family w:val="auto"/>
    <w:pitch w:val="default"/>
    <w:sig w:usb0="E0002EFF" w:usb1="C000785B" w:usb2="00000009" w:usb3="00000000" w:csb0="400001FF" w:csb1="FFFF0000"/>
  </w:font>
  <w:font w:name="宋体">
    <w:panose1 w:val="02010600030101010101"/>
    <w:charset w:val="81"/>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楷体_GB2312">
    <w:altName w:val="楷体"/>
    <w:panose1 w:val="02010609030101010101"/>
    <w:charset w:val="86"/>
    <w:family w:val="modern"/>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Bodoni MT">
    <w:panose1 w:val="02070603080606020203"/>
    <w:charset w:val="00"/>
    <w:family w:val="roman"/>
    <w:pitch w:val="default"/>
    <w:sig w:usb0="00000003" w:usb1="00000000" w:usb2="00000000" w:usb3="00000000" w:csb0="20000001" w:csb1="0000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FD36F83">
    <w:pPr>
      <w:pStyle w:val="72"/>
      <w:tabs>
        <w:tab w:val="left" w:pos="4803"/>
        <w:tab w:val="clear" w:pos="4153"/>
      </w:tabs>
    </w:pPr>
    <w:r>
      <w:rPr>
        <w:rFonts w:hint="eastAsia"/>
      </w:rPr>
      <w:tab/>
    </w:r>
  </w:p>
  <w:p w14:paraId="707CFEAA">
    <w:pPr>
      <w:pStyle w:val="7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22E3114">
    <w:pPr>
      <w:pStyle w:val="72"/>
      <w:tabs>
        <w:tab w:val="left" w:pos="4803"/>
        <w:tab w:val="clear" w:pos="4153"/>
      </w:tabs>
    </w:pPr>
    <w:r>
      <w:rPr>
        <w:rFonts w:hint="eastAsia"/>
      </w:rPr>
      <w:tab/>
    </w:r>
  </w:p>
  <w:p w14:paraId="387ACF6C">
    <w:pPr>
      <w:pStyle w:val="72"/>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C444491">
    <w:pPr>
      <w:pStyle w:val="72"/>
      <w:tabs>
        <w:tab w:val="left" w:pos="4803"/>
        <w:tab w:val="clear" w:pos="4153"/>
      </w:tabs>
    </w:pPr>
    <w:r>
      <w:rPr>
        <w:sz w:val="18"/>
      </w:rPr>
      <mc:AlternateContent>
        <mc:Choice Requires="wps">
          <w:drawing>
            <wp:anchor distT="0" distB="0" distL="114300" distR="114300" simplePos="0" relativeHeight="251665408" behindDoc="0" locked="0" layoutInCell="1" allowOverlap="1">
              <wp:simplePos x="0" y="0"/>
              <wp:positionH relativeFrom="margin">
                <wp:align>center</wp:align>
              </wp:positionH>
              <wp:positionV relativeFrom="paragraph">
                <wp:posOffset>0</wp:posOffset>
              </wp:positionV>
              <wp:extent cx="1828800" cy="1828800"/>
              <wp:effectExtent l="0" t="0" r="0" b="0"/>
              <wp:wrapNone/>
              <wp:docPr id="8" name="文本框 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180C55D">
                          <w:pPr>
                            <w:pStyle w:val="14"/>
                          </w:pPr>
                          <w:r>
                            <w:fldChar w:fldCharType="begin"/>
                          </w:r>
                          <w:r>
                            <w:instrText xml:space="preserve"> PAGE  \* MERGEFORMAT </w:instrText>
                          </w:r>
                          <w:r>
                            <w:fldChar w:fldCharType="separate"/>
                          </w:r>
                          <w:r>
                            <w:t>2</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540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eXtc4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ouyGaRT88v3b5cev&#10;y8+vZJbkqV2YI2rnEBebt7ZB0wznAYeJdVN6nb7gQ+CHuOeruKKJhKdLs+lsNoaLwzdsgJ89Xnc+&#10;xHfCapKMnHpUrxWVnbYhdqFDSMpm7EYq1VZQGVLn9Ob1m3F74eoBuDLIkUh0j01WbPZNz2xvizOI&#10;edt1RnB8I5F8y0J8YB6tgAdjWOI9llJZJLG9RUll/Zd/nad4VAheSmq0Vk4NJokS9d6gcgCMg+EH&#10;Yz8Y5qjvLHp1giF0vDVxwUc1mKW3+jMmaJVywMUMR6acxsG8i117YwK5WK3aoKPz8lB1F9B3jsWt&#10;2Tme0iQhg1sdI8RsNU4Cdar0uqHz2ir1U5Ja+899G/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DHl7XOMQIAAGEEAAAOAAAAAAAAAAEAIAAAAB8BAABkcnMvZTJvRG9jLnhtbFBLBQYA&#10;AAAABgAGAFkBAADCBQAAAAA=&#10;">
              <v:fill on="f" focussize="0,0"/>
              <v:stroke on="f" weight="0.5pt"/>
              <v:imagedata o:title=""/>
              <o:lock v:ext="edit" aspectratio="f"/>
              <v:textbox inset="0mm,0mm,0mm,0mm" style="mso-fit-shape-to-text:t;">
                <w:txbxContent>
                  <w:p w14:paraId="6180C55D">
                    <w:pPr>
                      <w:pStyle w:val="14"/>
                    </w:pPr>
                    <w:r>
                      <w:fldChar w:fldCharType="begin"/>
                    </w:r>
                    <w:r>
                      <w:instrText xml:space="preserve"> PAGE  \* MERGEFORMAT </w:instrText>
                    </w:r>
                    <w:r>
                      <w:fldChar w:fldCharType="separate"/>
                    </w:r>
                    <w:r>
                      <w:t>2</w:t>
                    </w:r>
                    <w:r>
                      <w:fldChar w:fldCharType="end"/>
                    </w:r>
                  </w:p>
                </w:txbxContent>
              </v:textbox>
            </v:shape>
          </w:pict>
        </mc:Fallback>
      </mc:AlternateContent>
    </w:r>
    <w:r>
      <w:rPr>
        <w:rFonts w:hint="eastAsia"/>
      </w:rPr>
      <w:tab/>
    </w:r>
  </w:p>
  <w:p w14:paraId="6B499CEC">
    <w:pPr>
      <w:pStyle w:val="72"/>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F0F6476">
    <w:pPr>
      <w:pStyle w:val="72"/>
      <w:tabs>
        <w:tab w:val="left" w:pos="4803"/>
        <w:tab w:val="clear" w:pos="4153"/>
      </w:tabs>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a:effectLst/>
                    </wps:spPr>
                    <wps:txbx>
                      <w:txbxContent>
                        <w:p w14:paraId="364DEE81">
                          <w:pPr>
                            <w:pStyle w:val="14"/>
                            <w:rPr>
                              <w:rFonts w:hint="default"/>
                            </w:rPr>
                          </w:pPr>
                          <w:r>
                            <w:fldChar w:fldCharType="begin"/>
                          </w:r>
                          <w:r>
                            <w:instrText xml:space="preserve"> PAGE  \* MERGEFORMAT </w:instrText>
                          </w:r>
                          <w:r>
                            <w:fldChar w:fldCharType="separate"/>
                          </w:r>
                          <w:r>
                            <w:rPr>
                              <w:rFonts w:hint="default"/>
                            </w:rPr>
                            <w:t>107</w:t>
                          </w:r>
                          <w:r>
                            <w:fldChar w:fldCharType="end"/>
                          </w:r>
                        </w:p>
                      </w:txbxContent>
                    </wps:txbx>
                    <wps:bodyPr wrap="none" lIns="0" tIns="0" rIns="0" bIns="0" upright="0">
                      <a:spAutoFit/>
                    </wps:bodyPr>
                  </wps:wsp>
                </a:graphicData>
              </a:graphic>
            </wp:anchor>
          </w:drawing>
        </mc:Choice>
        <mc:Fallback>
          <w:pict>
            <v:shape id="文本框 5"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uxlvxs0BAACnAwAADgAAAGRycy9lMm9Eb2MueG1srVPNjtMwEL4j8Q6W&#10;7zTZIlAVNV2BqkVICJCWfQDXmTSW/CeP26QvAG/AiQt3nqvPwdhJurB72cNenPnzN/N9nqyvB6PZ&#10;EQIqZ2t+tSg5Aytdo+y+5nffbl6tOMMobCO0s1DzEyC/3rx8se59BUvXOd1AYARisep9zbsYfVUU&#10;KDswAhfOg6Vk64IRkdywL5ogekI3uliW5duid6HxwUlApOh2TPIJMTwF0LWtkrB18mDAxhE1gBaR&#10;KGGnPPJNnrZtQcYvbYsQma45MY35pCZk79JZbNai2gfhOyWnEcRTRnjAyQhlqekFaiuiYIegHkEZ&#10;JYND18aFdKYYiWRFiMVV+UCb2054yFxIavQX0fH5YOXn49fAVFPz15xZYejBzz9/nH/9Of/+zt4k&#10;eXqPFVXdeqqLw3s30NLMcaRgYj20waQv8WGUJ3FPF3FhiEymS6vlalVSSlJudgi/uL/uA8YP4AxL&#10;Rs0DvV4WVRw/YRxL55LUzbobpXV+QW3/CxDmGIG8AtPtxGScOFlx2A0TvZ1rTsSupzWouaWt50x/&#10;tKRy2pjZCLOxm42DD2rf5ZVK3dG/O0QaKU+aOoywxDA59H6Z67RraUH+9XPV/f+1+Qt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A1BAAAW0NvbnRl&#10;bnRfVHlwZXNdLnhtbFBLAQIUAAoAAAAAAIdO4kAAAAAAAAAAAAAAAAAGAAAAAAAAAAAAEAAAABcD&#10;AABfcmVscy9QSwECFAAUAAAACACHTuJAihRmPNEAAACUAQAACwAAAAAAAAABACAAAAA7AwAAX3Jl&#10;bHMvLnJlbHNQSwECFAAKAAAAAACHTuJAAAAAAAAAAAAAAAAABAAAAAAAAAAAABAAAAAAAAAAZHJz&#10;L1BLAQIUABQAAAAIAIdO4kDOqXm5zwAAAAUBAAAPAAAAAAAAAAEAIAAAACIAAABkcnMvZG93bnJl&#10;di54bWxQSwECFAAUAAAACACHTuJAuxlvxs0BAACnAwAADgAAAAAAAAABACAAAAAeAQAAZHJzL2Uy&#10;b0RvYy54bWxQSwUGAAAAAAYABgBZAQAAXQUAAAAA&#10;">
              <v:fill on="f" focussize="0,0"/>
              <v:stroke on="f"/>
              <v:imagedata o:title=""/>
              <o:lock v:ext="edit" aspectratio="f"/>
              <v:textbox inset="0mm,0mm,0mm,0mm" style="mso-fit-shape-to-text:t;">
                <w:txbxContent>
                  <w:p w14:paraId="364DEE81">
                    <w:pPr>
                      <w:pStyle w:val="14"/>
                      <w:rPr>
                        <w:rFonts w:hint="default"/>
                      </w:rPr>
                    </w:pPr>
                    <w:r>
                      <w:fldChar w:fldCharType="begin"/>
                    </w:r>
                    <w:r>
                      <w:instrText xml:space="preserve"> PAGE  \* MERGEFORMAT </w:instrText>
                    </w:r>
                    <w:r>
                      <w:fldChar w:fldCharType="separate"/>
                    </w:r>
                    <w:r>
                      <w:rPr>
                        <w:rFonts w:hint="default"/>
                      </w:rPr>
                      <w:t>107</w:t>
                    </w:r>
                    <w:r>
                      <w:fldChar w:fldCharType="end"/>
                    </w:r>
                  </w:p>
                </w:txbxContent>
              </v:textbox>
            </v:shape>
          </w:pict>
        </mc:Fallback>
      </mc:AlternateContent>
    </w:r>
    <w:r>
      <w:rPr>
        <w:rFonts w:hint="eastAsia"/>
      </w:rPr>
      <w:tab/>
    </w:r>
  </w:p>
  <w:p w14:paraId="4925A81D">
    <w:pPr>
      <w:pStyle w:val="72"/>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7D83B93">
    <w:pPr>
      <w:pStyle w:val="14"/>
      <w:jc w:val="center"/>
      <w:rPr>
        <w:rFonts w:hint="default"/>
        <w:szCs w:val="24"/>
      </w:rPr>
    </w:pPr>
    <w:r>
      <w:rPr>
        <w:rFonts w:hint="default"/>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152400</wp:posOffset>
              </wp:positionV>
              <wp:extent cx="1828800" cy="152400"/>
              <wp:effectExtent l="0" t="0" r="0" b="0"/>
              <wp:wrapNone/>
              <wp:docPr id="4" name="文本框 6"/>
              <wp:cNvGraphicFramePr/>
              <a:graphic xmlns:a="http://schemas.openxmlformats.org/drawingml/2006/main">
                <a:graphicData uri="http://schemas.microsoft.com/office/word/2010/wordprocessingShape">
                  <wps:wsp>
                    <wps:cNvSpPr txBox="1"/>
                    <wps:spPr>
                      <a:xfrm>
                        <a:off x="0" y="0"/>
                        <a:ext cx="1828800" cy="152400"/>
                      </a:xfrm>
                      <a:prstGeom prst="rect">
                        <a:avLst/>
                      </a:prstGeom>
                      <a:noFill/>
                      <a:ln>
                        <a:noFill/>
                      </a:ln>
                      <a:effectLst/>
                    </wps:spPr>
                    <wps:txbx>
                      <w:txbxContent>
                        <w:p w14:paraId="48D10BBA">
                          <w:pPr>
                            <w:pStyle w:val="14"/>
                            <w:rPr>
                              <w:rFonts w:hint="default"/>
                            </w:rPr>
                          </w:pPr>
                          <w:r>
                            <w:fldChar w:fldCharType="begin"/>
                          </w:r>
                          <w:r>
                            <w:instrText xml:space="preserve"> PAGE  \* MERGEFORMAT </w:instrText>
                          </w:r>
                          <w:r>
                            <w:fldChar w:fldCharType="separate"/>
                          </w:r>
                          <w:r>
                            <w:rPr>
                              <w:rFonts w:hint="default"/>
                            </w:rPr>
                            <w:t>120</w:t>
                          </w:r>
                          <w:r>
                            <w:fldChar w:fldCharType="end"/>
                          </w:r>
                        </w:p>
                      </w:txbxContent>
                    </wps:txbx>
                    <wps:bodyPr wrap="none" lIns="0" tIns="0" rIns="0" bIns="0" upright="0">
                      <a:noAutofit/>
                    </wps:bodyPr>
                  </wps:wsp>
                </a:graphicData>
              </a:graphic>
            </wp:anchor>
          </w:drawing>
        </mc:Choice>
        <mc:Fallback>
          <w:pict>
            <v:shape id="文本框 6" o:spid="_x0000_s1026" o:spt="202" type="#_x0000_t202" style="position:absolute;left:0pt;margin-top:12pt;height:12pt;width:144pt;mso-position-horizontal:center;mso-position-horizontal-relative:margin;mso-wrap-style:none;z-index:251660288;mso-width-relative:page;mso-height-relative:page;" filled="f" stroked="f" coordsize="21600,21600" o:gfxdata="UEsDBAoAAAAAAIdO4kAAAAAAAAAAAAAAAAAEAAAAZHJzL1BLAwQUAAAACACHTuJAYv/5H9MAAAAG&#10;AQAADwAAAGRycy9kb3ducmV2LnhtbE2PMU/DMBCFdyT+g3VIbNROVKEojdOhKiOVWljYnPiapI3P&#10;ke204d9zTDC9O73Tu+9V28WN4oYhDp40ZCsFAqn1dqBOw+fH20sBIiZD1oyeUMM3RtjWjw+VKa2/&#10;0xFvp9QJDqFYGg19SlMpZWx7dCau/ITE3tkHZxKvoZM2mDuHu1HmSr1KZwbiD72ZcNdjez3NTsP5&#10;/XC97OejunSqwK8s4NJkB62fnzK1AZFwSX/H8IvP6FAzU+NnslGMGrhI0pCvWdnNi4KHRsOaVdaV&#10;/I9f/wBQSwMEFAAAAAgAh07iQARcfn3RAQAApgMAAA4AAABkcnMvZTJvRG9jLnhtbK1TS27bMBDd&#10;F8gdCO5jyUYaGILloIWRokDRFkhzAJoiLQIkhyBpS75Ae4Ouuum+5/I5OqQk57fJIhtqODN8M+/N&#10;aHXTG00OwgcFtqbzWUmJsBwaZXc1vf9xe7mkJERmG6bBipoeRaA364t3q85VYgEt6EZ4giA2VJ2r&#10;aRujq4oi8FYYFmbghMWgBG9YxKvfFY1nHaIbXSzK8rrowDfOAxchoHczBOmI6F8DCFIqLjbA90bY&#10;OKB6oVlESqFVLtB17lZKweM3KYOIRNcUmcZ8YhG0t+ks1itW7TxzreJjC+w1LTzjZJiyWPQMtWGR&#10;kb1XL6CM4h4CyDjjYIqBSFYEWczLZ9rctcyJzAWlDu4seng7WP718N0T1dT0ihLLDA789PvX6c+/&#10;09+f5DrJ07lQYdadw7zYf4Qel2byB3Qm1r30Jn2RD8E4ins8iyv6SHh6tFwslyWGOMbm7xdXaCN8&#10;8fDa+RA/CTAkGTX1OLysKTt8CXFInVJSMQu3Sus8QG2fOBBz8Ii8AePrRGRoOFmx3/Yjuy00RyTX&#10;4RbU1OLSU6I/WxQ5Lcxk+MnYTsbeebVr80YN1T/sI0iVO00VBlhkmC44vsx1XLW0H4/vOevh91r/&#10;B1BLAwQKAAAAAACHTuJAAAAAAAAAAAAAAAAABgAAAF9yZWxzL1BLAwQUAAAACACHTuJAihRmPNEA&#10;AACUAQAACwAAAF9yZWxzLy5yZWxzpZDBasMwDIbvg72D0X1xmsMYo04vo9Br6R7A2IpjGltGMtn6&#10;9vMOg2X0tqN+oe8T//7wmRa1IkukbGDX9aAwO/IxBwPvl+PTCyipNnu7UEYDNxQ4jI8P+zMutrYj&#10;mWMR1ShZDMy1lletxc2YrHRUMLfNRJxsbSMHXay72oB66Ptnzb8ZMG6Y6uQN8MkPoC630sx/2Ck6&#10;JqGpdo6SpmmK7h5VB7Zlju7INuEbuUazHLAa8CwaB2pZ134EfV+/+6fe00c+47rVfoeM649Xb7oc&#10;vwBQSwMEFAAAAAgAh07iQH7m5SD3AAAA4QEAABMAAABbQ29udGVudF9UeXBlc10ueG1slZFBTsMw&#10;EEX3SNzB8hYlTrtACCXpgrRLQKgcYGRPEotkbHlMaG+Pk7YbRJFY2jP/vye73BzGQUwY2Dqq5Cov&#10;pEDSzljqKvm+32UPUnAEMjA4wkoekeWmvr0p90ePLFKauJJ9jP5RKdY9jsC580hp0rowQkzH0CkP&#10;+gM6VOuiuFfaUUSKWZw7ZF022MLnEMX2kK5PJgEHluLptDizKgneD1ZDTKZqIvODkp0JeUouO9xb&#10;z3dJQ6pfCfPkOuCce0lPE6xB8QohPsOYNJQJrIz7ooBT/nfJbDly5trWasybwE2KveF0sbrWjmvX&#10;OP3f8u2SunSr5YPqb1BLAQIUABQAAAAIAIdO4kB+5uUg9wAAAOEBAAATAAAAAAAAAAEAIAAAAD0E&#10;AABbQ29udGVudF9UeXBlc10ueG1sUEsBAhQACgAAAAAAh07iQAAAAAAAAAAAAAAAAAYAAAAAAAAA&#10;AAAQAAAAHwMAAF9yZWxzL1BLAQIUABQAAAAIAIdO4kCKFGY80QAAAJQBAAALAAAAAAAAAAEAIAAA&#10;AEMDAABfcmVscy8ucmVsc1BLAQIUAAoAAAAAAIdO4kAAAAAAAAAAAAAAAAAEAAAAAAAAAAAAEAAA&#10;AAAAAABkcnMvUEsBAhQAFAAAAAgAh07iQGL/+R/TAAAABgEAAA8AAAAAAAAAAQAgAAAAIgAAAGRy&#10;cy9kb3ducmV2LnhtbFBLAQIUABQAAAAIAIdO4kAEXH590QEAAKYDAAAOAAAAAAAAAAEAIAAAACIB&#10;AABkcnMvZTJvRG9jLnhtbFBLBQYAAAAABgAGAFkBAABlBQAAAAA=&#10;">
              <v:fill on="f" focussize="0,0"/>
              <v:stroke on="f"/>
              <v:imagedata o:title=""/>
              <o:lock v:ext="edit" aspectratio="f"/>
              <v:textbox inset="0mm,0mm,0mm,0mm">
                <w:txbxContent>
                  <w:p w14:paraId="48D10BBA">
                    <w:pPr>
                      <w:pStyle w:val="14"/>
                      <w:rPr>
                        <w:rFonts w:hint="default"/>
                      </w:rPr>
                    </w:pPr>
                    <w:r>
                      <w:fldChar w:fldCharType="begin"/>
                    </w:r>
                    <w:r>
                      <w:instrText xml:space="preserve"> PAGE  \* MERGEFORMAT </w:instrText>
                    </w:r>
                    <w:r>
                      <w:fldChar w:fldCharType="separate"/>
                    </w:r>
                    <w:r>
                      <w:rPr>
                        <w:rFonts w:hint="default"/>
                      </w:rPr>
                      <w:t>120</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2C7F9A6">
    <w:pPr>
      <w:jc w:val="center"/>
      <w:rPr>
        <w:rFonts w:hint="default"/>
        <w:szCs w:val="21"/>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05D4A74">
    <w:pPr>
      <w:pStyle w:val="15"/>
      <w:pBdr>
        <w:bottom w:val="none" w:color="auto" w:sz="0" w:space="0"/>
      </w:pBdr>
      <w:rPr>
        <w:rFonts w:hint="default"/>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08EFD45"/>
    <w:multiLevelType w:val="singleLevel"/>
    <w:tmpl w:val="808EFD45"/>
    <w:lvl w:ilvl="0" w:tentative="0">
      <w:start w:val="1"/>
      <w:numFmt w:val="decimal"/>
      <w:lvlText w:val="%1."/>
      <w:lvlJc w:val="left"/>
      <w:pPr>
        <w:ind w:left="425" w:hanging="425"/>
      </w:pPr>
      <w:rPr>
        <w:rFonts w:hint="default"/>
      </w:rPr>
    </w:lvl>
  </w:abstractNum>
  <w:abstractNum w:abstractNumId="1">
    <w:nsid w:val="8152DEF9"/>
    <w:multiLevelType w:val="singleLevel"/>
    <w:tmpl w:val="8152DEF9"/>
    <w:lvl w:ilvl="0" w:tentative="0">
      <w:start w:val="1"/>
      <w:numFmt w:val="decimal"/>
      <w:suff w:val="nothing"/>
      <w:lvlText w:val="（%1）"/>
      <w:lvlJc w:val="left"/>
    </w:lvl>
  </w:abstractNum>
  <w:abstractNum w:abstractNumId="2">
    <w:nsid w:val="C099E3A4"/>
    <w:multiLevelType w:val="singleLevel"/>
    <w:tmpl w:val="C099E3A4"/>
    <w:lvl w:ilvl="0" w:tentative="0">
      <w:start w:val="1"/>
      <w:numFmt w:val="chineseCounting"/>
      <w:suff w:val="nothing"/>
      <w:lvlText w:val="第%1、"/>
      <w:lvlJc w:val="left"/>
      <w:rPr>
        <w:rFonts w:hint="eastAsia"/>
      </w:rPr>
    </w:lvl>
  </w:abstractNum>
  <w:abstractNum w:abstractNumId="3">
    <w:nsid w:val="CFABDD9F"/>
    <w:multiLevelType w:val="singleLevel"/>
    <w:tmpl w:val="CFABDD9F"/>
    <w:lvl w:ilvl="0" w:tentative="0">
      <w:start w:val="1"/>
      <w:numFmt w:val="decimal"/>
      <w:suff w:val="nothing"/>
      <w:lvlText w:val="（%1）"/>
      <w:lvlJc w:val="left"/>
    </w:lvl>
  </w:abstractNum>
  <w:abstractNum w:abstractNumId="4">
    <w:nsid w:val="00000009"/>
    <w:multiLevelType w:val="multilevel"/>
    <w:tmpl w:val="00000009"/>
    <w:lvl w:ilvl="0" w:tentative="0">
      <w:start w:val="1"/>
      <w:numFmt w:val="bullet"/>
      <w:lvlText w:val=""/>
      <w:lvlJc w:val="left"/>
      <w:pPr>
        <w:tabs>
          <w:tab w:val="left" w:pos="420"/>
        </w:tabs>
        <w:ind w:left="420" w:hanging="420"/>
      </w:pPr>
      <w:rPr>
        <w:rFonts w:hint="default" w:ascii="Wingdings" w:hAnsi="Wingdings"/>
      </w:rPr>
    </w:lvl>
    <w:lvl w:ilvl="1" w:tentative="0">
      <w:start w:val="1"/>
      <w:numFmt w:val="lowerLetter"/>
      <w:lvlText w:val="%2)"/>
      <w:lvlJc w:val="left"/>
      <w:pPr>
        <w:tabs>
          <w:tab w:val="left" w:pos="1320"/>
        </w:tabs>
        <w:ind w:left="1320" w:hanging="420"/>
      </w:pPr>
    </w:lvl>
    <w:lvl w:ilvl="2" w:tentative="0">
      <w:start w:val="1"/>
      <w:numFmt w:val="lowerRoman"/>
      <w:lvlText w:val="%3."/>
      <w:lvlJc w:val="right"/>
      <w:pPr>
        <w:tabs>
          <w:tab w:val="left" w:pos="1740"/>
        </w:tabs>
        <w:ind w:left="1740" w:hanging="420"/>
      </w:pPr>
    </w:lvl>
    <w:lvl w:ilvl="3" w:tentative="0">
      <w:start w:val="1"/>
      <w:numFmt w:val="decimal"/>
      <w:lvlText w:val="%4."/>
      <w:lvlJc w:val="left"/>
      <w:pPr>
        <w:tabs>
          <w:tab w:val="left" w:pos="2160"/>
        </w:tabs>
        <w:ind w:left="2160" w:hanging="420"/>
      </w:pPr>
    </w:lvl>
    <w:lvl w:ilvl="4" w:tentative="0">
      <w:start w:val="1"/>
      <w:numFmt w:val="lowerLetter"/>
      <w:lvlText w:val="%5)"/>
      <w:lvlJc w:val="left"/>
      <w:pPr>
        <w:tabs>
          <w:tab w:val="left" w:pos="2580"/>
        </w:tabs>
        <w:ind w:left="2580" w:hanging="420"/>
      </w:pPr>
    </w:lvl>
    <w:lvl w:ilvl="5" w:tentative="0">
      <w:start w:val="1"/>
      <w:numFmt w:val="lowerRoman"/>
      <w:lvlText w:val="%6."/>
      <w:lvlJc w:val="right"/>
      <w:pPr>
        <w:tabs>
          <w:tab w:val="left" w:pos="3000"/>
        </w:tabs>
        <w:ind w:left="3000" w:hanging="420"/>
      </w:pPr>
    </w:lvl>
    <w:lvl w:ilvl="6" w:tentative="0">
      <w:start w:val="1"/>
      <w:numFmt w:val="decimal"/>
      <w:lvlText w:val="%7."/>
      <w:lvlJc w:val="left"/>
      <w:pPr>
        <w:tabs>
          <w:tab w:val="left" w:pos="3420"/>
        </w:tabs>
        <w:ind w:left="3420" w:hanging="420"/>
      </w:pPr>
    </w:lvl>
    <w:lvl w:ilvl="7" w:tentative="0">
      <w:start w:val="1"/>
      <w:numFmt w:val="lowerLetter"/>
      <w:lvlText w:val="%8)"/>
      <w:lvlJc w:val="left"/>
      <w:pPr>
        <w:tabs>
          <w:tab w:val="left" w:pos="3840"/>
        </w:tabs>
        <w:ind w:left="3840" w:hanging="420"/>
      </w:pPr>
    </w:lvl>
    <w:lvl w:ilvl="8" w:tentative="0">
      <w:start w:val="1"/>
      <w:numFmt w:val="lowerRoman"/>
      <w:lvlText w:val="%9."/>
      <w:lvlJc w:val="right"/>
      <w:pPr>
        <w:tabs>
          <w:tab w:val="left" w:pos="4260"/>
        </w:tabs>
        <w:ind w:left="4260" w:hanging="420"/>
      </w:pPr>
    </w:lvl>
  </w:abstractNum>
  <w:num w:numId="1">
    <w:abstractNumId w:val="0"/>
  </w:num>
  <w:num w:numId="2">
    <w:abstractNumId w:val="4"/>
  </w:num>
  <w:num w:numId="3">
    <w:abstractNumId w:val="3"/>
  </w:num>
  <w:num w:numId="4">
    <w:abstractNumId w:val="1"/>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0"/>
  <w:bordersDoNotSurroundFooter w:val="0"/>
  <w:hideSpellingErrors/>
  <w:documentProtection w:enforcement="0"/>
  <w:defaultTabStop w:val="419"/>
  <w:drawingGridHorizontalSpacing w:val="240"/>
  <w:drawingGridVerticalSpacing w:val="99999990"/>
  <w:displayHorizontalDrawingGridEvery w:val="1"/>
  <w:displayVerticalDrawingGridEvery w:val="1"/>
  <w:noPunctuationKerning w:val="1"/>
  <w:characterSpacingControl w:val="compressPunctuation"/>
  <w:endnotePr>
    <w:numFmt w:val="decimal"/>
  </w:end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zQ5NjRiNzAwMTFkNDRmYWQ0NmE2MjVkNTc0ZDM0MDIifQ=="/>
    <w:docVar w:name="KSO_WPS_MARK_KEY" w:val="2b56eff9-4bef-4219-8874-9567fb1cde91"/>
  </w:docVars>
  <w:rsids>
    <w:rsidRoot w:val="00172A27"/>
    <w:rsid w:val="00003C49"/>
    <w:rsid w:val="00022818"/>
    <w:rsid w:val="000C0D1D"/>
    <w:rsid w:val="000C38BA"/>
    <w:rsid w:val="000F7646"/>
    <w:rsid w:val="001008C1"/>
    <w:rsid w:val="0011760F"/>
    <w:rsid w:val="00175E5D"/>
    <w:rsid w:val="00194A10"/>
    <w:rsid w:val="001B4801"/>
    <w:rsid w:val="001E0850"/>
    <w:rsid w:val="001E1E64"/>
    <w:rsid w:val="001F6585"/>
    <w:rsid w:val="00215745"/>
    <w:rsid w:val="002505B0"/>
    <w:rsid w:val="00262B3A"/>
    <w:rsid w:val="00281ECB"/>
    <w:rsid w:val="002B7D1A"/>
    <w:rsid w:val="002D2906"/>
    <w:rsid w:val="002F176F"/>
    <w:rsid w:val="00306A4B"/>
    <w:rsid w:val="00322DE0"/>
    <w:rsid w:val="00337586"/>
    <w:rsid w:val="003A1942"/>
    <w:rsid w:val="003B643A"/>
    <w:rsid w:val="003E2709"/>
    <w:rsid w:val="00425EE6"/>
    <w:rsid w:val="004D53C6"/>
    <w:rsid w:val="004F075A"/>
    <w:rsid w:val="00503BCB"/>
    <w:rsid w:val="00537603"/>
    <w:rsid w:val="0055689E"/>
    <w:rsid w:val="00580C82"/>
    <w:rsid w:val="005C0EDC"/>
    <w:rsid w:val="005E6BB8"/>
    <w:rsid w:val="005E7B06"/>
    <w:rsid w:val="005F7992"/>
    <w:rsid w:val="0060707D"/>
    <w:rsid w:val="006162D1"/>
    <w:rsid w:val="00622D53"/>
    <w:rsid w:val="0064163D"/>
    <w:rsid w:val="00663233"/>
    <w:rsid w:val="007336AC"/>
    <w:rsid w:val="00745AB4"/>
    <w:rsid w:val="007466CD"/>
    <w:rsid w:val="00752BE8"/>
    <w:rsid w:val="00763374"/>
    <w:rsid w:val="007C3F91"/>
    <w:rsid w:val="00801789"/>
    <w:rsid w:val="008129A4"/>
    <w:rsid w:val="00886E26"/>
    <w:rsid w:val="008955C6"/>
    <w:rsid w:val="008C4168"/>
    <w:rsid w:val="008F2F7D"/>
    <w:rsid w:val="00901845"/>
    <w:rsid w:val="009224FE"/>
    <w:rsid w:val="00936991"/>
    <w:rsid w:val="00943625"/>
    <w:rsid w:val="00954357"/>
    <w:rsid w:val="00954A54"/>
    <w:rsid w:val="00997423"/>
    <w:rsid w:val="009A1AC2"/>
    <w:rsid w:val="00A11C47"/>
    <w:rsid w:val="00A237A0"/>
    <w:rsid w:val="00A322B9"/>
    <w:rsid w:val="00A37A30"/>
    <w:rsid w:val="00A53D3F"/>
    <w:rsid w:val="00A80EA7"/>
    <w:rsid w:val="00A9197B"/>
    <w:rsid w:val="00AB6E5B"/>
    <w:rsid w:val="00AD3E3A"/>
    <w:rsid w:val="00AF685C"/>
    <w:rsid w:val="00B16179"/>
    <w:rsid w:val="00B37196"/>
    <w:rsid w:val="00B52023"/>
    <w:rsid w:val="00C02536"/>
    <w:rsid w:val="00C0461F"/>
    <w:rsid w:val="00C04E0C"/>
    <w:rsid w:val="00C47C8E"/>
    <w:rsid w:val="00C52321"/>
    <w:rsid w:val="00C9767A"/>
    <w:rsid w:val="00CA38AE"/>
    <w:rsid w:val="00CA5EB5"/>
    <w:rsid w:val="00CB07F4"/>
    <w:rsid w:val="00CB3C41"/>
    <w:rsid w:val="00CD4D5B"/>
    <w:rsid w:val="00D01470"/>
    <w:rsid w:val="00D248DF"/>
    <w:rsid w:val="00D561CD"/>
    <w:rsid w:val="00D806A2"/>
    <w:rsid w:val="00DA5A23"/>
    <w:rsid w:val="00DE5743"/>
    <w:rsid w:val="00E52F76"/>
    <w:rsid w:val="00E76514"/>
    <w:rsid w:val="00ED4B12"/>
    <w:rsid w:val="00F11703"/>
    <w:rsid w:val="00F40B69"/>
    <w:rsid w:val="00F45A7F"/>
    <w:rsid w:val="00F704EB"/>
    <w:rsid w:val="00F804EB"/>
    <w:rsid w:val="00F92842"/>
    <w:rsid w:val="00F95669"/>
    <w:rsid w:val="00FA60FB"/>
    <w:rsid w:val="01066A48"/>
    <w:rsid w:val="010A6538"/>
    <w:rsid w:val="011A52DC"/>
    <w:rsid w:val="01284AF4"/>
    <w:rsid w:val="012C10F1"/>
    <w:rsid w:val="016A5229"/>
    <w:rsid w:val="0183433B"/>
    <w:rsid w:val="018D0F17"/>
    <w:rsid w:val="01A93FA3"/>
    <w:rsid w:val="01AA050E"/>
    <w:rsid w:val="01E704A0"/>
    <w:rsid w:val="021332F5"/>
    <w:rsid w:val="021E306D"/>
    <w:rsid w:val="022A2346"/>
    <w:rsid w:val="02365500"/>
    <w:rsid w:val="0259781F"/>
    <w:rsid w:val="02665093"/>
    <w:rsid w:val="02702D13"/>
    <w:rsid w:val="028060ED"/>
    <w:rsid w:val="02941414"/>
    <w:rsid w:val="02951626"/>
    <w:rsid w:val="029933CC"/>
    <w:rsid w:val="02A62291"/>
    <w:rsid w:val="02CB7802"/>
    <w:rsid w:val="02D84414"/>
    <w:rsid w:val="02E90804"/>
    <w:rsid w:val="03231B33"/>
    <w:rsid w:val="033337C7"/>
    <w:rsid w:val="033923C2"/>
    <w:rsid w:val="0348159A"/>
    <w:rsid w:val="03724869"/>
    <w:rsid w:val="038149E8"/>
    <w:rsid w:val="0385459C"/>
    <w:rsid w:val="03B42718"/>
    <w:rsid w:val="03C50E3C"/>
    <w:rsid w:val="03F46BE4"/>
    <w:rsid w:val="040C7782"/>
    <w:rsid w:val="041A1188"/>
    <w:rsid w:val="042048E6"/>
    <w:rsid w:val="04290B03"/>
    <w:rsid w:val="042E69E2"/>
    <w:rsid w:val="04360B53"/>
    <w:rsid w:val="049479E8"/>
    <w:rsid w:val="049727D9"/>
    <w:rsid w:val="04AC4FFA"/>
    <w:rsid w:val="04C12326"/>
    <w:rsid w:val="04EA57F9"/>
    <w:rsid w:val="05123C0E"/>
    <w:rsid w:val="051C3166"/>
    <w:rsid w:val="0602702E"/>
    <w:rsid w:val="0603162A"/>
    <w:rsid w:val="060F2738"/>
    <w:rsid w:val="067830B0"/>
    <w:rsid w:val="067A5F0E"/>
    <w:rsid w:val="0694486B"/>
    <w:rsid w:val="06C43DF7"/>
    <w:rsid w:val="06DD024B"/>
    <w:rsid w:val="06F37A6F"/>
    <w:rsid w:val="06F4459D"/>
    <w:rsid w:val="06FF1426"/>
    <w:rsid w:val="0737770F"/>
    <w:rsid w:val="077B2415"/>
    <w:rsid w:val="07877964"/>
    <w:rsid w:val="078D1A2A"/>
    <w:rsid w:val="07B324E6"/>
    <w:rsid w:val="07C0670C"/>
    <w:rsid w:val="07CC47A6"/>
    <w:rsid w:val="07D478A0"/>
    <w:rsid w:val="07F730C0"/>
    <w:rsid w:val="07FD7F0F"/>
    <w:rsid w:val="080F08D8"/>
    <w:rsid w:val="0816679A"/>
    <w:rsid w:val="08181B59"/>
    <w:rsid w:val="08244266"/>
    <w:rsid w:val="08275C22"/>
    <w:rsid w:val="083E11BD"/>
    <w:rsid w:val="088A4403"/>
    <w:rsid w:val="088A61B1"/>
    <w:rsid w:val="08915791"/>
    <w:rsid w:val="089860B2"/>
    <w:rsid w:val="08A90D2D"/>
    <w:rsid w:val="08BC0A60"/>
    <w:rsid w:val="08C47915"/>
    <w:rsid w:val="08EE04EE"/>
    <w:rsid w:val="090017E6"/>
    <w:rsid w:val="092752BD"/>
    <w:rsid w:val="092C7268"/>
    <w:rsid w:val="0944459E"/>
    <w:rsid w:val="097C255B"/>
    <w:rsid w:val="09A908B8"/>
    <w:rsid w:val="09AB63DF"/>
    <w:rsid w:val="09B554AF"/>
    <w:rsid w:val="09C86F91"/>
    <w:rsid w:val="09D75426"/>
    <w:rsid w:val="09E162A4"/>
    <w:rsid w:val="09F77B6E"/>
    <w:rsid w:val="0A3B464D"/>
    <w:rsid w:val="0A560A40"/>
    <w:rsid w:val="0A873975"/>
    <w:rsid w:val="0A95686D"/>
    <w:rsid w:val="0AD7112E"/>
    <w:rsid w:val="0AE53B72"/>
    <w:rsid w:val="0B106E41"/>
    <w:rsid w:val="0B2E3AA0"/>
    <w:rsid w:val="0B365195"/>
    <w:rsid w:val="0B37623F"/>
    <w:rsid w:val="0B633415"/>
    <w:rsid w:val="0B772A1C"/>
    <w:rsid w:val="0B7D1FFD"/>
    <w:rsid w:val="0B8B628E"/>
    <w:rsid w:val="0B9A1E6F"/>
    <w:rsid w:val="0BB734DE"/>
    <w:rsid w:val="0BD53BE7"/>
    <w:rsid w:val="0BDA37C7"/>
    <w:rsid w:val="0BEC46B7"/>
    <w:rsid w:val="0C183A6C"/>
    <w:rsid w:val="0C183B2E"/>
    <w:rsid w:val="0C197F77"/>
    <w:rsid w:val="0C3C08C2"/>
    <w:rsid w:val="0C5C7E64"/>
    <w:rsid w:val="0C6E7142"/>
    <w:rsid w:val="0C7358DA"/>
    <w:rsid w:val="0C873133"/>
    <w:rsid w:val="0C8A3D1F"/>
    <w:rsid w:val="0C8D3000"/>
    <w:rsid w:val="0CBC40CB"/>
    <w:rsid w:val="0CC05206"/>
    <w:rsid w:val="0CC53C5B"/>
    <w:rsid w:val="0CDD0FA5"/>
    <w:rsid w:val="0D053FA6"/>
    <w:rsid w:val="0D1B387B"/>
    <w:rsid w:val="0D2B56E9"/>
    <w:rsid w:val="0D3630F8"/>
    <w:rsid w:val="0D374B59"/>
    <w:rsid w:val="0D5374B9"/>
    <w:rsid w:val="0D724D63"/>
    <w:rsid w:val="0D7962D5"/>
    <w:rsid w:val="0D7A2C98"/>
    <w:rsid w:val="0D886840"/>
    <w:rsid w:val="0D9D66DD"/>
    <w:rsid w:val="0DA63A8D"/>
    <w:rsid w:val="0DAB7287"/>
    <w:rsid w:val="0DB937C0"/>
    <w:rsid w:val="0DC53787"/>
    <w:rsid w:val="0DDA28D6"/>
    <w:rsid w:val="0DDA54E4"/>
    <w:rsid w:val="0DDC2091"/>
    <w:rsid w:val="0DE23E50"/>
    <w:rsid w:val="0DE25174"/>
    <w:rsid w:val="0DE6650F"/>
    <w:rsid w:val="0DEB76F2"/>
    <w:rsid w:val="0DED045F"/>
    <w:rsid w:val="0DF73507"/>
    <w:rsid w:val="0DFA207C"/>
    <w:rsid w:val="0E051ACE"/>
    <w:rsid w:val="0E4B63E2"/>
    <w:rsid w:val="0E8F2ABE"/>
    <w:rsid w:val="0EB946E1"/>
    <w:rsid w:val="0F0A0D37"/>
    <w:rsid w:val="0F4E10F7"/>
    <w:rsid w:val="0F8F02AC"/>
    <w:rsid w:val="0F930041"/>
    <w:rsid w:val="0F9D4F17"/>
    <w:rsid w:val="0FB24E29"/>
    <w:rsid w:val="0FE90846"/>
    <w:rsid w:val="10155238"/>
    <w:rsid w:val="1016437B"/>
    <w:rsid w:val="101C0036"/>
    <w:rsid w:val="10264A11"/>
    <w:rsid w:val="10280789"/>
    <w:rsid w:val="104A3623"/>
    <w:rsid w:val="104F3F68"/>
    <w:rsid w:val="10514F2A"/>
    <w:rsid w:val="10725EA8"/>
    <w:rsid w:val="107514F4"/>
    <w:rsid w:val="107B7E57"/>
    <w:rsid w:val="108755CF"/>
    <w:rsid w:val="108C26AB"/>
    <w:rsid w:val="10A27458"/>
    <w:rsid w:val="10AC5111"/>
    <w:rsid w:val="10B9577E"/>
    <w:rsid w:val="10BD6F35"/>
    <w:rsid w:val="10CD6B01"/>
    <w:rsid w:val="11087886"/>
    <w:rsid w:val="11651A69"/>
    <w:rsid w:val="11845E93"/>
    <w:rsid w:val="11A2456B"/>
    <w:rsid w:val="11E044D7"/>
    <w:rsid w:val="120A2393"/>
    <w:rsid w:val="12192A7F"/>
    <w:rsid w:val="121F3E0E"/>
    <w:rsid w:val="12366404"/>
    <w:rsid w:val="123E21E9"/>
    <w:rsid w:val="125C296C"/>
    <w:rsid w:val="1271465E"/>
    <w:rsid w:val="1273743C"/>
    <w:rsid w:val="127F4449"/>
    <w:rsid w:val="12911EF4"/>
    <w:rsid w:val="129737F6"/>
    <w:rsid w:val="12BC16CB"/>
    <w:rsid w:val="12BC1935"/>
    <w:rsid w:val="12DB7D35"/>
    <w:rsid w:val="12F00BEE"/>
    <w:rsid w:val="12F06EB1"/>
    <w:rsid w:val="130762C7"/>
    <w:rsid w:val="13156E63"/>
    <w:rsid w:val="131F5532"/>
    <w:rsid w:val="132E1D32"/>
    <w:rsid w:val="13426006"/>
    <w:rsid w:val="13777D19"/>
    <w:rsid w:val="137D6C30"/>
    <w:rsid w:val="138751F1"/>
    <w:rsid w:val="138C4A5F"/>
    <w:rsid w:val="139D148E"/>
    <w:rsid w:val="13ED66B2"/>
    <w:rsid w:val="13FE2D40"/>
    <w:rsid w:val="14147BD0"/>
    <w:rsid w:val="1422508F"/>
    <w:rsid w:val="142E6F50"/>
    <w:rsid w:val="143C0CA7"/>
    <w:rsid w:val="14CE17D1"/>
    <w:rsid w:val="14E1675A"/>
    <w:rsid w:val="15086DDB"/>
    <w:rsid w:val="151108E1"/>
    <w:rsid w:val="15142C40"/>
    <w:rsid w:val="1525173B"/>
    <w:rsid w:val="152F43D2"/>
    <w:rsid w:val="153B107B"/>
    <w:rsid w:val="15C92586"/>
    <w:rsid w:val="15F97D4A"/>
    <w:rsid w:val="16005D04"/>
    <w:rsid w:val="161F586A"/>
    <w:rsid w:val="16201F02"/>
    <w:rsid w:val="164E4741"/>
    <w:rsid w:val="166D15EC"/>
    <w:rsid w:val="166D405D"/>
    <w:rsid w:val="168E4713"/>
    <w:rsid w:val="16E178E4"/>
    <w:rsid w:val="16F92E7F"/>
    <w:rsid w:val="17564822"/>
    <w:rsid w:val="175E7186"/>
    <w:rsid w:val="17982173"/>
    <w:rsid w:val="17AF3CDA"/>
    <w:rsid w:val="17B73663"/>
    <w:rsid w:val="17F076AA"/>
    <w:rsid w:val="17FF3E14"/>
    <w:rsid w:val="180513B0"/>
    <w:rsid w:val="18135A10"/>
    <w:rsid w:val="18223929"/>
    <w:rsid w:val="185760AF"/>
    <w:rsid w:val="18755723"/>
    <w:rsid w:val="18770500"/>
    <w:rsid w:val="187A5C0C"/>
    <w:rsid w:val="18AA490B"/>
    <w:rsid w:val="18AE7C99"/>
    <w:rsid w:val="18B54B84"/>
    <w:rsid w:val="18D53FE5"/>
    <w:rsid w:val="18DD40DB"/>
    <w:rsid w:val="19212219"/>
    <w:rsid w:val="19496DDE"/>
    <w:rsid w:val="197113F3"/>
    <w:rsid w:val="198527A8"/>
    <w:rsid w:val="19946E7F"/>
    <w:rsid w:val="199D5D64"/>
    <w:rsid w:val="19B600B0"/>
    <w:rsid w:val="19D0599B"/>
    <w:rsid w:val="19D21766"/>
    <w:rsid w:val="1A04743A"/>
    <w:rsid w:val="1A05780F"/>
    <w:rsid w:val="1A113513"/>
    <w:rsid w:val="1A241393"/>
    <w:rsid w:val="1A2B2DE2"/>
    <w:rsid w:val="1A2F3146"/>
    <w:rsid w:val="1A3B37AF"/>
    <w:rsid w:val="1A495ECC"/>
    <w:rsid w:val="1A646862"/>
    <w:rsid w:val="1A7563FC"/>
    <w:rsid w:val="1A840CB2"/>
    <w:rsid w:val="1A937147"/>
    <w:rsid w:val="1AA650CC"/>
    <w:rsid w:val="1AA94F5A"/>
    <w:rsid w:val="1AAB65CD"/>
    <w:rsid w:val="1AB61869"/>
    <w:rsid w:val="1ABA4215"/>
    <w:rsid w:val="1AC63078"/>
    <w:rsid w:val="1ACA2D58"/>
    <w:rsid w:val="1ACF42A1"/>
    <w:rsid w:val="1B1742F2"/>
    <w:rsid w:val="1B23272A"/>
    <w:rsid w:val="1B356B88"/>
    <w:rsid w:val="1B690B70"/>
    <w:rsid w:val="1B6A046D"/>
    <w:rsid w:val="1B754A9E"/>
    <w:rsid w:val="1B8076CB"/>
    <w:rsid w:val="1B8D5A6A"/>
    <w:rsid w:val="1B8E367B"/>
    <w:rsid w:val="1BA3785E"/>
    <w:rsid w:val="1BC03F6C"/>
    <w:rsid w:val="1BC05D1A"/>
    <w:rsid w:val="1BC11A92"/>
    <w:rsid w:val="1BC62A56"/>
    <w:rsid w:val="1BD75223"/>
    <w:rsid w:val="1BE91714"/>
    <w:rsid w:val="1BF14125"/>
    <w:rsid w:val="1BF80445"/>
    <w:rsid w:val="1C2D79AF"/>
    <w:rsid w:val="1C3404B6"/>
    <w:rsid w:val="1C4135AC"/>
    <w:rsid w:val="1C424981"/>
    <w:rsid w:val="1C4C1CA3"/>
    <w:rsid w:val="1C6061C5"/>
    <w:rsid w:val="1C72369C"/>
    <w:rsid w:val="1C8F1025"/>
    <w:rsid w:val="1C961170"/>
    <w:rsid w:val="1CC0358F"/>
    <w:rsid w:val="1CD468AB"/>
    <w:rsid w:val="1CDD25B2"/>
    <w:rsid w:val="1CDD28FB"/>
    <w:rsid w:val="1CDE71ED"/>
    <w:rsid w:val="1CFA7117"/>
    <w:rsid w:val="1D1D418B"/>
    <w:rsid w:val="1D346863"/>
    <w:rsid w:val="1D4F1A4B"/>
    <w:rsid w:val="1D750002"/>
    <w:rsid w:val="1D8D7ACF"/>
    <w:rsid w:val="1DA973A4"/>
    <w:rsid w:val="1DB7314C"/>
    <w:rsid w:val="1DC85359"/>
    <w:rsid w:val="1DEB51E9"/>
    <w:rsid w:val="1DED4DC0"/>
    <w:rsid w:val="1E247477"/>
    <w:rsid w:val="1E3E73CA"/>
    <w:rsid w:val="1E480248"/>
    <w:rsid w:val="1E5310C7"/>
    <w:rsid w:val="1E787E3F"/>
    <w:rsid w:val="1E896032"/>
    <w:rsid w:val="1E8F524A"/>
    <w:rsid w:val="1E937238"/>
    <w:rsid w:val="1ECC2C27"/>
    <w:rsid w:val="1ECC3779"/>
    <w:rsid w:val="1ED02718"/>
    <w:rsid w:val="1ED33FB6"/>
    <w:rsid w:val="1ED51267"/>
    <w:rsid w:val="1EEB0306"/>
    <w:rsid w:val="1EFD0E66"/>
    <w:rsid w:val="1F150595"/>
    <w:rsid w:val="1F223BD8"/>
    <w:rsid w:val="1F505606"/>
    <w:rsid w:val="1F6A67AC"/>
    <w:rsid w:val="1F7F413E"/>
    <w:rsid w:val="1F8032DA"/>
    <w:rsid w:val="1F8A2A58"/>
    <w:rsid w:val="1F925C1F"/>
    <w:rsid w:val="1F9951FF"/>
    <w:rsid w:val="1FAB6527"/>
    <w:rsid w:val="1FBD45F2"/>
    <w:rsid w:val="1FD11AE6"/>
    <w:rsid w:val="20012DA5"/>
    <w:rsid w:val="20315438"/>
    <w:rsid w:val="204A7A77"/>
    <w:rsid w:val="204F4EE5"/>
    <w:rsid w:val="20670E5A"/>
    <w:rsid w:val="206C46C2"/>
    <w:rsid w:val="207A4117"/>
    <w:rsid w:val="20941E5C"/>
    <w:rsid w:val="20A72EBC"/>
    <w:rsid w:val="20B144DF"/>
    <w:rsid w:val="20B47E17"/>
    <w:rsid w:val="20B821F8"/>
    <w:rsid w:val="20EF49EE"/>
    <w:rsid w:val="2103358A"/>
    <w:rsid w:val="21195704"/>
    <w:rsid w:val="211D59BC"/>
    <w:rsid w:val="213E514E"/>
    <w:rsid w:val="21436EF8"/>
    <w:rsid w:val="214C3EA4"/>
    <w:rsid w:val="217A696B"/>
    <w:rsid w:val="219263AA"/>
    <w:rsid w:val="21933ED0"/>
    <w:rsid w:val="21D544E9"/>
    <w:rsid w:val="21E62252"/>
    <w:rsid w:val="21FC3824"/>
    <w:rsid w:val="220D5A31"/>
    <w:rsid w:val="225278E7"/>
    <w:rsid w:val="225A40A6"/>
    <w:rsid w:val="226D64CF"/>
    <w:rsid w:val="22A26860"/>
    <w:rsid w:val="22CA3922"/>
    <w:rsid w:val="22D54F2D"/>
    <w:rsid w:val="22E42C35"/>
    <w:rsid w:val="230C5CE8"/>
    <w:rsid w:val="230F1395"/>
    <w:rsid w:val="233D62F4"/>
    <w:rsid w:val="23433C69"/>
    <w:rsid w:val="234F5C63"/>
    <w:rsid w:val="235F6EB5"/>
    <w:rsid w:val="23667B69"/>
    <w:rsid w:val="238355CB"/>
    <w:rsid w:val="23BE3486"/>
    <w:rsid w:val="23C6233B"/>
    <w:rsid w:val="23D507D0"/>
    <w:rsid w:val="23E65DAB"/>
    <w:rsid w:val="23E93817"/>
    <w:rsid w:val="23EE42A9"/>
    <w:rsid w:val="23F339A9"/>
    <w:rsid w:val="23FF4F24"/>
    <w:rsid w:val="242F6132"/>
    <w:rsid w:val="243B2964"/>
    <w:rsid w:val="24491954"/>
    <w:rsid w:val="24704055"/>
    <w:rsid w:val="24801F86"/>
    <w:rsid w:val="24806158"/>
    <w:rsid w:val="249064A5"/>
    <w:rsid w:val="24C1224D"/>
    <w:rsid w:val="24C50C37"/>
    <w:rsid w:val="24EC7B7F"/>
    <w:rsid w:val="24EE1B49"/>
    <w:rsid w:val="25153BB3"/>
    <w:rsid w:val="2524556B"/>
    <w:rsid w:val="253B5A69"/>
    <w:rsid w:val="254B54F3"/>
    <w:rsid w:val="2578303A"/>
    <w:rsid w:val="257D5076"/>
    <w:rsid w:val="25972C96"/>
    <w:rsid w:val="25B72559"/>
    <w:rsid w:val="25BF256F"/>
    <w:rsid w:val="25C1100C"/>
    <w:rsid w:val="25D36F91"/>
    <w:rsid w:val="25DD396C"/>
    <w:rsid w:val="25E14501"/>
    <w:rsid w:val="25E450F5"/>
    <w:rsid w:val="25E8104B"/>
    <w:rsid w:val="25F533AB"/>
    <w:rsid w:val="2624159B"/>
    <w:rsid w:val="26471BA9"/>
    <w:rsid w:val="26526108"/>
    <w:rsid w:val="266F2816"/>
    <w:rsid w:val="268C701A"/>
    <w:rsid w:val="268F110A"/>
    <w:rsid w:val="26F45411"/>
    <w:rsid w:val="2700280A"/>
    <w:rsid w:val="271D6716"/>
    <w:rsid w:val="272F01F7"/>
    <w:rsid w:val="27312B5D"/>
    <w:rsid w:val="273539E1"/>
    <w:rsid w:val="27462BA9"/>
    <w:rsid w:val="27962024"/>
    <w:rsid w:val="27A74232"/>
    <w:rsid w:val="27AC35F6"/>
    <w:rsid w:val="27C76682"/>
    <w:rsid w:val="27DC212D"/>
    <w:rsid w:val="27EB411E"/>
    <w:rsid w:val="28335AC5"/>
    <w:rsid w:val="28425618"/>
    <w:rsid w:val="28461C9C"/>
    <w:rsid w:val="28464EE4"/>
    <w:rsid w:val="285A74F6"/>
    <w:rsid w:val="285E6FE6"/>
    <w:rsid w:val="286C7640"/>
    <w:rsid w:val="28893937"/>
    <w:rsid w:val="28A1537A"/>
    <w:rsid w:val="28C800BC"/>
    <w:rsid w:val="28F47B14"/>
    <w:rsid w:val="28FB03C0"/>
    <w:rsid w:val="28FD4CC9"/>
    <w:rsid w:val="291E49C7"/>
    <w:rsid w:val="292A6093"/>
    <w:rsid w:val="294C235F"/>
    <w:rsid w:val="296E14AB"/>
    <w:rsid w:val="297D16EE"/>
    <w:rsid w:val="29A603B6"/>
    <w:rsid w:val="29B50E88"/>
    <w:rsid w:val="29B844D4"/>
    <w:rsid w:val="29FC4D87"/>
    <w:rsid w:val="2A475858"/>
    <w:rsid w:val="2A793900"/>
    <w:rsid w:val="2A7F1496"/>
    <w:rsid w:val="2A7F36FF"/>
    <w:rsid w:val="2A855226"/>
    <w:rsid w:val="2A8D5FDF"/>
    <w:rsid w:val="2A994305"/>
    <w:rsid w:val="2AA85E3B"/>
    <w:rsid w:val="2AAA4765"/>
    <w:rsid w:val="2AB140A1"/>
    <w:rsid w:val="2AB70C30"/>
    <w:rsid w:val="2AB90504"/>
    <w:rsid w:val="2AEA0C1E"/>
    <w:rsid w:val="2AEA4B61"/>
    <w:rsid w:val="2B433BF5"/>
    <w:rsid w:val="2B5841C1"/>
    <w:rsid w:val="2B770762"/>
    <w:rsid w:val="2BA456FE"/>
    <w:rsid w:val="2BA70CA4"/>
    <w:rsid w:val="2BEF49DC"/>
    <w:rsid w:val="2BF42D9B"/>
    <w:rsid w:val="2C0B44D1"/>
    <w:rsid w:val="2C1B0D4A"/>
    <w:rsid w:val="2C302A48"/>
    <w:rsid w:val="2C470AB3"/>
    <w:rsid w:val="2C5D5807"/>
    <w:rsid w:val="2C6A3498"/>
    <w:rsid w:val="2C733DC5"/>
    <w:rsid w:val="2C861EB2"/>
    <w:rsid w:val="2C9618E9"/>
    <w:rsid w:val="2C9F5E1F"/>
    <w:rsid w:val="2CA64AB8"/>
    <w:rsid w:val="2CAD0457"/>
    <w:rsid w:val="2CAF6062"/>
    <w:rsid w:val="2CB92CCB"/>
    <w:rsid w:val="2CD57184"/>
    <w:rsid w:val="2CDB1327"/>
    <w:rsid w:val="2CE06091"/>
    <w:rsid w:val="2CE65139"/>
    <w:rsid w:val="2D145EC5"/>
    <w:rsid w:val="2D21461D"/>
    <w:rsid w:val="2D265BF9"/>
    <w:rsid w:val="2D3A5307"/>
    <w:rsid w:val="2D6A1F89"/>
    <w:rsid w:val="2D761817"/>
    <w:rsid w:val="2D8A6187"/>
    <w:rsid w:val="2DAC4350"/>
    <w:rsid w:val="2DAD0C24"/>
    <w:rsid w:val="2DCF4FEF"/>
    <w:rsid w:val="2DE81A65"/>
    <w:rsid w:val="2E086552"/>
    <w:rsid w:val="2E0A6052"/>
    <w:rsid w:val="2E0D2AFB"/>
    <w:rsid w:val="2E0F14C6"/>
    <w:rsid w:val="2E184AB2"/>
    <w:rsid w:val="2E222864"/>
    <w:rsid w:val="2E323AD6"/>
    <w:rsid w:val="2E4D76FE"/>
    <w:rsid w:val="2E4E7CF8"/>
    <w:rsid w:val="2E5A3DAC"/>
    <w:rsid w:val="2E642E7C"/>
    <w:rsid w:val="2E7F7CB6"/>
    <w:rsid w:val="2E810638"/>
    <w:rsid w:val="2E8325DC"/>
    <w:rsid w:val="2EAB1309"/>
    <w:rsid w:val="2F180D99"/>
    <w:rsid w:val="2F34284F"/>
    <w:rsid w:val="2F522DAB"/>
    <w:rsid w:val="2F620D36"/>
    <w:rsid w:val="2F7810AE"/>
    <w:rsid w:val="2F7E7F6E"/>
    <w:rsid w:val="2F7F0633"/>
    <w:rsid w:val="2F8530AA"/>
    <w:rsid w:val="2F9528EB"/>
    <w:rsid w:val="2FA120B2"/>
    <w:rsid w:val="2FC35981"/>
    <w:rsid w:val="30134B5A"/>
    <w:rsid w:val="30164BC9"/>
    <w:rsid w:val="30313679"/>
    <w:rsid w:val="30707DAF"/>
    <w:rsid w:val="30890978"/>
    <w:rsid w:val="3095731D"/>
    <w:rsid w:val="30C3115B"/>
    <w:rsid w:val="30E958BB"/>
    <w:rsid w:val="30ED4D1A"/>
    <w:rsid w:val="31007F2D"/>
    <w:rsid w:val="3115506D"/>
    <w:rsid w:val="313A7EC4"/>
    <w:rsid w:val="315947EF"/>
    <w:rsid w:val="31BFA431"/>
    <w:rsid w:val="31C91C1F"/>
    <w:rsid w:val="31FB42D0"/>
    <w:rsid w:val="31FF02D4"/>
    <w:rsid w:val="320A3D3B"/>
    <w:rsid w:val="32147DF4"/>
    <w:rsid w:val="32176B57"/>
    <w:rsid w:val="324E7E72"/>
    <w:rsid w:val="3253371C"/>
    <w:rsid w:val="32696CB3"/>
    <w:rsid w:val="326B4698"/>
    <w:rsid w:val="326B7E18"/>
    <w:rsid w:val="3278199E"/>
    <w:rsid w:val="32830F54"/>
    <w:rsid w:val="3286265A"/>
    <w:rsid w:val="32982DFF"/>
    <w:rsid w:val="329A44C1"/>
    <w:rsid w:val="32B1069F"/>
    <w:rsid w:val="32C739DA"/>
    <w:rsid w:val="32DD144F"/>
    <w:rsid w:val="33095DA0"/>
    <w:rsid w:val="330D3AE3"/>
    <w:rsid w:val="331A7FAD"/>
    <w:rsid w:val="33784CD4"/>
    <w:rsid w:val="338405F7"/>
    <w:rsid w:val="33946A1F"/>
    <w:rsid w:val="339A0BD1"/>
    <w:rsid w:val="339D60DA"/>
    <w:rsid w:val="33B71CA0"/>
    <w:rsid w:val="33CD3272"/>
    <w:rsid w:val="33D740F0"/>
    <w:rsid w:val="33E800AC"/>
    <w:rsid w:val="33F87B2A"/>
    <w:rsid w:val="33FB1B8D"/>
    <w:rsid w:val="340B57E2"/>
    <w:rsid w:val="341D4B3C"/>
    <w:rsid w:val="345D1600"/>
    <w:rsid w:val="347831DE"/>
    <w:rsid w:val="348222AE"/>
    <w:rsid w:val="34A55F9D"/>
    <w:rsid w:val="34A5706F"/>
    <w:rsid w:val="34A60BBF"/>
    <w:rsid w:val="34AB28E5"/>
    <w:rsid w:val="34DC30EF"/>
    <w:rsid w:val="34E75DD1"/>
    <w:rsid w:val="34FA62E8"/>
    <w:rsid w:val="3509652C"/>
    <w:rsid w:val="351204F3"/>
    <w:rsid w:val="35325511"/>
    <w:rsid w:val="360F7B72"/>
    <w:rsid w:val="36106C64"/>
    <w:rsid w:val="3627310D"/>
    <w:rsid w:val="36372C24"/>
    <w:rsid w:val="365437D6"/>
    <w:rsid w:val="3670318E"/>
    <w:rsid w:val="36B424C7"/>
    <w:rsid w:val="36D13957"/>
    <w:rsid w:val="36D466C5"/>
    <w:rsid w:val="36D6068F"/>
    <w:rsid w:val="36F11025"/>
    <w:rsid w:val="37243FA2"/>
    <w:rsid w:val="372E04CB"/>
    <w:rsid w:val="373168D0"/>
    <w:rsid w:val="37691503"/>
    <w:rsid w:val="377C4D93"/>
    <w:rsid w:val="37801CA0"/>
    <w:rsid w:val="37865774"/>
    <w:rsid w:val="37AF33BA"/>
    <w:rsid w:val="37B207B5"/>
    <w:rsid w:val="37D70CAE"/>
    <w:rsid w:val="37EA2644"/>
    <w:rsid w:val="37ED2BA2"/>
    <w:rsid w:val="37F47942"/>
    <w:rsid w:val="37F54C3A"/>
    <w:rsid w:val="37FC5ED4"/>
    <w:rsid w:val="3806194F"/>
    <w:rsid w:val="383513E6"/>
    <w:rsid w:val="384358B1"/>
    <w:rsid w:val="385766F1"/>
    <w:rsid w:val="38614B9E"/>
    <w:rsid w:val="38840A0D"/>
    <w:rsid w:val="388B378B"/>
    <w:rsid w:val="38B44A00"/>
    <w:rsid w:val="390E5CB1"/>
    <w:rsid w:val="39162FC5"/>
    <w:rsid w:val="3922196A"/>
    <w:rsid w:val="392D0F5C"/>
    <w:rsid w:val="39657AA9"/>
    <w:rsid w:val="397321C6"/>
    <w:rsid w:val="39860B3F"/>
    <w:rsid w:val="39873EC3"/>
    <w:rsid w:val="39AB195F"/>
    <w:rsid w:val="39E93D92"/>
    <w:rsid w:val="39F8091D"/>
    <w:rsid w:val="3A0A0D7C"/>
    <w:rsid w:val="3A163157"/>
    <w:rsid w:val="3A21319F"/>
    <w:rsid w:val="3A345DF9"/>
    <w:rsid w:val="3A584A7F"/>
    <w:rsid w:val="3A8723CC"/>
    <w:rsid w:val="3A8C48E1"/>
    <w:rsid w:val="3AAF722D"/>
    <w:rsid w:val="3AD778B0"/>
    <w:rsid w:val="3AD873E5"/>
    <w:rsid w:val="3AD959D6"/>
    <w:rsid w:val="3AF427E0"/>
    <w:rsid w:val="3B027CA5"/>
    <w:rsid w:val="3B046033"/>
    <w:rsid w:val="3B1B7DBE"/>
    <w:rsid w:val="3B2154F6"/>
    <w:rsid w:val="3B243B50"/>
    <w:rsid w:val="3B286FE0"/>
    <w:rsid w:val="3B3E2DB3"/>
    <w:rsid w:val="3B552D48"/>
    <w:rsid w:val="3B681FEC"/>
    <w:rsid w:val="3B6A5D88"/>
    <w:rsid w:val="3B6E6023"/>
    <w:rsid w:val="3B973F85"/>
    <w:rsid w:val="3BD258C9"/>
    <w:rsid w:val="3C101F4E"/>
    <w:rsid w:val="3C2E6878"/>
    <w:rsid w:val="3C3001B4"/>
    <w:rsid w:val="3C622294"/>
    <w:rsid w:val="3C6B4CC5"/>
    <w:rsid w:val="3CA52FDE"/>
    <w:rsid w:val="3CAB4D29"/>
    <w:rsid w:val="3CC22946"/>
    <w:rsid w:val="3CC50050"/>
    <w:rsid w:val="3CCE037B"/>
    <w:rsid w:val="3CD01F3B"/>
    <w:rsid w:val="3CD236A7"/>
    <w:rsid w:val="3CE753A4"/>
    <w:rsid w:val="3CF96E86"/>
    <w:rsid w:val="3D204801"/>
    <w:rsid w:val="3D2739F3"/>
    <w:rsid w:val="3D361E88"/>
    <w:rsid w:val="3D453E79"/>
    <w:rsid w:val="3D697A37"/>
    <w:rsid w:val="3D6E1622"/>
    <w:rsid w:val="3D770CF0"/>
    <w:rsid w:val="3D9646D4"/>
    <w:rsid w:val="3DB35595"/>
    <w:rsid w:val="3DB8289D"/>
    <w:rsid w:val="3DC95243"/>
    <w:rsid w:val="3DDA2813"/>
    <w:rsid w:val="3DE07FF0"/>
    <w:rsid w:val="3E06185A"/>
    <w:rsid w:val="3E0D42F0"/>
    <w:rsid w:val="3E1E34BB"/>
    <w:rsid w:val="3E3363C7"/>
    <w:rsid w:val="3E3F0508"/>
    <w:rsid w:val="3E6B7662"/>
    <w:rsid w:val="3E6E73FF"/>
    <w:rsid w:val="3E886713"/>
    <w:rsid w:val="3E976956"/>
    <w:rsid w:val="3EB767DA"/>
    <w:rsid w:val="3EC05EAD"/>
    <w:rsid w:val="3ECB4852"/>
    <w:rsid w:val="3EDB5CD0"/>
    <w:rsid w:val="3F073ADC"/>
    <w:rsid w:val="3F505E3C"/>
    <w:rsid w:val="3F690816"/>
    <w:rsid w:val="3F97402D"/>
    <w:rsid w:val="3FB35A12"/>
    <w:rsid w:val="3FB672B0"/>
    <w:rsid w:val="3FEA0D08"/>
    <w:rsid w:val="3FEB51AC"/>
    <w:rsid w:val="3FEC7211"/>
    <w:rsid w:val="3FF44260"/>
    <w:rsid w:val="40003E3A"/>
    <w:rsid w:val="400242A3"/>
    <w:rsid w:val="40043EC3"/>
    <w:rsid w:val="401D2D2A"/>
    <w:rsid w:val="402045AD"/>
    <w:rsid w:val="40270B72"/>
    <w:rsid w:val="40371ECC"/>
    <w:rsid w:val="40582115"/>
    <w:rsid w:val="405D597D"/>
    <w:rsid w:val="407A02DD"/>
    <w:rsid w:val="409A53BB"/>
    <w:rsid w:val="40B01F51"/>
    <w:rsid w:val="40BE466E"/>
    <w:rsid w:val="40C34607"/>
    <w:rsid w:val="410127AD"/>
    <w:rsid w:val="41023B29"/>
    <w:rsid w:val="410B1343"/>
    <w:rsid w:val="412451C6"/>
    <w:rsid w:val="412A5860"/>
    <w:rsid w:val="414A628B"/>
    <w:rsid w:val="415070A3"/>
    <w:rsid w:val="41626E05"/>
    <w:rsid w:val="41783900"/>
    <w:rsid w:val="41A76EB0"/>
    <w:rsid w:val="41DD28D2"/>
    <w:rsid w:val="42114C71"/>
    <w:rsid w:val="421C10AE"/>
    <w:rsid w:val="423E77D1"/>
    <w:rsid w:val="425D3A13"/>
    <w:rsid w:val="4282466B"/>
    <w:rsid w:val="42B31885"/>
    <w:rsid w:val="42B44D10"/>
    <w:rsid w:val="42BA41B0"/>
    <w:rsid w:val="42C13FA2"/>
    <w:rsid w:val="42ED630C"/>
    <w:rsid w:val="42F11657"/>
    <w:rsid w:val="42F17338"/>
    <w:rsid w:val="43030A5E"/>
    <w:rsid w:val="430C15CB"/>
    <w:rsid w:val="430C699F"/>
    <w:rsid w:val="430D19FD"/>
    <w:rsid w:val="43322DCB"/>
    <w:rsid w:val="43653E23"/>
    <w:rsid w:val="437943F5"/>
    <w:rsid w:val="437A604C"/>
    <w:rsid w:val="439E2535"/>
    <w:rsid w:val="43A80694"/>
    <w:rsid w:val="43B6162D"/>
    <w:rsid w:val="43BE2B29"/>
    <w:rsid w:val="43C852DB"/>
    <w:rsid w:val="43DF5FA7"/>
    <w:rsid w:val="43F403A7"/>
    <w:rsid w:val="442153C1"/>
    <w:rsid w:val="44220A07"/>
    <w:rsid w:val="442B0FBD"/>
    <w:rsid w:val="442C7B41"/>
    <w:rsid w:val="445F5FF9"/>
    <w:rsid w:val="446C43E1"/>
    <w:rsid w:val="446D66E7"/>
    <w:rsid w:val="44A578BE"/>
    <w:rsid w:val="44BA339E"/>
    <w:rsid w:val="44C06715"/>
    <w:rsid w:val="44C6104E"/>
    <w:rsid w:val="44D13801"/>
    <w:rsid w:val="44D559FA"/>
    <w:rsid w:val="44FA782A"/>
    <w:rsid w:val="45280308"/>
    <w:rsid w:val="452D591E"/>
    <w:rsid w:val="456C5297"/>
    <w:rsid w:val="45967968"/>
    <w:rsid w:val="45B147A1"/>
    <w:rsid w:val="45C20D56"/>
    <w:rsid w:val="45D1241A"/>
    <w:rsid w:val="45D812A7"/>
    <w:rsid w:val="45E46310"/>
    <w:rsid w:val="45F4643C"/>
    <w:rsid w:val="46144D30"/>
    <w:rsid w:val="461F5BAF"/>
    <w:rsid w:val="463E6815"/>
    <w:rsid w:val="46470C62"/>
    <w:rsid w:val="464E4571"/>
    <w:rsid w:val="467F0616"/>
    <w:rsid w:val="46893028"/>
    <w:rsid w:val="46935181"/>
    <w:rsid w:val="46A02C50"/>
    <w:rsid w:val="46C40504"/>
    <w:rsid w:val="46CC363B"/>
    <w:rsid w:val="46E77832"/>
    <w:rsid w:val="46F31E5A"/>
    <w:rsid w:val="47215E9C"/>
    <w:rsid w:val="47294EAA"/>
    <w:rsid w:val="472A598B"/>
    <w:rsid w:val="473E7900"/>
    <w:rsid w:val="47551BAE"/>
    <w:rsid w:val="47617388"/>
    <w:rsid w:val="47941C85"/>
    <w:rsid w:val="47A619B8"/>
    <w:rsid w:val="47B50951"/>
    <w:rsid w:val="47B91015"/>
    <w:rsid w:val="47BD6A22"/>
    <w:rsid w:val="47C7287E"/>
    <w:rsid w:val="482642B5"/>
    <w:rsid w:val="484418FD"/>
    <w:rsid w:val="48480CC1"/>
    <w:rsid w:val="48541414"/>
    <w:rsid w:val="485B3BC7"/>
    <w:rsid w:val="487429ED"/>
    <w:rsid w:val="48771168"/>
    <w:rsid w:val="48931F3C"/>
    <w:rsid w:val="48967C7F"/>
    <w:rsid w:val="489B5295"/>
    <w:rsid w:val="48C37705"/>
    <w:rsid w:val="48D6451F"/>
    <w:rsid w:val="48FA020D"/>
    <w:rsid w:val="491D6226"/>
    <w:rsid w:val="493E5947"/>
    <w:rsid w:val="494843FE"/>
    <w:rsid w:val="49557B3A"/>
    <w:rsid w:val="497004D0"/>
    <w:rsid w:val="49755AE6"/>
    <w:rsid w:val="49A53A73"/>
    <w:rsid w:val="49BA59AE"/>
    <w:rsid w:val="49BC7216"/>
    <w:rsid w:val="4A080708"/>
    <w:rsid w:val="4A17094B"/>
    <w:rsid w:val="4A1F4C27"/>
    <w:rsid w:val="4A2D4613"/>
    <w:rsid w:val="4A4C6847"/>
    <w:rsid w:val="4A5676C5"/>
    <w:rsid w:val="4A6D2653"/>
    <w:rsid w:val="4AC75888"/>
    <w:rsid w:val="4AED5E1F"/>
    <w:rsid w:val="4B014375"/>
    <w:rsid w:val="4B4600CE"/>
    <w:rsid w:val="4B524331"/>
    <w:rsid w:val="4B6C5605"/>
    <w:rsid w:val="4B7A3887"/>
    <w:rsid w:val="4B7C2965"/>
    <w:rsid w:val="4BBD560D"/>
    <w:rsid w:val="4C123498"/>
    <w:rsid w:val="4C123ECB"/>
    <w:rsid w:val="4C1E4213"/>
    <w:rsid w:val="4C2630C7"/>
    <w:rsid w:val="4C39104D"/>
    <w:rsid w:val="4C404189"/>
    <w:rsid w:val="4C417F01"/>
    <w:rsid w:val="4C58104F"/>
    <w:rsid w:val="4C5944B1"/>
    <w:rsid w:val="4C602A7D"/>
    <w:rsid w:val="4C6F3A23"/>
    <w:rsid w:val="4C8F5C62"/>
    <w:rsid w:val="4CB607C5"/>
    <w:rsid w:val="4CD35BD5"/>
    <w:rsid w:val="4D003831"/>
    <w:rsid w:val="4D0168EA"/>
    <w:rsid w:val="4D355CB8"/>
    <w:rsid w:val="4D3D4B6D"/>
    <w:rsid w:val="4D4001B9"/>
    <w:rsid w:val="4D4B557E"/>
    <w:rsid w:val="4D6E28E2"/>
    <w:rsid w:val="4D77007F"/>
    <w:rsid w:val="4DA02770"/>
    <w:rsid w:val="4DB320D6"/>
    <w:rsid w:val="4DD23573"/>
    <w:rsid w:val="4DEB3918"/>
    <w:rsid w:val="4E0F3662"/>
    <w:rsid w:val="4E12786B"/>
    <w:rsid w:val="4E267A1C"/>
    <w:rsid w:val="4E3E5763"/>
    <w:rsid w:val="4E492BF9"/>
    <w:rsid w:val="4E4E209C"/>
    <w:rsid w:val="4E74636C"/>
    <w:rsid w:val="4E844D14"/>
    <w:rsid w:val="4EA9414C"/>
    <w:rsid w:val="4EB643B1"/>
    <w:rsid w:val="4ED20C83"/>
    <w:rsid w:val="4ED844D2"/>
    <w:rsid w:val="4EEF1E97"/>
    <w:rsid w:val="4F0F60FF"/>
    <w:rsid w:val="4F244236"/>
    <w:rsid w:val="4F697E9B"/>
    <w:rsid w:val="4F802EB1"/>
    <w:rsid w:val="4F836FD1"/>
    <w:rsid w:val="4F8545A9"/>
    <w:rsid w:val="4FA559F6"/>
    <w:rsid w:val="4FAE58AE"/>
    <w:rsid w:val="4FB530E0"/>
    <w:rsid w:val="4FCD3101"/>
    <w:rsid w:val="4FD35314"/>
    <w:rsid w:val="4FD6191A"/>
    <w:rsid w:val="4FF63749"/>
    <w:rsid w:val="5007527E"/>
    <w:rsid w:val="500C70AC"/>
    <w:rsid w:val="501C7D9B"/>
    <w:rsid w:val="501E2A33"/>
    <w:rsid w:val="502B33A2"/>
    <w:rsid w:val="50644D4D"/>
    <w:rsid w:val="507408A5"/>
    <w:rsid w:val="508A67B9"/>
    <w:rsid w:val="508F279B"/>
    <w:rsid w:val="50E146D5"/>
    <w:rsid w:val="50E20D2D"/>
    <w:rsid w:val="50F60EA0"/>
    <w:rsid w:val="50FA0EA6"/>
    <w:rsid w:val="51071719"/>
    <w:rsid w:val="51096814"/>
    <w:rsid w:val="51667224"/>
    <w:rsid w:val="516F13BA"/>
    <w:rsid w:val="519228EA"/>
    <w:rsid w:val="51954F77"/>
    <w:rsid w:val="51BD0761"/>
    <w:rsid w:val="51BD0E26"/>
    <w:rsid w:val="51DA4028"/>
    <w:rsid w:val="51E073BF"/>
    <w:rsid w:val="52036385"/>
    <w:rsid w:val="52086F2B"/>
    <w:rsid w:val="52181704"/>
    <w:rsid w:val="5237602E"/>
    <w:rsid w:val="52522E68"/>
    <w:rsid w:val="52602DF5"/>
    <w:rsid w:val="52741030"/>
    <w:rsid w:val="528B4B76"/>
    <w:rsid w:val="52923265"/>
    <w:rsid w:val="52B551A5"/>
    <w:rsid w:val="52BD3685"/>
    <w:rsid w:val="52E141EC"/>
    <w:rsid w:val="52E92C10"/>
    <w:rsid w:val="52ED43B9"/>
    <w:rsid w:val="53084363"/>
    <w:rsid w:val="530C74BB"/>
    <w:rsid w:val="531243A6"/>
    <w:rsid w:val="53870547"/>
    <w:rsid w:val="53915C12"/>
    <w:rsid w:val="5393413D"/>
    <w:rsid w:val="53A96AB8"/>
    <w:rsid w:val="53AE2320"/>
    <w:rsid w:val="53BA2E6A"/>
    <w:rsid w:val="53BF452D"/>
    <w:rsid w:val="53F8359B"/>
    <w:rsid w:val="541D0431"/>
    <w:rsid w:val="543A0058"/>
    <w:rsid w:val="544811D2"/>
    <w:rsid w:val="5458228C"/>
    <w:rsid w:val="5459158A"/>
    <w:rsid w:val="545A24A8"/>
    <w:rsid w:val="545A3E82"/>
    <w:rsid w:val="547B6CDE"/>
    <w:rsid w:val="548E06EB"/>
    <w:rsid w:val="549A6737"/>
    <w:rsid w:val="54A454D1"/>
    <w:rsid w:val="54B652F1"/>
    <w:rsid w:val="54DE6C35"/>
    <w:rsid w:val="54F83823"/>
    <w:rsid w:val="55065409"/>
    <w:rsid w:val="551F0AB7"/>
    <w:rsid w:val="55450A62"/>
    <w:rsid w:val="554724E4"/>
    <w:rsid w:val="555A35CD"/>
    <w:rsid w:val="555B0286"/>
    <w:rsid w:val="55833339"/>
    <w:rsid w:val="558772CD"/>
    <w:rsid w:val="55985036"/>
    <w:rsid w:val="55F07786"/>
    <w:rsid w:val="55FB01EF"/>
    <w:rsid w:val="55FE3948"/>
    <w:rsid w:val="560A18E5"/>
    <w:rsid w:val="56127F5F"/>
    <w:rsid w:val="561F5757"/>
    <w:rsid w:val="56290384"/>
    <w:rsid w:val="562C1C22"/>
    <w:rsid w:val="563A7E9B"/>
    <w:rsid w:val="56742F79"/>
    <w:rsid w:val="56AB69D0"/>
    <w:rsid w:val="56B20706"/>
    <w:rsid w:val="56BF62D6"/>
    <w:rsid w:val="56DD396F"/>
    <w:rsid w:val="56F73FDE"/>
    <w:rsid w:val="570F1328"/>
    <w:rsid w:val="574A6804"/>
    <w:rsid w:val="577C3646"/>
    <w:rsid w:val="579730CB"/>
    <w:rsid w:val="57B974E6"/>
    <w:rsid w:val="57D91936"/>
    <w:rsid w:val="57F138AA"/>
    <w:rsid w:val="580D5382"/>
    <w:rsid w:val="58117322"/>
    <w:rsid w:val="5832583B"/>
    <w:rsid w:val="583F6BD0"/>
    <w:rsid w:val="585A4825"/>
    <w:rsid w:val="5866141B"/>
    <w:rsid w:val="58726012"/>
    <w:rsid w:val="588F5A0B"/>
    <w:rsid w:val="589B06EC"/>
    <w:rsid w:val="58B70478"/>
    <w:rsid w:val="58D04CC8"/>
    <w:rsid w:val="58D77C23"/>
    <w:rsid w:val="58EF1411"/>
    <w:rsid w:val="590B1FC3"/>
    <w:rsid w:val="59160ADE"/>
    <w:rsid w:val="594F4A95"/>
    <w:rsid w:val="59725B9E"/>
    <w:rsid w:val="598E529C"/>
    <w:rsid w:val="59B166C6"/>
    <w:rsid w:val="59DD570D"/>
    <w:rsid w:val="59DF6790"/>
    <w:rsid w:val="59E3512D"/>
    <w:rsid w:val="59FD4457"/>
    <w:rsid w:val="5A3410A5"/>
    <w:rsid w:val="5A5C10DF"/>
    <w:rsid w:val="5A7C4F26"/>
    <w:rsid w:val="5A830928"/>
    <w:rsid w:val="5AA5260E"/>
    <w:rsid w:val="5AB0697E"/>
    <w:rsid w:val="5ACE0C54"/>
    <w:rsid w:val="5ADB1ACF"/>
    <w:rsid w:val="5AE34FA5"/>
    <w:rsid w:val="5AE66844"/>
    <w:rsid w:val="5AEB7C2D"/>
    <w:rsid w:val="5B0E72B6"/>
    <w:rsid w:val="5B1D63D9"/>
    <w:rsid w:val="5B2E3D47"/>
    <w:rsid w:val="5B4638CB"/>
    <w:rsid w:val="5B4B48F9"/>
    <w:rsid w:val="5B6B70DD"/>
    <w:rsid w:val="5B860DDB"/>
    <w:rsid w:val="5BA1276A"/>
    <w:rsid w:val="5BA32F4B"/>
    <w:rsid w:val="5BC22E0D"/>
    <w:rsid w:val="5BD40D92"/>
    <w:rsid w:val="5C0C052C"/>
    <w:rsid w:val="5C0E3D80"/>
    <w:rsid w:val="5C6A0DAE"/>
    <w:rsid w:val="5C87100C"/>
    <w:rsid w:val="5C8A1451"/>
    <w:rsid w:val="5CE943C9"/>
    <w:rsid w:val="5CFF1C77"/>
    <w:rsid w:val="5D3D689E"/>
    <w:rsid w:val="5D6F2B20"/>
    <w:rsid w:val="5D922D68"/>
    <w:rsid w:val="5D9C143B"/>
    <w:rsid w:val="5DAB5B22"/>
    <w:rsid w:val="5DC436B8"/>
    <w:rsid w:val="5DCF1811"/>
    <w:rsid w:val="5DE828D3"/>
    <w:rsid w:val="5DEA21A7"/>
    <w:rsid w:val="5E032570"/>
    <w:rsid w:val="5E062D59"/>
    <w:rsid w:val="5E0A466D"/>
    <w:rsid w:val="5E111581"/>
    <w:rsid w:val="5E1B6457"/>
    <w:rsid w:val="5E330CCB"/>
    <w:rsid w:val="5E5719CA"/>
    <w:rsid w:val="5E5A37D0"/>
    <w:rsid w:val="5E677C9B"/>
    <w:rsid w:val="5E8C3F36"/>
    <w:rsid w:val="5E942E4E"/>
    <w:rsid w:val="5EA0103B"/>
    <w:rsid w:val="5EB659F0"/>
    <w:rsid w:val="5EB87A15"/>
    <w:rsid w:val="5ECE7D1A"/>
    <w:rsid w:val="5ED66574"/>
    <w:rsid w:val="5EEB6FAE"/>
    <w:rsid w:val="5F217E4A"/>
    <w:rsid w:val="5F331803"/>
    <w:rsid w:val="5F6655AA"/>
    <w:rsid w:val="5F675708"/>
    <w:rsid w:val="5F962C10"/>
    <w:rsid w:val="5FB510A5"/>
    <w:rsid w:val="5FC133DB"/>
    <w:rsid w:val="5FC627A0"/>
    <w:rsid w:val="5FDF68F3"/>
    <w:rsid w:val="5FFFB29B"/>
    <w:rsid w:val="605B55DE"/>
    <w:rsid w:val="60885E2E"/>
    <w:rsid w:val="60933C0D"/>
    <w:rsid w:val="60996106"/>
    <w:rsid w:val="60B0726A"/>
    <w:rsid w:val="60BB42CE"/>
    <w:rsid w:val="60FD32E1"/>
    <w:rsid w:val="611C2257"/>
    <w:rsid w:val="611D2BBC"/>
    <w:rsid w:val="61281F2F"/>
    <w:rsid w:val="613B0F6B"/>
    <w:rsid w:val="61492983"/>
    <w:rsid w:val="61B72CE8"/>
    <w:rsid w:val="61FE26C5"/>
    <w:rsid w:val="621D5135"/>
    <w:rsid w:val="623D4A98"/>
    <w:rsid w:val="6256605D"/>
    <w:rsid w:val="626C652F"/>
    <w:rsid w:val="62774225"/>
    <w:rsid w:val="627C5292"/>
    <w:rsid w:val="628C5F22"/>
    <w:rsid w:val="62AA2731"/>
    <w:rsid w:val="62AD76C0"/>
    <w:rsid w:val="62C507C9"/>
    <w:rsid w:val="62C83A1C"/>
    <w:rsid w:val="62D11B87"/>
    <w:rsid w:val="631C2C21"/>
    <w:rsid w:val="63272A98"/>
    <w:rsid w:val="63422A85"/>
    <w:rsid w:val="634405AB"/>
    <w:rsid w:val="6356208C"/>
    <w:rsid w:val="636E73D6"/>
    <w:rsid w:val="637F2B2C"/>
    <w:rsid w:val="6390559E"/>
    <w:rsid w:val="63913B26"/>
    <w:rsid w:val="63984389"/>
    <w:rsid w:val="63B30F2E"/>
    <w:rsid w:val="63B53257"/>
    <w:rsid w:val="63B8479E"/>
    <w:rsid w:val="63C35974"/>
    <w:rsid w:val="63C41057"/>
    <w:rsid w:val="63CC234F"/>
    <w:rsid w:val="63DF443D"/>
    <w:rsid w:val="63F342B4"/>
    <w:rsid w:val="640C1C55"/>
    <w:rsid w:val="642944E4"/>
    <w:rsid w:val="644D16E1"/>
    <w:rsid w:val="64557053"/>
    <w:rsid w:val="64573D39"/>
    <w:rsid w:val="645A3AB6"/>
    <w:rsid w:val="646507D9"/>
    <w:rsid w:val="646D1D84"/>
    <w:rsid w:val="647E0D38"/>
    <w:rsid w:val="64A60857"/>
    <w:rsid w:val="64C10CA7"/>
    <w:rsid w:val="65041398"/>
    <w:rsid w:val="650A75D2"/>
    <w:rsid w:val="65586590"/>
    <w:rsid w:val="65CD0D2C"/>
    <w:rsid w:val="65D5198E"/>
    <w:rsid w:val="65D96B11"/>
    <w:rsid w:val="65E13C9A"/>
    <w:rsid w:val="65F43F54"/>
    <w:rsid w:val="66083B12"/>
    <w:rsid w:val="66632AFB"/>
    <w:rsid w:val="666D7E19"/>
    <w:rsid w:val="66D07E35"/>
    <w:rsid w:val="66E77BCB"/>
    <w:rsid w:val="66FD5EEC"/>
    <w:rsid w:val="670F317A"/>
    <w:rsid w:val="674E6C15"/>
    <w:rsid w:val="675114E9"/>
    <w:rsid w:val="675F243B"/>
    <w:rsid w:val="677F7E04"/>
    <w:rsid w:val="67867202"/>
    <w:rsid w:val="67A96C2F"/>
    <w:rsid w:val="67AE2497"/>
    <w:rsid w:val="67AF7FBD"/>
    <w:rsid w:val="67C41CBB"/>
    <w:rsid w:val="67C63C85"/>
    <w:rsid w:val="67E450CE"/>
    <w:rsid w:val="680F708F"/>
    <w:rsid w:val="68135471"/>
    <w:rsid w:val="68292528"/>
    <w:rsid w:val="684C450D"/>
    <w:rsid w:val="68595A9C"/>
    <w:rsid w:val="688A4CB2"/>
    <w:rsid w:val="68CB7079"/>
    <w:rsid w:val="68DB6590"/>
    <w:rsid w:val="68DE4FFE"/>
    <w:rsid w:val="68E32614"/>
    <w:rsid w:val="68F13666"/>
    <w:rsid w:val="68F24AF6"/>
    <w:rsid w:val="69083E29"/>
    <w:rsid w:val="69286279"/>
    <w:rsid w:val="693410C2"/>
    <w:rsid w:val="693B7312"/>
    <w:rsid w:val="6949691B"/>
    <w:rsid w:val="69531548"/>
    <w:rsid w:val="697274F4"/>
    <w:rsid w:val="69787200"/>
    <w:rsid w:val="697A2F79"/>
    <w:rsid w:val="697F233D"/>
    <w:rsid w:val="69B2159C"/>
    <w:rsid w:val="69B352C1"/>
    <w:rsid w:val="69C33C13"/>
    <w:rsid w:val="69DA25A5"/>
    <w:rsid w:val="69DD7064"/>
    <w:rsid w:val="69F87D8A"/>
    <w:rsid w:val="6A004944"/>
    <w:rsid w:val="6A060AF0"/>
    <w:rsid w:val="6A253BE6"/>
    <w:rsid w:val="6A441F9D"/>
    <w:rsid w:val="6A542DAB"/>
    <w:rsid w:val="6A553A32"/>
    <w:rsid w:val="6A9D53FB"/>
    <w:rsid w:val="6AA638F9"/>
    <w:rsid w:val="6ABE0C43"/>
    <w:rsid w:val="6AC01764"/>
    <w:rsid w:val="6ACB746E"/>
    <w:rsid w:val="6B3158B9"/>
    <w:rsid w:val="6B3E1D84"/>
    <w:rsid w:val="6B601CFA"/>
    <w:rsid w:val="6B625A72"/>
    <w:rsid w:val="6B973D04"/>
    <w:rsid w:val="6BAA11C7"/>
    <w:rsid w:val="6BB43B72"/>
    <w:rsid w:val="6C2E1DF8"/>
    <w:rsid w:val="6C3F4006"/>
    <w:rsid w:val="6C4B7641"/>
    <w:rsid w:val="6C4F72C1"/>
    <w:rsid w:val="6C507CBE"/>
    <w:rsid w:val="6C7D5C73"/>
    <w:rsid w:val="6C946959"/>
    <w:rsid w:val="6CA51E3D"/>
    <w:rsid w:val="6CB36530"/>
    <w:rsid w:val="6CB9494B"/>
    <w:rsid w:val="6CD305A2"/>
    <w:rsid w:val="6CD85B06"/>
    <w:rsid w:val="6CEB1A97"/>
    <w:rsid w:val="6CEF5734"/>
    <w:rsid w:val="6CF46B9E"/>
    <w:rsid w:val="6CF84455"/>
    <w:rsid w:val="6D036DE1"/>
    <w:rsid w:val="6D0D7C60"/>
    <w:rsid w:val="6D1B2CD1"/>
    <w:rsid w:val="6D2D0302"/>
    <w:rsid w:val="6D3056B9"/>
    <w:rsid w:val="6D390A55"/>
    <w:rsid w:val="6D4849C0"/>
    <w:rsid w:val="6D4A2C62"/>
    <w:rsid w:val="6D667370"/>
    <w:rsid w:val="6D6B0F56"/>
    <w:rsid w:val="6D8379A1"/>
    <w:rsid w:val="6D8766CA"/>
    <w:rsid w:val="6D9E2FAE"/>
    <w:rsid w:val="6DFD5F26"/>
    <w:rsid w:val="6E105C5A"/>
    <w:rsid w:val="6E162B44"/>
    <w:rsid w:val="6E16433E"/>
    <w:rsid w:val="6E26547D"/>
    <w:rsid w:val="6E290AC9"/>
    <w:rsid w:val="6E4006B2"/>
    <w:rsid w:val="6E4044F8"/>
    <w:rsid w:val="6E427DDD"/>
    <w:rsid w:val="6E62222D"/>
    <w:rsid w:val="6E7506EB"/>
    <w:rsid w:val="6E873A42"/>
    <w:rsid w:val="6EB17FBD"/>
    <w:rsid w:val="6EC6456A"/>
    <w:rsid w:val="6EC86F4F"/>
    <w:rsid w:val="6EE13152"/>
    <w:rsid w:val="6EFF5274"/>
    <w:rsid w:val="6F1060F6"/>
    <w:rsid w:val="6F1E6154"/>
    <w:rsid w:val="6F377216"/>
    <w:rsid w:val="6F541B76"/>
    <w:rsid w:val="6F6D0E8A"/>
    <w:rsid w:val="6F7E1B58"/>
    <w:rsid w:val="6F8B7B20"/>
    <w:rsid w:val="6F9401C4"/>
    <w:rsid w:val="6FBCF277"/>
    <w:rsid w:val="6FCA6422"/>
    <w:rsid w:val="6FE0165C"/>
    <w:rsid w:val="6FE74798"/>
    <w:rsid w:val="70311913"/>
    <w:rsid w:val="704D0028"/>
    <w:rsid w:val="70633D9B"/>
    <w:rsid w:val="70B76860"/>
    <w:rsid w:val="70CE7706"/>
    <w:rsid w:val="70D26124"/>
    <w:rsid w:val="70D61155"/>
    <w:rsid w:val="70FA04FB"/>
    <w:rsid w:val="710870BC"/>
    <w:rsid w:val="710E3FA6"/>
    <w:rsid w:val="711C4915"/>
    <w:rsid w:val="71332BBF"/>
    <w:rsid w:val="716E190C"/>
    <w:rsid w:val="71765B16"/>
    <w:rsid w:val="71A234B0"/>
    <w:rsid w:val="71B66B18"/>
    <w:rsid w:val="7205184D"/>
    <w:rsid w:val="725325B9"/>
    <w:rsid w:val="725351DA"/>
    <w:rsid w:val="725D7F2A"/>
    <w:rsid w:val="7281536C"/>
    <w:rsid w:val="728D3E8F"/>
    <w:rsid w:val="72987FCC"/>
    <w:rsid w:val="72B56DCF"/>
    <w:rsid w:val="72D54D7C"/>
    <w:rsid w:val="72E41463"/>
    <w:rsid w:val="72EA7879"/>
    <w:rsid w:val="72F62470"/>
    <w:rsid w:val="73100899"/>
    <w:rsid w:val="73225B94"/>
    <w:rsid w:val="733C2C1D"/>
    <w:rsid w:val="733E45E2"/>
    <w:rsid w:val="734032E5"/>
    <w:rsid w:val="7343262D"/>
    <w:rsid w:val="7350786F"/>
    <w:rsid w:val="739F35DC"/>
    <w:rsid w:val="73B9469D"/>
    <w:rsid w:val="73C848E1"/>
    <w:rsid w:val="73CC71D9"/>
    <w:rsid w:val="73CD0149"/>
    <w:rsid w:val="73DD1399"/>
    <w:rsid w:val="73E50155"/>
    <w:rsid w:val="74071CB4"/>
    <w:rsid w:val="740F108B"/>
    <w:rsid w:val="742E48A2"/>
    <w:rsid w:val="74356371"/>
    <w:rsid w:val="74485A21"/>
    <w:rsid w:val="7453712C"/>
    <w:rsid w:val="74614F7E"/>
    <w:rsid w:val="747D4E80"/>
    <w:rsid w:val="74840966"/>
    <w:rsid w:val="748527D2"/>
    <w:rsid w:val="74885923"/>
    <w:rsid w:val="74BE7A92"/>
    <w:rsid w:val="74F460EC"/>
    <w:rsid w:val="752244C4"/>
    <w:rsid w:val="753C303D"/>
    <w:rsid w:val="753C676E"/>
    <w:rsid w:val="75623F7A"/>
    <w:rsid w:val="75661B24"/>
    <w:rsid w:val="75693EA1"/>
    <w:rsid w:val="75862CA5"/>
    <w:rsid w:val="758F1B5A"/>
    <w:rsid w:val="75901DEC"/>
    <w:rsid w:val="75F070A2"/>
    <w:rsid w:val="75F220E9"/>
    <w:rsid w:val="760112C4"/>
    <w:rsid w:val="76164BDB"/>
    <w:rsid w:val="76226050"/>
    <w:rsid w:val="76257DC8"/>
    <w:rsid w:val="765B5EE0"/>
    <w:rsid w:val="765C2956"/>
    <w:rsid w:val="76830F93"/>
    <w:rsid w:val="768A40CF"/>
    <w:rsid w:val="76CD723D"/>
    <w:rsid w:val="76EA0007"/>
    <w:rsid w:val="77130569"/>
    <w:rsid w:val="771A5453"/>
    <w:rsid w:val="77451EE3"/>
    <w:rsid w:val="775A4C01"/>
    <w:rsid w:val="775F28C4"/>
    <w:rsid w:val="77784870"/>
    <w:rsid w:val="77AC08AF"/>
    <w:rsid w:val="77B1707B"/>
    <w:rsid w:val="77B358A8"/>
    <w:rsid w:val="77B41E61"/>
    <w:rsid w:val="77B94B74"/>
    <w:rsid w:val="77C83101"/>
    <w:rsid w:val="77FC724F"/>
    <w:rsid w:val="78041B5D"/>
    <w:rsid w:val="782F3180"/>
    <w:rsid w:val="78704A1B"/>
    <w:rsid w:val="787D038F"/>
    <w:rsid w:val="78841FA2"/>
    <w:rsid w:val="78BF0CEF"/>
    <w:rsid w:val="78D43D28"/>
    <w:rsid w:val="78E357B6"/>
    <w:rsid w:val="78FE2050"/>
    <w:rsid w:val="79197617"/>
    <w:rsid w:val="79314CD6"/>
    <w:rsid w:val="79664F44"/>
    <w:rsid w:val="79B10C2A"/>
    <w:rsid w:val="79E86C4B"/>
    <w:rsid w:val="79FA5A10"/>
    <w:rsid w:val="7A067F11"/>
    <w:rsid w:val="7A1E7F83"/>
    <w:rsid w:val="7A2465E9"/>
    <w:rsid w:val="7A2544C3"/>
    <w:rsid w:val="7A2B0EC7"/>
    <w:rsid w:val="7A2C78CF"/>
    <w:rsid w:val="7A37631C"/>
    <w:rsid w:val="7A401675"/>
    <w:rsid w:val="7A513882"/>
    <w:rsid w:val="7A5F39FD"/>
    <w:rsid w:val="7A603412"/>
    <w:rsid w:val="7A6D7F90"/>
    <w:rsid w:val="7A6E28DC"/>
    <w:rsid w:val="7A77746B"/>
    <w:rsid w:val="7A955AA3"/>
    <w:rsid w:val="7A9C6A29"/>
    <w:rsid w:val="7AB17498"/>
    <w:rsid w:val="7AB20E73"/>
    <w:rsid w:val="7AC36A5F"/>
    <w:rsid w:val="7AD85D51"/>
    <w:rsid w:val="7AEB57A3"/>
    <w:rsid w:val="7AFD1AC8"/>
    <w:rsid w:val="7B162A55"/>
    <w:rsid w:val="7B2A1259"/>
    <w:rsid w:val="7B2A6109"/>
    <w:rsid w:val="7B4231CA"/>
    <w:rsid w:val="7B62481E"/>
    <w:rsid w:val="7B786BEC"/>
    <w:rsid w:val="7B850C69"/>
    <w:rsid w:val="7B8B33BC"/>
    <w:rsid w:val="7B991D4F"/>
    <w:rsid w:val="7B9C10D8"/>
    <w:rsid w:val="7BB63A0E"/>
    <w:rsid w:val="7BDF2C39"/>
    <w:rsid w:val="7C137C33"/>
    <w:rsid w:val="7C5E5EE7"/>
    <w:rsid w:val="7C7C270C"/>
    <w:rsid w:val="7C7C7476"/>
    <w:rsid w:val="7C857813"/>
    <w:rsid w:val="7C907F65"/>
    <w:rsid w:val="7CB579CC"/>
    <w:rsid w:val="7CBE4AD3"/>
    <w:rsid w:val="7CC9189C"/>
    <w:rsid w:val="7CDC13FD"/>
    <w:rsid w:val="7CDC31AB"/>
    <w:rsid w:val="7CF60710"/>
    <w:rsid w:val="7D00333D"/>
    <w:rsid w:val="7D0F17D2"/>
    <w:rsid w:val="7D1E3461"/>
    <w:rsid w:val="7D2C004B"/>
    <w:rsid w:val="7D72364A"/>
    <w:rsid w:val="7D7F551F"/>
    <w:rsid w:val="7D9B4867"/>
    <w:rsid w:val="7DE02B9F"/>
    <w:rsid w:val="7DEA50D6"/>
    <w:rsid w:val="7DF65765"/>
    <w:rsid w:val="7E0C5521"/>
    <w:rsid w:val="7E0D4106"/>
    <w:rsid w:val="7E292138"/>
    <w:rsid w:val="7E2F3AA9"/>
    <w:rsid w:val="7E3504FB"/>
    <w:rsid w:val="7E491248"/>
    <w:rsid w:val="7E53749D"/>
    <w:rsid w:val="7E6713D7"/>
    <w:rsid w:val="7E68119A"/>
    <w:rsid w:val="7E7A0ECD"/>
    <w:rsid w:val="7E902D53"/>
    <w:rsid w:val="7E9B156F"/>
    <w:rsid w:val="7E9D11DA"/>
    <w:rsid w:val="7EB653C4"/>
    <w:rsid w:val="7EDC1B88"/>
    <w:rsid w:val="7EDC3936"/>
    <w:rsid w:val="7EDE145C"/>
    <w:rsid w:val="7EEA1BAF"/>
    <w:rsid w:val="7EF1152A"/>
    <w:rsid w:val="7EFBD012"/>
    <w:rsid w:val="7F1A6794"/>
    <w:rsid w:val="7F231565"/>
    <w:rsid w:val="7F42696A"/>
    <w:rsid w:val="7F4905AB"/>
    <w:rsid w:val="7F5160D2"/>
    <w:rsid w:val="7F631961"/>
    <w:rsid w:val="7F741DC0"/>
    <w:rsid w:val="7F8F09A8"/>
    <w:rsid w:val="7F9E2999"/>
    <w:rsid w:val="7FA501CC"/>
    <w:rsid w:val="7FBD72C3"/>
    <w:rsid w:val="7FCA5830"/>
    <w:rsid w:val="7FD8234F"/>
    <w:rsid w:val="7FE42AA2"/>
    <w:rsid w:val="7FE8697E"/>
    <w:rsid w:val="7FF2742E"/>
    <w:rsid w:val="BFDF8ECF"/>
    <w:rsid w:val="DDAB9D69"/>
    <w:rsid w:val="F4FB8938"/>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qFormat="1"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39" w:semiHidden="0" w:name="toc 1"/>
    <w:lsdException w:qFormat="1" w:unhideWhenUsed="0" w:uiPriority="39" w:semiHidden="0" w:name="toc 2"/>
    <w:lsdException w:qFormat="1" w:unhideWhenUsed="0" w:uiPriority="39"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unhideWhenUsed="0" w:uiPriority="0" w:semiHidden="0" w:name="Body Text First Indent 2"/>
    <w:lsdException w:unhideWhenUsed="0" w:uiPriority="0" w:semiHidden="0" w:name="Note Heading"/>
    <w:lsdException w:qFormat="1" w:unhideWhenUsed="0" w:uiPriority="0" w:semiHidden="0" w:name="Body Text 2"/>
    <w:lsdException w:unhideWhenUsed="0" w:uiPriority="0" w:semiHidden="0" w:name="Body Text 3"/>
    <w:lsdException w:qFormat="1"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qFormat="1" w:unhideWhenUsed="0" w:uiPriority="0" w:semiHidden="0" w:name="HTML Cite"/>
    <w:lsdException w:qFormat="1"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qFormat="1"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hint="eastAsia" w:ascii="宋体" w:hAnsi="等线" w:eastAsia="等线" w:cs="Times New Roman"/>
      <w:kern w:val="2"/>
      <w:sz w:val="24"/>
      <w:lang w:val="en-US" w:eastAsia="zh-CN" w:bidi="ar-SA"/>
    </w:rPr>
  </w:style>
  <w:style w:type="paragraph" w:styleId="3">
    <w:name w:val="heading 1"/>
    <w:basedOn w:val="1"/>
    <w:next w:val="1"/>
    <w:qFormat/>
    <w:uiPriority w:val="0"/>
    <w:pPr>
      <w:autoSpaceDE w:val="0"/>
      <w:autoSpaceDN w:val="0"/>
      <w:adjustRightInd w:val="0"/>
      <w:jc w:val="left"/>
      <w:outlineLvl w:val="0"/>
    </w:pPr>
    <w:rPr>
      <w:kern w:val="0"/>
      <w:sz w:val="30"/>
    </w:rPr>
  </w:style>
  <w:style w:type="paragraph" w:styleId="4">
    <w:name w:val="heading 2"/>
    <w:basedOn w:val="1"/>
    <w:next w:val="1"/>
    <w:qFormat/>
    <w:uiPriority w:val="0"/>
    <w:pPr>
      <w:autoSpaceDE w:val="0"/>
      <w:autoSpaceDN w:val="0"/>
      <w:adjustRightInd w:val="0"/>
      <w:jc w:val="left"/>
      <w:outlineLvl w:val="1"/>
    </w:pPr>
    <w:rPr>
      <w:kern w:val="0"/>
    </w:rPr>
  </w:style>
  <w:style w:type="paragraph" w:styleId="5">
    <w:name w:val="heading 3"/>
    <w:basedOn w:val="1"/>
    <w:next w:val="1"/>
    <w:link w:val="52"/>
    <w:qFormat/>
    <w:uiPriority w:val="0"/>
    <w:pPr>
      <w:keepNext/>
      <w:keepLines/>
      <w:outlineLvl w:val="2"/>
    </w:pPr>
    <w:rPr>
      <w:rFonts w:hint="default" w:ascii="Times New Roman" w:hAnsi="Times New Roman" w:eastAsia="宋体"/>
      <w:b/>
    </w:rPr>
  </w:style>
  <w:style w:type="paragraph" w:styleId="2">
    <w:name w:val="heading 4"/>
    <w:basedOn w:val="1"/>
    <w:next w:val="1"/>
    <w:qFormat/>
    <w:uiPriority w:val="0"/>
    <w:pPr>
      <w:keepNext/>
      <w:keepLines/>
      <w:spacing w:line="372" w:lineRule="auto"/>
      <w:outlineLvl w:val="3"/>
    </w:pPr>
    <w:rPr>
      <w:rFonts w:ascii="Arial" w:hAnsi="Arial" w:eastAsia="黑体"/>
      <w:b/>
      <w:sz w:val="28"/>
    </w:rPr>
  </w:style>
  <w:style w:type="character" w:default="1" w:styleId="24">
    <w:name w:val="Default Paragraph Font"/>
    <w:semiHidden/>
    <w:unhideWhenUsed/>
    <w:qFormat/>
    <w:uiPriority w:val="1"/>
  </w:style>
  <w:style w:type="table" w:default="1" w:styleId="23">
    <w:name w:val="Normal Table"/>
    <w:semiHidden/>
    <w:unhideWhenUsed/>
    <w:qFormat/>
    <w:uiPriority w:val="99"/>
    <w:pPr>
      <w:keepNext w:val="0"/>
      <w:keepLines w:val="0"/>
      <w:widowControl/>
      <w:suppressLineNumbers w:val="0"/>
      <w:spacing w:before="0" w:beforeAutospacing="0" w:after="0" w:afterAutospacing="0"/>
      <w:ind w:left="0" w:right="0"/>
    </w:pPr>
    <w:rPr>
      <w:rFonts w:hint="default" w:ascii="Times New Roman" w:hAnsi="Times New Roman" w:cs="Times New Roman"/>
      <w:sz w:val="20"/>
      <w:szCs w:val="20"/>
    </w:rPr>
    <w:tblPr>
      <w:tblCellMar>
        <w:top w:w="0" w:type="dxa"/>
        <w:left w:w="108" w:type="dxa"/>
        <w:bottom w:w="0" w:type="dxa"/>
        <w:right w:w="108" w:type="dxa"/>
      </w:tblCellMar>
    </w:tblPr>
  </w:style>
  <w:style w:type="paragraph" w:styleId="6">
    <w:name w:val="Normal Indent"/>
    <w:basedOn w:val="1"/>
    <w:qFormat/>
    <w:uiPriority w:val="0"/>
    <w:pPr>
      <w:widowControl/>
      <w:ind w:firstLine="420"/>
      <w:jc w:val="left"/>
    </w:pPr>
    <w:rPr>
      <w:kern w:val="0"/>
      <w:sz w:val="20"/>
    </w:rPr>
  </w:style>
  <w:style w:type="paragraph" w:styleId="7">
    <w:name w:val="annotation text"/>
    <w:basedOn w:val="1"/>
    <w:qFormat/>
    <w:uiPriority w:val="0"/>
    <w:pPr>
      <w:jc w:val="left"/>
    </w:pPr>
    <w:rPr>
      <w:rFonts w:hint="default" w:ascii="Times New Roman" w:hAnsi="Times New Roman" w:eastAsia="宋体"/>
      <w:sz w:val="21"/>
    </w:rPr>
  </w:style>
  <w:style w:type="paragraph" w:styleId="8">
    <w:name w:val="Body Text"/>
    <w:basedOn w:val="1"/>
    <w:qFormat/>
    <w:uiPriority w:val="0"/>
  </w:style>
  <w:style w:type="paragraph" w:styleId="9">
    <w:name w:val="Body Text Indent"/>
    <w:basedOn w:val="1"/>
    <w:qFormat/>
    <w:uiPriority w:val="0"/>
    <w:pPr>
      <w:ind w:firstLine="560" w:firstLineChars="200"/>
    </w:pPr>
  </w:style>
  <w:style w:type="paragraph" w:styleId="10">
    <w:name w:val="toc 3"/>
    <w:basedOn w:val="1"/>
    <w:next w:val="1"/>
    <w:qFormat/>
    <w:uiPriority w:val="39"/>
    <w:pPr>
      <w:ind w:left="840" w:leftChars="400"/>
    </w:pPr>
  </w:style>
  <w:style w:type="paragraph" w:styleId="11">
    <w:name w:val="Plain Text"/>
    <w:basedOn w:val="1"/>
    <w:qFormat/>
    <w:uiPriority w:val="0"/>
    <w:rPr>
      <w:rFonts w:hAnsi="Courier New" w:eastAsia="楷体_GB2312"/>
      <w:kern w:val="0"/>
      <w:sz w:val="20"/>
      <w:szCs w:val="24"/>
    </w:rPr>
  </w:style>
  <w:style w:type="paragraph" w:styleId="12">
    <w:name w:val="Body Text Indent 2"/>
    <w:basedOn w:val="1"/>
    <w:qFormat/>
    <w:uiPriority w:val="0"/>
    <w:pPr>
      <w:spacing w:line="480" w:lineRule="auto"/>
      <w:ind w:firstLine="561"/>
    </w:pPr>
  </w:style>
  <w:style w:type="paragraph" w:styleId="13">
    <w:name w:val="Balloon Text"/>
    <w:basedOn w:val="1"/>
    <w:link w:val="73"/>
    <w:qFormat/>
    <w:uiPriority w:val="0"/>
    <w:rPr>
      <w:sz w:val="18"/>
      <w:szCs w:val="18"/>
    </w:rPr>
  </w:style>
  <w:style w:type="paragraph" w:styleId="14">
    <w:name w:val="footer"/>
    <w:basedOn w:val="1"/>
    <w:next w:val="1"/>
    <w:qFormat/>
    <w:uiPriority w:val="0"/>
    <w:pPr>
      <w:tabs>
        <w:tab w:val="center" w:pos="4153"/>
        <w:tab w:val="right" w:pos="8306"/>
      </w:tabs>
      <w:snapToGrid w:val="0"/>
      <w:jc w:val="left"/>
    </w:pPr>
    <w:rPr>
      <w:sz w:val="18"/>
    </w:rPr>
  </w:style>
  <w:style w:type="paragraph" w:styleId="15">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rFonts w:ascii="Times New Roman" w:hAnsi="Times New Roman"/>
      <w:sz w:val="18"/>
    </w:rPr>
  </w:style>
  <w:style w:type="paragraph" w:styleId="16">
    <w:name w:val="toc 1"/>
    <w:basedOn w:val="17"/>
    <w:next w:val="1"/>
    <w:qFormat/>
    <w:uiPriority w:val="39"/>
  </w:style>
  <w:style w:type="paragraph" w:styleId="17">
    <w:name w:val="index 1"/>
    <w:basedOn w:val="1"/>
    <w:next w:val="1"/>
    <w:unhideWhenUsed/>
    <w:qFormat/>
    <w:uiPriority w:val="0"/>
  </w:style>
  <w:style w:type="paragraph" w:styleId="18">
    <w:name w:val="toc 2"/>
    <w:basedOn w:val="1"/>
    <w:next w:val="1"/>
    <w:qFormat/>
    <w:uiPriority w:val="39"/>
    <w:pPr>
      <w:ind w:left="420" w:leftChars="200"/>
    </w:pPr>
  </w:style>
  <w:style w:type="paragraph" w:styleId="19">
    <w:name w:val="Body Text 2"/>
    <w:basedOn w:val="1"/>
    <w:next w:val="8"/>
    <w:qFormat/>
    <w:uiPriority w:val="0"/>
    <w:pPr>
      <w:spacing w:line="500" w:lineRule="exact"/>
    </w:pPr>
  </w:style>
  <w:style w:type="paragraph" w:styleId="20">
    <w:name w:val="Normal (Web)"/>
    <w:basedOn w:val="1"/>
    <w:qFormat/>
    <w:uiPriority w:val="0"/>
    <w:pPr>
      <w:widowControl/>
      <w:spacing w:beforeAutospacing="1" w:afterAutospacing="1"/>
      <w:jc w:val="left"/>
    </w:pPr>
    <w:rPr>
      <w:rFonts w:hAnsi="宋体" w:cs="宋体"/>
      <w:color w:val="000000"/>
      <w:kern w:val="0"/>
      <w:szCs w:val="24"/>
    </w:rPr>
  </w:style>
  <w:style w:type="paragraph" w:styleId="21">
    <w:name w:val="Title"/>
    <w:basedOn w:val="1"/>
    <w:next w:val="1"/>
    <w:qFormat/>
    <w:uiPriority w:val="0"/>
    <w:pPr>
      <w:spacing w:line="480" w:lineRule="atLeast"/>
      <w:jc w:val="center"/>
    </w:pPr>
    <w:rPr>
      <w:rFonts w:ascii="Times New Roman" w:hAnsi="Times New Roman" w:eastAsia="宋体" w:cs="Times New Roman"/>
      <w:sz w:val="32"/>
    </w:rPr>
  </w:style>
  <w:style w:type="paragraph" w:styleId="22">
    <w:name w:val="Body Text First Indent"/>
    <w:basedOn w:val="8"/>
    <w:next w:val="1"/>
    <w:qFormat/>
    <w:uiPriority w:val="0"/>
    <w:pPr>
      <w:ind w:firstLine="420"/>
    </w:pPr>
  </w:style>
  <w:style w:type="character" w:styleId="25">
    <w:name w:val="Strong"/>
    <w:basedOn w:val="24"/>
    <w:qFormat/>
    <w:uiPriority w:val="0"/>
    <w:rPr>
      <w:b/>
    </w:rPr>
  </w:style>
  <w:style w:type="character" w:styleId="26">
    <w:name w:val="FollowedHyperlink"/>
    <w:basedOn w:val="24"/>
    <w:qFormat/>
    <w:uiPriority w:val="0"/>
    <w:rPr>
      <w:color w:val="333333"/>
      <w:u w:val="none"/>
    </w:rPr>
  </w:style>
  <w:style w:type="character" w:styleId="27">
    <w:name w:val="Emphasis"/>
    <w:basedOn w:val="24"/>
    <w:qFormat/>
    <w:uiPriority w:val="0"/>
    <w:rPr>
      <w:i/>
    </w:rPr>
  </w:style>
  <w:style w:type="character" w:styleId="28">
    <w:name w:val="HTML Variable"/>
    <w:basedOn w:val="24"/>
    <w:qFormat/>
    <w:uiPriority w:val="0"/>
    <w:rPr>
      <w:i/>
    </w:rPr>
  </w:style>
  <w:style w:type="character" w:styleId="29">
    <w:name w:val="Hyperlink"/>
    <w:basedOn w:val="24"/>
    <w:qFormat/>
    <w:uiPriority w:val="0"/>
    <w:rPr>
      <w:color w:val="333333"/>
      <w:u w:val="none"/>
    </w:rPr>
  </w:style>
  <w:style w:type="character" w:styleId="30">
    <w:name w:val="HTML Code"/>
    <w:basedOn w:val="24"/>
    <w:qFormat/>
    <w:uiPriority w:val="0"/>
    <w:rPr>
      <w:rFonts w:ascii="Courier New" w:hAnsi="Courier New"/>
      <w:sz w:val="20"/>
    </w:rPr>
  </w:style>
  <w:style w:type="character" w:styleId="31">
    <w:name w:val="HTML Cite"/>
    <w:basedOn w:val="24"/>
    <w:qFormat/>
    <w:uiPriority w:val="0"/>
    <w:rPr>
      <w:i/>
    </w:rPr>
  </w:style>
  <w:style w:type="paragraph" w:customStyle="1" w:styleId="32">
    <w:name w:val="样式 宋体 行距: 1.5 倍行距"/>
    <w:basedOn w:val="33"/>
    <w:next w:val="1"/>
    <w:qFormat/>
    <w:uiPriority w:val="0"/>
    <w:pPr>
      <w:jc w:val="center"/>
    </w:pPr>
    <w:rPr>
      <w:rFonts w:ascii="Times New Roman" w:hAnsi="Times New Roman" w:cs="Times New Roman"/>
      <w:b/>
    </w:rPr>
  </w:style>
  <w:style w:type="paragraph" w:customStyle="1" w:styleId="33">
    <w:name w:val="正文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w:next w:val="32"/>
    <w:qFormat/>
    <w:uiPriority w:val="0"/>
    <w:pPr>
      <w:widowControl w:val="0"/>
      <w:jc w:val="both"/>
    </w:pPr>
    <w:rPr>
      <w:rFonts w:ascii="Calibri" w:hAnsi="Calibri" w:eastAsia="宋体" w:cs="黑体"/>
      <w:kern w:val="2"/>
      <w:sz w:val="21"/>
      <w:szCs w:val="24"/>
      <w:lang w:val="en-US" w:eastAsia="zh-CN" w:bidi="ar-SA"/>
    </w:rPr>
  </w:style>
  <w:style w:type="paragraph" w:customStyle="1" w:styleId="34">
    <w:name w:val="正文 New New New New New New New New New New New New New New New New New New New New New New New New New New New New New New New New New New New New New New New New New New New New New New New New New New New New New New New New New New New New New New Ne"/>
    <w:next w:val="32"/>
    <w:qFormat/>
    <w:uiPriority w:val="0"/>
    <w:pPr>
      <w:widowControl w:val="0"/>
      <w:jc w:val="both"/>
    </w:pPr>
    <w:rPr>
      <w:rFonts w:ascii="Calibri" w:hAnsi="Calibri" w:eastAsia="宋体" w:cs="黑体"/>
      <w:kern w:val="2"/>
      <w:sz w:val="21"/>
      <w:szCs w:val="24"/>
      <w:lang w:val="en-US" w:eastAsia="zh-CN" w:bidi="ar-SA"/>
    </w:rPr>
  </w:style>
  <w:style w:type="paragraph" w:customStyle="1" w:styleId="35">
    <w:name w:val="正文 New New New New New New New New"/>
    <w:qFormat/>
    <w:uiPriority w:val="0"/>
    <w:pPr>
      <w:widowControl w:val="0"/>
      <w:jc w:val="both"/>
    </w:pPr>
    <w:rPr>
      <w:rFonts w:ascii="Times New Roman" w:hAnsi="Times New Roman" w:eastAsia="楷体_GB2312" w:cs="Times New Roman"/>
      <w:kern w:val="2"/>
      <w:sz w:val="21"/>
      <w:lang w:val="en-US" w:eastAsia="zh-CN" w:bidi="ar-SA"/>
    </w:rPr>
  </w:style>
  <w:style w:type="paragraph" w:customStyle="1" w:styleId="36">
    <w:name w:val="正文 New New"/>
    <w:qFormat/>
    <w:uiPriority w:val="0"/>
    <w:pPr>
      <w:widowControl w:val="0"/>
      <w:spacing w:line="360" w:lineRule="auto"/>
      <w:jc w:val="both"/>
    </w:pPr>
    <w:rPr>
      <w:rFonts w:ascii="宋体" w:hAnsi="Times New Roman" w:eastAsia="宋体" w:cs="Times New Roman"/>
      <w:kern w:val="2"/>
      <w:sz w:val="24"/>
      <w:lang w:val="en-US" w:eastAsia="zh-CN" w:bidi="ar-SA"/>
    </w:rPr>
  </w:style>
  <w:style w:type="paragraph" w:customStyle="1" w:styleId="37">
    <w:name w:val="正文 New"/>
    <w:qFormat/>
    <w:uiPriority w:val="0"/>
    <w:pPr>
      <w:widowControl w:val="0"/>
      <w:spacing w:line="360" w:lineRule="auto"/>
      <w:jc w:val="both"/>
    </w:pPr>
    <w:rPr>
      <w:rFonts w:ascii="宋体" w:hAnsi="Times New Roman" w:eastAsia="宋体" w:cs="Times New Roman"/>
      <w:kern w:val="2"/>
      <w:sz w:val="24"/>
      <w:lang w:val="en-US" w:eastAsia="zh-CN" w:bidi="ar-SA"/>
    </w:rPr>
  </w:style>
  <w:style w:type="paragraph" w:customStyle="1" w:styleId="38">
    <w:name w:val="标题 1 New"/>
    <w:basedOn w:val="37"/>
    <w:next w:val="37"/>
    <w:qFormat/>
    <w:uiPriority w:val="0"/>
    <w:pPr>
      <w:autoSpaceDE w:val="0"/>
      <w:autoSpaceDN w:val="0"/>
      <w:adjustRightInd w:val="0"/>
      <w:jc w:val="left"/>
      <w:outlineLvl w:val="0"/>
    </w:pPr>
    <w:rPr>
      <w:kern w:val="0"/>
      <w:sz w:val="30"/>
    </w:rPr>
  </w:style>
  <w:style w:type="paragraph" w:customStyle="1" w:styleId="39">
    <w:name w:val="标题 2 New New"/>
    <w:basedOn w:val="37"/>
    <w:next w:val="37"/>
    <w:qFormat/>
    <w:uiPriority w:val="0"/>
    <w:pPr>
      <w:autoSpaceDE w:val="0"/>
      <w:autoSpaceDN w:val="0"/>
      <w:adjustRightInd w:val="0"/>
      <w:jc w:val="left"/>
      <w:outlineLvl w:val="1"/>
    </w:pPr>
    <w:rPr>
      <w:kern w:val="0"/>
    </w:rPr>
  </w:style>
  <w:style w:type="paragraph" w:customStyle="1" w:styleId="40">
    <w:name w:val="正文 New New New"/>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41">
    <w:name w:val="Normal Indent1"/>
    <w:basedOn w:val="1"/>
    <w:qFormat/>
    <w:uiPriority w:val="0"/>
    <w:pPr>
      <w:widowControl/>
      <w:spacing w:line="360" w:lineRule="auto"/>
      <w:ind w:firstLine="420"/>
      <w:jc w:val="left"/>
    </w:pPr>
    <w:rPr>
      <w:rFonts w:hAnsi="Times New Roman"/>
      <w:kern w:val="0"/>
      <w:sz w:val="20"/>
    </w:rPr>
  </w:style>
  <w:style w:type="paragraph" w:customStyle="1" w:styleId="42">
    <w:name w:val="正文缩进1"/>
    <w:basedOn w:val="1"/>
    <w:qFormat/>
    <w:uiPriority w:val="0"/>
    <w:pPr>
      <w:widowControl/>
      <w:spacing w:line="360" w:lineRule="auto"/>
      <w:ind w:firstLine="420"/>
      <w:jc w:val="left"/>
    </w:pPr>
    <w:rPr>
      <w:rFonts w:hAnsi="Times New Roman"/>
      <w:kern w:val="0"/>
      <w:sz w:val="20"/>
    </w:rPr>
  </w:style>
  <w:style w:type="paragraph" w:customStyle="1" w:styleId="43">
    <w:name w:val="正文 New New New New New New New New New New New New New New New New New New New New New New New New New New New New New New New New New New New New New New New New New New New New New New New New New New New New New New New New New New New New New New Ne1"/>
    <w:next w:val="32"/>
    <w:qFormat/>
    <w:uiPriority w:val="0"/>
    <w:pPr>
      <w:widowControl w:val="0"/>
      <w:jc w:val="both"/>
    </w:pPr>
    <w:rPr>
      <w:rFonts w:ascii="Calibri" w:hAnsi="Calibri" w:eastAsia="宋体" w:cs="黑体"/>
      <w:kern w:val="2"/>
      <w:sz w:val="21"/>
      <w:szCs w:val="24"/>
      <w:lang w:val="en-US" w:eastAsia="zh-CN" w:bidi="ar-SA"/>
    </w:rPr>
  </w:style>
  <w:style w:type="paragraph" w:customStyle="1" w:styleId="44">
    <w:name w:val="正文 New New New New New New New New New New New New New New New New New New New New New New New New New New New New New New New New New New New New New New New New New New New New New New New New New New New New New New New New New New New New New New Ne2"/>
    <w:next w:val="32"/>
    <w:qFormat/>
    <w:uiPriority w:val="0"/>
    <w:pPr>
      <w:widowControl w:val="0"/>
      <w:jc w:val="both"/>
    </w:pPr>
    <w:rPr>
      <w:rFonts w:ascii="Calibri" w:hAnsi="Calibri" w:eastAsia="宋体" w:cs="黑体"/>
      <w:kern w:val="2"/>
      <w:sz w:val="21"/>
      <w:szCs w:val="24"/>
      <w:lang w:val="en-US" w:eastAsia="zh-CN" w:bidi="ar-SA"/>
    </w:rPr>
  </w:style>
  <w:style w:type="paragraph" w:customStyle="1" w:styleId="45">
    <w:name w:val="正文 New New New New New New New New New New New New New New New New New New New New New New New New New New New New New New New New New New New New New New New New New New New New New New"/>
    <w:qFormat/>
    <w:uiPriority w:val="0"/>
    <w:pPr>
      <w:widowControl w:val="0"/>
      <w:jc w:val="both"/>
    </w:pPr>
    <w:rPr>
      <w:rFonts w:ascii="Bodoni MT" w:hAnsi="Bodoni MT" w:eastAsia="宋体" w:cs="Bodoni MT"/>
      <w:kern w:val="2"/>
      <w:sz w:val="21"/>
      <w:szCs w:val="24"/>
      <w:lang w:val="en-US" w:eastAsia="zh-CN" w:bidi="ar-SA"/>
    </w:rPr>
  </w:style>
  <w:style w:type="paragraph" w:customStyle="1" w:styleId="46">
    <w:name w:val="正文文本缩进 New New"/>
    <w:basedOn w:val="37"/>
    <w:qFormat/>
    <w:uiPriority w:val="0"/>
    <w:pPr>
      <w:ind w:firstLine="560" w:firstLineChars="200"/>
    </w:pPr>
  </w:style>
  <w:style w:type="paragraph" w:customStyle="1" w:styleId="47">
    <w:name w:val="正文文本缩进 3 New"/>
    <w:basedOn w:val="37"/>
    <w:qFormat/>
    <w:uiPriority w:val="0"/>
    <w:pPr>
      <w:ind w:firstLine="560"/>
    </w:pPr>
    <w:rPr>
      <w:color w:val="FF0000"/>
    </w:rPr>
  </w:style>
  <w:style w:type="paragraph" w:customStyle="1" w:styleId="48">
    <w:name w:val="标题 3 New New New"/>
    <w:basedOn w:val="49"/>
    <w:next w:val="49"/>
    <w:qFormat/>
    <w:uiPriority w:val="0"/>
    <w:pPr>
      <w:keepNext/>
      <w:keepLines/>
      <w:jc w:val="center"/>
      <w:outlineLvl w:val="2"/>
    </w:pPr>
    <w:rPr>
      <w:sz w:val="24"/>
    </w:rPr>
  </w:style>
  <w:style w:type="paragraph" w:customStyle="1" w:styleId="49">
    <w:name w:val="正文缩进 New"/>
    <w:basedOn w:val="50"/>
    <w:qFormat/>
    <w:uiPriority w:val="0"/>
    <w:pPr>
      <w:widowControl/>
      <w:ind w:firstLine="420"/>
      <w:jc w:val="left"/>
    </w:pPr>
    <w:rPr>
      <w:kern w:val="0"/>
      <w:sz w:val="20"/>
    </w:rPr>
  </w:style>
  <w:style w:type="paragraph" w:customStyle="1" w:styleId="50">
    <w:name w:val="正文 New New New New New New New New New New New New New New New New New New New New New New New New New New New New New New New"/>
    <w:qFormat/>
    <w:uiPriority w:val="0"/>
    <w:pPr>
      <w:widowControl w:val="0"/>
      <w:jc w:val="both"/>
    </w:pPr>
    <w:rPr>
      <w:rFonts w:ascii="Times New Roman" w:hAnsi="Times New Roman" w:eastAsia="楷体_GB2312" w:cs="Times New Roman"/>
      <w:kern w:val="2"/>
      <w:sz w:val="21"/>
      <w:lang w:val="en-US" w:eastAsia="zh-CN" w:bidi="ar-SA"/>
    </w:rPr>
  </w:style>
  <w:style w:type="paragraph" w:customStyle="1" w:styleId="51">
    <w:name w:val="正文 New New New New New New New New New New New New"/>
    <w:qFormat/>
    <w:uiPriority w:val="0"/>
    <w:pPr>
      <w:widowControl w:val="0"/>
      <w:spacing w:line="360" w:lineRule="auto"/>
      <w:jc w:val="both"/>
    </w:pPr>
    <w:rPr>
      <w:rFonts w:ascii="宋体" w:hAnsi="Times New Roman" w:eastAsia="宋体" w:cs="Times New Roman"/>
      <w:kern w:val="2"/>
      <w:sz w:val="24"/>
      <w:lang w:val="en-US" w:eastAsia="zh-CN" w:bidi="ar-SA"/>
    </w:rPr>
  </w:style>
  <w:style w:type="character" w:customStyle="1" w:styleId="52">
    <w:name w:val="标题 3 Char"/>
    <w:link w:val="5"/>
    <w:qFormat/>
    <w:uiPriority w:val="0"/>
    <w:rPr>
      <w:rFonts w:hint="default" w:ascii="Times New Roman" w:hAnsi="Times New Roman" w:eastAsia="宋体"/>
      <w:b/>
    </w:rPr>
  </w:style>
  <w:style w:type="character" w:customStyle="1" w:styleId="53">
    <w:name w:val="NormalCharacter"/>
    <w:semiHidden/>
    <w:qFormat/>
    <w:uiPriority w:val="0"/>
    <w:rPr>
      <w:rFonts w:ascii="宋体"/>
      <w:kern w:val="2"/>
      <w:sz w:val="24"/>
      <w:lang w:val="en-US" w:eastAsia="zh-CN" w:bidi="ar-SA"/>
    </w:rPr>
  </w:style>
  <w:style w:type="paragraph" w:customStyle="1" w:styleId="54">
    <w:name w:val="标题 2 New New New"/>
    <w:basedOn w:val="55"/>
    <w:next w:val="55"/>
    <w:qFormat/>
    <w:uiPriority w:val="0"/>
    <w:pPr>
      <w:autoSpaceDE w:val="0"/>
      <w:autoSpaceDN w:val="0"/>
      <w:adjustRightInd w:val="0"/>
      <w:jc w:val="left"/>
      <w:outlineLvl w:val="1"/>
    </w:pPr>
  </w:style>
  <w:style w:type="paragraph" w:customStyle="1" w:styleId="55">
    <w:name w:val="正文 New New New New New New New New New New New New New New New New New New New New New New New New New New New New New New New New New New New New New New New New"/>
    <w:qFormat/>
    <w:uiPriority w:val="0"/>
    <w:pPr>
      <w:widowControl w:val="0"/>
      <w:spacing w:line="360" w:lineRule="auto"/>
      <w:jc w:val="both"/>
    </w:pPr>
    <w:rPr>
      <w:rFonts w:ascii="宋体" w:hAnsi="Times New Roman" w:eastAsia="宋体" w:cs="Times New Roman"/>
      <w:kern w:val="2"/>
      <w:sz w:val="24"/>
      <w:lang w:val="en-US" w:eastAsia="zh-CN" w:bidi="ar-SA"/>
    </w:rPr>
  </w:style>
  <w:style w:type="paragraph" w:customStyle="1" w:styleId="56">
    <w:name w:val="普通(网站) New"/>
    <w:basedOn w:val="57"/>
    <w:qFormat/>
    <w:uiPriority w:val="0"/>
    <w:rPr>
      <w:sz w:val="24"/>
    </w:rPr>
  </w:style>
  <w:style w:type="paragraph" w:customStyle="1" w:styleId="57">
    <w:name w:val="正文 New New New New New New New New New New New New New New New New New New New New New New"/>
    <w:qFormat/>
    <w:uiPriority w:val="0"/>
    <w:pPr>
      <w:widowControl w:val="0"/>
      <w:jc w:val="both"/>
    </w:pPr>
    <w:rPr>
      <w:rFonts w:ascii="Times New Roman" w:hAnsi="Times New Roman" w:eastAsia="宋体" w:cs="Times New Roman"/>
      <w:kern w:val="2"/>
      <w:sz w:val="21"/>
      <w:lang w:val="en-US" w:eastAsia="zh-CN" w:bidi="ar-SA"/>
    </w:rPr>
  </w:style>
  <w:style w:type="paragraph" w:customStyle="1" w:styleId="58">
    <w:name w:val="正文 New New New New New New New New New New New New New New New New New New New New New New New New New"/>
    <w:qFormat/>
    <w:uiPriority w:val="0"/>
    <w:pPr>
      <w:widowControl w:val="0"/>
      <w:spacing w:line="360" w:lineRule="auto"/>
      <w:jc w:val="both"/>
    </w:pPr>
    <w:rPr>
      <w:rFonts w:ascii="宋体" w:hAnsi="Times New Roman" w:eastAsia="宋体" w:cs="Times New Roman"/>
      <w:kern w:val="2"/>
      <w:sz w:val="24"/>
      <w:szCs w:val="24"/>
      <w:lang w:val="en-US" w:eastAsia="zh-CN" w:bidi="ar-SA"/>
    </w:rPr>
  </w:style>
  <w:style w:type="paragraph" w:customStyle="1" w:styleId="59">
    <w:name w:val="正文 New New New New New New New New New New New New New New New New New New New New New New New New New New New New"/>
    <w:qFormat/>
    <w:uiPriority w:val="0"/>
    <w:pPr>
      <w:widowControl w:val="0"/>
      <w:spacing w:line="360" w:lineRule="auto"/>
      <w:jc w:val="both"/>
    </w:pPr>
    <w:rPr>
      <w:rFonts w:ascii="宋体" w:hAnsi="Times New Roman" w:eastAsia="宋体" w:cs="Times New Roman"/>
      <w:kern w:val="2"/>
      <w:sz w:val="24"/>
      <w:szCs w:val="24"/>
      <w:lang w:val="en-US" w:eastAsia="zh-CN" w:bidi="ar-SA"/>
    </w:rPr>
  </w:style>
  <w:style w:type="paragraph" w:customStyle="1" w:styleId="60">
    <w:name w:val="正文_0"/>
    <w:qFormat/>
    <w:uiPriority w:val="0"/>
    <w:pPr>
      <w:widowControl w:val="0"/>
      <w:jc w:val="both"/>
    </w:pPr>
    <w:rPr>
      <w:rFonts w:ascii="Times New Roman" w:hAnsi="Times New Roman" w:eastAsia="宋体" w:cs="Times New Roman"/>
      <w:kern w:val="2"/>
      <w:sz w:val="21"/>
      <w:szCs w:val="24"/>
      <w:lang w:val="en-US" w:eastAsia="zh-CN" w:bidi="ar-SA"/>
    </w:rPr>
  </w:style>
  <w:style w:type="character" w:customStyle="1" w:styleId="61">
    <w:name w:val="YJ22 Char"/>
    <w:link w:val="62"/>
    <w:qFormat/>
    <w:uiPriority w:val="0"/>
    <w:rPr>
      <w:rFonts w:ascii="Times New Roman" w:hAnsi="宋体"/>
      <w:b/>
      <w:kern w:val="0"/>
      <w:sz w:val="20"/>
    </w:rPr>
  </w:style>
  <w:style w:type="paragraph" w:customStyle="1" w:styleId="62">
    <w:name w:val="YJ22"/>
    <w:basedOn w:val="37"/>
    <w:next w:val="37"/>
    <w:link w:val="61"/>
    <w:qFormat/>
    <w:uiPriority w:val="0"/>
    <w:pPr>
      <w:autoSpaceDE w:val="0"/>
      <w:autoSpaceDN w:val="0"/>
      <w:adjustRightInd w:val="0"/>
      <w:jc w:val="left"/>
      <w:outlineLvl w:val="1"/>
    </w:pPr>
    <w:rPr>
      <w:rFonts w:ascii="Times New Roman" w:hAnsi="宋体"/>
      <w:b/>
      <w:kern w:val="0"/>
      <w:sz w:val="20"/>
    </w:rPr>
  </w:style>
  <w:style w:type="paragraph" w:customStyle="1" w:styleId="63">
    <w:name w:val="正文文本缩进 New"/>
    <w:basedOn w:val="64"/>
    <w:qFormat/>
    <w:uiPriority w:val="0"/>
    <w:pPr>
      <w:ind w:firstLine="560" w:firstLineChars="200"/>
    </w:pPr>
  </w:style>
  <w:style w:type="paragraph" w:customStyle="1" w:styleId="64">
    <w:name w:val="正文 New New New New New New New New New New New New New New New New New New New New New New New New New New New New New New New New New New New"/>
    <w:qFormat/>
    <w:uiPriority w:val="0"/>
    <w:pPr>
      <w:widowControl w:val="0"/>
      <w:spacing w:line="360" w:lineRule="auto"/>
      <w:jc w:val="both"/>
    </w:pPr>
    <w:rPr>
      <w:rFonts w:ascii="宋体" w:hAnsi="Times New Roman" w:eastAsia="宋体" w:cs="Times New Roman"/>
      <w:kern w:val="2"/>
      <w:sz w:val="24"/>
      <w:lang w:val="en-US" w:eastAsia="zh-CN" w:bidi="ar-SA"/>
    </w:rPr>
  </w:style>
  <w:style w:type="paragraph" w:customStyle="1" w:styleId="65">
    <w:name w:val="正文文本缩进 New New New New"/>
    <w:basedOn w:val="66"/>
    <w:qFormat/>
    <w:uiPriority w:val="0"/>
    <w:pPr>
      <w:ind w:firstLine="560" w:firstLineChars="200"/>
    </w:pPr>
    <w:rPr>
      <w:szCs w:val="28"/>
    </w:rPr>
  </w:style>
  <w:style w:type="paragraph" w:customStyle="1" w:styleId="66">
    <w:name w:val="正文 New New New New New New New New New New New New New New New New New New New New New New New New New New New New New New New New New New"/>
    <w:qFormat/>
    <w:uiPriority w:val="0"/>
    <w:pPr>
      <w:widowControl w:val="0"/>
      <w:spacing w:line="360" w:lineRule="auto"/>
      <w:jc w:val="both"/>
    </w:pPr>
    <w:rPr>
      <w:rFonts w:ascii="宋体" w:hAnsi="Times New Roman" w:eastAsia="宋体" w:cs="Times New Roman"/>
      <w:kern w:val="2"/>
      <w:sz w:val="24"/>
      <w:szCs w:val="24"/>
      <w:lang w:val="en-US" w:eastAsia="zh-CN" w:bidi="ar-SA"/>
    </w:rPr>
  </w:style>
  <w:style w:type="paragraph" w:customStyle="1" w:styleId="67">
    <w:name w:val="正文 New New New New"/>
    <w:qFormat/>
    <w:uiPriority w:val="0"/>
    <w:pPr>
      <w:widowControl w:val="0"/>
      <w:spacing w:line="360" w:lineRule="auto"/>
      <w:jc w:val="both"/>
    </w:pPr>
    <w:rPr>
      <w:rFonts w:ascii="宋体" w:hAnsi="Times New Roman" w:eastAsia="宋体" w:cs="Times New Roman"/>
      <w:kern w:val="2"/>
      <w:sz w:val="24"/>
      <w:lang w:val="en-US" w:eastAsia="zh-CN" w:bidi="ar-SA"/>
    </w:rPr>
  </w:style>
  <w:style w:type="paragraph" w:customStyle="1" w:styleId="68">
    <w:name w:val="正文文本缩进 New New New New New New New"/>
    <w:basedOn w:val="67"/>
    <w:qFormat/>
    <w:uiPriority w:val="0"/>
    <w:pPr>
      <w:ind w:left="420" w:leftChars="200"/>
    </w:pPr>
    <w:rPr>
      <w:szCs w:val="24"/>
    </w:rPr>
  </w:style>
  <w:style w:type="paragraph" w:customStyle="1" w:styleId="69">
    <w:name w:val="正文 New New New New New"/>
    <w:qFormat/>
    <w:uiPriority w:val="0"/>
    <w:pPr>
      <w:widowControl w:val="0"/>
      <w:spacing w:line="360" w:lineRule="auto"/>
      <w:jc w:val="both"/>
    </w:pPr>
    <w:rPr>
      <w:rFonts w:ascii="宋体" w:hAnsi="Times New Roman" w:eastAsia="宋体" w:cs="Times New Roman"/>
      <w:kern w:val="2"/>
      <w:sz w:val="24"/>
      <w:lang w:val="en-US" w:eastAsia="zh-CN" w:bidi="ar-SA"/>
    </w:rPr>
  </w:style>
  <w:style w:type="paragraph" w:customStyle="1" w:styleId="70">
    <w:name w:val="正文文本缩进 New New New New New New New New"/>
    <w:basedOn w:val="69"/>
    <w:qFormat/>
    <w:uiPriority w:val="0"/>
    <w:pPr>
      <w:ind w:left="420" w:leftChars="200"/>
    </w:pPr>
    <w:rPr>
      <w:szCs w:val="24"/>
    </w:rPr>
  </w:style>
  <w:style w:type="paragraph" w:customStyle="1" w:styleId="71">
    <w:name w:val="正文 New New New New New New New New New New New New New New New New New New New New New"/>
    <w:qFormat/>
    <w:uiPriority w:val="0"/>
    <w:pPr>
      <w:widowControl w:val="0"/>
      <w:spacing w:line="360" w:lineRule="auto"/>
      <w:jc w:val="both"/>
    </w:pPr>
    <w:rPr>
      <w:rFonts w:ascii="宋体" w:hAnsi="Times New Roman" w:eastAsia="宋体" w:cs="Times New Roman"/>
      <w:kern w:val="2"/>
      <w:sz w:val="24"/>
      <w:lang w:val="en-US" w:eastAsia="zh-CN" w:bidi="ar-SA"/>
    </w:rPr>
  </w:style>
  <w:style w:type="paragraph" w:customStyle="1" w:styleId="72">
    <w:name w:val="页脚 New"/>
    <w:basedOn w:val="37"/>
    <w:qFormat/>
    <w:uiPriority w:val="0"/>
    <w:pPr>
      <w:widowControl/>
      <w:tabs>
        <w:tab w:val="center" w:pos="4153"/>
        <w:tab w:val="right" w:pos="8306"/>
      </w:tabs>
      <w:snapToGrid w:val="0"/>
      <w:jc w:val="left"/>
    </w:pPr>
    <w:rPr>
      <w:kern w:val="0"/>
      <w:sz w:val="18"/>
    </w:rPr>
  </w:style>
  <w:style w:type="character" w:customStyle="1" w:styleId="73">
    <w:name w:val="批注框文本 Char"/>
    <w:basedOn w:val="24"/>
    <w:link w:val="13"/>
    <w:qFormat/>
    <w:uiPriority w:val="0"/>
    <w:rPr>
      <w:rFonts w:ascii="宋体" w:hAnsi="等线" w:eastAsia="等线" w:cs="Times New Roman"/>
      <w:kern w:val="2"/>
      <w:sz w:val="18"/>
      <w:szCs w:val="18"/>
    </w:rPr>
  </w:style>
  <w:style w:type="character" w:customStyle="1" w:styleId="74">
    <w:name w:val="hover21"/>
    <w:basedOn w:val="24"/>
    <w:qFormat/>
    <w:uiPriority w:val="0"/>
    <w:rPr>
      <w:color w:val="5FB878"/>
    </w:rPr>
  </w:style>
  <w:style w:type="character" w:customStyle="1" w:styleId="75">
    <w:name w:val="hover22"/>
    <w:basedOn w:val="24"/>
    <w:qFormat/>
    <w:uiPriority w:val="0"/>
    <w:rPr>
      <w:color w:val="5FB878"/>
    </w:rPr>
  </w:style>
  <w:style w:type="character" w:customStyle="1" w:styleId="76">
    <w:name w:val="hover23"/>
    <w:basedOn w:val="24"/>
    <w:qFormat/>
    <w:uiPriority w:val="0"/>
    <w:rPr>
      <w:color w:val="FFFFFF"/>
    </w:rPr>
  </w:style>
  <w:style w:type="paragraph" w:customStyle="1" w:styleId="77">
    <w:name w:val="正文文本 New"/>
    <w:basedOn w:val="37"/>
    <w:qFormat/>
    <w:uiPriority w:val="0"/>
    <w:pPr>
      <w:spacing w:after="120" w:afterLines="0" w:afterAutospacing="0"/>
    </w:pPr>
  </w:style>
  <w:style w:type="paragraph" w:customStyle="1" w:styleId="78">
    <w:name w:val="正文 New New New New New New New New New New New New New New New New New New New New New New New New New New New New New New New New New New New New New New New New New New New New New New New New New New New New New New New New New New New New"/>
    <w:next w:val="32"/>
    <w:unhideWhenUsed/>
    <w:qFormat/>
    <w:uiPriority w:val="0"/>
    <w:pPr>
      <w:widowControl w:val="0"/>
      <w:spacing w:beforeLines="0" w:afterLines="0"/>
      <w:jc w:val="both"/>
    </w:pPr>
    <w:rPr>
      <w:rFonts w:hint="default" w:ascii="Calibri" w:hAnsi="Calibri" w:eastAsia="宋体" w:cs="黑体"/>
      <w:kern w:val="2"/>
      <w:sz w:val="21"/>
      <w:szCs w:val="24"/>
      <w:lang w:val="en-US" w:eastAsia="zh-CN" w:bidi="ar-SA"/>
    </w:rPr>
  </w:style>
  <w:style w:type="paragraph" w:customStyle="1" w:styleId="79">
    <w:name w:val="标题 21"/>
    <w:basedOn w:val="1"/>
    <w:qFormat/>
    <w:uiPriority w:val="0"/>
    <w:pPr>
      <w:autoSpaceDE w:val="0"/>
      <w:autoSpaceDN w:val="0"/>
      <w:jc w:val="left"/>
      <w:outlineLvl w:val="1"/>
    </w:pPr>
    <w:rPr>
      <w:kern w:val="0"/>
      <w:sz w:val="24"/>
    </w:rPr>
  </w:style>
  <w:style w:type="paragraph" w:customStyle="1" w:styleId="80">
    <w:name w:val="Table Text"/>
    <w:basedOn w:val="1"/>
    <w:semiHidden/>
    <w:qFormat/>
    <w:uiPriority w:val="0"/>
    <w:rPr>
      <w:rFonts w:ascii="宋体" w:hAnsi="宋体" w:eastAsia="宋体" w:cs="宋体"/>
      <w:sz w:val="24"/>
      <w:szCs w:val="24"/>
      <w:lang w:val="en-US" w:eastAsia="en-US" w:bidi="ar-SA"/>
    </w:rPr>
  </w:style>
  <w:style w:type="paragraph" w:customStyle="1" w:styleId="81">
    <w:name w:val="正文 New New New New New New New New New New New"/>
    <w:qFormat/>
    <w:uiPriority w:val="0"/>
    <w:pPr>
      <w:widowControl w:val="0"/>
      <w:jc w:val="both"/>
    </w:pPr>
    <w:rPr>
      <w:rFonts w:ascii="Times New Roman" w:hAnsi="Times New Roman" w:eastAsia="楷体_GB2312" w:cs="Times New Roman"/>
      <w:kern w:val="2"/>
      <w:sz w:val="21"/>
      <w:lang w:val="en-US" w:eastAsia="zh-CN" w:bidi="ar-SA"/>
    </w:rPr>
  </w:style>
  <w:style w:type="paragraph" w:customStyle="1" w:styleId="82">
    <w:name w:val="正文 New New New New New New New New New New New New New New New"/>
    <w:qFormat/>
    <w:uiPriority w:val="0"/>
    <w:pPr>
      <w:widowControl w:val="0"/>
      <w:jc w:val="both"/>
    </w:pPr>
    <w:rPr>
      <w:rFonts w:ascii="Times New Roman" w:hAnsi="Times New Roman" w:eastAsia="楷体_GB2312" w:cs="Times New Roman"/>
      <w:kern w:val="2"/>
      <w:sz w:val="21"/>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footer" Target="footer5.xml"/><Relationship Id="rId8" Type="http://schemas.openxmlformats.org/officeDocument/2006/relationships/header" Target="header2.xml"/><Relationship Id="rId7" Type="http://schemas.openxmlformats.org/officeDocument/2006/relationships/footer" Target="footer4.xml"/><Relationship Id="rId6" Type="http://schemas.openxmlformats.org/officeDocument/2006/relationships/header" Target="header1.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5" Type="http://schemas.openxmlformats.org/officeDocument/2006/relationships/fontTable" Target="fontTable.xml"/><Relationship Id="rId14" Type="http://schemas.openxmlformats.org/officeDocument/2006/relationships/customXml" Target="../customXml/item2.xml"/><Relationship Id="rId13" Type="http://schemas.openxmlformats.org/officeDocument/2006/relationships/numbering" Target="numbering.xml"/><Relationship Id="rId12" Type="http://schemas.openxmlformats.org/officeDocument/2006/relationships/customXml" Target="../customXml/item1.xml"/><Relationship Id="rId11" Type="http://schemas.openxmlformats.org/officeDocument/2006/relationships/image" Target="media/image1.png"/><Relationship Id="rId10" Type="http://schemas.openxmlformats.org/officeDocument/2006/relationships/theme" Target="theme/theme1.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ops>
  <customShpExts>
    <customShpInfo spid="_x0000_s1026" textRotate="1"/>
  </customShpExts>
</s:customData>
</file>

<file path=customXml/item2.xml><?xml version="1.0" encoding="utf-8"?>
<contractReview xmlns="http://schemas.wps.cn/vas-ai-hub/contract-review">
  <reviewItems>
    <reviewItem>
      <errorID>e9ba6470-e602-403a-a65e-957e578d5835</errorID>
      <errorWord>《法人和非法人组织公共信用信息报告》</errorWord>
      <group>L1_Official</group>
      <groupName>公文格式问题</groupName>
      <ability>L2_Official</ability>
      <abilityName>公文要素检查</abilityName>
      <candidateList/>
      <explain>公文文件引用格式不规范</explain>
      <paraID>71D4F5B9</paraID>
      <start>48</start>
      <end>66</end>
      <status>ignored</status>
      <modifiedWord/>
      <trackRevisions>false</trackRevisions>
    </reviewItem>
    <reviewItem>
      <errorID>f7ed2760-8cb5-4873-8f48-08d46d087f8f</errorID>
      <errorWord>证</errorWord>
      <group>L1_Word</group>
      <groupName>字词问题</groupName>
      <ability>L2_Typo</ability>
      <abilityName>字词错误</abilityName>
      <candidateList>
        <item>证金</item>
      </candidateList>
      <explain/>
      <paraID>7576EECB</paraID>
      <start>23</start>
      <end>24</end>
      <status>ignored</status>
      <modifiedWord/>
      <trackRevisions>false</trackRevisions>
    </reviewItem>
    <reviewItem>
      <errorID>a69b4851-d3cc-4b1f-bb42-1b6f234dcd04</errorID>
      <errorWord>保证缴</errorWord>
      <group>L1_Word</group>
      <groupName>字词问题</groupName>
      <ability>L2_Typo</ability>
      <abilityName>字词错误</abilityName>
      <candidateList>
        <item>保证金</item>
      </candidateList>
      <explain/>
      <paraID>4BFDA801</paraID>
      <start>2</start>
      <end>5</end>
      <status>ignored</status>
      <modifiedWord/>
      <trackRevisions>false</trackRevisions>
    </reviewItem>
    <reviewItem>
      <errorID>864361f6-e354-4975-b8b4-845b3485652c</errorID>
      <errorWord>纳</errorWord>
      <group>L1_Word</group>
      <groupName>字词问题</groupName>
      <ability>L2_Typo</ability>
      <abilityName>字词错误</abilityName>
      <candidateList>
        <item>的</item>
      </candidateList>
      <explain/>
      <paraID>257527BB</paraID>
      <start>0</start>
      <end>1</end>
      <status>ignored</status>
      <modifiedWord/>
      <trackRevisions>false</trackRevisions>
    </reviewItem>
    <reviewItem>
      <errorID>efc38faf-26e1-48b4-8d02-a649eb1e3834</errorID>
      <errorWord>。</errorWord>
      <group>L1_Punc</group>
      <groupName>标点问题</groupName>
      <ability>L2_Punc_CN</ability>
      <abilityName>标点符号检查</abilityName>
      <candidateList/>
      <explain/>
      <paraID> 430A452</paraID>
      <start>23</start>
      <end>24</end>
      <status>ignored</status>
      <modifiedWord/>
      <trackRevisions>false</trackRevisions>
    </reviewItem>
    <reviewItem>
      <errorID>d2420c1d-0281-4cb1-b73d-8ae332f2a547</errorID>
      <errorWord>《法人和非法人组织公共信用信息报告》</errorWord>
      <group>L1_Official</group>
      <groupName>公文格式问题</groupName>
      <ability>L2_Official</ability>
      <abilityName>公文要素检查</abilityName>
      <candidateList/>
      <explain>公文文件引用格式不规范</explain>
      <paraID>596450B4</paraID>
      <start>48</start>
      <end>66</end>
      <status>ignored</status>
      <modifiedWord/>
      <trackRevisions>false</trackRevisions>
    </reviewItem>
    <reviewItem>
      <errorID>27736770-dcf7-4fb1-adfc-154159da43cd</errorID>
      <errorWord>作</errorWord>
      <group>L1_Word</group>
      <groupName>字词问题</groupName>
      <ability>L2_Typo</ability>
      <abilityName>字词错误</abilityName>
      <candidateList>
        <item>做</item>
      </candidateList>
      <explain/>
      <paraID>23248DCE</paraID>
      <start>14</start>
      <end>15</end>
      <status>ignored</status>
      <modifiedWord/>
      <trackRevisions>false</trackRevisions>
    </reviewItem>
    <reviewItem>
      <errorID>e3892188-adbb-44c3-852a-6316d9a58c10</errorID>
      <errorWord>《投标函》</errorWord>
      <group>L1_Official</group>
      <groupName>公文格式问题</groupName>
      <ability>L2_Official</ability>
      <abilityName>公文要素检查</abilityName>
      <candidateList/>
      <explain>公文文件引用格式不规范</explain>
      <paraID>703DCCE4</paraID>
      <start>3</start>
      <end>8</end>
      <status>ignored</status>
      <modifiedWord/>
      <trackRevisions>false</trackRevisions>
    </reviewItem>
    <reviewItem>
      <errorID>cd43c315-60c9-4577-90e5-f157ae4052cb</errorID>
      <errorWord>（</errorWord>
      <group>L1_Punc</group>
      <groupName>标点问题</groupName>
      <ability>L2_Punc_CN</ability>
      <abilityName>标点符号检查</abilityName>
      <candidateList/>
      <explain>同一形式括号套用。</explain>
      <paraID>2DB95EC2</paraID>
      <start>112</start>
      <end>113</end>
      <status>ignored</status>
      <modifiedWord/>
      <trackRevisions>false</trackRevisions>
    </reviewItem>
    <reviewItem>
      <errorID>fed792b1-71be-4597-b610-f7e85435c051</errorID>
      <errorWord>）</errorWord>
      <group>L1_Punc</group>
      <groupName>标点问题</groupName>
      <ability>L2_Punc_CN</ability>
      <abilityName>标点符号检查</abilityName>
      <candidateList/>
      <explain>同一形式括号套用。</explain>
      <paraID>2DB95EC2</paraID>
      <start>115</start>
      <end>116</end>
      <status>ignored</status>
      <modifiedWord/>
      <trackRevisions>false</trackRevisions>
    </reviewItem>
    <reviewItem>
      <errorID>ad0b3237-3af1-45b6-88ef-d17240915bfb</errorID>
      <errorWord>《法人和非法人组织公共信用信息报告》</errorWord>
      <group>L1_Official</group>
      <groupName>公文格式问题</groupName>
      <ability>L2_Official</ability>
      <abilityName>公文要素检查</abilityName>
      <candidateList/>
      <explain>公文文件引用格式不规范</explain>
      <paraID>7AE5F237</paraID>
      <start>133</start>
      <end>151</end>
      <status>ignored</status>
      <modifiedWord/>
      <trackRevisions>false</trackRevisions>
    </reviewItem>
    <reviewItem>
      <errorID>f808e657-a63d-44f5-bd72-0906852cc5f1</errorID>
      <errorWord>《投标函》</errorWord>
      <group>L1_Official</group>
      <groupName>公文格式问题</groupName>
      <ability>L2_Official</ability>
      <abilityName>公文要素检查</abilityName>
      <candidateList/>
      <explain>公文文件引用格式不规范</explain>
      <paraID>4F7AC647</paraID>
      <start>40</start>
      <end>45</end>
      <status>ignored</status>
      <modifiedWord/>
      <trackRevisions>false</trackRevisions>
    </reviewItem>
    <reviewItem>
      <errorID>126e687b-bf27-4121-9955-b22ec7f37e2a</errorID>
      <errorWord>《投标函》</errorWord>
      <group>L1_Official</group>
      <groupName>公文格式问题</groupName>
      <ability>L2_Official</ability>
      <abilityName>公文要素检查</abilityName>
      <candidateList/>
      <explain>公文文件引用格式不规范</explain>
      <paraID>5DE1D1EB</paraID>
      <start>33</start>
      <end>38</end>
      <status>ignored</status>
      <modifiedWord/>
      <trackRevisions>false</trackRevisions>
    </reviewItem>
    <reviewItem>
      <errorID>e1b763ec-c758-4627-af3d-a5d934cc16ca</errorID>
      <errorWord>）</errorWord>
      <group>L1_Punc</group>
      <groupName>标点问题</groupName>
      <ability>L2_Punc_CN</ability>
      <abilityName>标点符号检查</abilityName>
      <candidateList/>
      <explain>此处标点可能未正确匹配，请检查句子中是否存在标点冗余、缺失或使用错误的情况。</explain>
      <paraID>514CCE98</paraID>
      <start>78</start>
      <end>79</end>
      <status>ignored</status>
      <modifiedWord/>
      <trackRevisions>false</trackRevisions>
    </reviewItem>
    <reviewItem>
      <errorID>7dc0b904-66ff-4a6b-a5e6-16cb2cbf5151</errorID>
      <errorWord>雇用</errorWord>
      <group>L1_Word</group>
      <groupName>字词问题</groupName>
      <ability>L2_Typo</ability>
      <abilityName>字词错误</abilityName>
      <candidateList>
        <item>雇佣</item>
      </candidateList>
      <explain/>
      <paraID>6898F40B</paraID>
      <start>105</start>
      <end>107</end>
      <status>ignored</status>
      <modifiedWord/>
      <trackRevisions>false</trackRevisions>
    </reviewItem>
    <reviewItem>
      <errorID>61c91ea0-c41d-4e96-9512-f1cf48c058e6</errorID>
      <errorWord>作</errorWord>
      <group>L1_Word</group>
      <groupName>字词问题</groupName>
      <ability>L2_Typo</ability>
      <abilityName>字词错误</abilityName>
      <candidateList>
        <item>做</item>
      </candidateList>
      <explain>存在发音相同字词的误用。</explain>
      <paraID> DE37F91</paraID>
      <start>85</start>
      <end>86</end>
      <status>ignored</status>
      <modifiedWord/>
      <trackRevisions>false</trackRevisions>
    </reviewItem>
    <reviewItem>
      <errorID>eb198994-2d78-4069-a82e-4da15bed06ef</errorID>
      <errorWord>由</errorWord>
      <group>L1_Word</group>
      <groupName>字词问题</groupName>
      <ability>L2_Typo</ability>
      <abilityName>字词错误</abilityName>
      <candidateList>
        <item>由于</item>
      </candidateList>
      <explain/>
      <paraID>4995D0DA</paraID>
      <start>50</start>
      <end>53</end>
      <status>modified</status>
      <modifiedWord>由于</modifiedWord>
      <trackRevisions>true</trackRevisions>
    </reviewItem>
    <reviewItem>
      <errorID>b732ee2b-8346-4ad9-a4a2-91aea5e9e32f</errorID>
      <errorWord>）</errorWord>
      <group>L1_Punc</group>
      <groupName>标点问题</groupName>
      <ability>L2_Punc_CN</ability>
      <abilityName>标点符号检查</abilityName>
      <candidateList/>
      <explain>此处标点可能未正确匹配，请检查句子中是否存在标点冗余、缺失或使用错误的情况。</explain>
      <paraID>43AB04AE</paraID>
      <start>285</start>
      <end>286</end>
      <status>ignored</status>
      <modifiedWord/>
      <trackRevisions>false</trackRevisions>
    </reviewItem>
    <reviewItem>
      <errorID>ea217ec6-3c17-44e6-9c45-a221347ed78c</errorID>
      <errorWord>〈</errorWord>
      <group>L1_Punc</group>
      <groupName>标点问题</groupName>
      <ability>L2_Punc_CN</ability>
      <abilityName>标点符号检查</abilityName>
      <candidateList/>
      <explain>此处标点可能未正确匹配，请检查句子中是否存在标点冗余、缺失或使用错误的情况。</explain>
      <paraID>6EACF44C</paraID>
      <start>190</start>
      <end>191</end>
      <status>ignored</status>
      <modifiedWord/>
      <trackRevisions>false</trackRevisions>
    </reviewItem>
    <reviewItem>
      <errorID>c1878841-5ecc-41bc-b661-1eac694c5704</errorID>
      <errorWord>《投标函》</errorWord>
      <group>L1_Official</group>
      <groupName>公文格式问题</groupName>
      <ability>L2_Official</ability>
      <abilityName>公文要素检查</abilityName>
      <candidateList/>
      <explain>公文文件引用格式不规范</explain>
      <paraID>5B4FEDB5</paraID>
      <start>4</start>
      <end>9</end>
      <status>ignored</status>
      <modifiedWord/>
      <trackRevisions>false</trackRevisions>
    </reviewItem>
    <reviewItem>
      <errorID>11744c6b-0fa3-4d48-b25a-87187b7741a8</errorID>
      <errorWord>作</errorWord>
      <group>L1_Word</group>
      <groupName>字词问题</groupName>
      <ability>L2_Typo</ability>
      <abilityName>字词错误</abilityName>
      <candidateList>
        <item>做</item>
      </candidateList>
      <explain/>
      <paraID>3AE4CC78</paraID>
      <start>21</start>
      <end>22</end>
      <status>ignored</status>
      <modifiedWord/>
      <trackRevisions>false</trackRevisions>
    </reviewItem>
    <reviewItem>
      <errorID>03c4e225-ef36-4496-b272-7aebefd69a47</errorID>
      <errorWord>《法人和非法人组织公共信用信息报告》</errorWord>
      <group>L1_Official</group>
      <groupName>公文格式问题</groupName>
      <ability>L2_Official</ability>
      <abilityName>公文要素检查</abilityName>
      <candidateList/>
      <explain>公文文件引用格式不规范</explain>
      <paraID>7AE55E96</paraID>
      <start>2</start>
      <end>20</end>
      <status>ignored</status>
      <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f6b8d461-24b7-47cd-b372-9fa9e9211d93}">
  <ds:schemaRefs/>
</ds:datastoreItem>
</file>

<file path=docProps/app.xml><?xml version="1.0" encoding="utf-8"?>
<Properties xmlns="http://schemas.openxmlformats.org/officeDocument/2006/extended-properties" xmlns:vt="http://schemas.openxmlformats.org/officeDocument/2006/docPropsVTypes">
  <Template>Normal</Template>
  <Company>微软中国</Company>
  <Pages>50</Pages>
  <Words>708</Words>
  <Characters>761</Characters>
  <Lines>1</Lines>
  <Paragraphs>1</Paragraphs>
  <TotalTime>22</TotalTime>
  <ScaleCrop>false</ScaleCrop>
  <LinksUpToDate>false</LinksUpToDate>
  <CharactersWithSpaces>904</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2023-11-12T02:36:00Z</dcterms:created>
  <dc:creator>Chen~小璇</dc:creator>
  <cp:lastModifiedBy>沉默</cp:lastModifiedBy>
  <cp:lastPrinted>2026-09-23T23:42:00Z</cp:lastPrinted>
  <dcterms:modified xsi:type="dcterms:W3CDTF">2026-09-24T03:39:48Z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AB839A45428444A48F3172BAF597794E_13</vt:lpwstr>
  </property>
  <property fmtid="{D5CDD505-2E9C-101B-9397-08002B2CF9AE}" pid="4" name="KSOTemplateDocerSaveRecord">
    <vt:lpwstr>eyJoZGlkIjoiYzY5ZWI4MWQ1NGE5ZjFjNGJlNGMwODgyY2ZlZjNjZTAiLCJ1c2VySWQiOiI2MzAyNjY0NTMifQ==</vt:lpwstr>
  </property>
</Properties>
</file>