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2DDB548">
      <w:pPr>
        <w:rPr>
          <w:color w:val="auto"/>
          <w:highlight w:val="none"/>
        </w:rPr>
        <w:sectPr>
          <w:headerReference r:id="rId5" w:type="default"/>
          <w:pgSz w:w="11906" w:h="16839"/>
          <w:pgMar w:top="1440" w:right="1080" w:bottom="1440" w:left="1080" w:header="1200" w:footer="0" w:gutter="0"/>
          <w:pgBorders>
            <w:top w:val="none" w:sz="0" w:space="0"/>
            <w:left w:val="none" w:sz="0" w:space="0"/>
            <w:bottom w:val="none" w:sz="0" w:space="0"/>
            <w:right w:val="none" w:sz="0" w:space="0"/>
          </w:pgBorders>
          <w:pgNumType w:start="1"/>
          <w:cols w:space="720" w:num="1"/>
        </w:sectPr>
      </w:pPr>
      <w:r>
        <w:drawing>
          <wp:inline distT="0" distB="0" distL="114300" distR="114300">
            <wp:extent cx="6219190" cy="8798560"/>
            <wp:effectExtent l="0" t="0" r="10160" b="254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1"/>
                    <a:stretch>
                      <a:fillRect/>
                    </a:stretch>
                  </pic:blipFill>
                  <pic:spPr>
                    <a:xfrm>
                      <a:off x="0" y="0"/>
                      <a:ext cx="6219190" cy="8798560"/>
                    </a:xfrm>
                    <a:prstGeom prst="rect">
                      <a:avLst/>
                    </a:prstGeom>
                    <a:noFill/>
                    <a:ln>
                      <a:noFill/>
                    </a:ln>
                  </pic:spPr>
                </pic:pic>
              </a:graphicData>
            </a:graphic>
          </wp:inline>
        </w:drawing>
      </w:r>
    </w:p>
    <w:p w14:paraId="0B006F5F">
      <w:pPr>
        <w:pStyle w:val="119"/>
        <w:tabs>
          <w:tab w:val="left" w:pos="1890"/>
          <w:tab w:val="left" w:pos="4935"/>
        </w:tabs>
        <w:rPr>
          <w:rFonts w:hint="eastAsia" w:ascii="宋体" w:hAnsi="宋体" w:eastAsia="宋体" w:cs="宋体"/>
          <w:b/>
          <w:color w:val="auto"/>
          <w:sz w:val="28"/>
          <w:szCs w:val="28"/>
          <w:highlight w:val="none"/>
        </w:rPr>
        <w:sectPr>
          <w:footerReference r:id="rId6" w:type="default"/>
          <w:endnotePr>
            <w:numFmt w:val="decimal"/>
          </w:endnotePr>
          <w:pgSz w:w="11905" w:h="16838"/>
          <w:pgMar w:top="1440" w:right="1417" w:bottom="1440" w:left="1417" w:header="850" w:footer="992" w:gutter="0"/>
          <w:pgNumType w:fmt="decimal" w:start="1"/>
          <w:cols w:space="720" w:num="1"/>
          <w:rtlGutter w:val="0"/>
          <w:docGrid w:type="lines" w:linePitch="317" w:charSpace="0"/>
        </w:sectPr>
      </w:pPr>
    </w:p>
    <w:p w14:paraId="65C97C1D">
      <w:pPr>
        <w:spacing w:line="240" w:lineRule="auto"/>
        <w:jc w:val="center"/>
        <w:rPr>
          <w:b/>
          <w:bCs/>
          <w:color w:val="auto"/>
          <w:sz w:val="44"/>
          <w:szCs w:val="32"/>
          <w:highlight w:val="none"/>
        </w:rPr>
      </w:pPr>
      <w:r>
        <w:rPr>
          <w:rFonts w:hAnsi="宋体"/>
          <w:b/>
          <w:bCs/>
          <w:color w:val="auto"/>
          <w:sz w:val="36"/>
          <w:szCs w:val="32"/>
          <w:highlight w:val="none"/>
        </w:rPr>
        <w:t>目</w:t>
      </w:r>
      <w:r>
        <w:rPr>
          <w:rFonts w:hint="eastAsia" w:hAnsi="宋体"/>
          <w:b/>
          <w:bCs/>
          <w:color w:val="auto"/>
          <w:sz w:val="36"/>
          <w:szCs w:val="32"/>
          <w:highlight w:val="none"/>
        </w:rPr>
        <w:t xml:space="preserve">  </w:t>
      </w:r>
      <w:r>
        <w:rPr>
          <w:rFonts w:hAnsi="宋体"/>
          <w:b/>
          <w:bCs/>
          <w:color w:val="auto"/>
          <w:sz w:val="36"/>
          <w:szCs w:val="32"/>
          <w:highlight w:val="none"/>
        </w:rPr>
        <w:t>录</w:t>
      </w:r>
    </w:p>
    <w:p w14:paraId="228A6914">
      <w:pPr>
        <w:pStyle w:val="21"/>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TOC \o "1-3" \h \u </w:instrText>
      </w:r>
      <w:r>
        <w:rPr>
          <w:rFonts w:hint="eastAsia" w:hAnsi="宋体" w:cs="宋体"/>
          <w:color w:val="auto"/>
          <w:szCs w:val="24"/>
          <w:highlight w:val="none"/>
        </w:rPr>
        <w:fldChar w:fldCharType="separate"/>
      </w: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_Toc28684 </w:instrText>
      </w:r>
      <w:r>
        <w:rPr>
          <w:rFonts w:hint="eastAsia" w:hAnsi="宋体" w:cs="宋体"/>
          <w:color w:val="auto"/>
          <w:szCs w:val="24"/>
          <w:highlight w:val="none"/>
        </w:rPr>
        <w:fldChar w:fldCharType="separate"/>
      </w:r>
      <w:r>
        <w:rPr>
          <w:rFonts w:hint="eastAsia" w:ascii="Times New Roman"/>
          <w:snapToGrid w:val="0"/>
          <w:color w:val="auto"/>
          <w:szCs w:val="22"/>
          <w:highlight w:val="none"/>
        </w:rPr>
        <w:t>第一章 投标人须知</w:t>
      </w:r>
      <w:r>
        <w:rPr>
          <w:color w:val="auto"/>
          <w:highlight w:val="none"/>
        </w:rPr>
        <w:tab/>
      </w:r>
      <w:r>
        <w:rPr>
          <w:color w:val="auto"/>
          <w:highlight w:val="none"/>
        </w:rPr>
        <w:fldChar w:fldCharType="begin"/>
      </w:r>
      <w:r>
        <w:rPr>
          <w:color w:val="auto"/>
          <w:highlight w:val="none"/>
        </w:rPr>
        <w:instrText xml:space="preserve"> PAGEREF _Toc28684 \h </w:instrText>
      </w:r>
      <w:r>
        <w:rPr>
          <w:color w:val="auto"/>
          <w:highlight w:val="none"/>
        </w:rPr>
        <w:fldChar w:fldCharType="separate"/>
      </w:r>
      <w:r>
        <w:rPr>
          <w:color w:val="auto"/>
          <w:highlight w:val="none"/>
        </w:rPr>
        <w:t>1</w:t>
      </w:r>
      <w:r>
        <w:rPr>
          <w:color w:val="auto"/>
          <w:highlight w:val="none"/>
        </w:rPr>
        <w:fldChar w:fldCharType="end"/>
      </w:r>
      <w:r>
        <w:rPr>
          <w:rFonts w:hint="eastAsia" w:hAnsi="宋体" w:cs="宋体"/>
          <w:color w:val="auto"/>
          <w:szCs w:val="24"/>
          <w:highlight w:val="none"/>
        </w:rPr>
        <w:fldChar w:fldCharType="end"/>
      </w:r>
    </w:p>
    <w:p w14:paraId="5D3DC254">
      <w:pPr>
        <w:pStyle w:val="2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_Toc32446 </w:instrText>
      </w:r>
      <w:r>
        <w:rPr>
          <w:rFonts w:hint="eastAsia" w:hAnsi="宋体" w:cs="宋体"/>
          <w:color w:val="auto"/>
          <w:szCs w:val="24"/>
          <w:highlight w:val="none"/>
        </w:rPr>
        <w:fldChar w:fldCharType="separate"/>
      </w:r>
      <w:r>
        <w:rPr>
          <w:rFonts w:hint="eastAsia" w:ascii="Times New Roman"/>
          <w:snapToGrid w:val="0"/>
          <w:color w:val="auto"/>
          <w:highlight w:val="none"/>
        </w:rPr>
        <w:t>第一节 投标人须知前附表</w:t>
      </w:r>
      <w:r>
        <w:rPr>
          <w:color w:val="auto"/>
          <w:highlight w:val="none"/>
        </w:rPr>
        <w:tab/>
      </w:r>
      <w:r>
        <w:rPr>
          <w:color w:val="auto"/>
          <w:highlight w:val="none"/>
        </w:rPr>
        <w:fldChar w:fldCharType="begin"/>
      </w:r>
      <w:r>
        <w:rPr>
          <w:color w:val="auto"/>
          <w:highlight w:val="none"/>
        </w:rPr>
        <w:instrText xml:space="preserve"> PAGEREF _Toc32446 \h </w:instrText>
      </w:r>
      <w:r>
        <w:rPr>
          <w:color w:val="auto"/>
          <w:highlight w:val="none"/>
        </w:rPr>
        <w:fldChar w:fldCharType="separate"/>
      </w:r>
      <w:r>
        <w:rPr>
          <w:color w:val="auto"/>
          <w:highlight w:val="none"/>
        </w:rPr>
        <w:t>1</w:t>
      </w:r>
      <w:r>
        <w:rPr>
          <w:color w:val="auto"/>
          <w:highlight w:val="none"/>
        </w:rPr>
        <w:fldChar w:fldCharType="end"/>
      </w:r>
      <w:r>
        <w:rPr>
          <w:rFonts w:hint="eastAsia" w:hAnsi="宋体" w:cs="宋体"/>
          <w:color w:val="auto"/>
          <w:szCs w:val="24"/>
          <w:highlight w:val="none"/>
        </w:rPr>
        <w:fldChar w:fldCharType="end"/>
      </w:r>
    </w:p>
    <w:p w14:paraId="2634A276">
      <w:pPr>
        <w:pStyle w:val="2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_Toc32522 </w:instrText>
      </w:r>
      <w:r>
        <w:rPr>
          <w:rFonts w:hint="eastAsia" w:hAnsi="宋体" w:cs="宋体"/>
          <w:color w:val="auto"/>
          <w:szCs w:val="24"/>
          <w:highlight w:val="none"/>
        </w:rPr>
        <w:fldChar w:fldCharType="separate"/>
      </w:r>
      <w:r>
        <w:rPr>
          <w:rFonts w:hint="eastAsia" w:ascii="Times New Roman"/>
          <w:snapToGrid w:val="0"/>
          <w:color w:val="auto"/>
          <w:highlight w:val="none"/>
        </w:rPr>
        <w:t>第二节 重要事项时间地点一览表</w:t>
      </w:r>
      <w:r>
        <w:rPr>
          <w:color w:val="auto"/>
          <w:highlight w:val="none"/>
        </w:rPr>
        <w:tab/>
      </w:r>
      <w:r>
        <w:rPr>
          <w:color w:val="auto"/>
          <w:highlight w:val="none"/>
        </w:rPr>
        <w:fldChar w:fldCharType="begin"/>
      </w:r>
      <w:r>
        <w:rPr>
          <w:color w:val="auto"/>
          <w:highlight w:val="none"/>
        </w:rPr>
        <w:instrText xml:space="preserve"> PAGEREF _Toc32522 \h </w:instrText>
      </w:r>
      <w:r>
        <w:rPr>
          <w:color w:val="auto"/>
          <w:highlight w:val="none"/>
        </w:rPr>
        <w:fldChar w:fldCharType="separate"/>
      </w:r>
      <w:r>
        <w:rPr>
          <w:color w:val="auto"/>
          <w:highlight w:val="none"/>
        </w:rPr>
        <w:t>8</w:t>
      </w:r>
      <w:r>
        <w:rPr>
          <w:color w:val="auto"/>
          <w:highlight w:val="none"/>
        </w:rPr>
        <w:fldChar w:fldCharType="end"/>
      </w:r>
      <w:r>
        <w:rPr>
          <w:rFonts w:hint="eastAsia" w:hAnsi="宋体" w:cs="宋体"/>
          <w:color w:val="auto"/>
          <w:szCs w:val="24"/>
          <w:highlight w:val="none"/>
        </w:rPr>
        <w:fldChar w:fldCharType="end"/>
      </w:r>
    </w:p>
    <w:p w14:paraId="28D7332D">
      <w:pPr>
        <w:pStyle w:val="2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_Toc16304 </w:instrText>
      </w:r>
      <w:r>
        <w:rPr>
          <w:rFonts w:hint="eastAsia" w:hAnsi="宋体" w:cs="宋体"/>
          <w:color w:val="auto"/>
          <w:szCs w:val="24"/>
          <w:highlight w:val="none"/>
        </w:rPr>
        <w:fldChar w:fldCharType="separate"/>
      </w:r>
      <w:r>
        <w:rPr>
          <w:rFonts w:hint="eastAsia"/>
          <w:bCs/>
          <w:color w:val="auto"/>
          <w:highlight w:val="none"/>
        </w:rPr>
        <w:t>第三节 投标人须知正文</w:t>
      </w:r>
      <w:r>
        <w:rPr>
          <w:color w:val="auto"/>
          <w:highlight w:val="none"/>
        </w:rPr>
        <w:tab/>
      </w:r>
      <w:r>
        <w:rPr>
          <w:color w:val="auto"/>
          <w:highlight w:val="none"/>
        </w:rPr>
        <w:fldChar w:fldCharType="begin"/>
      </w:r>
      <w:r>
        <w:rPr>
          <w:color w:val="auto"/>
          <w:highlight w:val="none"/>
        </w:rPr>
        <w:instrText xml:space="preserve"> PAGEREF _Toc16304 \h </w:instrText>
      </w:r>
      <w:r>
        <w:rPr>
          <w:color w:val="auto"/>
          <w:highlight w:val="none"/>
        </w:rPr>
        <w:fldChar w:fldCharType="separate"/>
      </w:r>
      <w:r>
        <w:rPr>
          <w:color w:val="auto"/>
          <w:highlight w:val="none"/>
        </w:rPr>
        <w:t>9</w:t>
      </w:r>
      <w:r>
        <w:rPr>
          <w:color w:val="auto"/>
          <w:highlight w:val="none"/>
        </w:rPr>
        <w:fldChar w:fldCharType="end"/>
      </w:r>
      <w:r>
        <w:rPr>
          <w:rFonts w:hint="eastAsia" w:hAnsi="宋体" w:cs="宋体"/>
          <w:color w:val="auto"/>
          <w:szCs w:val="24"/>
          <w:highlight w:val="none"/>
        </w:rPr>
        <w:fldChar w:fldCharType="end"/>
      </w:r>
    </w:p>
    <w:p w14:paraId="5C4F335A">
      <w:pPr>
        <w:pStyle w:val="1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_Toc9487 </w:instrText>
      </w:r>
      <w:r>
        <w:rPr>
          <w:rFonts w:hint="eastAsia" w:hAnsi="宋体" w:cs="宋体"/>
          <w:color w:val="auto"/>
          <w:szCs w:val="24"/>
          <w:highlight w:val="none"/>
        </w:rPr>
        <w:fldChar w:fldCharType="separate"/>
      </w:r>
      <w:r>
        <w:rPr>
          <w:rFonts w:hint="eastAsia"/>
          <w:bCs/>
          <w:snapToGrid w:val="0"/>
          <w:color w:val="auto"/>
          <w:kern w:val="0"/>
          <w:highlight w:val="none"/>
        </w:rPr>
        <w:t>1．项目概况、招标范围和标段划分、投标费用</w:t>
      </w:r>
      <w:r>
        <w:rPr>
          <w:color w:val="auto"/>
          <w:highlight w:val="none"/>
        </w:rPr>
        <w:tab/>
      </w:r>
      <w:r>
        <w:rPr>
          <w:color w:val="auto"/>
          <w:highlight w:val="none"/>
        </w:rPr>
        <w:fldChar w:fldCharType="begin"/>
      </w:r>
      <w:r>
        <w:rPr>
          <w:color w:val="auto"/>
          <w:highlight w:val="none"/>
        </w:rPr>
        <w:instrText xml:space="preserve"> PAGEREF _Toc9487 \h </w:instrText>
      </w:r>
      <w:r>
        <w:rPr>
          <w:color w:val="auto"/>
          <w:highlight w:val="none"/>
        </w:rPr>
        <w:fldChar w:fldCharType="separate"/>
      </w:r>
      <w:r>
        <w:rPr>
          <w:color w:val="auto"/>
          <w:highlight w:val="none"/>
        </w:rPr>
        <w:t>9</w:t>
      </w:r>
      <w:r>
        <w:rPr>
          <w:color w:val="auto"/>
          <w:highlight w:val="none"/>
        </w:rPr>
        <w:fldChar w:fldCharType="end"/>
      </w:r>
      <w:r>
        <w:rPr>
          <w:rFonts w:hint="eastAsia" w:hAnsi="宋体" w:cs="宋体"/>
          <w:color w:val="auto"/>
          <w:szCs w:val="24"/>
          <w:highlight w:val="none"/>
        </w:rPr>
        <w:fldChar w:fldCharType="end"/>
      </w:r>
    </w:p>
    <w:p w14:paraId="69377FD3">
      <w:pPr>
        <w:pStyle w:val="1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_Toc31535 </w:instrText>
      </w:r>
      <w:r>
        <w:rPr>
          <w:rFonts w:hint="eastAsia" w:hAnsi="宋体" w:cs="宋体"/>
          <w:color w:val="auto"/>
          <w:szCs w:val="24"/>
          <w:highlight w:val="none"/>
        </w:rPr>
        <w:fldChar w:fldCharType="separate"/>
      </w:r>
      <w:r>
        <w:rPr>
          <w:rFonts w:hint="eastAsia"/>
          <w:bCs/>
          <w:snapToGrid w:val="0"/>
          <w:color w:val="auto"/>
          <w:kern w:val="0"/>
          <w:highlight w:val="none"/>
        </w:rPr>
        <w:t>2．投标人资格要求</w:t>
      </w:r>
      <w:r>
        <w:rPr>
          <w:color w:val="auto"/>
          <w:highlight w:val="none"/>
        </w:rPr>
        <w:tab/>
      </w:r>
      <w:r>
        <w:rPr>
          <w:color w:val="auto"/>
          <w:highlight w:val="none"/>
        </w:rPr>
        <w:fldChar w:fldCharType="begin"/>
      </w:r>
      <w:r>
        <w:rPr>
          <w:color w:val="auto"/>
          <w:highlight w:val="none"/>
        </w:rPr>
        <w:instrText xml:space="preserve"> PAGEREF _Toc31535 \h </w:instrText>
      </w:r>
      <w:r>
        <w:rPr>
          <w:color w:val="auto"/>
          <w:highlight w:val="none"/>
        </w:rPr>
        <w:fldChar w:fldCharType="separate"/>
      </w:r>
      <w:r>
        <w:rPr>
          <w:color w:val="auto"/>
          <w:highlight w:val="none"/>
        </w:rPr>
        <w:t>9</w:t>
      </w:r>
      <w:r>
        <w:rPr>
          <w:color w:val="auto"/>
          <w:highlight w:val="none"/>
        </w:rPr>
        <w:fldChar w:fldCharType="end"/>
      </w:r>
      <w:r>
        <w:rPr>
          <w:rFonts w:hint="eastAsia" w:hAnsi="宋体" w:cs="宋体"/>
          <w:color w:val="auto"/>
          <w:szCs w:val="24"/>
          <w:highlight w:val="none"/>
        </w:rPr>
        <w:fldChar w:fldCharType="end"/>
      </w:r>
    </w:p>
    <w:p w14:paraId="7D4B0FCB">
      <w:pPr>
        <w:pStyle w:val="1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_Toc12683 </w:instrText>
      </w:r>
      <w:r>
        <w:rPr>
          <w:rFonts w:hint="eastAsia" w:hAnsi="宋体" w:cs="宋体"/>
          <w:color w:val="auto"/>
          <w:szCs w:val="24"/>
          <w:highlight w:val="none"/>
        </w:rPr>
        <w:fldChar w:fldCharType="separate"/>
      </w:r>
      <w:r>
        <w:rPr>
          <w:rFonts w:hint="eastAsia" w:ascii="宋体" w:hAnsi="宋体" w:cs="宋体"/>
          <w:bCs/>
          <w:snapToGrid w:val="0"/>
          <w:color w:val="auto"/>
          <w:kern w:val="0"/>
          <w:highlight w:val="none"/>
        </w:rPr>
        <w:t>3．获取招标文件</w:t>
      </w:r>
      <w:r>
        <w:rPr>
          <w:color w:val="auto"/>
          <w:highlight w:val="none"/>
        </w:rPr>
        <w:tab/>
      </w:r>
      <w:r>
        <w:rPr>
          <w:color w:val="auto"/>
          <w:highlight w:val="none"/>
        </w:rPr>
        <w:fldChar w:fldCharType="begin"/>
      </w:r>
      <w:r>
        <w:rPr>
          <w:color w:val="auto"/>
          <w:highlight w:val="none"/>
        </w:rPr>
        <w:instrText xml:space="preserve"> PAGEREF _Toc12683 \h </w:instrText>
      </w:r>
      <w:r>
        <w:rPr>
          <w:color w:val="auto"/>
          <w:highlight w:val="none"/>
        </w:rPr>
        <w:fldChar w:fldCharType="separate"/>
      </w:r>
      <w:r>
        <w:rPr>
          <w:color w:val="auto"/>
          <w:highlight w:val="none"/>
        </w:rPr>
        <w:t>11</w:t>
      </w:r>
      <w:r>
        <w:rPr>
          <w:color w:val="auto"/>
          <w:highlight w:val="none"/>
        </w:rPr>
        <w:fldChar w:fldCharType="end"/>
      </w:r>
      <w:r>
        <w:rPr>
          <w:rFonts w:hint="eastAsia" w:hAnsi="宋体" w:cs="宋体"/>
          <w:color w:val="auto"/>
          <w:szCs w:val="24"/>
          <w:highlight w:val="none"/>
        </w:rPr>
        <w:fldChar w:fldCharType="end"/>
      </w:r>
    </w:p>
    <w:p w14:paraId="4D955DBF">
      <w:pPr>
        <w:pStyle w:val="1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_Toc16883 </w:instrText>
      </w:r>
      <w:r>
        <w:rPr>
          <w:rFonts w:hint="eastAsia" w:hAnsi="宋体" w:cs="宋体"/>
          <w:color w:val="auto"/>
          <w:szCs w:val="24"/>
          <w:highlight w:val="none"/>
        </w:rPr>
        <w:fldChar w:fldCharType="separate"/>
      </w:r>
      <w:r>
        <w:rPr>
          <w:rFonts w:hint="eastAsia" w:hAnsi="宋体" w:cs="宋体"/>
          <w:bCs/>
          <w:snapToGrid w:val="0"/>
          <w:color w:val="auto"/>
          <w:kern w:val="0"/>
          <w:highlight w:val="none"/>
        </w:rPr>
        <w:t>4．服务期限</w:t>
      </w:r>
      <w:r>
        <w:rPr>
          <w:color w:val="auto"/>
          <w:highlight w:val="none"/>
        </w:rPr>
        <w:tab/>
      </w:r>
      <w:r>
        <w:rPr>
          <w:color w:val="auto"/>
          <w:highlight w:val="none"/>
        </w:rPr>
        <w:fldChar w:fldCharType="begin"/>
      </w:r>
      <w:r>
        <w:rPr>
          <w:color w:val="auto"/>
          <w:highlight w:val="none"/>
        </w:rPr>
        <w:instrText xml:space="preserve"> PAGEREF _Toc16883 \h </w:instrText>
      </w:r>
      <w:r>
        <w:rPr>
          <w:color w:val="auto"/>
          <w:highlight w:val="none"/>
        </w:rPr>
        <w:fldChar w:fldCharType="separate"/>
      </w:r>
      <w:r>
        <w:rPr>
          <w:color w:val="auto"/>
          <w:highlight w:val="none"/>
        </w:rPr>
        <w:t>13</w:t>
      </w:r>
      <w:r>
        <w:rPr>
          <w:color w:val="auto"/>
          <w:highlight w:val="none"/>
        </w:rPr>
        <w:fldChar w:fldCharType="end"/>
      </w:r>
      <w:r>
        <w:rPr>
          <w:rFonts w:hint="eastAsia" w:hAnsi="宋体" w:cs="宋体"/>
          <w:color w:val="auto"/>
          <w:szCs w:val="24"/>
          <w:highlight w:val="none"/>
        </w:rPr>
        <w:fldChar w:fldCharType="end"/>
      </w:r>
    </w:p>
    <w:p w14:paraId="2215BC69">
      <w:pPr>
        <w:pStyle w:val="1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_Toc7476 </w:instrText>
      </w:r>
      <w:r>
        <w:rPr>
          <w:rFonts w:hint="eastAsia" w:hAnsi="宋体" w:cs="宋体"/>
          <w:color w:val="auto"/>
          <w:szCs w:val="24"/>
          <w:highlight w:val="none"/>
        </w:rPr>
        <w:fldChar w:fldCharType="separate"/>
      </w:r>
      <w:r>
        <w:rPr>
          <w:rFonts w:hint="eastAsia" w:hAnsi="宋体" w:cs="宋体"/>
          <w:snapToGrid w:val="0"/>
          <w:color w:val="auto"/>
          <w:highlight w:val="none"/>
        </w:rPr>
        <w:t>5．服务标准</w:t>
      </w:r>
      <w:r>
        <w:rPr>
          <w:color w:val="auto"/>
          <w:highlight w:val="none"/>
        </w:rPr>
        <w:tab/>
      </w:r>
      <w:r>
        <w:rPr>
          <w:color w:val="auto"/>
          <w:highlight w:val="none"/>
        </w:rPr>
        <w:fldChar w:fldCharType="begin"/>
      </w:r>
      <w:r>
        <w:rPr>
          <w:color w:val="auto"/>
          <w:highlight w:val="none"/>
        </w:rPr>
        <w:instrText xml:space="preserve"> PAGEREF _Toc7476 \h </w:instrText>
      </w:r>
      <w:r>
        <w:rPr>
          <w:color w:val="auto"/>
          <w:highlight w:val="none"/>
        </w:rPr>
        <w:fldChar w:fldCharType="separate"/>
      </w:r>
      <w:r>
        <w:rPr>
          <w:color w:val="auto"/>
          <w:highlight w:val="none"/>
        </w:rPr>
        <w:t>13</w:t>
      </w:r>
      <w:r>
        <w:rPr>
          <w:color w:val="auto"/>
          <w:highlight w:val="none"/>
        </w:rPr>
        <w:fldChar w:fldCharType="end"/>
      </w:r>
      <w:r>
        <w:rPr>
          <w:rFonts w:hint="eastAsia" w:hAnsi="宋体" w:cs="宋体"/>
          <w:color w:val="auto"/>
          <w:szCs w:val="24"/>
          <w:highlight w:val="none"/>
        </w:rPr>
        <w:fldChar w:fldCharType="end"/>
      </w:r>
    </w:p>
    <w:p w14:paraId="69695AEA">
      <w:pPr>
        <w:pStyle w:val="1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_Toc12596 </w:instrText>
      </w:r>
      <w:r>
        <w:rPr>
          <w:rFonts w:hint="eastAsia" w:hAnsi="宋体" w:cs="宋体"/>
          <w:color w:val="auto"/>
          <w:szCs w:val="24"/>
          <w:highlight w:val="none"/>
        </w:rPr>
        <w:fldChar w:fldCharType="separate"/>
      </w:r>
      <w:r>
        <w:rPr>
          <w:rFonts w:hint="eastAsia" w:hAnsi="宋体" w:cs="宋体"/>
          <w:snapToGrid w:val="0"/>
          <w:color w:val="auto"/>
          <w:highlight w:val="none"/>
        </w:rPr>
        <w:t>6．现场踏勘</w:t>
      </w:r>
      <w:r>
        <w:rPr>
          <w:color w:val="auto"/>
          <w:highlight w:val="none"/>
        </w:rPr>
        <w:tab/>
      </w:r>
      <w:r>
        <w:rPr>
          <w:color w:val="auto"/>
          <w:highlight w:val="none"/>
        </w:rPr>
        <w:fldChar w:fldCharType="begin"/>
      </w:r>
      <w:r>
        <w:rPr>
          <w:color w:val="auto"/>
          <w:highlight w:val="none"/>
        </w:rPr>
        <w:instrText xml:space="preserve"> PAGEREF _Toc12596 \h </w:instrText>
      </w:r>
      <w:r>
        <w:rPr>
          <w:color w:val="auto"/>
          <w:highlight w:val="none"/>
        </w:rPr>
        <w:fldChar w:fldCharType="separate"/>
      </w:r>
      <w:r>
        <w:rPr>
          <w:color w:val="auto"/>
          <w:highlight w:val="none"/>
        </w:rPr>
        <w:t>13</w:t>
      </w:r>
      <w:r>
        <w:rPr>
          <w:color w:val="auto"/>
          <w:highlight w:val="none"/>
        </w:rPr>
        <w:fldChar w:fldCharType="end"/>
      </w:r>
      <w:r>
        <w:rPr>
          <w:rFonts w:hint="eastAsia" w:hAnsi="宋体" w:cs="宋体"/>
          <w:color w:val="auto"/>
          <w:szCs w:val="24"/>
          <w:highlight w:val="none"/>
        </w:rPr>
        <w:fldChar w:fldCharType="end"/>
      </w:r>
    </w:p>
    <w:p w14:paraId="13525909">
      <w:pPr>
        <w:pStyle w:val="1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_Toc25173 </w:instrText>
      </w:r>
      <w:r>
        <w:rPr>
          <w:rFonts w:hint="eastAsia" w:hAnsi="宋体" w:cs="宋体"/>
          <w:color w:val="auto"/>
          <w:szCs w:val="24"/>
          <w:highlight w:val="none"/>
        </w:rPr>
        <w:fldChar w:fldCharType="separate"/>
      </w:r>
      <w:r>
        <w:rPr>
          <w:rFonts w:hint="eastAsia" w:hAnsi="宋体" w:cs="宋体"/>
          <w:snapToGrid w:val="0"/>
          <w:color w:val="auto"/>
          <w:highlight w:val="none"/>
        </w:rPr>
        <w:t>7．招标文件的提问和答疑</w:t>
      </w:r>
      <w:r>
        <w:rPr>
          <w:color w:val="auto"/>
          <w:highlight w:val="none"/>
        </w:rPr>
        <w:tab/>
      </w:r>
      <w:r>
        <w:rPr>
          <w:color w:val="auto"/>
          <w:highlight w:val="none"/>
        </w:rPr>
        <w:fldChar w:fldCharType="begin"/>
      </w:r>
      <w:r>
        <w:rPr>
          <w:color w:val="auto"/>
          <w:highlight w:val="none"/>
        </w:rPr>
        <w:instrText xml:space="preserve"> PAGEREF _Toc25173 \h </w:instrText>
      </w:r>
      <w:r>
        <w:rPr>
          <w:color w:val="auto"/>
          <w:highlight w:val="none"/>
        </w:rPr>
        <w:fldChar w:fldCharType="separate"/>
      </w:r>
      <w:r>
        <w:rPr>
          <w:color w:val="auto"/>
          <w:highlight w:val="none"/>
        </w:rPr>
        <w:t>14</w:t>
      </w:r>
      <w:r>
        <w:rPr>
          <w:color w:val="auto"/>
          <w:highlight w:val="none"/>
        </w:rPr>
        <w:fldChar w:fldCharType="end"/>
      </w:r>
      <w:r>
        <w:rPr>
          <w:rFonts w:hint="eastAsia" w:hAnsi="宋体" w:cs="宋体"/>
          <w:color w:val="auto"/>
          <w:szCs w:val="24"/>
          <w:highlight w:val="none"/>
        </w:rPr>
        <w:fldChar w:fldCharType="end"/>
      </w:r>
    </w:p>
    <w:p w14:paraId="45A168FD">
      <w:pPr>
        <w:pStyle w:val="1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_Toc11326 </w:instrText>
      </w:r>
      <w:r>
        <w:rPr>
          <w:rFonts w:hint="eastAsia" w:hAnsi="宋体" w:cs="宋体"/>
          <w:color w:val="auto"/>
          <w:szCs w:val="24"/>
          <w:highlight w:val="none"/>
        </w:rPr>
        <w:fldChar w:fldCharType="separate"/>
      </w:r>
      <w:r>
        <w:rPr>
          <w:rFonts w:hint="eastAsia" w:hAnsi="宋体" w:cs="宋体"/>
          <w:snapToGrid w:val="0"/>
          <w:color w:val="auto"/>
          <w:highlight w:val="none"/>
        </w:rPr>
        <w:t>8．最高投标限价</w:t>
      </w:r>
      <w:r>
        <w:rPr>
          <w:color w:val="auto"/>
          <w:highlight w:val="none"/>
        </w:rPr>
        <w:tab/>
      </w:r>
      <w:r>
        <w:rPr>
          <w:color w:val="auto"/>
          <w:highlight w:val="none"/>
        </w:rPr>
        <w:fldChar w:fldCharType="begin"/>
      </w:r>
      <w:r>
        <w:rPr>
          <w:color w:val="auto"/>
          <w:highlight w:val="none"/>
        </w:rPr>
        <w:instrText xml:space="preserve"> PAGEREF _Toc11326 \h </w:instrText>
      </w:r>
      <w:r>
        <w:rPr>
          <w:color w:val="auto"/>
          <w:highlight w:val="none"/>
        </w:rPr>
        <w:fldChar w:fldCharType="separate"/>
      </w:r>
      <w:r>
        <w:rPr>
          <w:color w:val="auto"/>
          <w:highlight w:val="none"/>
        </w:rPr>
        <w:t>14</w:t>
      </w:r>
      <w:r>
        <w:rPr>
          <w:color w:val="auto"/>
          <w:highlight w:val="none"/>
        </w:rPr>
        <w:fldChar w:fldCharType="end"/>
      </w:r>
      <w:r>
        <w:rPr>
          <w:rFonts w:hint="eastAsia" w:hAnsi="宋体" w:cs="宋体"/>
          <w:color w:val="auto"/>
          <w:szCs w:val="24"/>
          <w:highlight w:val="none"/>
        </w:rPr>
        <w:fldChar w:fldCharType="end"/>
      </w:r>
    </w:p>
    <w:p w14:paraId="60AD7DFA">
      <w:pPr>
        <w:pStyle w:val="1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_Toc2193 </w:instrText>
      </w:r>
      <w:r>
        <w:rPr>
          <w:rFonts w:hint="eastAsia" w:hAnsi="宋体" w:cs="宋体"/>
          <w:color w:val="auto"/>
          <w:szCs w:val="24"/>
          <w:highlight w:val="none"/>
        </w:rPr>
        <w:fldChar w:fldCharType="separate"/>
      </w:r>
      <w:r>
        <w:rPr>
          <w:rFonts w:hint="eastAsia" w:hAnsi="宋体" w:cs="宋体"/>
          <w:snapToGrid w:val="0"/>
          <w:color w:val="auto"/>
          <w:highlight w:val="none"/>
        </w:rPr>
        <w:t>9．投标报价</w:t>
      </w:r>
      <w:r>
        <w:rPr>
          <w:color w:val="auto"/>
          <w:highlight w:val="none"/>
        </w:rPr>
        <w:tab/>
      </w:r>
      <w:r>
        <w:rPr>
          <w:color w:val="auto"/>
          <w:highlight w:val="none"/>
        </w:rPr>
        <w:fldChar w:fldCharType="begin"/>
      </w:r>
      <w:r>
        <w:rPr>
          <w:color w:val="auto"/>
          <w:highlight w:val="none"/>
        </w:rPr>
        <w:instrText xml:space="preserve"> PAGEREF _Toc2193 \h </w:instrText>
      </w:r>
      <w:r>
        <w:rPr>
          <w:color w:val="auto"/>
          <w:highlight w:val="none"/>
        </w:rPr>
        <w:fldChar w:fldCharType="separate"/>
      </w:r>
      <w:r>
        <w:rPr>
          <w:color w:val="auto"/>
          <w:highlight w:val="none"/>
        </w:rPr>
        <w:t>14</w:t>
      </w:r>
      <w:r>
        <w:rPr>
          <w:color w:val="auto"/>
          <w:highlight w:val="none"/>
        </w:rPr>
        <w:fldChar w:fldCharType="end"/>
      </w:r>
      <w:r>
        <w:rPr>
          <w:rFonts w:hint="eastAsia" w:hAnsi="宋体" w:cs="宋体"/>
          <w:color w:val="auto"/>
          <w:szCs w:val="24"/>
          <w:highlight w:val="none"/>
        </w:rPr>
        <w:fldChar w:fldCharType="end"/>
      </w:r>
    </w:p>
    <w:p w14:paraId="09F56172">
      <w:pPr>
        <w:pStyle w:val="1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_Toc4002 </w:instrText>
      </w:r>
      <w:r>
        <w:rPr>
          <w:rFonts w:hint="eastAsia" w:hAnsi="宋体" w:cs="宋体"/>
          <w:color w:val="auto"/>
          <w:szCs w:val="24"/>
          <w:highlight w:val="none"/>
        </w:rPr>
        <w:fldChar w:fldCharType="separate"/>
      </w:r>
      <w:r>
        <w:rPr>
          <w:rFonts w:hint="eastAsia" w:hAnsi="宋体" w:cs="宋体"/>
          <w:snapToGrid w:val="0"/>
          <w:color w:val="auto"/>
          <w:szCs w:val="24"/>
          <w:highlight w:val="none"/>
        </w:rPr>
        <w:t>10．投标文件的编制要求</w:t>
      </w:r>
      <w:r>
        <w:rPr>
          <w:color w:val="auto"/>
          <w:highlight w:val="none"/>
        </w:rPr>
        <w:tab/>
      </w:r>
      <w:r>
        <w:rPr>
          <w:color w:val="auto"/>
          <w:highlight w:val="none"/>
        </w:rPr>
        <w:fldChar w:fldCharType="begin"/>
      </w:r>
      <w:r>
        <w:rPr>
          <w:color w:val="auto"/>
          <w:highlight w:val="none"/>
        </w:rPr>
        <w:instrText xml:space="preserve"> PAGEREF _Toc4002 \h </w:instrText>
      </w:r>
      <w:r>
        <w:rPr>
          <w:color w:val="auto"/>
          <w:highlight w:val="none"/>
        </w:rPr>
        <w:fldChar w:fldCharType="separate"/>
      </w:r>
      <w:r>
        <w:rPr>
          <w:color w:val="auto"/>
          <w:highlight w:val="none"/>
        </w:rPr>
        <w:t>15</w:t>
      </w:r>
      <w:r>
        <w:rPr>
          <w:color w:val="auto"/>
          <w:highlight w:val="none"/>
        </w:rPr>
        <w:fldChar w:fldCharType="end"/>
      </w:r>
      <w:r>
        <w:rPr>
          <w:rFonts w:hint="eastAsia" w:hAnsi="宋体" w:cs="宋体"/>
          <w:color w:val="auto"/>
          <w:szCs w:val="24"/>
          <w:highlight w:val="none"/>
        </w:rPr>
        <w:fldChar w:fldCharType="end"/>
      </w:r>
    </w:p>
    <w:p w14:paraId="15C486CF">
      <w:pPr>
        <w:pStyle w:val="1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_Toc1986 </w:instrText>
      </w:r>
      <w:r>
        <w:rPr>
          <w:rFonts w:hint="eastAsia" w:hAnsi="宋体" w:cs="宋体"/>
          <w:color w:val="auto"/>
          <w:szCs w:val="24"/>
          <w:highlight w:val="none"/>
        </w:rPr>
        <w:fldChar w:fldCharType="separate"/>
      </w:r>
      <w:r>
        <w:rPr>
          <w:rFonts w:hint="eastAsia" w:hAnsi="宋体" w:cs="宋体"/>
          <w:snapToGrid w:val="0"/>
          <w:color w:val="auto"/>
          <w:szCs w:val="24"/>
          <w:highlight w:val="none"/>
        </w:rPr>
        <w:t>11．电子投标</w:t>
      </w:r>
      <w:r>
        <w:rPr>
          <w:color w:val="auto"/>
          <w:highlight w:val="none"/>
        </w:rPr>
        <w:tab/>
      </w:r>
      <w:r>
        <w:rPr>
          <w:color w:val="auto"/>
          <w:highlight w:val="none"/>
        </w:rPr>
        <w:fldChar w:fldCharType="begin"/>
      </w:r>
      <w:r>
        <w:rPr>
          <w:color w:val="auto"/>
          <w:highlight w:val="none"/>
        </w:rPr>
        <w:instrText xml:space="preserve"> PAGEREF _Toc1986 \h </w:instrText>
      </w:r>
      <w:r>
        <w:rPr>
          <w:color w:val="auto"/>
          <w:highlight w:val="none"/>
        </w:rPr>
        <w:fldChar w:fldCharType="separate"/>
      </w:r>
      <w:r>
        <w:rPr>
          <w:color w:val="auto"/>
          <w:highlight w:val="none"/>
        </w:rPr>
        <w:t>18</w:t>
      </w:r>
      <w:r>
        <w:rPr>
          <w:color w:val="auto"/>
          <w:highlight w:val="none"/>
        </w:rPr>
        <w:fldChar w:fldCharType="end"/>
      </w:r>
      <w:r>
        <w:rPr>
          <w:rFonts w:hint="eastAsia" w:hAnsi="宋体" w:cs="宋体"/>
          <w:color w:val="auto"/>
          <w:szCs w:val="24"/>
          <w:highlight w:val="none"/>
        </w:rPr>
        <w:fldChar w:fldCharType="end"/>
      </w:r>
    </w:p>
    <w:p w14:paraId="5384DBFF">
      <w:pPr>
        <w:pStyle w:val="1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_Toc4888 </w:instrText>
      </w:r>
      <w:r>
        <w:rPr>
          <w:rFonts w:hint="eastAsia" w:hAnsi="宋体" w:cs="宋体"/>
          <w:color w:val="auto"/>
          <w:szCs w:val="24"/>
          <w:highlight w:val="none"/>
        </w:rPr>
        <w:fldChar w:fldCharType="separate"/>
      </w:r>
      <w:r>
        <w:rPr>
          <w:rFonts w:hint="eastAsia" w:hAnsi="宋体" w:cs="宋体"/>
          <w:snapToGrid w:val="0"/>
          <w:color w:val="auto"/>
          <w:szCs w:val="24"/>
          <w:highlight w:val="none"/>
        </w:rPr>
        <w:t>12. 投标文件的提交</w:t>
      </w:r>
      <w:r>
        <w:rPr>
          <w:color w:val="auto"/>
          <w:highlight w:val="none"/>
        </w:rPr>
        <w:tab/>
      </w:r>
      <w:r>
        <w:rPr>
          <w:color w:val="auto"/>
          <w:highlight w:val="none"/>
        </w:rPr>
        <w:fldChar w:fldCharType="begin"/>
      </w:r>
      <w:r>
        <w:rPr>
          <w:color w:val="auto"/>
          <w:highlight w:val="none"/>
        </w:rPr>
        <w:instrText xml:space="preserve"> PAGEREF _Toc4888 \h </w:instrText>
      </w:r>
      <w:r>
        <w:rPr>
          <w:color w:val="auto"/>
          <w:highlight w:val="none"/>
        </w:rPr>
        <w:fldChar w:fldCharType="separate"/>
      </w:r>
      <w:r>
        <w:rPr>
          <w:color w:val="auto"/>
          <w:highlight w:val="none"/>
        </w:rPr>
        <w:t>19</w:t>
      </w:r>
      <w:r>
        <w:rPr>
          <w:color w:val="auto"/>
          <w:highlight w:val="none"/>
        </w:rPr>
        <w:fldChar w:fldCharType="end"/>
      </w:r>
      <w:r>
        <w:rPr>
          <w:rFonts w:hint="eastAsia" w:hAnsi="宋体" w:cs="宋体"/>
          <w:color w:val="auto"/>
          <w:szCs w:val="24"/>
          <w:highlight w:val="none"/>
        </w:rPr>
        <w:fldChar w:fldCharType="end"/>
      </w:r>
    </w:p>
    <w:p w14:paraId="3EA20A99">
      <w:pPr>
        <w:pStyle w:val="1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_Toc739 </w:instrText>
      </w:r>
      <w:r>
        <w:rPr>
          <w:rFonts w:hint="eastAsia" w:hAnsi="宋体" w:cs="宋体"/>
          <w:color w:val="auto"/>
          <w:szCs w:val="24"/>
          <w:highlight w:val="none"/>
        </w:rPr>
        <w:fldChar w:fldCharType="separate"/>
      </w:r>
      <w:r>
        <w:rPr>
          <w:rFonts w:hint="eastAsia" w:hAnsi="宋体" w:cs="宋体"/>
          <w:snapToGrid w:val="0"/>
          <w:color w:val="auto"/>
          <w:kern w:val="0"/>
          <w:szCs w:val="24"/>
          <w:highlight w:val="none"/>
        </w:rPr>
        <w:t>13．投标有效期</w:t>
      </w:r>
      <w:r>
        <w:rPr>
          <w:color w:val="auto"/>
          <w:highlight w:val="none"/>
        </w:rPr>
        <w:tab/>
      </w:r>
      <w:r>
        <w:rPr>
          <w:color w:val="auto"/>
          <w:highlight w:val="none"/>
        </w:rPr>
        <w:fldChar w:fldCharType="begin"/>
      </w:r>
      <w:r>
        <w:rPr>
          <w:color w:val="auto"/>
          <w:highlight w:val="none"/>
        </w:rPr>
        <w:instrText xml:space="preserve"> PAGEREF _Toc739 \h </w:instrText>
      </w:r>
      <w:r>
        <w:rPr>
          <w:color w:val="auto"/>
          <w:highlight w:val="none"/>
        </w:rPr>
        <w:fldChar w:fldCharType="separate"/>
      </w:r>
      <w:r>
        <w:rPr>
          <w:color w:val="auto"/>
          <w:highlight w:val="none"/>
        </w:rPr>
        <w:t>19</w:t>
      </w:r>
      <w:r>
        <w:rPr>
          <w:color w:val="auto"/>
          <w:highlight w:val="none"/>
        </w:rPr>
        <w:fldChar w:fldCharType="end"/>
      </w:r>
      <w:r>
        <w:rPr>
          <w:rFonts w:hint="eastAsia" w:hAnsi="宋体" w:cs="宋体"/>
          <w:color w:val="auto"/>
          <w:szCs w:val="24"/>
          <w:highlight w:val="none"/>
        </w:rPr>
        <w:fldChar w:fldCharType="end"/>
      </w:r>
    </w:p>
    <w:p w14:paraId="1551660B">
      <w:pPr>
        <w:pStyle w:val="1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_Toc30542 </w:instrText>
      </w:r>
      <w:r>
        <w:rPr>
          <w:rFonts w:hint="eastAsia" w:hAnsi="宋体" w:cs="宋体"/>
          <w:color w:val="auto"/>
          <w:szCs w:val="24"/>
          <w:highlight w:val="none"/>
        </w:rPr>
        <w:fldChar w:fldCharType="separate"/>
      </w:r>
      <w:r>
        <w:rPr>
          <w:rFonts w:hint="eastAsia" w:hAnsi="宋体" w:cs="宋体"/>
          <w:snapToGrid w:val="0"/>
          <w:color w:val="auto"/>
          <w:kern w:val="0"/>
          <w:szCs w:val="24"/>
          <w:highlight w:val="none"/>
        </w:rPr>
        <w:t>14．开标</w:t>
      </w:r>
      <w:r>
        <w:rPr>
          <w:color w:val="auto"/>
          <w:highlight w:val="none"/>
        </w:rPr>
        <w:tab/>
      </w:r>
      <w:r>
        <w:rPr>
          <w:color w:val="auto"/>
          <w:highlight w:val="none"/>
        </w:rPr>
        <w:fldChar w:fldCharType="begin"/>
      </w:r>
      <w:r>
        <w:rPr>
          <w:color w:val="auto"/>
          <w:highlight w:val="none"/>
        </w:rPr>
        <w:instrText xml:space="preserve"> PAGEREF _Toc30542 \h </w:instrText>
      </w:r>
      <w:r>
        <w:rPr>
          <w:color w:val="auto"/>
          <w:highlight w:val="none"/>
        </w:rPr>
        <w:fldChar w:fldCharType="separate"/>
      </w:r>
      <w:r>
        <w:rPr>
          <w:color w:val="auto"/>
          <w:highlight w:val="none"/>
        </w:rPr>
        <w:t>19</w:t>
      </w:r>
      <w:r>
        <w:rPr>
          <w:color w:val="auto"/>
          <w:highlight w:val="none"/>
        </w:rPr>
        <w:fldChar w:fldCharType="end"/>
      </w:r>
      <w:r>
        <w:rPr>
          <w:rFonts w:hint="eastAsia" w:hAnsi="宋体" w:cs="宋体"/>
          <w:color w:val="auto"/>
          <w:szCs w:val="24"/>
          <w:highlight w:val="none"/>
        </w:rPr>
        <w:fldChar w:fldCharType="end"/>
      </w:r>
    </w:p>
    <w:p w14:paraId="3D02FAD1">
      <w:pPr>
        <w:pStyle w:val="1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_Toc8989 </w:instrText>
      </w:r>
      <w:r>
        <w:rPr>
          <w:rFonts w:hint="eastAsia" w:hAnsi="宋体" w:cs="宋体"/>
          <w:color w:val="auto"/>
          <w:szCs w:val="24"/>
          <w:highlight w:val="none"/>
        </w:rPr>
        <w:fldChar w:fldCharType="separate"/>
      </w:r>
      <w:r>
        <w:rPr>
          <w:rFonts w:hint="eastAsia" w:hAnsi="宋体" w:cs="宋体"/>
          <w:snapToGrid w:val="0"/>
          <w:color w:val="auto"/>
          <w:kern w:val="0"/>
          <w:highlight w:val="none"/>
        </w:rPr>
        <w:t>15．评标</w:t>
      </w:r>
      <w:r>
        <w:rPr>
          <w:color w:val="auto"/>
          <w:highlight w:val="none"/>
        </w:rPr>
        <w:tab/>
      </w:r>
      <w:r>
        <w:rPr>
          <w:color w:val="auto"/>
          <w:highlight w:val="none"/>
        </w:rPr>
        <w:fldChar w:fldCharType="begin"/>
      </w:r>
      <w:r>
        <w:rPr>
          <w:color w:val="auto"/>
          <w:highlight w:val="none"/>
        </w:rPr>
        <w:instrText xml:space="preserve"> PAGEREF _Toc8989 \h </w:instrText>
      </w:r>
      <w:r>
        <w:rPr>
          <w:color w:val="auto"/>
          <w:highlight w:val="none"/>
        </w:rPr>
        <w:fldChar w:fldCharType="separate"/>
      </w:r>
      <w:r>
        <w:rPr>
          <w:color w:val="auto"/>
          <w:highlight w:val="none"/>
        </w:rPr>
        <w:t>21</w:t>
      </w:r>
      <w:r>
        <w:rPr>
          <w:color w:val="auto"/>
          <w:highlight w:val="none"/>
        </w:rPr>
        <w:fldChar w:fldCharType="end"/>
      </w:r>
      <w:r>
        <w:rPr>
          <w:rFonts w:hint="eastAsia" w:hAnsi="宋体" w:cs="宋体"/>
          <w:color w:val="auto"/>
          <w:szCs w:val="24"/>
          <w:highlight w:val="none"/>
        </w:rPr>
        <w:fldChar w:fldCharType="end"/>
      </w:r>
    </w:p>
    <w:p w14:paraId="4A369ECF">
      <w:pPr>
        <w:pStyle w:val="1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_Toc23668 </w:instrText>
      </w:r>
      <w:r>
        <w:rPr>
          <w:rFonts w:hint="eastAsia" w:hAnsi="宋体" w:cs="宋体"/>
          <w:color w:val="auto"/>
          <w:szCs w:val="24"/>
          <w:highlight w:val="none"/>
        </w:rPr>
        <w:fldChar w:fldCharType="separate"/>
      </w:r>
      <w:r>
        <w:rPr>
          <w:rFonts w:hint="eastAsia" w:hAnsi="宋体" w:cs="宋体"/>
          <w:snapToGrid w:val="0"/>
          <w:color w:val="auto"/>
          <w:szCs w:val="24"/>
          <w:highlight w:val="none"/>
        </w:rPr>
        <w:t>16．推荐中标候选人</w:t>
      </w:r>
      <w:r>
        <w:rPr>
          <w:color w:val="auto"/>
          <w:highlight w:val="none"/>
        </w:rPr>
        <w:tab/>
      </w:r>
      <w:r>
        <w:rPr>
          <w:color w:val="auto"/>
          <w:highlight w:val="none"/>
        </w:rPr>
        <w:fldChar w:fldCharType="begin"/>
      </w:r>
      <w:r>
        <w:rPr>
          <w:color w:val="auto"/>
          <w:highlight w:val="none"/>
        </w:rPr>
        <w:instrText xml:space="preserve"> PAGEREF _Toc23668 \h </w:instrText>
      </w:r>
      <w:r>
        <w:rPr>
          <w:color w:val="auto"/>
          <w:highlight w:val="none"/>
        </w:rPr>
        <w:fldChar w:fldCharType="separate"/>
      </w:r>
      <w:r>
        <w:rPr>
          <w:color w:val="auto"/>
          <w:highlight w:val="none"/>
        </w:rPr>
        <w:t>31</w:t>
      </w:r>
      <w:r>
        <w:rPr>
          <w:color w:val="auto"/>
          <w:highlight w:val="none"/>
        </w:rPr>
        <w:fldChar w:fldCharType="end"/>
      </w:r>
      <w:r>
        <w:rPr>
          <w:rFonts w:hint="eastAsia" w:hAnsi="宋体" w:cs="宋体"/>
          <w:color w:val="auto"/>
          <w:szCs w:val="24"/>
          <w:highlight w:val="none"/>
        </w:rPr>
        <w:fldChar w:fldCharType="end"/>
      </w:r>
    </w:p>
    <w:p w14:paraId="2868C0BF">
      <w:pPr>
        <w:pStyle w:val="1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_Toc22756 </w:instrText>
      </w:r>
      <w:r>
        <w:rPr>
          <w:rFonts w:hint="eastAsia" w:hAnsi="宋体" w:cs="宋体"/>
          <w:color w:val="auto"/>
          <w:szCs w:val="24"/>
          <w:highlight w:val="none"/>
        </w:rPr>
        <w:fldChar w:fldCharType="separate"/>
      </w:r>
      <w:r>
        <w:rPr>
          <w:rFonts w:hint="eastAsia" w:ascii="宋体" w:hAnsi="宋体" w:eastAsia="宋体" w:cs="宋体"/>
          <w:snapToGrid w:val="0"/>
          <w:color w:val="auto"/>
          <w:kern w:val="0"/>
          <w:highlight w:val="none"/>
        </w:rPr>
        <w:t>1</w:t>
      </w:r>
      <w:r>
        <w:rPr>
          <w:rFonts w:hint="eastAsia" w:ascii="宋体" w:hAnsi="宋体" w:eastAsia="宋体" w:cs="宋体"/>
          <w:snapToGrid w:val="0"/>
          <w:color w:val="auto"/>
          <w:kern w:val="0"/>
          <w:highlight w:val="none"/>
          <w:lang w:val="en-US" w:eastAsia="zh-CN"/>
        </w:rPr>
        <w:t>7</w:t>
      </w:r>
      <w:r>
        <w:rPr>
          <w:rFonts w:hint="eastAsia" w:ascii="宋体" w:hAnsi="宋体" w:eastAsia="宋体" w:cs="宋体"/>
          <w:snapToGrid w:val="0"/>
          <w:color w:val="auto"/>
          <w:kern w:val="0"/>
          <w:highlight w:val="none"/>
        </w:rPr>
        <w:t>.中标候选人公示</w:t>
      </w:r>
      <w:r>
        <w:rPr>
          <w:color w:val="auto"/>
          <w:highlight w:val="none"/>
        </w:rPr>
        <w:tab/>
      </w:r>
      <w:r>
        <w:rPr>
          <w:color w:val="auto"/>
          <w:highlight w:val="none"/>
        </w:rPr>
        <w:fldChar w:fldCharType="begin"/>
      </w:r>
      <w:r>
        <w:rPr>
          <w:color w:val="auto"/>
          <w:highlight w:val="none"/>
        </w:rPr>
        <w:instrText xml:space="preserve"> PAGEREF _Toc22756 \h </w:instrText>
      </w:r>
      <w:r>
        <w:rPr>
          <w:color w:val="auto"/>
          <w:highlight w:val="none"/>
        </w:rPr>
        <w:fldChar w:fldCharType="separate"/>
      </w:r>
      <w:r>
        <w:rPr>
          <w:color w:val="auto"/>
          <w:highlight w:val="none"/>
        </w:rPr>
        <w:t>31</w:t>
      </w:r>
      <w:r>
        <w:rPr>
          <w:color w:val="auto"/>
          <w:highlight w:val="none"/>
        </w:rPr>
        <w:fldChar w:fldCharType="end"/>
      </w:r>
      <w:r>
        <w:rPr>
          <w:rFonts w:hint="eastAsia" w:hAnsi="宋体" w:cs="宋体"/>
          <w:color w:val="auto"/>
          <w:szCs w:val="24"/>
          <w:highlight w:val="none"/>
        </w:rPr>
        <w:fldChar w:fldCharType="end"/>
      </w:r>
    </w:p>
    <w:p w14:paraId="35168E0B">
      <w:pPr>
        <w:pStyle w:val="2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_Toc17009 </w:instrText>
      </w:r>
      <w:r>
        <w:rPr>
          <w:rFonts w:hint="eastAsia" w:hAnsi="宋体" w:cs="宋体"/>
          <w:color w:val="auto"/>
          <w:szCs w:val="24"/>
          <w:highlight w:val="none"/>
        </w:rPr>
        <w:fldChar w:fldCharType="separate"/>
      </w:r>
      <w:r>
        <w:rPr>
          <w:rFonts w:hint="eastAsia" w:hAnsi="宋体" w:cs="宋体"/>
          <w:bCs/>
          <w:snapToGrid w:val="0"/>
          <w:color w:val="auto"/>
          <w:kern w:val="0"/>
          <w:highlight w:val="none"/>
        </w:rPr>
        <w:t>第四节 否决投标条件</w:t>
      </w:r>
      <w:r>
        <w:rPr>
          <w:color w:val="auto"/>
          <w:highlight w:val="none"/>
        </w:rPr>
        <w:tab/>
      </w:r>
      <w:r>
        <w:rPr>
          <w:color w:val="auto"/>
          <w:highlight w:val="none"/>
        </w:rPr>
        <w:fldChar w:fldCharType="begin"/>
      </w:r>
      <w:r>
        <w:rPr>
          <w:color w:val="auto"/>
          <w:highlight w:val="none"/>
        </w:rPr>
        <w:instrText xml:space="preserve"> PAGEREF _Toc17009 \h </w:instrText>
      </w:r>
      <w:r>
        <w:rPr>
          <w:color w:val="auto"/>
          <w:highlight w:val="none"/>
        </w:rPr>
        <w:fldChar w:fldCharType="separate"/>
      </w:r>
      <w:r>
        <w:rPr>
          <w:color w:val="auto"/>
          <w:highlight w:val="none"/>
        </w:rPr>
        <w:t>33</w:t>
      </w:r>
      <w:r>
        <w:rPr>
          <w:color w:val="auto"/>
          <w:highlight w:val="none"/>
        </w:rPr>
        <w:fldChar w:fldCharType="end"/>
      </w:r>
      <w:r>
        <w:rPr>
          <w:rFonts w:hint="eastAsia" w:hAnsi="宋体" w:cs="宋体"/>
          <w:color w:val="auto"/>
          <w:szCs w:val="24"/>
          <w:highlight w:val="none"/>
        </w:rPr>
        <w:fldChar w:fldCharType="end"/>
      </w:r>
    </w:p>
    <w:p w14:paraId="3A4AB3C0">
      <w:pPr>
        <w:pStyle w:val="1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_Toc8541 </w:instrText>
      </w:r>
      <w:r>
        <w:rPr>
          <w:rFonts w:hint="eastAsia" w:hAnsi="宋体" w:cs="宋体"/>
          <w:color w:val="auto"/>
          <w:szCs w:val="24"/>
          <w:highlight w:val="none"/>
        </w:rPr>
        <w:fldChar w:fldCharType="separate"/>
      </w:r>
      <w:r>
        <w:rPr>
          <w:rFonts w:hint="eastAsia" w:hAnsi="宋体" w:cs="宋体"/>
          <w:bCs/>
          <w:snapToGrid w:val="0"/>
          <w:color w:val="auto"/>
          <w:kern w:val="0"/>
          <w:highlight w:val="none"/>
        </w:rPr>
        <w:t>1．资格评审环节</w:t>
      </w:r>
      <w:r>
        <w:rPr>
          <w:color w:val="auto"/>
          <w:highlight w:val="none"/>
        </w:rPr>
        <w:tab/>
      </w:r>
      <w:r>
        <w:rPr>
          <w:color w:val="auto"/>
          <w:highlight w:val="none"/>
        </w:rPr>
        <w:fldChar w:fldCharType="begin"/>
      </w:r>
      <w:r>
        <w:rPr>
          <w:color w:val="auto"/>
          <w:highlight w:val="none"/>
        </w:rPr>
        <w:instrText xml:space="preserve"> PAGEREF _Toc8541 \h </w:instrText>
      </w:r>
      <w:r>
        <w:rPr>
          <w:color w:val="auto"/>
          <w:highlight w:val="none"/>
        </w:rPr>
        <w:fldChar w:fldCharType="separate"/>
      </w:r>
      <w:r>
        <w:rPr>
          <w:color w:val="auto"/>
          <w:highlight w:val="none"/>
        </w:rPr>
        <w:t>33</w:t>
      </w:r>
      <w:r>
        <w:rPr>
          <w:color w:val="auto"/>
          <w:highlight w:val="none"/>
        </w:rPr>
        <w:fldChar w:fldCharType="end"/>
      </w:r>
      <w:r>
        <w:rPr>
          <w:rFonts w:hint="eastAsia" w:hAnsi="宋体" w:cs="宋体"/>
          <w:color w:val="auto"/>
          <w:szCs w:val="24"/>
          <w:highlight w:val="none"/>
        </w:rPr>
        <w:fldChar w:fldCharType="end"/>
      </w:r>
    </w:p>
    <w:p w14:paraId="41A1BB7F">
      <w:pPr>
        <w:pStyle w:val="1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_Toc22542 </w:instrText>
      </w:r>
      <w:r>
        <w:rPr>
          <w:rFonts w:hint="eastAsia" w:hAnsi="宋体" w:cs="宋体"/>
          <w:color w:val="auto"/>
          <w:szCs w:val="24"/>
          <w:highlight w:val="none"/>
        </w:rPr>
        <w:fldChar w:fldCharType="separate"/>
      </w:r>
      <w:r>
        <w:rPr>
          <w:rFonts w:hint="eastAsia" w:hAnsi="宋体" w:cs="宋体"/>
          <w:bCs/>
          <w:snapToGrid w:val="0"/>
          <w:color w:val="auto"/>
          <w:kern w:val="0"/>
          <w:highlight w:val="none"/>
        </w:rPr>
        <w:t>2．形式评审环节</w:t>
      </w:r>
      <w:r>
        <w:rPr>
          <w:color w:val="auto"/>
          <w:highlight w:val="none"/>
        </w:rPr>
        <w:tab/>
      </w:r>
      <w:r>
        <w:rPr>
          <w:color w:val="auto"/>
          <w:highlight w:val="none"/>
        </w:rPr>
        <w:fldChar w:fldCharType="begin"/>
      </w:r>
      <w:r>
        <w:rPr>
          <w:color w:val="auto"/>
          <w:highlight w:val="none"/>
        </w:rPr>
        <w:instrText xml:space="preserve"> PAGEREF _Toc22542 \h </w:instrText>
      </w:r>
      <w:r>
        <w:rPr>
          <w:color w:val="auto"/>
          <w:highlight w:val="none"/>
        </w:rPr>
        <w:fldChar w:fldCharType="separate"/>
      </w:r>
      <w:r>
        <w:rPr>
          <w:color w:val="auto"/>
          <w:highlight w:val="none"/>
        </w:rPr>
        <w:t>34</w:t>
      </w:r>
      <w:r>
        <w:rPr>
          <w:color w:val="auto"/>
          <w:highlight w:val="none"/>
        </w:rPr>
        <w:fldChar w:fldCharType="end"/>
      </w:r>
      <w:r>
        <w:rPr>
          <w:rFonts w:hint="eastAsia" w:hAnsi="宋体" w:cs="宋体"/>
          <w:color w:val="auto"/>
          <w:szCs w:val="24"/>
          <w:highlight w:val="none"/>
        </w:rPr>
        <w:fldChar w:fldCharType="end"/>
      </w:r>
    </w:p>
    <w:p w14:paraId="5B6FDA13">
      <w:pPr>
        <w:pStyle w:val="1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_Toc1804 </w:instrText>
      </w:r>
      <w:r>
        <w:rPr>
          <w:rFonts w:hint="eastAsia" w:hAnsi="宋体" w:cs="宋体"/>
          <w:color w:val="auto"/>
          <w:szCs w:val="24"/>
          <w:highlight w:val="none"/>
        </w:rPr>
        <w:fldChar w:fldCharType="separate"/>
      </w:r>
      <w:r>
        <w:rPr>
          <w:rFonts w:hint="eastAsia" w:hAnsi="宋体" w:cs="宋体"/>
          <w:bCs/>
          <w:snapToGrid w:val="0"/>
          <w:color w:val="auto"/>
          <w:kern w:val="0"/>
          <w:highlight w:val="none"/>
        </w:rPr>
        <w:t>3．响应性评审环节</w:t>
      </w:r>
      <w:r>
        <w:rPr>
          <w:color w:val="auto"/>
          <w:highlight w:val="none"/>
        </w:rPr>
        <w:tab/>
      </w:r>
      <w:r>
        <w:rPr>
          <w:color w:val="auto"/>
          <w:highlight w:val="none"/>
        </w:rPr>
        <w:fldChar w:fldCharType="begin"/>
      </w:r>
      <w:r>
        <w:rPr>
          <w:color w:val="auto"/>
          <w:highlight w:val="none"/>
        </w:rPr>
        <w:instrText xml:space="preserve"> PAGEREF _Toc1804 \h </w:instrText>
      </w:r>
      <w:r>
        <w:rPr>
          <w:color w:val="auto"/>
          <w:highlight w:val="none"/>
        </w:rPr>
        <w:fldChar w:fldCharType="separate"/>
      </w:r>
      <w:r>
        <w:rPr>
          <w:color w:val="auto"/>
          <w:highlight w:val="none"/>
        </w:rPr>
        <w:t>34</w:t>
      </w:r>
      <w:r>
        <w:rPr>
          <w:color w:val="auto"/>
          <w:highlight w:val="none"/>
        </w:rPr>
        <w:fldChar w:fldCharType="end"/>
      </w:r>
      <w:r>
        <w:rPr>
          <w:rFonts w:hint="eastAsia" w:hAnsi="宋体" w:cs="宋体"/>
          <w:color w:val="auto"/>
          <w:szCs w:val="24"/>
          <w:highlight w:val="none"/>
        </w:rPr>
        <w:fldChar w:fldCharType="end"/>
      </w:r>
    </w:p>
    <w:p w14:paraId="2853B870">
      <w:pPr>
        <w:pStyle w:val="1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_Toc22668 </w:instrText>
      </w:r>
      <w:r>
        <w:rPr>
          <w:rFonts w:hint="eastAsia" w:hAnsi="宋体" w:cs="宋体"/>
          <w:color w:val="auto"/>
          <w:szCs w:val="24"/>
          <w:highlight w:val="none"/>
        </w:rPr>
        <w:fldChar w:fldCharType="separate"/>
      </w:r>
      <w:r>
        <w:rPr>
          <w:rFonts w:hint="eastAsia" w:hAnsi="宋体" w:cs="宋体"/>
          <w:bCs/>
          <w:snapToGrid w:val="0"/>
          <w:color w:val="auto"/>
          <w:kern w:val="0"/>
          <w:highlight w:val="none"/>
        </w:rPr>
        <w:t>4．其他</w:t>
      </w:r>
      <w:r>
        <w:rPr>
          <w:color w:val="auto"/>
          <w:highlight w:val="none"/>
        </w:rPr>
        <w:tab/>
      </w:r>
      <w:r>
        <w:rPr>
          <w:color w:val="auto"/>
          <w:highlight w:val="none"/>
        </w:rPr>
        <w:fldChar w:fldCharType="begin"/>
      </w:r>
      <w:r>
        <w:rPr>
          <w:color w:val="auto"/>
          <w:highlight w:val="none"/>
        </w:rPr>
        <w:instrText xml:space="preserve"> PAGEREF _Toc22668 \h </w:instrText>
      </w:r>
      <w:r>
        <w:rPr>
          <w:color w:val="auto"/>
          <w:highlight w:val="none"/>
        </w:rPr>
        <w:fldChar w:fldCharType="separate"/>
      </w:r>
      <w:r>
        <w:rPr>
          <w:color w:val="auto"/>
          <w:highlight w:val="none"/>
        </w:rPr>
        <w:t>34</w:t>
      </w:r>
      <w:r>
        <w:rPr>
          <w:color w:val="auto"/>
          <w:highlight w:val="none"/>
        </w:rPr>
        <w:fldChar w:fldCharType="end"/>
      </w:r>
      <w:r>
        <w:rPr>
          <w:rFonts w:hint="eastAsia" w:hAnsi="宋体" w:cs="宋体"/>
          <w:color w:val="auto"/>
          <w:szCs w:val="24"/>
          <w:highlight w:val="none"/>
        </w:rPr>
        <w:fldChar w:fldCharType="end"/>
      </w:r>
    </w:p>
    <w:p w14:paraId="44B608E3">
      <w:pPr>
        <w:pStyle w:val="21"/>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_Toc401 </w:instrText>
      </w:r>
      <w:r>
        <w:rPr>
          <w:rFonts w:hint="eastAsia" w:hAnsi="宋体" w:cs="宋体"/>
          <w:color w:val="auto"/>
          <w:szCs w:val="24"/>
          <w:highlight w:val="none"/>
        </w:rPr>
        <w:fldChar w:fldCharType="separate"/>
      </w:r>
      <w:r>
        <w:rPr>
          <w:rFonts w:hint="eastAsia" w:hAnsi="宋体" w:cs="宋体"/>
          <w:snapToGrid w:val="0"/>
          <w:color w:val="auto"/>
          <w:szCs w:val="22"/>
          <w:highlight w:val="none"/>
        </w:rPr>
        <w:t>第二章 中标人须知</w:t>
      </w:r>
      <w:r>
        <w:rPr>
          <w:color w:val="auto"/>
          <w:highlight w:val="none"/>
        </w:rPr>
        <w:tab/>
      </w:r>
      <w:r>
        <w:rPr>
          <w:color w:val="auto"/>
          <w:highlight w:val="none"/>
        </w:rPr>
        <w:fldChar w:fldCharType="begin"/>
      </w:r>
      <w:r>
        <w:rPr>
          <w:color w:val="auto"/>
          <w:highlight w:val="none"/>
        </w:rPr>
        <w:instrText xml:space="preserve"> PAGEREF _Toc401 \h </w:instrText>
      </w:r>
      <w:r>
        <w:rPr>
          <w:color w:val="auto"/>
          <w:highlight w:val="none"/>
        </w:rPr>
        <w:fldChar w:fldCharType="separate"/>
      </w:r>
      <w:r>
        <w:rPr>
          <w:color w:val="auto"/>
          <w:highlight w:val="none"/>
        </w:rPr>
        <w:t>36</w:t>
      </w:r>
      <w:r>
        <w:rPr>
          <w:color w:val="auto"/>
          <w:highlight w:val="none"/>
        </w:rPr>
        <w:fldChar w:fldCharType="end"/>
      </w:r>
      <w:r>
        <w:rPr>
          <w:rFonts w:hint="eastAsia" w:hAnsi="宋体" w:cs="宋体"/>
          <w:color w:val="auto"/>
          <w:szCs w:val="24"/>
          <w:highlight w:val="none"/>
        </w:rPr>
        <w:fldChar w:fldCharType="end"/>
      </w:r>
    </w:p>
    <w:p w14:paraId="13810C56">
      <w:pPr>
        <w:pStyle w:val="2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_Toc17192 </w:instrText>
      </w:r>
      <w:r>
        <w:rPr>
          <w:rFonts w:hint="eastAsia" w:hAnsi="宋体" w:cs="宋体"/>
          <w:color w:val="auto"/>
          <w:szCs w:val="24"/>
          <w:highlight w:val="none"/>
        </w:rPr>
        <w:fldChar w:fldCharType="separate"/>
      </w:r>
      <w:r>
        <w:rPr>
          <w:rFonts w:hint="eastAsia" w:hAnsi="宋体" w:cs="宋体"/>
          <w:snapToGrid w:val="0"/>
          <w:color w:val="auto"/>
          <w:kern w:val="0"/>
          <w:szCs w:val="24"/>
          <w:highlight w:val="none"/>
        </w:rPr>
        <w:t>1．中标通知书</w:t>
      </w:r>
      <w:r>
        <w:rPr>
          <w:color w:val="auto"/>
          <w:highlight w:val="none"/>
        </w:rPr>
        <w:tab/>
      </w:r>
      <w:r>
        <w:rPr>
          <w:color w:val="auto"/>
          <w:highlight w:val="none"/>
        </w:rPr>
        <w:fldChar w:fldCharType="begin"/>
      </w:r>
      <w:r>
        <w:rPr>
          <w:color w:val="auto"/>
          <w:highlight w:val="none"/>
        </w:rPr>
        <w:instrText xml:space="preserve"> PAGEREF _Toc17192 \h </w:instrText>
      </w:r>
      <w:r>
        <w:rPr>
          <w:color w:val="auto"/>
          <w:highlight w:val="none"/>
        </w:rPr>
        <w:fldChar w:fldCharType="separate"/>
      </w:r>
      <w:r>
        <w:rPr>
          <w:color w:val="auto"/>
          <w:highlight w:val="none"/>
        </w:rPr>
        <w:t>36</w:t>
      </w:r>
      <w:r>
        <w:rPr>
          <w:color w:val="auto"/>
          <w:highlight w:val="none"/>
        </w:rPr>
        <w:fldChar w:fldCharType="end"/>
      </w:r>
      <w:r>
        <w:rPr>
          <w:rFonts w:hint="eastAsia" w:hAnsi="宋体" w:cs="宋体"/>
          <w:color w:val="auto"/>
          <w:szCs w:val="24"/>
          <w:highlight w:val="none"/>
        </w:rPr>
        <w:fldChar w:fldCharType="end"/>
      </w:r>
    </w:p>
    <w:p w14:paraId="09285EA5">
      <w:pPr>
        <w:pStyle w:val="2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_Toc18659 </w:instrText>
      </w:r>
      <w:r>
        <w:rPr>
          <w:rFonts w:hint="eastAsia" w:hAnsi="宋体" w:cs="宋体"/>
          <w:color w:val="auto"/>
          <w:szCs w:val="24"/>
          <w:highlight w:val="none"/>
        </w:rPr>
        <w:fldChar w:fldCharType="separate"/>
      </w:r>
      <w:r>
        <w:rPr>
          <w:rFonts w:hint="eastAsia" w:hAnsi="宋体" w:cs="宋体"/>
          <w:bCs/>
          <w:snapToGrid w:val="0"/>
          <w:color w:val="auto"/>
          <w:kern w:val="0"/>
          <w:szCs w:val="24"/>
          <w:highlight w:val="none"/>
        </w:rPr>
        <w:t>2．中标结果公示</w:t>
      </w:r>
      <w:r>
        <w:rPr>
          <w:color w:val="auto"/>
          <w:highlight w:val="none"/>
        </w:rPr>
        <w:tab/>
      </w:r>
      <w:r>
        <w:rPr>
          <w:color w:val="auto"/>
          <w:highlight w:val="none"/>
        </w:rPr>
        <w:fldChar w:fldCharType="begin"/>
      </w:r>
      <w:r>
        <w:rPr>
          <w:color w:val="auto"/>
          <w:highlight w:val="none"/>
        </w:rPr>
        <w:instrText xml:space="preserve"> PAGEREF _Toc18659 \h </w:instrText>
      </w:r>
      <w:r>
        <w:rPr>
          <w:color w:val="auto"/>
          <w:highlight w:val="none"/>
        </w:rPr>
        <w:fldChar w:fldCharType="separate"/>
      </w:r>
      <w:r>
        <w:rPr>
          <w:color w:val="auto"/>
          <w:highlight w:val="none"/>
        </w:rPr>
        <w:t>36</w:t>
      </w:r>
      <w:r>
        <w:rPr>
          <w:color w:val="auto"/>
          <w:highlight w:val="none"/>
        </w:rPr>
        <w:fldChar w:fldCharType="end"/>
      </w:r>
      <w:r>
        <w:rPr>
          <w:rFonts w:hint="eastAsia" w:hAnsi="宋体" w:cs="宋体"/>
          <w:color w:val="auto"/>
          <w:szCs w:val="24"/>
          <w:highlight w:val="none"/>
        </w:rPr>
        <w:fldChar w:fldCharType="end"/>
      </w:r>
    </w:p>
    <w:p w14:paraId="74273051">
      <w:pPr>
        <w:pStyle w:val="2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_Toc5857 </w:instrText>
      </w:r>
      <w:r>
        <w:rPr>
          <w:rFonts w:hint="eastAsia" w:hAnsi="宋体" w:cs="宋体"/>
          <w:color w:val="auto"/>
          <w:szCs w:val="24"/>
          <w:highlight w:val="none"/>
        </w:rPr>
        <w:fldChar w:fldCharType="separate"/>
      </w:r>
      <w:r>
        <w:rPr>
          <w:rFonts w:hint="eastAsia" w:hAnsi="宋体" w:cs="宋体"/>
          <w:bCs/>
          <w:snapToGrid w:val="0"/>
          <w:color w:val="auto"/>
          <w:kern w:val="0"/>
          <w:szCs w:val="24"/>
          <w:highlight w:val="none"/>
          <w:lang w:val="en-US" w:eastAsia="zh-CN"/>
        </w:rPr>
        <w:t>3</w:t>
      </w:r>
      <w:r>
        <w:rPr>
          <w:rFonts w:hint="eastAsia" w:hAnsi="宋体" w:cs="宋体"/>
          <w:bCs/>
          <w:snapToGrid w:val="0"/>
          <w:color w:val="auto"/>
          <w:kern w:val="0"/>
          <w:szCs w:val="24"/>
          <w:highlight w:val="none"/>
        </w:rPr>
        <w:t>．履约保证</w:t>
      </w:r>
      <w:r>
        <w:rPr>
          <w:color w:val="auto"/>
          <w:highlight w:val="none"/>
        </w:rPr>
        <w:tab/>
      </w:r>
      <w:r>
        <w:rPr>
          <w:color w:val="auto"/>
          <w:highlight w:val="none"/>
        </w:rPr>
        <w:fldChar w:fldCharType="begin"/>
      </w:r>
      <w:r>
        <w:rPr>
          <w:color w:val="auto"/>
          <w:highlight w:val="none"/>
        </w:rPr>
        <w:instrText xml:space="preserve"> PAGEREF _Toc5857 \h </w:instrText>
      </w:r>
      <w:r>
        <w:rPr>
          <w:color w:val="auto"/>
          <w:highlight w:val="none"/>
        </w:rPr>
        <w:fldChar w:fldCharType="separate"/>
      </w:r>
      <w:r>
        <w:rPr>
          <w:color w:val="auto"/>
          <w:highlight w:val="none"/>
        </w:rPr>
        <w:t>36</w:t>
      </w:r>
      <w:r>
        <w:rPr>
          <w:color w:val="auto"/>
          <w:highlight w:val="none"/>
        </w:rPr>
        <w:fldChar w:fldCharType="end"/>
      </w:r>
      <w:r>
        <w:rPr>
          <w:rFonts w:hint="eastAsia" w:hAnsi="宋体" w:cs="宋体"/>
          <w:color w:val="auto"/>
          <w:szCs w:val="24"/>
          <w:highlight w:val="none"/>
        </w:rPr>
        <w:fldChar w:fldCharType="end"/>
      </w:r>
    </w:p>
    <w:p w14:paraId="75EBF917">
      <w:pPr>
        <w:pStyle w:val="2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_Toc4933 </w:instrText>
      </w:r>
      <w:r>
        <w:rPr>
          <w:rFonts w:hint="eastAsia" w:hAnsi="宋体" w:cs="宋体"/>
          <w:color w:val="auto"/>
          <w:szCs w:val="24"/>
          <w:highlight w:val="none"/>
        </w:rPr>
        <w:fldChar w:fldCharType="separate"/>
      </w:r>
      <w:r>
        <w:rPr>
          <w:rFonts w:hint="eastAsia" w:hAnsi="宋体" w:cs="宋体"/>
          <w:bCs/>
          <w:snapToGrid w:val="0"/>
          <w:color w:val="auto"/>
          <w:kern w:val="0"/>
          <w:szCs w:val="24"/>
          <w:highlight w:val="none"/>
          <w:lang w:val="en-US" w:eastAsia="zh-CN"/>
        </w:rPr>
        <w:t>4.合同订立</w:t>
      </w:r>
      <w:r>
        <w:rPr>
          <w:color w:val="auto"/>
          <w:highlight w:val="none"/>
        </w:rPr>
        <w:tab/>
      </w:r>
      <w:r>
        <w:rPr>
          <w:color w:val="auto"/>
          <w:highlight w:val="none"/>
        </w:rPr>
        <w:fldChar w:fldCharType="begin"/>
      </w:r>
      <w:r>
        <w:rPr>
          <w:color w:val="auto"/>
          <w:highlight w:val="none"/>
        </w:rPr>
        <w:instrText xml:space="preserve"> PAGEREF _Toc4933 \h </w:instrText>
      </w:r>
      <w:r>
        <w:rPr>
          <w:color w:val="auto"/>
          <w:highlight w:val="none"/>
        </w:rPr>
        <w:fldChar w:fldCharType="separate"/>
      </w:r>
      <w:r>
        <w:rPr>
          <w:color w:val="auto"/>
          <w:highlight w:val="none"/>
        </w:rPr>
        <w:t>36</w:t>
      </w:r>
      <w:r>
        <w:rPr>
          <w:color w:val="auto"/>
          <w:highlight w:val="none"/>
        </w:rPr>
        <w:fldChar w:fldCharType="end"/>
      </w:r>
      <w:r>
        <w:rPr>
          <w:rFonts w:hint="eastAsia" w:hAnsi="宋体" w:cs="宋体"/>
          <w:color w:val="auto"/>
          <w:szCs w:val="24"/>
          <w:highlight w:val="none"/>
        </w:rPr>
        <w:fldChar w:fldCharType="end"/>
      </w:r>
    </w:p>
    <w:p w14:paraId="0D7BF367">
      <w:pPr>
        <w:pStyle w:val="2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_Toc7981 </w:instrText>
      </w:r>
      <w:r>
        <w:rPr>
          <w:rFonts w:hint="eastAsia" w:hAnsi="宋体" w:cs="宋体"/>
          <w:color w:val="auto"/>
          <w:szCs w:val="24"/>
          <w:highlight w:val="none"/>
        </w:rPr>
        <w:fldChar w:fldCharType="separate"/>
      </w:r>
      <w:r>
        <w:rPr>
          <w:rFonts w:hint="eastAsia" w:hAnsi="宋体" w:cs="宋体"/>
          <w:bCs/>
          <w:snapToGrid w:val="0"/>
          <w:color w:val="auto"/>
          <w:kern w:val="0"/>
          <w:szCs w:val="24"/>
          <w:highlight w:val="none"/>
          <w:lang w:val="en-US" w:eastAsia="zh-CN"/>
        </w:rPr>
        <w:t>5</w:t>
      </w:r>
      <w:r>
        <w:rPr>
          <w:rFonts w:hint="eastAsia" w:hAnsi="宋体" w:cs="宋体"/>
          <w:bCs/>
          <w:snapToGrid w:val="0"/>
          <w:color w:val="auto"/>
          <w:kern w:val="0"/>
          <w:szCs w:val="24"/>
          <w:highlight w:val="none"/>
        </w:rPr>
        <w:t>．放弃中标的处理</w:t>
      </w:r>
      <w:r>
        <w:rPr>
          <w:color w:val="auto"/>
          <w:highlight w:val="none"/>
        </w:rPr>
        <w:tab/>
      </w:r>
      <w:r>
        <w:rPr>
          <w:color w:val="auto"/>
          <w:highlight w:val="none"/>
        </w:rPr>
        <w:fldChar w:fldCharType="begin"/>
      </w:r>
      <w:r>
        <w:rPr>
          <w:color w:val="auto"/>
          <w:highlight w:val="none"/>
        </w:rPr>
        <w:instrText xml:space="preserve"> PAGEREF _Toc7981 \h </w:instrText>
      </w:r>
      <w:r>
        <w:rPr>
          <w:color w:val="auto"/>
          <w:highlight w:val="none"/>
        </w:rPr>
        <w:fldChar w:fldCharType="separate"/>
      </w:r>
      <w:r>
        <w:rPr>
          <w:color w:val="auto"/>
          <w:highlight w:val="none"/>
        </w:rPr>
        <w:t>37</w:t>
      </w:r>
      <w:r>
        <w:rPr>
          <w:color w:val="auto"/>
          <w:highlight w:val="none"/>
        </w:rPr>
        <w:fldChar w:fldCharType="end"/>
      </w:r>
      <w:r>
        <w:rPr>
          <w:rFonts w:hint="eastAsia" w:hAnsi="宋体" w:cs="宋体"/>
          <w:color w:val="auto"/>
          <w:szCs w:val="24"/>
          <w:highlight w:val="none"/>
        </w:rPr>
        <w:fldChar w:fldCharType="end"/>
      </w:r>
    </w:p>
    <w:p w14:paraId="4DA8DE1A">
      <w:pPr>
        <w:pStyle w:val="2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_Toc7088 </w:instrText>
      </w:r>
      <w:r>
        <w:rPr>
          <w:rFonts w:hint="eastAsia" w:hAnsi="宋体" w:cs="宋体"/>
          <w:color w:val="auto"/>
          <w:szCs w:val="24"/>
          <w:highlight w:val="none"/>
        </w:rPr>
        <w:fldChar w:fldCharType="separate"/>
      </w:r>
      <w:r>
        <w:rPr>
          <w:rFonts w:hint="eastAsia" w:hAnsi="宋体" w:cs="宋体"/>
          <w:bCs/>
          <w:snapToGrid w:val="0"/>
          <w:color w:val="auto"/>
          <w:kern w:val="0"/>
          <w:szCs w:val="24"/>
          <w:highlight w:val="none"/>
          <w:lang w:val="en-US" w:eastAsia="zh-CN"/>
        </w:rPr>
        <w:t>6</w:t>
      </w:r>
      <w:r>
        <w:rPr>
          <w:rFonts w:hint="eastAsia" w:hAnsi="宋体" w:cs="宋体"/>
          <w:bCs/>
          <w:snapToGrid w:val="0"/>
          <w:color w:val="auto"/>
          <w:kern w:val="0"/>
          <w:szCs w:val="24"/>
          <w:highlight w:val="none"/>
        </w:rPr>
        <w:t>．分包</w:t>
      </w:r>
      <w:r>
        <w:rPr>
          <w:color w:val="auto"/>
          <w:highlight w:val="none"/>
        </w:rPr>
        <w:tab/>
      </w:r>
      <w:r>
        <w:rPr>
          <w:color w:val="auto"/>
          <w:highlight w:val="none"/>
        </w:rPr>
        <w:fldChar w:fldCharType="begin"/>
      </w:r>
      <w:r>
        <w:rPr>
          <w:color w:val="auto"/>
          <w:highlight w:val="none"/>
        </w:rPr>
        <w:instrText xml:space="preserve"> PAGEREF _Toc7088 \h </w:instrText>
      </w:r>
      <w:r>
        <w:rPr>
          <w:color w:val="auto"/>
          <w:highlight w:val="none"/>
        </w:rPr>
        <w:fldChar w:fldCharType="separate"/>
      </w:r>
      <w:r>
        <w:rPr>
          <w:color w:val="auto"/>
          <w:highlight w:val="none"/>
        </w:rPr>
        <w:t>37</w:t>
      </w:r>
      <w:r>
        <w:rPr>
          <w:color w:val="auto"/>
          <w:highlight w:val="none"/>
        </w:rPr>
        <w:fldChar w:fldCharType="end"/>
      </w:r>
      <w:r>
        <w:rPr>
          <w:rFonts w:hint="eastAsia" w:hAnsi="宋体" w:cs="宋体"/>
          <w:color w:val="auto"/>
          <w:szCs w:val="24"/>
          <w:highlight w:val="none"/>
        </w:rPr>
        <w:fldChar w:fldCharType="end"/>
      </w:r>
    </w:p>
    <w:p w14:paraId="0AAC41D7">
      <w:pPr>
        <w:pStyle w:val="2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_Toc6953 </w:instrText>
      </w:r>
      <w:r>
        <w:rPr>
          <w:rFonts w:hint="eastAsia" w:hAnsi="宋体" w:cs="宋体"/>
          <w:color w:val="auto"/>
          <w:szCs w:val="24"/>
          <w:highlight w:val="none"/>
        </w:rPr>
        <w:fldChar w:fldCharType="separate"/>
      </w:r>
      <w:r>
        <w:rPr>
          <w:rFonts w:hint="eastAsia" w:hAnsi="宋体" w:cs="宋体"/>
          <w:bCs/>
          <w:snapToGrid w:val="0"/>
          <w:color w:val="auto"/>
          <w:kern w:val="0"/>
          <w:szCs w:val="24"/>
          <w:highlight w:val="none"/>
          <w:lang w:val="en-US" w:eastAsia="zh-CN"/>
        </w:rPr>
        <w:t>7</w:t>
      </w:r>
      <w:r>
        <w:rPr>
          <w:rFonts w:hint="eastAsia" w:hAnsi="宋体" w:cs="宋体"/>
          <w:bCs/>
          <w:snapToGrid w:val="0"/>
          <w:color w:val="auto"/>
          <w:kern w:val="0"/>
          <w:szCs w:val="24"/>
          <w:highlight w:val="none"/>
        </w:rPr>
        <w:t>．监理服务期限</w:t>
      </w:r>
      <w:r>
        <w:rPr>
          <w:color w:val="auto"/>
          <w:highlight w:val="none"/>
        </w:rPr>
        <w:tab/>
      </w:r>
      <w:r>
        <w:rPr>
          <w:color w:val="auto"/>
          <w:highlight w:val="none"/>
        </w:rPr>
        <w:fldChar w:fldCharType="begin"/>
      </w:r>
      <w:r>
        <w:rPr>
          <w:color w:val="auto"/>
          <w:highlight w:val="none"/>
        </w:rPr>
        <w:instrText xml:space="preserve"> PAGEREF _Toc6953 \h </w:instrText>
      </w:r>
      <w:r>
        <w:rPr>
          <w:color w:val="auto"/>
          <w:highlight w:val="none"/>
        </w:rPr>
        <w:fldChar w:fldCharType="separate"/>
      </w:r>
      <w:r>
        <w:rPr>
          <w:color w:val="auto"/>
          <w:highlight w:val="none"/>
        </w:rPr>
        <w:t>37</w:t>
      </w:r>
      <w:r>
        <w:rPr>
          <w:color w:val="auto"/>
          <w:highlight w:val="none"/>
        </w:rPr>
        <w:fldChar w:fldCharType="end"/>
      </w:r>
      <w:r>
        <w:rPr>
          <w:rFonts w:hint="eastAsia" w:hAnsi="宋体" w:cs="宋体"/>
          <w:color w:val="auto"/>
          <w:szCs w:val="24"/>
          <w:highlight w:val="none"/>
        </w:rPr>
        <w:fldChar w:fldCharType="end"/>
      </w:r>
    </w:p>
    <w:p w14:paraId="3955497A">
      <w:pPr>
        <w:pStyle w:val="2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_Toc31907 </w:instrText>
      </w:r>
      <w:r>
        <w:rPr>
          <w:rFonts w:hint="eastAsia" w:hAnsi="宋体" w:cs="宋体"/>
          <w:color w:val="auto"/>
          <w:szCs w:val="24"/>
          <w:highlight w:val="none"/>
        </w:rPr>
        <w:fldChar w:fldCharType="separate"/>
      </w:r>
      <w:r>
        <w:rPr>
          <w:rFonts w:hint="eastAsia" w:hAnsi="宋体" w:cs="宋体"/>
          <w:bCs/>
          <w:snapToGrid w:val="0"/>
          <w:color w:val="auto"/>
          <w:kern w:val="0"/>
          <w:szCs w:val="24"/>
          <w:highlight w:val="none"/>
          <w:lang w:val="en-US" w:eastAsia="zh-CN"/>
        </w:rPr>
        <w:t>8</w:t>
      </w:r>
      <w:r>
        <w:rPr>
          <w:rFonts w:hint="eastAsia" w:hAnsi="宋体" w:cs="宋体"/>
          <w:bCs/>
          <w:snapToGrid w:val="0"/>
          <w:color w:val="auto"/>
          <w:kern w:val="0"/>
          <w:szCs w:val="24"/>
          <w:highlight w:val="none"/>
        </w:rPr>
        <w:t>．项目监理机构</w:t>
      </w:r>
      <w:r>
        <w:rPr>
          <w:color w:val="auto"/>
          <w:highlight w:val="none"/>
        </w:rPr>
        <w:tab/>
      </w:r>
      <w:r>
        <w:rPr>
          <w:color w:val="auto"/>
          <w:highlight w:val="none"/>
        </w:rPr>
        <w:fldChar w:fldCharType="begin"/>
      </w:r>
      <w:r>
        <w:rPr>
          <w:color w:val="auto"/>
          <w:highlight w:val="none"/>
        </w:rPr>
        <w:instrText xml:space="preserve"> PAGEREF _Toc31907 \h </w:instrText>
      </w:r>
      <w:r>
        <w:rPr>
          <w:color w:val="auto"/>
          <w:highlight w:val="none"/>
        </w:rPr>
        <w:fldChar w:fldCharType="separate"/>
      </w:r>
      <w:r>
        <w:rPr>
          <w:color w:val="auto"/>
          <w:highlight w:val="none"/>
        </w:rPr>
        <w:t>38</w:t>
      </w:r>
      <w:r>
        <w:rPr>
          <w:color w:val="auto"/>
          <w:highlight w:val="none"/>
        </w:rPr>
        <w:fldChar w:fldCharType="end"/>
      </w:r>
      <w:r>
        <w:rPr>
          <w:rFonts w:hint="eastAsia" w:hAnsi="宋体" w:cs="宋体"/>
          <w:color w:val="auto"/>
          <w:szCs w:val="24"/>
          <w:highlight w:val="none"/>
        </w:rPr>
        <w:fldChar w:fldCharType="end"/>
      </w:r>
    </w:p>
    <w:p w14:paraId="3FD75F65">
      <w:pPr>
        <w:pStyle w:val="2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_Toc15281 </w:instrText>
      </w:r>
      <w:r>
        <w:rPr>
          <w:rFonts w:hint="eastAsia" w:hAnsi="宋体" w:cs="宋体"/>
          <w:color w:val="auto"/>
          <w:szCs w:val="24"/>
          <w:highlight w:val="none"/>
        </w:rPr>
        <w:fldChar w:fldCharType="separate"/>
      </w:r>
      <w:r>
        <w:rPr>
          <w:rFonts w:hint="eastAsia" w:hAnsi="宋体" w:cs="宋体"/>
          <w:snapToGrid w:val="0"/>
          <w:color w:val="auto"/>
          <w:kern w:val="0"/>
          <w:szCs w:val="24"/>
          <w:highlight w:val="none"/>
          <w:lang w:val="en-US" w:eastAsia="zh-CN"/>
        </w:rPr>
        <w:t>9</w:t>
      </w:r>
      <w:r>
        <w:rPr>
          <w:rFonts w:hint="eastAsia" w:hAnsi="宋体" w:cs="宋体"/>
          <w:snapToGrid w:val="0"/>
          <w:color w:val="auto"/>
          <w:kern w:val="0"/>
          <w:szCs w:val="24"/>
          <w:highlight w:val="none"/>
        </w:rPr>
        <w:t>．安全防护</w:t>
      </w:r>
      <w:r>
        <w:rPr>
          <w:color w:val="auto"/>
          <w:highlight w:val="none"/>
        </w:rPr>
        <w:tab/>
      </w:r>
      <w:r>
        <w:rPr>
          <w:color w:val="auto"/>
          <w:highlight w:val="none"/>
        </w:rPr>
        <w:fldChar w:fldCharType="begin"/>
      </w:r>
      <w:r>
        <w:rPr>
          <w:color w:val="auto"/>
          <w:highlight w:val="none"/>
        </w:rPr>
        <w:instrText xml:space="preserve"> PAGEREF _Toc15281 \h </w:instrText>
      </w:r>
      <w:r>
        <w:rPr>
          <w:color w:val="auto"/>
          <w:highlight w:val="none"/>
        </w:rPr>
        <w:fldChar w:fldCharType="separate"/>
      </w:r>
      <w:r>
        <w:rPr>
          <w:color w:val="auto"/>
          <w:highlight w:val="none"/>
        </w:rPr>
        <w:t>38</w:t>
      </w:r>
      <w:r>
        <w:rPr>
          <w:color w:val="auto"/>
          <w:highlight w:val="none"/>
        </w:rPr>
        <w:fldChar w:fldCharType="end"/>
      </w:r>
      <w:r>
        <w:rPr>
          <w:rFonts w:hint="eastAsia" w:hAnsi="宋体" w:cs="宋体"/>
          <w:color w:val="auto"/>
          <w:szCs w:val="24"/>
          <w:highlight w:val="none"/>
        </w:rPr>
        <w:fldChar w:fldCharType="end"/>
      </w:r>
    </w:p>
    <w:p w14:paraId="2819528C">
      <w:pPr>
        <w:pStyle w:val="2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_Toc2694 </w:instrText>
      </w:r>
      <w:r>
        <w:rPr>
          <w:rFonts w:hint="eastAsia" w:hAnsi="宋体" w:cs="宋体"/>
          <w:color w:val="auto"/>
          <w:szCs w:val="24"/>
          <w:highlight w:val="none"/>
        </w:rPr>
        <w:fldChar w:fldCharType="separate"/>
      </w:r>
      <w:r>
        <w:rPr>
          <w:rFonts w:hint="eastAsia" w:hAnsi="宋体" w:cs="宋体"/>
          <w:snapToGrid w:val="0"/>
          <w:color w:val="auto"/>
          <w:kern w:val="0"/>
          <w:szCs w:val="24"/>
          <w:highlight w:val="none"/>
          <w:lang w:val="en-US" w:eastAsia="zh-CN"/>
        </w:rPr>
        <w:t>10</w:t>
      </w:r>
      <w:r>
        <w:rPr>
          <w:rFonts w:hint="eastAsia" w:hAnsi="宋体" w:cs="宋体"/>
          <w:snapToGrid w:val="0"/>
          <w:color w:val="auto"/>
          <w:kern w:val="0"/>
          <w:szCs w:val="24"/>
          <w:highlight w:val="none"/>
        </w:rPr>
        <w:t>．接受监督</w:t>
      </w:r>
      <w:r>
        <w:rPr>
          <w:color w:val="auto"/>
          <w:highlight w:val="none"/>
        </w:rPr>
        <w:tab/>
      </w:r>
      <w:r>
        <w:rPr>
          <w:color w:val="auto"/>
          <w:highlight w:val="none"/>
        </w:rPr>
        <w:fldChar w:fldCharType="begin"/>
      </w:r>
      <w:r>
        <w:rPr>
          <w:color w:val="auto"/>
          <w:highlight w:val="none"/>
        </w:rPr>
        <w:instrText xml:space="preserve"> PAGEREF _Toc2694 \h </w:instrText>
      </w:r>
      <w:r>
        <w:rPr>
          <w:color w:val="auto"/>
          <w:highlight w:val="none"/>
        </w:rPr>
        <w:fldChar w:fldCharType="separate"/>
      </w:r>
      <w:r>
        <w:rPr>
          <w:color w:val="auto"/>
          <w:highlight w:val="none"/>
        </w:rPr>
        <w:t>38</w:t>
      </w:r>
      <w:r>
        <w:rPr>
          <w:color w:val="auto"/>
          <w:highlight w:val="none"/>
        </w:rPr>
        <w:fldChar w:fldCharType="end"/>
      </w:r>
      <w:r>
        <w:rPr>
          <w:rFonts w:hint="eastAsia" w:hAnsi="宋体" w:cs="宋体"/>
          <w:color w:val="auto"/>
          <w:szCs w:val="24"/>
          <w:highlight w:val="none"/>
        </w:rPr>
        <w:fldChar w:fldCharType="end"/>
      </w:r>
    </w:p>
    <w:p w14:paraId="1F210F2B">
      <w:pPr>
        <w:pStyle w:val="2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_Toc5818 </w:instrText>
      </w:r>
      <w:r>
        <w:rPr>
          <w:rFonts w:hint="eastAsia" w:hAnsi="宋体" w:cs="宋体"/>
          <w:color w:val="auto"/>
          <w:szCs w:val="24"/>
          <w:highlight w:val="none"/>
        </w:rPr>
        <w:fldChar w:fldCharType="separate"/>
      </w:r>
      <w:r>
        <w:rPr>
          <w:rFonts w:hint="eastAsia" w:hAnsi="宋体" w:cs="宋体"/>
          <w:snapToGrid w:val="0"/>
          <w:color w:val="auto"/>
          <w:kern w:val="0"/>
          <w:szCs w:val="24"/>
          <w:highlight w:val="none"/>
        </w:rPr>
        <w:t>1</w:t>
      </w:r>
      <w:r>
        <w:rPr>
          <w:rFonts w:hint="eastAsia" w:hAnsi="宋体" w:cs="宋体"/>
          <w:snapToGrid w:val="0"/>
          <w:color w:val="auto"/>
          <w:kern w:val="0"/>
          <w:szCs w:val="24"/>
          <w:highlight w:val="none"/>
          <w:lang w:val="en-US" w:eastAsia="zh-CN"/>
        </w:rPr>
        <w:t>1</w:t>
      </w:r>
      <w:r>
        <w:rPr>
          <w:rFonts w:hint="eastAsia" w:hAnsi="宋体" w:cs="宋体"/>
          <w:snapToGrid w:val="0"/>
          <w:color w:val="auto"/>
          <w:kern w:val="0"/>
          <w:szCs w:val="24"/>
          <w:highlight w:val="none"/>
        </w:rPr>
        <w:t>．监理档案移交</w:t>
      </w:r>
      <w:r>
        <w:rPr>
          <w:color w:val="auto"/>
          <w:highlight w:val="none"/>
        </w:rPr>
        <w:tab/>
      </w:r>
      <w:r>
        <w:rPr>
          <w:color w:val="auto"/>
          <w:highlight w:val="none"/>
        </w:rPr>
        <w:fldChar w:fldCharType="begin"/>
      </w:r>
      <w:r>
        <w:rPr>
          <w:color w:val="auto"/>
          <w:highlight w:val="none"/>
        </w:rPr>
        <w:instrText xml:space="preserve"> PAGEREF _Toc5818 \h </w:instrText>
      </w:r>
      <w:r>
        <w:rPr>
          <w:color w:val="auto"/>
          <w:highlight w:val="none"/>
        </w:rPr>
        <w:fldChar w:fldCharType="separate"/>
      </w:r>
      <w:r>
        <w:rPr>
          <w:color w:val="auto"/>
          <w:highlight w:val="none"/>
        </w:rPr>
        <w:t>38</w:t>
      </w:r>
      <w:r>
        <w:rPr>
          <w:color w:val="auto"/>
          <w:highlight w:val="none"/>
        </w:rPr>
        <w:fldChar w:fldCharType="end"/>
      </w:r>
      <w:r>
        <w:rPr>
          <w:rFonts w:hint="eastAsia" w:hAnsi="宋体" w:cs="宋体"/>
          <w:color w:val="auto"/>
          <w:szCs w:val="24"/>
          <w:highlight w:val="none"/>
        </w:rPr>
        <w:fldChar w:fldCharType="end"/>
      </w:r>
    </w:p>
    <w:p w14:paraId="5B6B91AF">
      <w:pPr>
        <w:pStyle w:val="2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_Toc29177 </w:instrText>
      </w:r>
      <w:r>
        <w:rPr>
          <w:rFonts w:hint="eastAsia" w:hAnsi="宋体" w:cs="宋体"/>
          <w:color w:val="auto"/>
          <w:szCs w:val="24"/>
          <w:highlight w:val="none"/>
        </w:rPr>
        <w:fldChar w:fldCharType="separate"/>
      </w:r>
      <w:r>
        <w:rPr>
          <w:rFonts w:hint="eastAsia" w:hAnsi="宋体" w:cs="宋体"/>
          <w:bCs/>
          <w:snapToGrid w:val="0"/>
          <w:color w:val="auto"/>
          <w:kern w:val="0"/>
          <w:szCs w:val="24"/>
          <w:highlight w:val="none"/>
        </w:rPr>
        <w:t>1</w:t>
      </w:r>
      <w:r>
        <w:rPr>
          <w:rFonts w:hint="eastAsia" w:hAnsi="宋体" w:cs="宋体"/>
          <w:bCs/>
          <w:snapToGrid w:val="0"/>
          <w:color w:val="auto"/>
          <w:kern w:val="0"/>
          <w:szCs w:val="24"/>
          <w:highlight w:val="none"/>
          <w:lang w:val="en-US" w:eastAsia="zh-CN"/>
        </w:rPr>
        <w:t>2</w:t>
      </w:r>
      <w:r>
        <w:rPr>
          <w:rFonts w:hint="eastAsia" w:hAnsi="宋体" w:cs="宋体"/>
          <w:snapToGrid w:val="0"/>
          <w:color w:val="auto"/>
          <w:kern w:val="0"/>
          <w:szCs w:val="24"/>
          <w:highlight w:val="none"/>
        </w:rPr>
        <w:t>．不良行为处理</w:t>
      </w:r>
      <w:r>
        <w:rPr>
          <w:color w:val="auto"/>
          <w:highlight w:val="none"/>
        </w:rPr>
        <w:tab/>
      </w:r>
      <w:r>
        <w:rPr>
          <w:color w:val="auto"/>
          <w:highlight w:val="none"/>
        </w:rPr>
        <w:fldChar w:fldCharType="begin"/>
      </w:r>
      <w:r>
        <w:rPr>
          <w:color w:val="auto"/>
          <w:highlight w:val="none"/>
        </w:rPr>
        <w:instrText xml:space="preserve"> PAGEREF _Toc29177 \h </w:instrText>
      </w:r>
      <w:r>
        <w:rPr>
          <w:color w:val="auto"/>
          <w:highlight w:val="none"/>
        </w:rPr>
        <w:fldChar w:fldCharType="separate"/>
      </w:r>
      <w:r>
        <w:rPr>
          <w:color w:val="auto"/>
          <w:highlight w:val="none"/>
        </w:rPr>
        <w:t>38</w:t>
      </w:r>
      <w:r>
        <w:rPr>
          <w:color w:val="auto"/>
          <w:highlight w:val="none"/>
        </w:rPr>
        <w:fldChar w:fldCharType="end"/>
      </w:r>
      <w:r>
        <w:rPr>
          <w:rFonts w:hint="eastAsia" w:hAnsi="宋体" w:cs="宋体"/>
          <w:color w:val="auto"/>
          <w:szCs w:val="24"/>
          <w:highlight w:val="none"/>
        </w:rPr>
        <w:fldChar w:fldCharType="end"/>
      </w:r>
    </w:p>
    <w:p w14:paraId="76D0EA0E">
      <w:pPr>
        <w:pStyle w:val="2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_Toc25306 </w:instrText>
      </w:r>
      <w:r>
        <w:rPr>
          <w:rFonts w:hint="eastAsia" w:hAnsi="宋体" w:cs="宋体"/>
          <w:color w:val="auto"/>
          <w:szCs w:val="24"/>
          <w:highlight w:val="none"/>
        </w:rPr>
        <w:fldChar w:fldCharType="separate"/>
      </w:r>
      <w:r>
        <w:rPr>
          <w:rFonts w:hint="eastAsia" w:ascii="宋体" w:hAnsi="宋体" w:cs="宋体"/>
          <w:bCs/>
          <w:snapToGrid w:val="0"/>
          <w:color w:val="auto"/>
          <w:kern w:val="0"/>
          <w:szCs w:val="24"/>
          <w:highlight w:val="none"/>
        </w:rPr>
        <w:t>1</w:t>
      </w:r>
      <w:r>
        <w:rPr>
          <w:rFonts w:hint="eastAsia" w:ascii="宋体" w:hAnsi="宋体" w:cs="宋体"/>
          <w:bCs/>
          <w:snapToGrid w:val="0"/>
          <w:color w:val="auto"/>
          <w:kern w:val="0"/>
          <w:szCs w:val="24"/>
          <w:highlight w:val="none"/>
          <w:lang w:val="en-US" w:eastAsia="zh-CN"/>
        </w:rPr>
        <w:t>3</w:t>
      </w:r>
      <w:r>
        <w:rPr>
          <w:rFonts w:hint="eastAsia" w:ascii="宋体" w:hAnsi="宋体" w:cs="宋体"/>
          <w:snapToGrid w:val="0"/>
          <w:color w:val="auto"/>
          <w:kern w:val="0"/>
          <w:szCs w:val="24"/>
          <w:highlight w:val="none"/>
        </w:rPr>
        <w:t>．</w:t>
      </w:r>
      <w:r>
        <w:rPr>
          <w:rFonts w:hint="eastAsia" w:ascii="宋体" w:hAnsi="宋体" w:cs="宋体"/>
          <w:bCs/>
          <w:snapToGrid w:val="0"/>
          <w:color w:val="auto"/>
          <w:kern w:val="0"/>
          <w:szCs w:val="24"/>
          <w:highlight w:val="none"/>
        </w:rPr>
        <w:t>信用评价条款内容</w:t>
      </w:r>
      <w:r>
        <w:rPr>
          <w:color w:val="auto"/>
          <w:highlight w:val="none"/>
        </w:rPr>
        <w:tab/>
      </w:r>
      <w:r>
        <w:rPr>
          <w:color w:val="auto"/>
          <w:highlight w:val="none"/>
        </w:rPr>
        <w:fldChar w:fldCharType="begin"/>
      </w:r>
      <w:r>
        <w:rPr>
          <w:color w:val="auto"/>
          <w:highlight w:val="none"/>
        </w:rPr>
        <w:instrText xml:space="preserve"> PAGEREF _Toc25306 \h </w:instrText>
      </w:r>
      <w:r>
        <w:rPr>
          <w:color w:val="auto"/>
          <w:highlight w:val="none"/>
        </w:rPr>
        <w:fldChar w:fldCharType="separate"/>
      </w:r>
      <w:r>
        <w:rPr>
          <w:color w:val="auto"/>
          <w:highlight w:val="none"/>
        </w:rPr>
        <w:t>39</w:t>
      </w:r>
      <w:r>
        <w:rPr>
          <w:color w:val="auto"/>
          <w:highlight w:val="none"/>
        </w:rPr>
        <w:fldChar w:fldCharType="end"/>
      </w:r>
      <w:r>
        <w:rPr>
          <w:rFonts w:hint="eastAsia" w:hAnsi="宋体" w:cs="宋体"/>
          <w:color w:val="auto"/>
          <w:szCs w:val="24"/>
          <w:highlight w:val="none"/>
        </w:rPr>
        <w:fldChar w:fldCharType="end"/>
      </w:r>
    </w:p>
    <w:p w14:paraId="54FEA325">
      <w:pPr>
        <w:pStyle w:val="21"/>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_Toc16840 </w:instrText>
      </w:r>
      <w:r>
        <w:rPr>
          <w:rFonts w:hint="eastAsia" w:hAnsi="宋体" w:cs="宋体"/>
          <w:color w:val="auto"/>
          <w:szCs w:val="24"/>
          <w:highlight w:val="none"/>
        </w:rPr>
        <w:fldChar w:fldCharType="separate"/>
      </w:r>
      <w:r>
        <w:rPr>
          <w:rFonts w:hint="eastAsia" w:hAnsi="宋体" w:cs="宋体"/>
          <w:snapToGrid w:val="0"/>
          <w:color w:val="auto"/>
          <w:szCs w:val="32"/>
          <w:highlight w:val="none"/>
        </w:rPr>
        <w:t>第三章 拟签订合同的主要条款</w:t>
      </w:r>
      <w:r>
        <w:rPr>
          <w:color w:val="auto"/>
          <w:highlight w:val="none"/>
        </w:rPr>
        <w:tab/>
      </w:r>
      <w:r>
        <w:rPr>
          <w:color w:val="auto"/>
          <w:highlight w:val="none"/>
        </w:rPr>
        <w:fldChar w:fldCharType="begin"/>
      </w:r>
      <w:r>
        <w:rPr>
          <w:color w:val="auto"/>
          <w:highlight w:val="none"/>
        </w:rPr>
        <w:instrText xml:space="preserve"> PAGEREF _Toc16840 \h </w:instrText>
      </w:r>
      <w:r>
        <w:rPr>
          <w:color w:val="auto"/>
          <w:highlight w:val="none"/>
        </w:rPr>
        <w:fldChar w:fldCharType="separate"/>
      </w:r>
      <w:r>
        <w:rPr>
          <w:color w:val="auto"/>
          <w:highlight w:val="none"/>
        </w:rPr>
        <w:t>40</w:t>
      </w:r>
      <w:r>
        <w:rPr>
          <w:color w:val="auto"/>
          <w:highlight w:val="none"/>
        </w:rPr>
        <w:fldChar w:fldCharType="end"/>
      </w:r>
      <w:r>
        <w:rPr>
          <w:rFonts w:hint="eastAsia" w:hAnsi="宋体" w:cs="宋体"/>
          <w:color w:val="auto"/>
          <w:szCs w:val="24"/>
          <w:highlight w:val="none"/>
        </w:rPr>
        <w:fldChar w:fldCharType="end"/>
      </w:r>
    </w:p>
    <w:p w14:paraId="4CB09E6C">
      <w:pPr>
        <w:pStyle w:val="2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_Toc9210 </w:instrText>
      </w:r>
      <w:r>
        <w:rPr>
          <w:rFonts w:hint="eastAsia" w:hAnsi="宋体" w:cs="宋体"/>
          <w:color w:val="auto"/>
          <w:szCs w:val="24"/>
          <w:highlight w:val="none"/>
        </w:rPr>
        <w:fldChar w:fldCharType="separate"/>
      </w:r>
      <w:r>
        <w:rPr>
          <w:rFonts w:hint="eastAsia" w:hAnsi="宋体" w:cs="宋体"/>
          <w:bCs/>
          <w:snapToGrid w:val="0"/>
          <w:color w:val="auto"/>
          <w:kern w:val="0"/>
          <w:szCs w:val="24"/>
          <w:highlight w:val="none"/>
        </w:rPr>
        <w:t>1．现场办公条件</w:t>
      </w:r>
      <w:r>
        <w:rPr>
          <w:color w:val="auto"/>
          <w:highlight w:val="none"/>
        </w:rPr>
        <w:tab/>
      </w:r>
      <w:r>
        <w:rPr>
          <w:color w:val="auto"/>
          <w:highlight w:val="none"/>
        </w:rPr>
        <w:fldChar w:fldCharType="begin"/>
      </w:r>
      <w:r>
        <w:rPr>
          <w:color w:val="auto"/>
          <w:highlight w:val="none"/>
        </w:rPr>
        <w:instrText xml:space="preserve"> PAGEREF _Toc9210 \h </w:instrText>
      </w:r>
      <w:r>
        <w:rPr>
          <w:color w:val="auto"/>
          <w:highlight w:val="none"/>
        </w:rPr>
        <w:fldChar w:fldCharType="separate"/>
      </w:r>
      <w:r>
        <w:rPr>
          <w:color w:val="auto"/>
          <w:highlight w:val="none"/>
        </w:rPr>
        <w:t>40</w:t>
      </w:r>
      <w:r>
        <w:rPr>
          <w:color w:val="auto"/>
          <w:highlight w:val="none"/>
        </w:rPr>
        <w:fldChar w:fldCharType="end"/>
      </w:r>
      <w:r>
        <w:rPr>
          <w:rFonts w:hint="eastAsia" w:hAnsi="宋体" w:cs="宋体"/>
          <w:color w:val="auto"/>
          <w:szCs w:val="24"/>
          <w:highlight w:val="none"/>
        </w:rPr>
        <w:fldChar w:fldCharType="end"/>
      </w:r>
    </w:p>
    <w:p w14:paraId="130DB693">
      <w:pPr>
        <w:pStyle w:val="2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_Toc1375 </w:instrText>
      </w:r>
      <w:r>
        <w:rPr>
          <w:rFonts w:hint="eastAsia" w:hAnsi="宋体" w:cs="宋体"/>
          <w:color w:val="auto"/>
          <w:szCs w:val="24"/>
          <w:highlight w:val="none"/>
        </w:rPr>
        <w:fldChar w:fldCharType="separate"/>
      </w:r>
      <w:r>
        <w:rPr>
          <w:rFonts w:hint="eastAsia" w:hAnsi="宋体" w:cs="宋体"/>
          <w:bCs/>
          <w:snapToGrid w:val="0"/>
          <w:color w:val="auto"/>
          <w:kern w:val="0"/>
          <w:szCs w:val="24"/>
          <w:highlight w:val="none"/>
        </w:rPr>
        <w:t>2．监理服务费</w:t>
      </w:r>
      <w:r>
        <w:rPr>
          <w:color w:val="auto"/>
          <w:highlight w:val="none"/>
        </w:rPr>
        <w:tab/>
      </w:r>
      <w:r>
        <w:rPr>
          <w:color w:val="auto"/>
          <w:highlight w:val="none"/>
        </w:rPr>
        <w:fldChar w:fldCharType="begin"/>
      </w:r>
      <w:r>
        <w:rPr>
          <w:color w:val="auto"/>
          <w:highlight w:val="none"/>
        </w:rPr>
        <w:instrText xml:space="preserve"> PAGEREF _Toc1375 \h </w:instrText>
      </w:r>
      <w:r>
        <w:rPr>
          <w:color w:val="auto"/>
          <w:highlight w:val="none"/>
        </w:rPr>
        <w:fldChar w:fldCharType="separate"/>
      </w:r>
      <w:r>
        <w:rPr>
          <w:color w:val="auto"/>
          <w:highlight w:val="none"/>
        </w:rPr>
        <w:t>40</w:t>
      </w:r>
      <w:r>
        <w:rPr>
          <w:color w:val="auto"/>
          <w:highlight w:val="none"/>
        </w:rPr>
        <w:fldChar w:fldCharType="end"/>
      </w:r>
      <w:r>
        <w:rPr>
          <w:rFonts w:hint="eastAsia" w:hAnsi="宋体" w:cs="宋体"/>
          <w:color w:val="auto"/>
          <w:szCs w:val="24"/>
          <w:highlight w:val="none"/>
        </w:rPr>
        <w:fldChar w:fldCharType="end"/>
      </w:r>
    </w:p>
    <w:p w14:paraId="0BB35D74">
      <w:pPr>
        <w:pStyle w:val="2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_Toc31344 </w:instrText>
      </w:r>
      <w:r>
        <w:rPr>
          <w:rFonts w:hint="eastAsia" w:hAnsi="宋体" w:cs="宋体"/>
          <w:color w:val="auto"/>
          <w:szCs w:val="24"/>
          <w:highlight w:val="none"/>
        </w:rPr>
        <w:fldChar w:fldCharType="separate"/>
      </w:r>
      <w:r>
        <w:rPr>
          <w:rFonts w:hint="eastAsia" w:ascii="宋体" w:hAnsi="宋体" w:eastAsia="宋体" w:cs="宋体"/>
          <w:bCs/>
          <w:snapToGrid w:val="0"/>
          <w:color w:val="auto"/>
          <w:kern w:val="0"/>
          <w:szCs w:val="24"/>
          <w:highlight w:val="none"/>
        </w:rPr>
        <w:t>3．监理服务费发票</w:t>
      </w:r>
      <w:r>
        <w:rPr>
          <w:color w:val="auto"/>
          <w:highlight w:val="none"/>
        </w:rPr>
        <w:tab/>
      </w:r>
      <w:r>
        <w:rPr>
          <w:color w:val="auto"/>
          <w:highlight w:val="none"/>
        </w:rPr>
        <w:fldChar w:fldCharType="begin"/>
      </w:r>
      <w:r>
        <w:rPr>
          <w:color w:val="auto"/>
          <w:highlight w:val="none"/>
        </w:rPr>
        <w:instrText xml:space="preserve"> PAGEREF _Toc31344 \h </w:instrText>
      </w:r>
      <w:r>
        <w:rPr>
          <w:color w:val="auto"/>
          <w:highlight w:val="none"/>
        </w:rPr>
        <w:fldChar w:fldCharType="separate"/>
      </w:r>
      <w:r>
        <w:rPr>
          <w:color w:val="auto"/>
          <w:highlight w:val="none"/>
        </w:rPr>
        <w:t>41</w:t>
      </w:r>
      <w:r>
        <w:rPr>
          <w:color w:val="auto"/>
          <w:highlight w:val="none"/>
        </w:rPr>
        <w:fldChar w:fldCharType="end"/>
      </w:r>
      <w:r>
        <w:rPr>
          <w:rFonts w:hint="eastAsia" w:hAnsi="宋体" w:cs="宋体"/>
          <w:color w:val="auto"/>
          <w:szCs w:val="24"/>
          <w:highlight w:val="none"/>
        </w:rPr>
        <w:fldChar w:fldCharType="end"/>
      </w:r>
    </w:p>
    <w:p w14:paraId="4816AA64">
      <w:pPr>
        <w:pStyle w:val="2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_Toc31725 </w:instrText>
      </w:r>
      <w:r>
        <w:rPr>
          <w:rFonts w:hint="eastAsia" w:hAnsi="宋体" w:cs="宋体"/>
          <w:color w:val="auto"/>
          <w:szCs w:val="24"/>
          <w:highlight w:val="none"/>
        </w:rPr>
        <w:fldChar w:fldCharType="separate"/>
      </w:r>
      <w:r>
        <w:rPr>
          <w:rFonts w:hint="eastAsia" w:hAnsi="宋体" w:cs="宋体"/>
          <w:bCs/>
          <w:snapToGrid w:val="0"/>
          <w:color w:val="auto"/>
          <w:kern w:val="0"/>
          <w:szCs w:val="24"/>
          <w:highlight w:val="none"/>
        </w:rPr>
        <w:t>4．违约责任</w:t>
      </w:r>
      <w:r>
        <w:rPr>
          <w:color w:val="auto"/>
          <w:highlight w:val="none"/>
        </w:rPr>
        <w:tab/>
      </w:r>
      <w:r>
        <w:rPr>
          <w:color w:val="auto"/>
          <w:highlight w:val="none"/>
        </w:rPr>
        <w:fldChar w:fldCharType="begin"/>
      </w:r>
      <w:r>
        <w:rPr>
          <w:color w:val="auto"/>
          <w:highlight w:val="none"/>
        </w:rPr>
        <w:instrText xml:space="preserve"> PAGEREF _Toc31725 \h </w:instrText>
      </w:r>
      <w:r>
        <w:rPr>
          <w:color w:val="auto"/>
          <w:highlight w:val="none"/>
        </w:rPr>
        <w:fldChar w:fldCharType="separate"/>
      </w:r>
      <w:r>
        <w:rPr>
          <w:color w:val="auto"/>
          <w:highlight w:val="none"/>
        </w:rPr>
        <w:t>41</w:t>
      </w:r>
      <w:r>
        <w:rPr>
          <w:color w:val="auto"/>
          <w:highlight w:val="none"/>
        </w:rPr>
        <w:fldChar w:fldCharType="end"/>
      </w:r>
      <w:r>
        <w:rPr>
          <w:rFonts w:hint="eastAsia" w:hAnsi="宋体" w:cs="宋体"/>
          <w:color w:val="auto"/>
          <w:szCs w:val="24"/>
          <w:highlight w:val="none"/>
        </w:rPr>
        <w:fldChar w:fldCharType="end"/>
      </w:r>
    </w:p>
    <w:p w14:paraId="6CE27B2A">
      <w:pPr>
        <w:pStyle w:val="2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_Toc4121 </w:instrText>
      </w:r>
      <w:r>
        <w:rPr>
          <w:rFonts w:hint="eastAsia" w:hAnsi="宋体" w:cs="宋体"/>
          <w:color w:val="auto"/>
          <w:szCs w:val="24"/>
          <w:highlight w:val="none"/>
        </w:rPr>
        <w:fldChar w:fldCharType="separate"/>
      </w:r>
      <w:r>
        <w:rPr>
          <w:rFonts w:hint="eastAsia" w:hAnsi="宋体" w:cs="宋体"/>
          <w:bCs/>
          <w:snapToGrid w:val="0"/>
          <w:color w:val="auto"/>
          <w:kern w:val="0"/>
          <w:szCs w:val="24"/>
          <w:highlight w:val="none"/>
        </w:rPr>
        <w:t>5．</w:t>
      </w:r>
      <w:r>
        <w:rPr>
          <w:rFonts w:hint="eastAsia" w:hAnsi="宋体" w:cs="宋体"/>
          <w:bCs/>
          <w:snapToGrid w:val="0"/>
          <w:color w:val="auto"/>
          <w:kern w:val="0"/>
          <w:szCs w:val="24"/>
          <w:highlight w:val="none"/>
          <w:lang w:val="en-US" w:eastAsia="zh-CN"/>
        </w:rPr>
        <w:t>监理服务费的</w:t>
      </w:r>
      <w:r>
        <w:rPr>
          <w:rFonts w:hint="eastAsia" w:hAnsi="宋体" w:cs="宋体"/>
          <w:bCs/>
          <w:snapToGrid w:val="0"/>
          <w:color w:val="auto"/>
          <w:kern w:val="0"/>
          <w:szCs w:val="24"/>
          <w:highlight w:val="none"/>
        </w:rPr>
        <w:t>支付</w:t>
      </w:r>
      <w:r>
        <w:rPr>
          <w:color w:val="auto"/>
          <w:highlight w:val="none"/>
        </w:rPr>
        <w:tab/>
      </w:r>
      <w:r>
        <w:rPr>
          <w:color w:val="auto"/>
          <w:highlight w:val="none"/>
        </w:rPr>
        <w:fldChar w:fldCharType="begin"/>
      </w:r>
      <w:r>
        <w:rPr>
          <w:color w:val="auto"/>
          <w:highlight w:val="none"/>
        </w:rPr>
        <w:instrText xml:space="preserve"> PAGEREF _Toc4121 \h </w:instrText>
      </w:r>
      <w:r>
        <w:rPr>
          <w:color w:val="auto"/>
          <w:highlight w:val="none"/>
        </w:rPr>
        <w:fldChar w:fldCharType="separate"/>
      </w:r>
      <w:r>
        <w:rPr>
          <w:color w:val="auto"/>
          <w:highlight w:val="none"/>
        </w:rPr>
        <w:t>42</w:t>
      </w:r>
      <w:r>
        <w:rPr>
          <w:color w:val="auto"/>
          <w:highlight w:val="none"/>
        </w:rPr>
        <w:fldChar w:fldCharType="end"/>
      </w:r>
      <w:r>
        <w:rPr>
          <w:rFonts w:hint="eastAsia" w:hAnsi="宋体" w:cs="宋体"/>
          <w:color w:val="auto"/>
          <w:szCs w:val="24"/>
          <w:highlight w:val="none"/>
        </w:rPr>
        <w:fldChar w:fldCharType="end"/>
      </w:r>
    </w:p>
    <w:p w14:paraId="6E8AE961">
      <w:pPr>
        <w:pStyle w:val="2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_Toc6555 </w:instrText>
      </w:r>
      <w:r>
        <w:rPr>
          <w:rFonts w:hint="eastAsia" w:hAnsi="宋体" w:cs="宋体"/>
          <w:color w:val="auto"/>
          <w:szCs w:val="24"/>
          <w:highlight w:val="none"/>
        </w:rPr>
        <w:fldChar w:fldCharType="separate"/>
      </w:r>
      <w:r>
        <w:rPr>
          <w:rFonts w:hint="eastAsia" w:hAnsi="宋体" w:cs="宋体"/>
          <w:bCs/>
          <w:snapToGrid w:val="0"/>
          <w:color w:val="auto"/>
          <w:kern w:val="0"/>
          <w:szCs w:val="24"/>
          <w:highlight w:val="none"/>
        </w:rPr>
        <w:t>6．</w:t>
      </w:r>
      <w:r>
        <w:rPr>
          <w:rFonts w:hint="eastAsia" w:ascii="Times New Roman"/>
          <w:snapToGrid w:val="0"/>
          <w:color w:val="auto"/>
          <w:szCs w:val="22"/>
          <w:highlight w:val="none"/>
        </w:rPr>
        <w:t>监理人违约及违约责任</w:t>
      </w:r>
      <w:r>
        <w:rPr>
          <w:color w:val="auto"/>
          <w:highlight w:val="none"/>
        </w:rPr>
        <w:tab/>
      </w:r>
      <w:r>
        <w:rPr>
          <w:color w:val="auto"/>
          <w:highlight w:val="none"/>
        </w:rPr>
        <w:fldChar w:fldCharType="begin"/>
      </w:r>
      <w:r>
        <w:rPr>
          <w:color w:val="auto"/>
          <w:highlight w:val="none"/>
        </w:rPr>
        <w:instrText xml:space="preserve"> PAGEREF _Toc6555 \h </w:instrText>
      </w:r>
      <w:r>
        <w:rPr>
          <w:color w:val="auto"/>
          <w:highlight w:val="none"/>
        </w:rPr>
        <w:fldChar w:fldCharType="separate"/>
      </w:r>
      <w:r>
        <w:rPr>
          <w:color w:val="auto"/>
          <w:highlight w:val="none"/>
        </w:rPr>
        <w:t>44</w:t>
      </w:r>
      <w:r>
        <w:rPr>
          <w:color w:val="auto"/>
          <w:highlight w:val="none"/>
        </w:rPr>
        <w:fldChar w:fldCharType="end"/>
      </w:r>
      <w:r>
        <w:rPr>
          <w:rFonts w:hint="eastAsia" w:hAnsi="宋体" w:cs="宋体"/>
          <w:color w:val="auto"/>
          <w:szCs w:val="24"/>
          <w:highlight w:val="none"/>
        </w:rPr>
        <w:fldChar w:fldCharType="end"/>
      </w:r>
    </w:p>
    <w:p w14:paraId="56A6CE35">
      <w:pPr>
        <w:pStyle w:val="2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_Toc15156 </w:instrText>
      </w:r>
      <w:r>
        <w:rPr>
          <w:rFonts w:hint="eastAsia" w:hAnsi="宋体" w:cs="宋体"/>
          <w:color w:val="auto"/>
          <w:szCs w:val="24"/>
          <w:highlight w:val="none"/>
        </w:rPr>
        <w:fldChar w:fldCharType="separate"/>
      </w:r>
      <w:r>
        <w:rPr>
          <w:rFonts w:hint="eastAsia" w:ascii="Times New Roman"/>
          <w:snapToGrid w:val="0"/>
          <w:color w:val="auto"/>
          <w:szCs w:val="22"/>
          <w:highlight w:val="none"/>
        </w:rPr>
        <w:t>7. 工程质量、造价、进度控制及安全生产管理</w:t>
      </w:r>
      <w:r>
        <w:rPr>
          <w:color w:val="auto"/>
          <w:highlight w:val="none"/>
        </w:rPr>
        <w:tab/>
      </w:r>
      <w:r>
        <w:rPr>
          <w:color w:val="auto"/>
          <w:highlight w:val="none"/>
        </w:rPr>
        <w:fldChar w:fldCharType="begin"/>
      </w:r>
      <w:r>
        <w:rPr>
          <w:color w:val="auto"/>
          <w:highlight w:val="none"/>
        </w:rPr>
        <w:instrText xml:space="preserve"> PAGEREF _Toc15156 \h </w:instrText>
      </w:r>
      <w:r>
        <w:rPr>
          <w:color w:val="auto"/>
          <w:highlight w:val="none"/>
        </w:rPr>
        <w:fldChar w:fldCharType="separate"/>
      </w:r>
      <w:r>
        <w:rPr>
          <w:color w:val="auto"/>
          <w:highlight w:val="none"/>
        </w:rPr>
        <w:t>49</w:t>
      </w:r>
      <w:r>
        <w:rPr>
          <w:color w:val="auto"/>
          <w:highlight w:val="none"/>
        </w:rPr>
        <w:fldChar w:fldCharType="end"/>
      </w:r>
      <w:r>
        <w:rPr>
          <w:rFonts w:hint="eastAsia" w:hAnsi="宋体" w:cs="宋体"/>
          <w:color w:val="auto"/>
          <w:szCs w:val="24"/>
          <w:highlight w:val="none"/>
        </w:rPr>
        <w:fldChar w:fldCharType="end"/>
      </w:r>
    </w:p>
    <w:p w14:paraId="57CB4514">
      <w:pPr>
        <w:pStyle w:val="21"/>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_Toc11137 </w:instrText>
      </w:r>
      <w:r>
        <w:rPr>
          <w:rFonts w:hint="eastAsia" w:hAnsi="宋体" w:cs="宋体"/>
          <w:color w:val="auto"/>
          <w:szCs w:val="24"/>
          <w:highlight w:val="none"/>
        </w:rPr>
        <w:fldChar w:fldCharType="separate"/>
      </w:r>
      <w:r>
        <w:rPr>
          <w:rFonts w:hint="eastAsia" w:ascii="Times New Roman"/>
          <w:snapToGrid w:val="0"/>
          <w:color w:val="auto"/>
          <w:szCs w:val="22"/>
          <w:highlight w:val="none"/>
        </w:rPr>
        <w:t>第四章 技术要求</w:t>
      </w:r>
      <w:r>
        <w:rPr>
          <w:color w:val="auto"/>
          <w:highlight w:val="none"/>
        </w:rPr>
        <w:tab/>
      </w:r>
      <w:r>
        <w:rPr>
          <w:color w:val="auto"/>
          <w:highlight w:val="none"/>
        </w:rPr>
        <w:fldChar w:fldCharType="begin"/>
      </w:r>
      <w:r>
        <w:rPr>
          <w:color w:val="auto"/>
          <w:highlight w:val="none"/>
        </w:rPr>
        <w:instrText xml:space="preserve"> PAGEREF _Toc11137 \h </w:instrText>
      </w:r>
      <w:r>
        <w:rPr>
          <w:color w:val="auto"/>
          <w:highlight w:val="none"/>
        </w:rPr>
        <w:fldChar w:fldCharType="separate"/>
      </w:r>
      <w:r>
        <w:rPr>
          <w:color w:val="auto"/>
          <w:highlight w:val="none"/>
        </w:rPr>
        <w:t>54</w:t>
      </w:r>
      <w:r>
        <w:rPr>
          <w:color w:val="auto"/>
          <w:highlight w:val="none"/>
        </w:rPr>
        <w:fldChar w:fldCharType="end"/>
      </w:r>
      <w:r>
        <w:rPr>
          <w:rFonts w:hint="eastAsia" w:hAnsi="宋体" w:cs="宋体"/>
          <w:color w:val="auto"/>
          <w:szCs w:val="24"/>
          <w:highlight w:val="none"/>
        </w:rPr>
        <w:fldChar w:fldCharType="end"/>
      </w:r>
    </w:p>
    <w:p w14:paraId="0ED31A41">
      <w:pPr>
        <w:pStyle w:val="21"/>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_Toc27904 </w:instrText>
      </w:r>
      <w:r>
        <w:rPr>
          <w:rFonts w:hint="eastAsia" w:hAnsi="宋体" w:cs="宋体"/>
          <w:color w:val="auto"/>
          <w:szCs w:val="24"/>
          <w:highlight w:val="none"/>
        </w:rPr>
        <w:fldChar w:fldCharType="separate"/>
      </w:r>
      <w:r>
        <w:rPr>
          <w:rFonts w:hint="eastAsia" w:ascii="Times New Roman"/>
          <w:snapToGrid w:val="0"/>
          <w:color w:val="auto"/>
          <w:szCs w:val="22"/>
          <w:highlight w:val="none"/>
        </w:rPr>
        <w:t>第五章 投标文件格式</w:t>
      </w:r>
      <w:r>
        <w:rPr>
          <w:color w:val="auto"/>
          <w:highlight w:val="none"/>
        </w:rPr>
        <w:tab/>
      </w:r>
      <w:r>
        <w:rPr>
          <w:color w:val="auto"/>
          <w:highlight w:val="none"/>
        </w:rPr>
        <w:fldChar w:fldCharType="begin"/>
      </w:r>
      <w:r>
        <w:rPr>
          <w:color w:val="auto"/>
          <w:highlight w:val="none"/>
        </w:rPr>
        <w:instrText xml:space="preserve"> PAGEREF _Toc27904 \h </w:instrText>
      </w:r>
      <w:r>
        <w:rPr>
          <w:color w:val="auto"/>
          <w:highlight w:val="none"/>
        </w:rPr>
        <w:fldChar w:fldCharType="separate"/>
      </w:r>
      <w:r>
        <w:rPr>
          <w:color w:val="auto"/>
          <w:highlight w:val="none"/>
        </w:rPr>
        <w:t>56</w:t>
      </w:r>
      <w:r>
        <w:rPr>
          <w:color w:val="auto"/>
          <w:highlight w:val="none"/>
        </w:rPr>
        <w:fldChar w:fldCharType="end"/>
      </w:r>
      <w:r>
        <w:rPr>
          <w:rFonts w:hint="eastAsia" w:hAnsi="宋体" w:cs="宋体"/>
          <w:color w:val="auto"/>
          <w:szCs w:val="24"/>
          <w:highlight w:val="none"/>
        </w:rPr>
        <w:fldChar w:fldCharType="end"/>
      </w:r>
    </w:p>
    <w:p w14:paraId="3BA92CEE">
      <w:pPr>
        <w:pStyle w:val="2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_Toc31809 </w:instrText>
      </w:r>
      <w:r>
        <w:rPr>
          <w:rFonts w:hint="eastAsia" w:hAnsi="宋体" w:cs="宋体"/>
          <w:color w:val="auto"/>
          <w:szCs w:val="24"/>
          <w:highlight w:val="none"/>
        </w:rPr>
        <w:fldChar w:fldCharType="separate"/>
      </w:r>
      <w:r>
        <w:rPr>
          <w:rFonts w:hint="eastAsia" w:ascii="Times New Roman"/>
          <w:snapToGrid w:val="0"/>
          <w:color w:val="auto"/>
          <w:highlight w:val="none"/>
        </w:rPr>
        <w:t>格式一 封面</w:t>
      </w:r>
      <w:r>
        <w:rPr>
          <w:color w:val="auto"/>
          <w:highlight w:val="none"/>
        </w:rPr>
        <w:tab/>
      </w:r>
      <w:r>
        <w:rPr>
          <w:color w:val="auto"/>
          <w:highlight w:val="none"/>
        </w:rPr>
        <w:fldChar w:fldCharType="begin"/>
      </w:r>
      <w:r>
        <w:rPr>
          <w:color w:val="auto"/>
          <w:highlight w:val="none"/>
        </w:rPr>
        <w:instrText xml:space="preserve"> PAGEREF _Toc31809 \h </w:instrText>
      </w:r>
      <w:r>
        <w:rPr>
          <w:color w:val="auto"/>
          <w:highlight w:val="none"/>
        </w:rPr>
        <w:fldChar w:fldCharType="separate"/>
      </w:r>
      <w:r>
        <w:rPr>
          <w:color w:val="auto"/>
          <w:highlight w:val="none"/>
        </w:rPr>
        <w:t>56</w:t>
      </w:r>
      <w:r>
        <w:rPr>
          <w:color w:val="auto"/>
          <w:highlight w:val="none"/>
        </w:rPr>
        <w:fldChar w:fldCharType="end"/>
      </w:r>
      <w:r>
        <w:rPr>
          <w:rFonts w:hint="eastAsia" w:hAnsi="宋体" w:cs="宋体"/>
          <w:color w:val="auto"/>
          <w:szCs w:val="24"/>
          <w:highlight w:val="none"/>
        </w:rPr>
        <w:fldChar w:fldCharType="end"/>
      </w:r>
    </w:p>
    <w:p w14:paraId="59EAEB66">
      <w:pPr>
        <w:pStyle w:val="2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_Toc29299 </w:instrText>
      </w:r>
      <w:r>
        <w:rPr>
          <w:rFonts w:hint="eastAsia" w:hAnsi="宋体" w:cs="宋体"/>
          <w:color w:val="auto"/>
          <w:szCs w:val="24"/>
          <w:highlight w:val="none"/>
        </w:rPr>
        <w:fldChar w:fldCharType="separate"/>
      </w:r>
      <w:r>
        <w:rPr>
          <w:rFonts w:hint="eastAsia" w:ascii="Times New Roman"/>
          <w:snapToGrid w:val="0"/>
          <w:color w:val="auto"/>
          <w:highlight w:val="none"/>
        </w:rPr>
        <w:t>格式二 投标函</w:t>
      </w:r>
      <w:r>
        <w:rPr>
          <w:color w:val="auto"/>
          <w:highlight w:val="none"/>
        </w:rPr>
        <w:tab/>
      </w:r>
      <w:r>
        <w:rPr>
          <w:color w:val="auto"/>
          <w:highlight w:val="none"/>
        </w:rPr>
        <w:fldChar w:fldCharType="begin"/>
      </w:r>
      <w:r>
        <w:rPr>
          <w:color w:val="auto"/>
          <w:highlight w:val="none"/>
        </w:rPr>
        <w:instrText xml:space="preserve"> PAGEREF _Toc29299 \h </w:instrText>
      </w:r>
      <w:r>
        <w:rPr>
          <w:color w:val="auto"/>
          <w:highlight w:val="none"/>
        </w:rPr>
        <w:fldChar w:fldCharType="separate"/>
      </w:r>
      <w:r>
        <w:rPr>
          <w:color w:val="auto"/>
          <w:highlight w:val="none"/>
        </w:rPr>
        <w:t>57</w:t>
      </w:r>
      <w:r>
        <w:rPr>
          <w:color w:val="auto"/>
          <w:highlight w:val="none"/>
        </w:rPr>
        <w:fldChar w:fldCharType="end"/>
      </w:r>
      <w:r>
        <w:rPr>
          <w:rFonts w:hint="eastAsia" w:hAnsi="宋体" w:cs="宋体"/>
          <w:color w:val="auto"/>
          <w:szCs w:val="24"/>
          <w:highlight w:val="none"/>
        </w:rPr>
        <w:fldChar w:fldCharType="end"/>
      </w:r>
    </w:p>
    <w:p w14:paraId="2786B9EC">
      <w:pPr>
        <w:pStyle w:val="2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_Toc1644 </w:instrText>
      </w:r>
      <w:r>
        <w:rPr>
          <w:rFonts w:hint="eastAsia" w:hAnsi="宋体" w:cs="宋体"/>
          <w:color w:val="auto"/>
          <w:szCs w:val="24"/>
          <w:highlight w:val="none"/>
        </w:rPr>
        <w:fldChar w:fldCharType="separate"/>
      </w:r>
      <w:r>
        <w:rPr>
          <w:rFonts w:hint="eastAsia" w:hAnsi="宋体" w:cs="宋体"/>
          <w:snapToGrid w:val="0"/>
          <w:color w:val="auto"/>
          <w:highlight w:val="none"/>
        </w:rPr>
        <w:t>格式三 各项承诺一览表</w:t>
      </w:r>
      <w:r>
        <w:rPr>
          <w:color w:val="auto"/>
          <w:highlight w:val="none"/>
        </w:rPr>
        <w:tab/>
      </w:r>
      <w:r>
        <w:rPr>
          <w:color w:val="auto"/>
          <w:highlight w:val="none"/>
        </w:rPr>
        <w:fldChar w:fldCharType="begin"/>
      </w:r>
      <w:r>
        <w:rPr>
          <w:color w:val="auto"/>
          <w:highlight w:val="none"/>
        </w:rPr>
        <w:instrText xml:space="preserve"> PAGEREF _Toc1644 \h </w:instrText>
      </w:r>
      <w:r>
        <w:rPr>
          <w:color w:val="auto"/>
          <w:highlight w:val="none"/>
        </w:rPr>
        <w:fldChar w:fldCharType="separate"/>
      </w:r>
      <w:r>
        <w:rPr>
          <w:color w:val="auto"/>
          <w:highlight w:val="none"/>
        </w:rPr>
        <w:t>58</w:t>
      </w:r>
      <w:r>
        <w:rPr>
          <w:color w:val="auto"/>
          <w:highlight w:val="none"/>
        </w:rPr>
        <w:fldChar w:fldCharType="end"/>
      </w:r>
      <w:r>
        <w:rPr>
          <w:rFonts w:hint="eastAsia" w:hAnsi="宋体" w:cs="宋体"/>
          <w:color w:val="auto"/>
          <w:szCs w:val="24"/>
          <w:highlight w:val="none"/>
        </w:rPr>
        <w:fldChar w:fldCharType="end"/>
      </w:r>
    </w:p>
    <w:p w14:paraId="00F16A01">
      <w:pPr>
        <w:pStyle w:val="2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_Toc32644 </w:instrText>
      </w:r>
      <w:r>
        <w:rPr>
          <w:rFonts w:hint="eastAsia" w:hAnsi="宋体" w:cs="宋体"/>
          <w:color w:val="auto"/>
          <w:szCs w:val="24"/>
          <w:highlight w:val="none"/>
        </w:rPr>
        <w:fldChar w:fldCharType="separate"/>
      </w:r>
      <w:r>
        <w:rPr>
          <w:rFonts w:hint="eastAsia" w:hAnsi="宋体" w:cs="宋体"/>
          <w:bCs/>
          <w:snapToGrid w:val="0"/>
          <w:color w:val="auto"/>
          <w:kern w:val="0"/>
          <w:szCs w:val="24"/>
          <w:highlight w:val="none"/>
        </w:rPr>
        <w:t>格式四 授权委托书</w:t>
      </w:r>
      <w:r>
        <w:rPr>
          <w:color w:val="auto"/>
          <w:highlight w:val="none"/>
        </w:rPr>
        <w:tab/>
      </w:r>
      <w:r>
        <w:rPr>
          <w:color w:val="auto"/>
          <w:highlight w:val="none"/>
        </w:rPr>
        <w:fldChar w:fldCharType="begin"/>
      </w:r>
      <w:r>
        <w:rPr>
          <w:color w:val="auto"/>
          <w:highlight w:val="none"/>
        </w:rPr>
        <w:instrText xml:space="preserve"> PAGEREF _Toc32644 \h </w:instrText>
      </w:r>
      <w:r>
        <w:rPr>
          <w:color w:val="auto"/>
          <w:highlight w:val="none"/>
        </w:rPr>
        <w:fldChar w:fldCharType="separate"/>
      </w:r>
      <w:r>
        <w:rPr>
          <w:color w:val="auto"/>
          <w:highlight w:val="none"/>
        </w:rPr>
        <w:t>60</w:t>
      </w:r>
      <w:r>
        <w:rPr>
          <w:color w:val="auto"/>
          <w:highlight w:val="none"/>
        </w:rPr>
        <w:fldChar w:fldCharType="end"/>
      </w:r>
      <w:r>
        <w:rPr>
          <w:rFonts w:hint="eastAsia" w:hAnsi="宋体" w:cs="宋体"/>
          <w:color w:val="auto"/>
          <w:szCs w:val="24"/>
          <w:highlight w:val="none"/>
        </w:rPr>
        <w:fldChar w:fldCharType="end"/>
      </w:r>
    </w:p>
    <w:p w14:paraId="1942015D">
      <w:pPr>
        <w:pStyle w:val="2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_Toc27423 </w:instrText>
      </w:r>
      <w:r>
        <w:rPr>
          <w:rFonts w:hint="eastAsia" w:hAnsi="宋体" w:cs="宋体"/>
          <w:color w:val="auto"/>
          <w:szCs w:val="24"/>
          <w:highlight w:val="none"/>
        </w:rPr>
        <w:fldChar w:fldCharType="separate"/>
      </w:r>
      <w:r>
        <w:rPr>
          <w:rFonts w:hint="eastAsia" w:hAnsi="宋体" w:cs="宋体"/>
          <w:snapToGrid w:val="0"/>
          <w:color w:val="auto"/>
          <w:kern w:val="0"/>
          <w:highlight w:val="none"/>
        </w:rPr>
        <w:t>格式五 法定代表人身份证明</w:t>
      </w:r>
      <w:r>
        <w:rPr>
          <w:color w:val="auto"/>
          <w:highlight w:val="none"/>
        </w:rPr>
        <w:tab/>
      </w:r>
      <w:r>
        <w:rPr>
          <w:color w:val="auto"/>
          <w:highlight w:val="none"/>
        </w:rPr>
        <w:fldChar w:fldCharType="begin"/>
      </w:r>
      <w:r>
        <w:rPr>
          <w:color w:val="auto"/>
          <w:highlight w:val="none"/>
        </w:rPr>
        <w:instrText xml:space="preserve"> PAGEREF _Toc27423 \h </w:instrText>
      </w:r>
      <w:r>
        <w:rPr>
          <w:color w:val="auto"/>
          <w:highlight w:val="none"/>
        </w:rPr>
        <w:fldChar w:fldCharType="separate"/>
      </w:r>
      <w:r>
        <w:rPr>
          <w:color w:val="auto"/>
          <w:highlight w:val="none"/>
        </w:rPr>
        <w:t>61</w:t>
      </w:r>
      <w:r>
        <w:rPr>
          <w:color w:val="auto"/>
          <w:highlight w:val="none"/>
        </w:rPr>
        <w:fldChar w:fldCharType="end"/>
      </w:r>
      <w:r>
        <w:rPr>
          <w:rFonts w:hint="eastAsia" w:hAnsi="宋体" w:cs="宋体"/>
          <w:color w:val="auto"/>
          <w:szCs w:val="24"/>
          <w:highlight w:val="none"/>
        </w:rPr>
        <w:fldChar w:fldCharType="end"/>
      </w:r>
    </w:p>
    <w:p w14:paraId="08194935">
      <w:pPr>
        <w:pStyle w:val="2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_Toc474 </w:instrText>
      </w:r>
      <w:r>
        <w:rPr>
          <w:rFonts w:hint="eastAsia" w:hAnsi="宋体" w:cs="宋体"/>
          <w:color w:val="auto"/>
          <w:szCs w:val="24"/>
          <w:highlight w:val="none"/>
        </w:rPr>
        <w:fldChar w:fldCharType="separate"/>
      </w:r>
      <w:r>
        <w:rPr>
          <w:rFonts w:hint="eastAsia" w:hAnsi="宋体" w:cs="宋体"/>
          <w:bCs/>
          <w:snapToGrid w:val="0"/>
          <w:color w:val="auto"/>
          <w:kern w:val="0"/>
          <w:szCs w:val="24"/>
          <w:highlight w:val="none"/>
        </w:rPr>
        <w:t>格式六 投标人基本情况表</w:t>
      </w:r>
      <w:r>
        <w:rPr>
          <w:color w:val="auto"/>
          <w:highlight w:val="none"/>
        </w:rPr>
        <w:tab/>
      </w:r>
      <w:r>
        <w:rPr>
          <w:color w:val="auto"/>
          <w:highlight w:val="none"/>
        </w:rPr>
        <w:fldChar w:fldCharType="begin"/>
      </w:r>
      <w:r>
        <w:rPr>
          <w:color w:val="auto"/>
          <w:highlight w:val="none"/>
        </w:rPr>
        <w:instrText xml:space="preserve"> PAGEREF _Toc474 \h </w:instrText>
      </w:r>
      <w:r>
        <w:rPr>
          <w:color w:val="auto"/>
          <w:highlight w:val="none"/>
        </w:rPr>
        <w:fldChar w:fldCharType="separate"/>
      </w:r>
      <w:r>
        <w:rPr>
          <w:color w:val="auto"/>
          <w:highlight w:val="none"/>
        </w:rPr>
        <w:t>62</w:t>
      </w:r>
      <w:r>
        <w:rPr>
          <w:color w:val="auto"/>
          <w:highlight w:val="none"/>
        </w:rPr>
        <w:fldChar w:fldCharType="end"/>
      </w:r>
      <w:r>
        <w:rPr>
          <w:rFonts w:hint="eastAsia" w:hAnsi="宋体" w:cs="宋体"/>
          <w:color w:val="auto"/>
          <w:szCs w:val="24"/>
          <w:highlight w:val="none"/>
        </w:rPr>
        <w:fldChar w:fldCharType="end"/>
      </w:r>
    </w:p>
    <w:p w14:paraId="3C333620">
      <w:pPr>
        <w:pStyle w:val="2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_Toc22135 </w:instrText>
      </w:r>
      <w:r>
        <w:rPr>
          <w:rFonts w:hint="eastAsia" w:hAnsi="宋体" w:cs="宋体"/>
          <w:color w:val="auto"/>
          <w:szCs w:val="24"/>
          <w:highlight w:val="none"/>
        </w:rPr>
        <w:fldChar w:fldCharType="separate"/>
      </w:r>
      <w:r>
        <w:rPr>
          <w:rFonts w:hint="eastAsia" w:hAnsi="宋体" w:cs="宋体"/>
          <w:snapToGrid w:val="0"/>
          <w:color w:val="auto"/>
          <w:kern w:val="0"/>
          <w:highlight w:val="none"/>
        </w:rPr>
        <w:t>格式七 总监理工程师任职声明（适用于无任职项目）</w:t>
      </w:r>
      <w:r>
        <w:rPr>
          <w:color w:val="auto"/>
          <w:highlight w:val="none"/>
        </w:rPr>
        <w:tab/>
      </w:r>
      <w:r>
        <w:rPr>
          <w:color w:val="auto"/>
          <w:highlight w:val="none"/>
        </w:rPr>
        <w:fldChar w:fldCharType="begin"/>
      </w:r>
      <w:r>
        <w:rPr>
          <w:color w:val="auto"/>
          <w:highlight w:val="none"/>
        </w:rPr>
        <w:instrText xml:space="preserve"> PAGEREF _Toc22135 \h </w:instrText>
      </w:r>
      <w:r>
        <w:rPr>
          <w:color w:val="auto"/>
          <w:highlight w:val="none"/>
        </w:rPr>
        <w:fldChar w:fldCharType="separate"/>
      </w:r>
      <w:r>
        <w:rPr>
          <w:color w:val="auto"/>
          <w:highlight w:val="none"/>
        </w:rPr>
        <w:t>63</w:t>
      </w:r>
      <w:r>
        <w:rPr>
          <w:color w:val="auto"/>
          <w:highlight w:val="none"/>
        </w:rPr>
        <w:fldChar w:fldCharType="end"/>
      </w:r>
      <w:r>
        <w:rPr>
          <w:rFonts w:hint="eastAsia" w:hAnsi="宋体" w:cs="宋体"/>
          <w:color w:val="auto"/>
          <w:szCs w:val="24"/>
          <w:highlight w:val="none"/>
        </w:rPr>
        <w:fldChar w:fldCharType="end"/>
      </w:r>
    </w:p>
    <w:p w14:paraId="59F91C3B">
      <w:pPr>
        <w:pStyle w:val="2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_Toc24032 </w:instrText>
      </w:r>
      <w:r>
        <w:rPr>
          <w:rFonts w:hint="eastAsia" w:hAnsi="宋体" w:cs="宋体"/>
          <w:color w:val="auto"/>
          <w:szCs w:val="24"/>
          <w:highlight w:val="none"/>
        </w:rPr>
        <w:fldChar w:fldCharType="separate"/>
      </w:r>
      <w:r>
        <w:rPr>
          <w:rFonts w:hint="eastAsia" w:hAnsi="宋体" w:cs="宋体"/>
          <w:snapToGrid w:val="0"/>
          <w:color w:val="auto"/>
          <w:kern w:val="0"/>
          <w:highlight w:val="none"/>
        </w:rPr>
        <w:t>格式八 总监理工程师任职声明（适用于有任职项目）</w:t>
      </w:r>
      <w:r>
        <w:rPr>
          <w:color w:val="auto"/>
          <w:highlight w:val="none"/>
        </w:rPr>
        <w:tab/>
      </w:r>
      <w:r>
        <w:rPr>
          <w:color w:val="auto"/>
          <w:highlight w:val="none"/>
        </w:rPr>
        <w:fldChar w:fldCharType="begin"/>
      </w:r>
      <w:r>
        <w:rPr>
          <w:color w:val="auto"/>
          <w:highlight w:val="none"/>
        </w:rPr>
        <w:instrText xml:space="preserve"> PAGEREF _Toc24032 \h </w:instrText>
      </w:r>
      <w:r>
        <w:rPr>
          <w:color w:val="auto"/>
          <w:highlight w:val="none"/>
        </w:rPr>
        <w:fldChar w:fldCharType="separate"/>
      </w:r>
      <w:r>
        <w:rPr>
          <w:color w:val="auto"/>
          <w:highlight w:val="none"/>
        </w:rPr>
        <w:t>64</w:t>
      </w:r>
      <w:r>
        <w:rPr>
          <w:color w:val="auto"/>
          <w:highlight w:val="none"/>
        </w:rPr>
        <w:fldChar w:fldCharType="end"/>
      </w:r>
      <w:r>
        <w:rPr>
          <w:rFonts w:hint="eastAsia" w:hAnsi="宋体" w:cs="宋体"/>
          <w:color w:val="auto"/>
          <w:szCs w:val="24"/>
          <w:highlight w:val="none"/>
        </w:rPr>
        <w:fldChar w:fldCharType="end"/>
      </w:r>
    </w:p>
    <w:p w14:paraId="4CA2EE37">
      <w:pPr>
        <w:pStyle w:val="2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_Toc2263 </w:instrText>
      </w:r>
      <w:r>
        <w:rPr>
          <w:rFonts w:hint="eastAsia" w:hAnsi="宋体" w:cs="宋体"/>
          <w:color w:val="auto"/>
          <w:szCs w:val="24"/>
          <w:highlight w:val="none"/>
        </w:rPr>
        <w:fldChar w:fldCharType="separate"/>
      </w:r>
      <w:r>
        <w:rPr>
          <w:rFonts w:hint="eastAsia" w:hAnsi="宋体" w:cs="宋体"/>
          <w:bCs/>
          <w:snapToGrid w:val="0"/>
          <w:color w:val="auto"/>
          <w:kern w:val="0"/>
          <w:szCs w:val="24"/>
          <w:highlight w:val="none"/>
        </w:rPr>
        <w:t>格式九 总监理工程师任职项目情况表</w:t>
      </w:r>
      <w:r>
        <w:rPr>
          <w:color w:val="auto"/>
          <w:highlight w:val="none"/>
        </w:rPr>
        <w:tab/>
      </w:r>
      <w:r>
        <w:rPr>
          <w:color w:val="auto"/>
          <w:highlight w:val="none"/>
        </w:rPr>
        <w:fldChar w:fldCharType="begin"/>
      </w:r>
      <w:r>
        <w:rPr>
          <w:color w:val="auto"/>
          <w:highlight w:val="none"/>
        </w:rPr>
        <w:instrText xml:space="preserve"> PAGEREF _Toc2263 \h </w:instrText>
      </w:r>
      <w:r>
        <w:rPr>
          <w:color w:val="auto"/>
          <w:highlight w:val="none"/>
        </w:rPr>
        <w:fldChar w:fldCharType="separate"/>
      </w:r>
      <w:r>
        <w:rPr>
          <w:color w:val="auto"/>
          <w:highlight w:val="none"/>
        </w:rPr>
        <w:t>65</w:t>
      </w:r>
      <w:r>
        <w:rPr>
          <w:color w:val="auto"/>
          <w:highlight w:val="none"/>
        </w:rPr>
        <w:fldChar w:fldCharType="end"/>
      </w:r>
      <w:r>
        <w:rPr>
          <w:rFonts w:hint="eastAsia" w:hAnsi="宋体" w:cs="宋体"/>
          <w:color w:val="auto"/>
          <w:szCs w:val="24"/>
          <w:highlight w:val="none"/>
        </w:rPr>
        <w:fldChar w:fldCharType="end"/>
      </w:r>
    </w:p>
    <w:p w14:paraId="7E7E2184">
      <w:pPr>
        <w:pStyle w:val="2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_Toc4492 </w:instrText>
      </w:r>
      <w:r>
        <w:rPr>
          <w:rFonts w:hint="eastAsia" w:hAnsi="宋体" w:cs="宋体"/>
          <w:color w:val="auto"/>
          <w:szCs w:val="24"/>
          <w:highlight w:val="none"/>
        </w:rPr>
        <w:fldChar w:fldCharType="separate"/>
      </w:r>
      <w:r>
        <w:rPr>
          <w:rFonts w:hint="eastAsia" w:hAnsi="宋体" w:cs="宋体"/>
          <w:snapToGrid w:val="0"/>
          <w:color w:val="auto"/>
          <w:kern w:val="0"/>
          <w:highlight w:val="none"/>
        </w:rPr>
        <w:t>格式</w:t>
      </w:r>
      <w:r>
        <w:rPr>
          <w:rFonts w:hint="eastAsia" w:hAnsi="宋体" w:cs="宋体"/>
          <w:bCs/>
          <w:snapToGrid w:val="0"/>
          <w:color w:val="auto"/>
          <w:kern w:val="0"/>
          <w:szCs w:val="24"/>
          <w:highlight w:val="none"/>
        </w:rPr>
        <w:t>十 项目监理机构组成人员汇总表</w:t>
      </w:r>
      <w:r>
        <w:rPr>
          <w:color w:val="auto"/>
          <w:highlight w:val="none"/>
        </w:rPr>
        <w:tab/>
      </w:r>
      <w:r>
        <w:rPr>
          <w:color w:val="auto"/>
          <w:highlight w:val="none"/>
        </w:rPr>
        <w:fldChar w:fldCharType="begin"/>
      </w:r>
      <w:r>
        <w:rPr>
          <w:color w:val="auto"/>
          <w:highlight w:val="none"/>
        </w:rPr>
        <w:instrText xml:space="preserve"> PAGEREF _Toc4492 \h </w:instrText>
      </w:r>
      <w:r>
        <w:rPr>
          <w:color w:val="auto"/>
          <w:highlight w:val="none"/>
        </w:rPr>
        <w:fldChar w:fldCharType="separate"/>
      </w:r>
      <w:r>
        <w:rPr>
          <w:color w:val="auto"/>
          <w:highlight w:val="none"/>
        </w:rPr>
        <w:t>66</w:t>
      </w:r>
      <w:r>
        <w:rPr>
          <w:color w:val="auto"/>
          <w:highlight w:val="none"/>
        </w:rPr>
        <w:fldChar w:fldCharType="end"/>
      </w:r>
      <w:r>
        <w:rPr>
          <w:rFonts w:hint="eastAsia" w:hAnsi="宋体" w:cs="宋体"/>
          <w:color w:val="auto"/>
          <w:szCs w:val="24"/>
          <w:highlight w:val="none"/>
        </w:rPr>
        <w:fldChar w:fldCharType="end"/>
      </w:r>
    </w:p>
    <w:p w14:paraId="1C693EA0">
      <w:pPr>
        <w:pStyle w:val="2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_Toc13068 </w:instrText>
      </w:r>
      <w:r>
        <w:rPr>
          <w:rFonts w:hint="eastAsia" w:hAnsi="宋体" w:cs="宋体"/>
          <w:color w:val="auto"/>
          <w:szCs w:val="24"/>
          <w:highlight w:val="none"/>
        </w:rPr>
        <w:fldChar w:fldCharType="separate"/>
      </w:r>
      <w:r>
        <w:rPr>
          <w:rFonts w:hint="eastAsia" w:ascii="宋体" w:hAnsi="宋体" w:cs="宋体"/>
          <w:bCs/>
          <w:snapToGrid w:val="0"/>
          <w:color w:val="auto"/>
          <w:highlight w:val="none"/>
        </w:rPr>
        <w:t>格式十一 总监理工程师简历表</w:t>
      </w:r>
      <w:r>
        <w:rPr>
          <w:color w:val="auto"/>
          <w:highlight w:val="none"/>
        </w:rPr>
        <w:tab/>
      </w:r>
      <w:r>
        <w:rPr>
          <w:color w:val="auto"/>
          <w:highlight w:val="none"/>
        </w:rPr>
        <w:fldChar w:fldCharType="begin"/>
      </w:r>
      <w:r>
        <w:rPr>
          <w:color w:val="auto"/>
          <w:highlight w:val="none"/>
        </w:rPr>
        <w:instrText xml:space="preserve"> PAGEREF _Toc13068 \h </w:instrText>
      </w:r>
      <w:r>
        <w:rPr>
          <w:color w:val="auto"/>
          <w:highlight w:val="none"/>
        </w:rPr>
        <w:fldChar w:fldCharType="separate"/>
      </w:r>
      <w:r>
        <w:rPr>
          <w:color w:val="auto"/>
          <w:highlight w:val="none"/>
        </w:rPr>
        <w:t>67</w:t>
      </w:r>
      <w:r>
        <w:rPr>
          <w:color w:val="auto"/>
          <w:highlight w:val="none"/>
        </w:rPr>
        <w:fldChar w:fldCharType="end"/>
      </w:r>
      <w:r>
        <w:rPr>
          <w:rFonts w:hint="eastAsia" w:hAnsi="宋体" w:cs="宋体"/>
          <w:color w:val="auto"/>
          <w:szCs w:val="24"/>
          <w:highlight w:val="none"/>
        </w:rPr>
        <w:fldChar w:fldCharType="end"/>
      </w:r>
    </w:p>
    <w:p w14:paraId="31192956">
      <w:pPr>
        <w:pStyle w:val="2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_Toc21090 </w:instrText>
      </w:r>
      <w:r>
        <w:rPr>
          <w:rFonts w:hint="eastAsia" w:hAnsi="宋体" w:cs="宋体"/>
          <w:color w:val="auto"/>
          <w:szCs w:val="24"/>
          <w:highlight w:val="none"/>
        </w:rPr>
        <w:fldChar w:fldCharType="separate"/>
      </w:r>
      <w:r>
        <w:rPr>
          <w:rFonts w:hint="eastAsia" w:ascii="宋体" w:hAnsi="宋体" w:cs="宋体"/>
          <w:bCs/>
          <w:snapToGrid w:val="0"/>
          <w:color w:val="auto"/>
          <w:highlight w:val="none"/>
        </w:rPr>
        <w:t>格式十二 其他拟派人员简历表</w:t>
      </w:r>
      <w:r>
        <w:rPr>
          <w:color w:val="auto"/>
          <w:highlight w:val="none"/>
        </w:rPr>
        <w:tab/>
      </w:r>
      <w:r>
        <w:rPr>
          <w:color w:val="auto"/>
          <w:highlight w:val="none"/>
        </w:rPr>
        <w:fldChar w:fldCharType="begin"/>
      </w:r>
      <w:r>
        <w:rPr>
          <w:color w:val="auto"/>
          <w:highlight w:val="none"/>
        </w:rPr>
        <w:instrText xml:space="preserve"> PAGEREF _Toc21090 \h </w:instrText>
      </w:r>
      <w:r>
        <w:rPr>
          <w:color w:val="auto"/>
          <w:highlight w:val="none"/>
        </w:rPr>
        <w:fldChar w:fldCharType="separate"/>
      </w:r>
      <w:r>
        <w:rPr>
          <w:color w:val="auto"/>
          <w:highlight w:val="none"/>
        </w:rPr>
        <w:t>68</w:t>
      </w:r>
      <w:r>
        <w:rPr>
          <w:color w:val="auto"/>
          <w:highlight w:val="none"/>
        </w:rPr>
        <w:fldChar w:fldCharType="end"/>
      </w:r>
      <w:r>
        <w:rPr>
          <w:rFonts w:hint="eastAsia" w:hAnsi="宋体" w:cs="宋体"/>
          <w:color w:val="auto"/>
          <w:szCs w:val="24"/>
          <w:highlight w:val="none"/>
        </w:rPr>
        <w:fldChar w:fldCharType="end"/>
      </w:r>
    </w:p>
    <w:p w14:paraId="061617BB">
      <w:pPr>
        <w:pStyle w:val="2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_Toc1230 </w:instrText>
      </w:r>
      <w:r>
        <w:rPr>
          <w:rFonts w:hint="eastAsia" w:hAnsi="宋体" w:cs="宋体"/>
          <w:color w:val="auto"/>
          <w:szCs w:val="24"/>
          <w:highlight w:val="none"/>
        </w:rPr>
        <w:fldChar w:fldCharType="separate"/>
      </w:r>
      <w:r>
        <w:rPr>
          <w:rFonts w:hint="eastAsia"/>
          <w:bCs/>
          <w:color w:val="auto"/>
          <w:highlight w:val="none"/>
          <w:lang w:val="en-US" w:eastAsia="zh-CN"/>
        </w:rPr>
        <w:t>格式十三 原件一览表</w:t>
      </w:r>
      <w:r>
        <w:rPr>
          <w:color w:val="auto"/>
          <w:highlight w:val="none"/>
        </w:rPr>
        <w:tab/>
      </w:r>
      <w:r>
        <w:rPr>
          <w:color w:val="auto"/>
          <w:highlight w:val="none"/>
        </w:rPr>
        <w:fldChar w:fldCharType="begin"/>
      </w:r>
      <w:r>
        <w:rPr>
          <w:color w:val="auto"/>
          <w:highlight w:val="none"/>
        </w:rPr>
        <w:instrText xml:space="preserve"> PAGEREF _Toc1230 \h </w:instrText>
      </w:r>
      <w:r>
        <w:rPr>
          <w:color w:val="auto"/>
          <w:highlight w:val="none"/>
        </w:rPr>
        <w:fldChar w:fldCharType="separate"/>
      </w:r>
      <w:r>
        <w:rPr>
          <w:color w:val="auto"/>
          <w:highlight w:val="none"/>
        </w:rPr>
        <w:t>69</w:t>
      </w:r>
      <w:r>
        <w:rPr>
          <w:color w:val="auto"/>
          <w:highlight w:val="none"/>
        </w:rPr>
        <w:fldChar w:fldCharType="end"/>
      </w:r>
      <w:r>
        <w:rPr>
          <w:rFonts w:hint="eastAsia" w:hAnsi="宋体" w:cs="宋体"/>
          <w:color w:val="auto"/>
          <w:szCs w:val="24"/>
          <w:highlight w:val="none"/>
        </w:rPr>
        <w:fldChar w:fldCharType="end"/>
      </w:r>
    </w:p>
    <w:p w14:paraId="1849A53E">
      <w:pPr>
        <w:pStyle w:val="21"/>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_Toc10354 </w:instrText>
      </w:r>
      <w:r>
        <w:rPr>
          <w:rFonts w:hint="eastAsia" w:hAnsi="宋体" w:cs="宋体"/>
          <w:color w:val="auto"/>
          <w:szCs w:val="24"/>
          <w:highlight w:val="none"/>
        </w:rPr>
        <w:fldChar w:fldCharType="separate"/>
      </w:r>
      <w:r>
        <w:rPr>
          <w:rFonts w:hint="eastAsia" w:ascii="宋体" w:hAnsi="宋体" w:cs="宋体"/>
          <w:color w:val="auto"/>
          <w:kern w:val="44"/>
          <w:szCs w:val="22"/>
          <w:highlight w:val="none"/>
        </w:rPr>
        <w:t>第六章 建设工程监理合同</w:t>
      </w:r>
      <w:r>
        <w:rPr>
          <w:color w:val="auto"/>
          <w:highlight w:val="none"/>
        </w:rPr>
        <w:tab/>
      </w:r>
      <w:r>
        <w:rPr>
          <w:color w:val="auto"/>
          <w:highlight w:val="none"/>
        </w:rPr>
        <w:fldChar w:fldCharType="begin"/>
      </w:r>
      <w:r>
        <w:rPr>
          <w:color w:val="auto"/>
          <w:highlight w:val="none"/>
        </w:rPr>
        <w:instrText xml:space="preserve"> PAGEREF _Toc10354 \h </w:instrText>
      </w:r>
      <w:r>
        <w:rPr>
          <w:color w:val="auto"/>
          <w:highlight w:val="none"/>
        </w:rPr>
        <w:fldChar w:fldCharType="separate"/>
      </w:r>
      <w:r>
        <w:rPr>
          <w:color w:val="auto"/>
          <w:highlight w:val="none"/>
        </w:rPr>
        <w:t>70</w:t>
      </w:r>
      <w:r>
        <w:rPr>
          <w:color w:val="auto"/>
          <w:highlight w:val="none"/>
        </w:rPr>
        <w:fldChar w:fldCharType="end"/>
      </w:r>
      <w:r>
        <w:rPr>
          <w:rFonts w:hint="eastAsia" w:hAnsi="宋体" w:cs="宋体"/>
          <w:color w:val="auto"/>
          <w:szCs w:val="24"/>
          <w:highlight w:val="none"/>
        </w:rPr>
        <w:fldChar w:fldCharType="end"/>
      </w:r>
    </w:p>
    <w:p w14:paraId="04AFE2BF">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hAnsi="宋体" w:cs="宋体"/>
          <w:color w:val="auto"/>
          <w:szCs w:val="24"/>
          <w:highlight w:val="none"/>
        </w:rPr>
      </w:pPr>
      <w:r>
        <w:rPr>
          <w:rFonts w:hint="eastAsia" w:hAnsi="宋体" w:cs="宋体"/>
          <w:color w:val="auto"/>
          <w:szCs w:val="24"/>
          <w:highlight w:val="none"/>
        </w:rPr>
        <w:fldChar w:fldCharType="end"/>
      </w:r>
    </w:p>
    <w:p w14:paraId="72C6CDF7">
      <w:pPr>
        <w:bidi w:val="0"/>
        <w:rPr>
          <w:rFonts w:hint="eastAsia"/>
          <w:color w:val="auto"/>
          <w:highlight w:val="none"/>
        </w:rPr>
      </w:pPr>
    </w:p>
    <w:p w14:paraId="44E278EF">
      <w:pPr>
        <w:bidi w:val="0"/>
        <w:rPr>
          <w:rFonts w:hint="eastAsia"/>
          <w:color w:val="auto"/>
          <w:highlight w:val="none"/>
        </w:rPr>
      </w:pPr>
    </w:p>
    <w:p w14:paraId="4CFFDCA3">
      <w:pPr>
        <w:bidi w:val="0"/>
        <w:rPr>
          <w:rFonts w:hint="eastAsia"/>
          <w:color w:val="auto"/>
          <w:highlight w:val="none"/>
        </w:rPr>
      </w:pPr>
    </w:p>
    <w:p w14:paraId="49FACEF0">
      <w:pPr>
        <w:bidi w:val="0"/>
        <w:rPr>
          <w:rFonts w:hint="eastAsia"/>
          <w:color w:val="auto"/>
          <w:highlight w:val="none"/>
        </w:rPr>
      </w:pPr>
    </w:p>
    <w:p w14:paraId="67D59685">
      <w:pPr>
        <w:bidi w:val="0"/>
        <w:rPr>
          <w:rFonts w:hint="eastAsia"/>
          <w:color w:val="auto"/>
          <w:highlight w:val="none"/>
        </w:rPr>
      </w:pPr>
    </w:p>
    <w:p w14:paraId="3CF29BF7">
      <w:pPr>
        <w:bidi w:val="0"/>
        <w:rPr>
          <w:rFonts w:hint="eastAsia"/>
          <w:color w:val="auto"/>
          <w:highlight w:val="none"/>
        </w:rPr>
      </w:pPr>
    </w:p>
    <w:p w14:paraId="1C6B5B71">
      <w:pPr>
        <w:bidi w:val="0"/>
        <w:rPr>
          <w:rFonts w:hint="eastAsia"/>
          <w:color w:val="auto"/>
          <w:highlight w:val="none"/>
        </w:rPr>
      </w:pPr>
    </w:p>
    <w:p w14:paraId="00CD5A72">
      <w:pPr>
        <w:bidi w:val="0"/>
        <w:rPr>
          <w:rFonts w:hint="eastAsia"/>
          <w:color w:val="auto"/>
          <w:highlight w:val="none"/>
        </w:rPr>
      </w:pPr>
    </w:p>
    <w:p w14:paraId="7906C4F8">
      <w:pPr>
        <w:bidi w:val="0"/>
        <w:rPr>
          <w:rFonts w:hint="eastAsia"/>
          <w:color w:val="auto"/>
          <w:highlight w:val="none"/>
        </w:rPr>
      </w:pPr>
    </w:p>
    <w:p w14:paraId="7FA25707">
      <w:pPr>
        <w:bidi w:val="0"/>
        <w:rPr>
          <w:rFonts w:hint="eastAsia"/>
          <w:color w:val="auto"/>
          <w:highlight w:val="none"/>
        </w:rPr>
      </w:pPr>
    </w:p>
    <w:p w14:paraId="1AC08286">
      <w:pPr>
        <w:bidi w:val="0"/>
        <w:rPr>
          <w:rFonts w:hint="eastAsia"/>
          <w:color w:val="auto"/>
          <w:highlight w:val="none"/>
        </w:rPr>
      </w:pPr>
    </w:p>
    <w:p w14:paraId="31F3C68A">
      <w:pPr>
        <w:pStyle w:val="2"/>
        <w:rPr>
          <w:rFonts w:hint="eastAsia"/>
          <w:color w:val="auto"/>
          <w:highlight w:val="none"/>
        </w:rPr>
      </w:pPr>
    </w:p>
    <w:p w14:paraId="12FDD6C5">
      <w:pPr>
        <w:pStyle w:val="2"/>
        <w:rPr>
          <w:rFonts w:hint="eastAsia"/>
          <w:color w:val="auto"/>
          <w:highlight w:val="none"/>
        </w:rPr>
      </w:pPr>
    </w:p>
    <w:p w14:paraId="4E7A238C">
      <w:pPr>
        <w:pStyle w:val="2"/>
        <w:rPr>
          <w:rFonts w:hint="eastAsia"/>
          <w:color w:val="auto"/>
          <w:highlight w:val="none"/>
        </w:rPr>
      </w:pPr>
    </w:p>
    <w:p w14:paraId="4D4B16C5">
      <w:pPr>
        <w:pStyle w:val="2"/>
        <w:rPr>
          <w:rFonts w:hint="eastAsia"/>
          <w:color w:val="auto"/>
          <w:highlight w:val="none"/>
        </w:rPr>
      </w:pPr>
    </w:p>
    <w:p w14:paraId="4E126C67">
      <w:pPr>
        <w:pStyle w:val="2"/>
        <w:rPr>
          <w:rFonts w:hint="eastAsia"/>
          <w:color w:val="auto"/>
          <w:highlight w:val="none"/>
        </w:rPr>
      </w:pPr>
    </w:p>
    <w:p w14:paraId="79BD6181">
      <w:pPr>
        <w:bidi w:val="0"/>
        <w:rPr>
          <w:rFonts w:hint="eastAsia"/>
          <w:color w:val="auto"/>
          <w:highlight w:val="none"/>
        </w:rPr>
      </w:pPr>
    </w:p>
    <w:p w14:paraId="4FB68F0F">
      <w:pPr>
        <w:bidi w:val="0"/>
        <w:rPr>
          <w:rFonts w:hint="eastAsia"/>
          <w:color w:val="auto"/>
          <w:highlight w:val="none"/>
        </w:rPr>
      </w:pPr>
    </w:p>
    <w:p w14:paraId="1B29D6E3">
      <w:pPr>
        <w:bidi w:val="0"/>
        <w:rPr>
          <w:color w:val="auto"/>
          <w:highlight w:val="none"/>
        </w:rPr>
      </w:pPr>
    </w:p>
    <w:p w14:paraId="4C65F4F3">
      <w:pPr>
        <w:pStyle w:val="3"/>
        <w:wordWrap w:val="0"/>
        <w:autoSpaceDE/>
        <w:autoSpaceDN/>
        <w:snapToGrid w:val="0"/>
        <w:spacing w:line="440" w:lineRule="exact"/>
        <w:jc w:val="center"/>
        <w:rPr>
          <w:rFonts w:hint="eastAsia" w:ascii="Times New Roman"/>
          <w:b/>
          <w:snapToGrid w:val="0"/>
          <w:color w:val="auto"/>
          <w:sz w:val="32"/>
          <w:szCs w:val="22"/>
          <w:highlight w:val="none"/>
        </w:rPr>
        <w:sectPr>
          <w:footerReference r:id="rId7" w:type="default"/>
          <w:endnotePr>
            <w:numFmt w:val="decimal"/>
          </w:endnotePr>
          <w:pgSz w:w="11906" w:h="16838"/>
          <w:pgMar w:top="1417" w:right="1417" w:bottom="1417" w:left="1417" w:header="850" w:footer="992" w:gutter="0"/>
          <w:pgNumType w:start="1"/>
          <w:cols w:space="0" w:num="1"/>
          <w:docGrid w:linePitch="327" w:charSpace="0"/>
        </w:sectPr>
      </w:pPr>
    </w:p>
    <w:p w14:paraId="73AD38DD">
      <w:pPr>
        <w:pStyle w:val="3"/>
        <w:wordWrap w:val="0"/>
        <w:autoSpaceDE/>
        <w:autoSpaceDN/>
        <w:snapToGrid w:val="0"/>
        <w:spacing w:line="440" w:lineRule="exact"/>
        <w:jc w:val="center"/>
        <w:rPr>
          <w:rFonts w:ascii="Times New Roman"/>
          <w:b/>
          <w:snapToGrid w:val="0"/>
          <w:color w:val="auto"/>
          <w:sz w:val="32"/>
          <w:szCs w:val="22"/>
          <w:highlight w:val="none"/>
        </w:rPr>
      </w:pPr>
      <w:bookmarkStart w:id="0" w:name="_Toc28684"/>
      <w:r>
        <w:rPr>
          <w:rFonts w:hint="eastAsia" w:ascii="Times New Roman"/>
          <w:b/>
          <w:snapToGrid w:val="0"/>
          <w:color w:val="auto"/>
          <w:sz w:val="32"/>
          <w:szCs w:val="22"/>
          <w:highlight w:val="none"/>
        </w:rPr>
        <w:t>第一章 投标人须知</w:t>
      </w:r>
      <w:bookmarkEnd w:id="0"/>
    </w:p>
    <w:p w14:paraId="64D39061">
      <w:pPr>
        <w:pStyle w:val="4"/>
        <w:wordWrap w:val="0"/>
        <w:autoSpaceDE/>
        <w:autoSpaceDN/>
        <w:snapToGrid w:val="0"/>
        <w:spacing w:before="260" w:after="260" w:line="440" w:lineRule="exact"/>
        <w:jc w:val="both"/>
        <w:rPr>
          <w:rFonts w:ascii="Times New Roman"/>
          <w:b/>
          <w:snapToGrid w:val="0"/>
          <w:color w:val="auto"/>
          <w:highlight w:val="none"/>
        </w:rPr>
      </w:pPr>
      <w:bookmarkStart w:id="1" w:name="_Hlt127175444"/>
      <w:bookmarkEnd w:id="1"/>
      <w:bookmarkStart w:id="2" w:name="_Toc4883"/>
      <w:bookmarkStart w:id="3" w:name="_Toc32446"/>
      <w:bookmarkStart w:id="4" w:name="_Hlt120077520"/>
      <w:r>
        <w:rPr>
          <w:rFonts w:hint="eastAsia" w:ascii="Times New Roman"/>
          <w:b/>
          <w:snapToGrid w:val="0"/>
          <w:color w:val="auto"/>
          <w:highlight w:val="none"/>
        </w:rPr>
        <w:t>第一节 投标人须知前附表</w:t>
      </w:r>
      <w:bookmarkEnd w:id="2"/>
      <w:bookmarkEnd w:id="3"/>
    </w:p>
    <w:tbl>
      <w:tblPr>
        <w:tblStyle w:val="31"/>
        <w:tblW w:w="9302" w:type="dxa"/>
        <w:tblInd w:w="-76"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721"/>
        <w:gridCol w:w="1725"/>
        <w:gridCol w:w="6856"/>
      </w:tblGrid>
      <w:tr w14:paraId="2CEA8E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0" w:hRule="atLeast"/>
        </w:trPr>
        <w:tc>
          <w:tcPr>
            <w:tcW w:w="721" w:type="dxa"/>
            <w:tcBorders>
              <w:top w:val="single" w:color="auto" w:sz="4" w:space="0"/>
              <w:left w:val="single" w:color="auto" w:sz="4" w:space="0"/>
              <w:bottom w:val="single" w:color="auto" w:sz="4" w:space="0"/>
              <w:right w:val="single" w:color="auto" w:sz="4" w:space="0"/>
            </w:tcBorders>
            <w:vAlign w:val="center"/>
          </w:tcPr>
          <w:p w14:paraId="5A616D1E">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b/>
                <w:bCs/>
                <w:snapToGrid w:val="0"/>
                <w:color w:val="auto"/>
                <w:kern w:val="0"/>
                <w:szCs w:val="24"/>
                <w:highlight w:val="none"/>
              </w:rPr>
            </w:pPr>
            <w:r>
              <w:rPr>
                <w:rFonts w:hint="eastAsia" w:hAnsi="宋体" w:cs="宋体"/>
                <w:b/>
                <w:bCs/>
                <w:snapToGrid w:val="0"/>
                <w:color w:val="auto"/>
                <w:kern w:val="0"/>
                <w:szCs w:val="24"/>
                <w:highlight w:val="none"/>
              </w:rPr>
              <w:t>序号</w:t>
            </w:r>
          </w:p>
        </w:tc>
        <w:tc>
          <w:tcPr>
            <w:tcW w:w="1725" w:type="dxa"/>
            <w:tcBorders>
              <w:top w:val="single" w:color="auto" w:sz="4" w:space="0"/>
              <w:left w:val="single" w:color="auto" w:sz="4" w:space="0"/>
              <w:bottom w:val="single" w:color="auto" w:sz="4" w:space="0"/>
              <w:right w:val="single" w:color="auto" w:sz="4" w:space="0"/>
            </w:tcBorders>
            <w:vAlign w:val="center"/>
          </w:tcPr>
          <w:p w14:paraId="1592A7FB">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b/>
                <w:bCs/>
                <w:snapToGrid w:val="0"/>
                <w:color w:val="auto"/>
                <w:kern w:val="0"/>
                <w:szCs w:val="24"/>
                <w:highlight w:val="none"/>
              </w:rPr>
            </w:pPr>
            <w:r>
              <w:rPr>
                <w:rFonts w:hint="eastAsia" w:hAnsi="宋体" w:cs="宋体"/>
                <w:b/>
                <w:bCs/>
                <w:snapToGrid w:val="0"/>
                <w:color w:val="auto"/>
                <w:kern w:val="0"/>
                <w:szCs w:val="24"/>
                <w:highlight w:val="none"/>
              </w:rPr>
              <w:t>内容</w:t>
            </w:r>
          </w:p>
        </w:tc>
        <w:tc>
          <w:tcPr>
            <w:tcW w:w="6856" w:type="dxa"/>
            <w:tcBorders>
              <w:top w:val="single" w:color="auto" w:sz="4" w:space="0"/>
              <w:left w:val="single" w:color="auto" w:sz="4" w:space="0"/>
              <w:bottom w:val="single" w:color="auto" w:sz="4" w:space="0"/>
              <w:right w:val="single" w:color="auto" w:sz="4" w:space="0"/>
            </w:tcBorders>
            <w:vAlign w:val="center"/>
          </w:tcPr>
          <w:p w14:paraId="6F58C683">
            <w:pPr>
              <w:keepNext w:val="0"/>
              <w:keepLines w:val="0"/>
              <w:pageBreakBefore w:val="0"/>
              <w:widowControl w:val="0"/>
              <w:tabs>
                <w:tab w:val="left" w:pos="1180"/>
              </w:tabs>
              <w:kinsoku/>
              <w:wordWrap w:val="0"/>
              <w:overflowPunct/>
              <w:topLinePunct w:val="0"/>
              <w:autoSpaceDE/>
              <w:autoSpaceDN/>
              <w:bidi w:val="0"/>
              <w:adjustRightInd w:val="0"/>
              <w:snapToGrid w:val="0"/>
              <w:spacing w:line="500" w:lineRule="exact"/>
              <w:jc w:val="center"/>
              <w:rPr>
                <w:rFonts w:hAnsi="宋体" w:cs="宋体"/>
                <w:b/>
                <w:bCs/>
                <w:snapToGrid w:val="0"/>
                <w:color w:val="auto"/>
                <w:kern w:val="0"/>
                <w:szCs w:val="24"/>
                <w:highlight w:val="none"/>
              </w:rPr>
            </w:pPr>
            <w:r>
              <w:rPr>
                <w:rFonts w:hint="eastAsia" w:hAnsi="宋体" w:cs="宋体"/>
                <w:b/>
                <w:bCs/>
                <w:snapToGrid w:val="0"/>
                <w:color w:val="auto"/>
                <w:kern w:val="0"/>
                <w:szCs w:val="24"/>
                <w:highlight w:val="none"/>
              </w:rPr>
              <w:t>说明与要求</w:t>
            </w:r>
          </w:p>
        </w:tc>
      </w:tr>
      <w:tr w14:paraId="178941F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968" w:hRule="exact"/>
        </w:trPr>
        <w:tc>
          <w:tcPr>
            <w:tcW w:w="721" w:type="dxa"/>
            <w:tcBorders>
              <w:top w:val="single" w:color="auto" w:sz="4" w:space="0"/>
              <w:left w:val="single" w:color="auto" w:sz="4" w:space="0"/>
              <w:bottom w:val="single" w:color="auto" w:sz="4" w:space="0"/>
              <w:right w:val="single" w:color="auto" w:sz="4" w:space="0"/>
            </w:tcBorders>
            <w:vAlign w:val="center"/>
          </w:tcPr>
          <w:p w14:paraId="02DAE48C">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w:t>
            </w:r>
          </w:p>
        </w:tc>
        <w:tc>
          <w:tcPr>
            <w:tcW w:w="1725" w:type="dxa"/>
            <w:tcBorders>
              <w:top w:val="single" w:color="auto" w:sz="4" w:space="0"/>
              <w:left w:val="single" w:color="auto" w:sz="4" w:space="0"/>
              <w:bottom w:val="single" w:color="auto" w:sz="4" w:space="0"/>
              <w:right w:val="single" w:color="auto" w:sz="4" w:space="0"/>
            </w:tcBorders>
            <w:vAlign w:val="center"/>
          </w:tcPr>
          <w:p w14:paraId="0259AB19">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项目名称</w:t>
            </w:r>
          </w:p>
        </w:tc>
        <w:tc>
          <w:tcPr>
            <w:tcW w:w="6856" w:type="dxa"/>
            <w:tcBorders>
              <w:top w:val="single" w:color="auto" w:sz="4" w:space="0"/>
              <w:left w:val="single" w:color="auto" w:sz="4" w:space="0"/>
              <w:bottom w:val="single" w:color="auto" w:sz="4" w:space="0"/>
              <w:right w:val="single" w:color="auto" w:sz="4" w:space="0"/>
            </w:tcBorders>
            <w:vAlign w:val="center"/>
          </w:tcPr>
          <w:p w14:paraId="5A039704">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int="default" w:hAnsi="宋体" w:eastAsia="宋体" w:cs="宋体"/>
                <w:snapToGrid w:val="0"/>
                <w:color w:val="auto"/>
                <w:kern w:val="0"/>
                <w:szCs w:val="24"/>
                <w:highlight w:val="none"/>
                <w:lang w:val="en-US" w:eastAsia="zh-CN"/>
              </w:rPr>
            </w:pPr>
            <w:r>
              <w:rPr>
                <w:rFonts w:hint="eastAsia" w:hAnsi="宋体" w:eastAsia="宋体" w:cs="宋体"/>
                <w:snapToGrid w:val="0"/>
                <w:color w:val="auto"/>
                <w:kern w:val="0"/>
                <w:szCs w:val="24"/>
                <w:highlight w:val="none"/>
                <w:lang w:eastAsia="zh-CN"/>
              </w:rPr>
              <w:t>翁源产业园区产城融合基础设施配套项目（电源工业基地标准厂房）</w:t>
            </w:r>
            <w:r>
              <w:rPr>
                <w:rFonts w:hint="eastAsia" w:hAnsi="宋体" w:cs="宋体"/>
                <w:snapToGrid w:val="0"/>
                <w:color w:val="auto"/>
                <w:kern w:val="0"/>
                <w:szCs w:val="24"/>
                <w:highlight w:val="none"/>
                <w:lang w:val="en-US" w:eastAsia="zh-CN"/>
              </w:rPr>
              <w:t>全过程监理</w:t>
            </w:r>
          </w:p>
        </w:tc>
      </w:tr>
      <w:tr w14:paraId="4391C2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21" w:type="dxa"/>
            <w:tcBorders>
              <w:top w:val="single" w:color="auto" w:sz="4" w:space="0"/>
              <w:left w:val="single" w:color="auto" w:sz="4" w:space="0"/>
              <w:bottom w:val="single" w:color="auto" w:sz="4" w:space="0"/>
              <w:right w:val="single" w:color="auto" w:sz="4" w:space="0"/>
            </w:tcBorders>
            <w:vAlign w:val="center"/>
          </w:tcPr>
          <w:p w14:paraId="0FBA70AC">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2</w:t>
            </w:r>
          </w:p>
        </w:tc>
        <w:tc>
          <w:tcPr>
            <w:tcW w:w="1725" w:type="dxa"/>
            <w:tcBorders>
              <w:top w:val="single" w:color="auto" w:sz="4" w:space="0"/>
              <w:left w:val="single" w:color="auto" w:sz="4" w:space="0"/>
              <w:bottom w:val="single" w:color="auto" w:sz="4" w:space="0"/>
              <w:right w:val="single" w:color="auto" w:sz="4" w:space="0"/>
            </w:tcBorders>
            <w:vAlign w:val="center"/>
          </w:tcPr>
          <w:p w14:paraId="039B656A">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项目业主</w:t>
            </w:r>
          </w:p>
        </w:tc>
        <w:tc>
          <w:tcPr>
            <w:tcW w:w="6856" w:type="dxa"/>
            <w:tcBorders>
              <w:top w:val="single" w:color="auto" w:sz="4" w:space="0"/>
              <w:left w:val="single" w:color="auto" w:sz="4" w:space="0"/>
              <w:bottom w:val="single" w:color="auto" w:sz="4" w:space="0"/>
              <w:right w:val="single" w:color="auto" w:sz="4" w:space="0"/>
            </w:tcBorders>
            <w:vAlign w:val="center"/>
          </w:tcPr>
          <w:p w14:paraId="36C8F025">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rPr>
                <w:rFonts w:hint="default" w:hAnsi="宋体" w:eastAsia="宋体" w:cs="宋体"/>
                <w:snapToGrid w:val="0"/>
                <w:color w:val="auto"/>
                <w:kern w:val="0"/>
                <w:szCs w:val="24"/>
                <w:highlight w:val="none"/>
                <w:lang w:val="en-US" w:eastAsia="zh-CN"/>
              </w:rPr>
            </w:pPr>
            <w:r>
              <w:rPr>
                <w:rFonts w:hint="default" w:hAnsi="宋体" w:eastAsia="宋体" w:cs="宋体"/>
                <w:snapToGrid w:val="0"/>
                <w:color w:val="auto"/>
                <w:kern w:val="0"/>
                <w:szCs w:val="24"/>
                <w:highlight w:val="none"/>
                <w:lang w:val="en-US" w:eastAsia="zh-CN"/>
              </w:rPr>
              <w:t>广东翁源经济开发区管理委员会</w:t>
            </w:r>
          </w:p>
        </w:tc>
      </w:tr>
      <w:tr w14:paraId="512766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21" w:type="dxa"/>
            <w:tcBorders>
              <w:top w:val="single" w:color="auto" w:sz="4" w:space="0"/>
              <w:left w:val="single" w:color="auto" w:sz="4" w:space="0"/>
              <w:bottom w:val="single" w:color="auto" w:sz="4" w:space="0"/>
              <w:right w:val="single" w:color="auto" w:sz="4" w:space="0"/>
            </w:tcBorders>
            <w:vAlign w:val="center"/>
          </w:tcPr>
          <w:p w14:paraId="7AA9DCF4">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3</w:t>
            </w:r>
          </w:p>
        </w:tc>
        <w:tc>
          <w:tcPr>
            <w:tcW w:w="1725" w:type="dxa"/>
            <w:tcBorders>
              <w:top w:val="single" w:color="auto" w:sz="4" w:space="0"/>
              <w:left w:val="single" w:color="auto" w:sz="4" w:space="0"/>
              <w:bottom w:val="single" w:color="auto" w:sz="4" w:space="0"/>
              <w:right w:val="single" w:color="auto" w:sz="4" w:space="0"/>
            </w:tcBorders>
            <w:vAlign w:val="center"/>
          </w:tcPr>
          <w:p w14:paraId="324DDCC4">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项目批准部门</w:t>
            </w:r>
          </w:p>
        </w:tc>
        <w:tc>
          <w:tcPr>
            <w:tcW w:w="6856" w:type="dxa"/>
            <w:tcBorders>
              <w:top w:val="single" w:color="auto" w:sz="4" w:space="0"/>
              <w:left w:val="single" w:color="auto" w:sz="4" w:space="0"/>
              <w:bottom w:val="single" w:color="auto" w:sz="4" w:space="0"/>
              <w:right w:val="single" w:color="auto" w:sz="4" w:space="0"/>
            </w:tcBorders>
            <w:vAlign w:val="center"/>
          </w:tcPr>
          <w:p w14:paraId="027C2964">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rPr>
                <w:rFonts w:hint="default" w:hAnsi="宋体" w:eastAsia="宋体" w:cs="宋体"/>
                <w:snapToGrid w:val="0"/>
                <w:color w:val="auto"/>
                <w:kern w:val="0"/>
                <w:szCs w:val="24"/>
                <w:highlight w:val="none"/>
                <w:lang w:val="en-US" w:eastAsia="zh-CN"/>
              </w:rPr>
            </w:pPr>
            <w:r>
              <w:rPr>
                <w:rFonts w:hint="eastAsia" w:hAnsi="宋体" w:cs="宋体"/>
                <w:snapToGrid w:val="0"/>
                <w:color w:val="auto"/>
                <w:kern w:val="0"/>
                <w:szCs w:val="24"/>
                <w:highlight w:val="none"/>
                <w:lang w:val="en-US" w:eastAsia="zh-CN"/>
              </w:rPr>
              <w:t>翁源县发展和改革局</w:t>
            </w:r>
          </w:p>
        </w:tc>
      </w:tr>
      <w:tr w14:paraId="72C56F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21" w:type="dxa"/>
            <w:tcBorders>
              <w:top w:val="single" w:color="auto" w:sz="4" w:space="0"/>
              <w:left w:val="single" w:color="auto" w:sz="4" w:space="0"/>
              <w:bottom w:val="single" w:color="auto" w:sz="4" w:space="0"/>
              <w:right w:val="single" w:color="auto" w:sz="4" w:space="0"/>
            </w:tcBorders>
            <w:vAlign w:val="center"/>
          </w:tcPr>
          <w:p w14:paraId="24D1E854">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4</w:t>
            </w:r>
          </w:p>
        </w:tc>
        <w:tc>
          <w:tcPr>
            <w:tcW w:w="1725" w:type="dxa"/>
            <w:tcBorders>
              <w:top w:val="single" w:color="auto" w:sz="4" w:space="0"/>
              <w:left w:val="single" w:color="auto" w:sz="4" w:space="0"/>
              <w:bottom w:val="single" w:color="auto" w:sz="4" w:space="0"/>
              <w:right w:val="single" w:color="auto" w:sz="4" w:space="0"/>
            </w:tcBorders>
            <w:vAlign w:val="center"/>
          </w:tcPr>
          <w:p w14:paraId="366DC76F">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项目批准文号</w:t>
            </w:r>
          </w:p>
        </w:tc>
        <w:tc>
          <w:tcPr>
            <w:tcW w:w="6856" w:type="dxa"/>
            <w:tcBorders>
              <w:top w:val="single" w:color="auto" w:sz="4" w:space="0"/>
              <w:left w:val="single" w:color="auto" w:sz="4" w:space="0"/>
              <w:bottom w:val="single" w:color="auto" w:sz="4" w:space="0"/>
              <w:right w:val="single" w:color="auto" w:sz="4" w:space="0"/>
            </w:tcBorders>
            <w:vAlign w:val="center"/>
          </w:tcPr>
          <w:p w14:paraId="52204F50">
            <w:pPr>
              <w:pStyle w:val="119"/>
              <w:keepNext w:val="0"/>
              <w:keepLines w:val="0"/>
              <w:pageBreakBefore w:val="0"/>
              <w:widowControl w:val="0"/>
              <w:kinsoku/>
              <w:overflowPunct/>
              <w:topLinePunct w:val="0"/>
              <w:autoSpaceDE/>
              <w:autoSpaceDN/>
              <w:bidi w:val="0"/>
              <w:spacing w:line="500" w:lineRule="exact"/>
              <w:ind w:firstLine="480" w:firstLineChars="200"/>
              <w:jc w:val="left"/>
              <w:rPr>
                <w:rFonts w:hint="default" w:ascii="宋体" w:hAnsi="宋体" w:eastAsia="宋体" w:cs="宋体"/>
                <w:snapToGrid w:val="0"/>
                <w:color w:val="auto"/>
                <w:kern w:val="0"/>
                <w:sz w:val="24"/>
                <w:highlight w:val="none"/>
                <w:lang w:val="en-US" w:eastAsia="zh-CN"/>
              </w:rPr>
            </w:pPr>
            <w:r>
              <w:rPr>
                <w:rFonts w:hint="default" w:ascii="宋体" w:hAnsi="宋体" w:eastAsia="宋体" w:cs="宋体"/>
                <w:snapToGrid w:val="0"/>
                <w:color w:val="auto"/>
                <w:kern w:val="0"/>
                <w:sz w:val="24"/>
                <w:highlight w:val="none"/>
                <w:lang w:val="en-US" w:eastAsia="zh-CN"/>
              </w:rPr>
              <w:t>翁发改投审〔2021〕13号</w:t>
            </w:r>
            <w:r>
              <w:rPr>
                <w:rFonts w:hint="eastAsia" w:ascii="宋体" w:hAnsi="宋体" w:cs="宋体"/>
                <w:snapToGrid w:val="0"/>
                <w:color w:val="auto"/>
                <w:kern w:val="0"/>
                <w:sz w:val="24"/>
                <w:highlight w:val="none"/>
                <w:lang w:val="en-US" w:eastAsia="zh-CN"/>
              </w:rPr>
              <w:t>、翁发改投审〔2025〕50号</w:t>
            </w:r>
          </w:p>
        </w:tc>
      </w:tr>
      <w:tr w14:paraId="570D64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21" w:type="dxa"/>
            <w:tcBorders>
              <w:top w:val="single" w:color="auto" w:sz="4" w:space="0"/>
              <w:left w:val="single" w:color="auto" w:sz="4" w:space="0"/>
              <w:bottom w:val="single" w:color="auto" w:sz="4" w:space="0"/>
              <w:right w:val="single" w:color="auto" w:sz="4" w:space="0"/>
            </w:tcBorders>
            <w:vAlign w:val="center"/>
          </w:tcPr>
          <w:p w14:paraId="3C24E7ED">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5</w:t>
            </w:r>
          </w:p>
        </w:tc>
        <w:tc>
          <w:tcPr>
            <w:tcW w:w="1725" w:type="dxa"/>
            <w:tcBorders>
              <w:top w:val="single" w:color="auto" w:sz="4" w:space="0"/>
              <w:left w:val="single" w:color="auto" w:sz="4" w:space="0"/>
              <w:bottom w:val="single" w:color="auto" w:sz="4" w:space="0"/>
              <w:right w:val="single" w:color="auto" w:sz="4" w:space="0"/>
            </w:tcBorders>
            <w:vAlign w:val="center"/>
          </w:tcPr>
          <w:p w14:paraId="62CA9CC8">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项目代码</w:t>
            </w:r>
          </w:p>
        </w:tc>
        <w:tc>
          <w:tcPr>
            <w:tcW w:w="6856" w:type="dxa"/>
            <w:tcBorders>
              <w:top w:val="single" w:color="auto" w:sz="4" w:space="0"/>
              <w:left w:val="single" w:color="auto" w:sz="4" w:space="0"/>
              <w:bottom w:val="single" w:color="auto" w:sz="4" w:space="0"/>
              <w:right w:val="single" w:color="auto" w:sz="4" w:space="0"/>
            </w:tcBorders>
            <w:vAlign w:val="center"/>
          </w:tcPr>
          <w:p w14:paraId="2BAFF47C">
            <w:pPr>
              <w:pStyle w:val="119"/>
              <w:keepNext w:val="0"/>
              <w:keepLines w:val="0"/>
              <w:pageBreakBefore w:val="0"/>
              <w:widowControl w:val="0"/>
              <w:kinsoku/>
              <w:overflowPunct/>
              <w:topLinePunct w:val="0"/>
              <w:autoSpaceDE/>
              <w:autoSpaceDN/>
              <w:bidi w:val="0"/>
              <w:spacing w:line="500" w:lineRule="exact"/>
              <w:ind w:firstLine="480" w:firstLineChars="200"/>
              <w:jc w:val="left"/>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2110-440229-04-01-834756</w:t>
            </w:r>
          </w:p>
        </w:tc>
      </w:tr>
      <w:tr w14:paraId="53A3AD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85" w:hRule="exact"/>
        </w:trPr>
        <w:tc>
          <w:tcPr>
            <w:tcW w:w="721" w:type="dxa"/>
            <w:tcBorders>
              <w:top w:val="single" w:color="auto" w:sz="4" w:space="0"/>
              <w:left w:val="single" w:color="auto" w:sz="4" w:space="0"/>
              <w:bottom w:val="single" w:color="auto" w:sz="4" w:space="0"/>
              <w:right w:val="single" w:color="auto" w:sz="4" w:space="0"/>
            </w:tcBorders>
            <w:vAlign w:val="center"/>
          </w:tcPr>
          <w:p w14:paraId="160475F5">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6</w:t>
            </w:r>
          </w:p>
        </w:tc>
        <w:tc>
          <w:tcPr>
            <w:tcW w:w="1725" w:type="dxa"/>
            <w:tcBorders>
              <w:top w:val="single" w:color="auto" w:sz="4" w:space="0"/>
              <w:left w:val="single" w:color="auto" w:sz="4" w:space="0"/>
              <w:bottom w:val="single" w:color="auto" w:sz="4" w:space="0"/>
              <w:right w:val="single" w:color="auto" w:sz="4" w:space="0"/>
            </w:tcBorders>
            <w:vAlign w:val="center"/>
          </w:tcPr>
          <w:p w14:paraId="55C1A5D1">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Ansi="宋体" w:cs="宋体"/>
                <w:color w:val="auto"/>
                <w:kern w:val="0"/>
                <w:szCs w:val="24"/>
                <w:highlight w:val="none"/>
              </w:rPr>
            </w:pPr>
            <w:r>
              <w:rPr>
                <w:rFonts w:hint="eastAsia" w:hAnsi="宋体" w:cs="宋体"/>
                <w:color w:val="auto"/>
                <w:kern w:val="0"/>
                <w:szCs w:val="24"/>
                <w:highlight w:val="none"/>
              </w:rPr>
              <w:t>资金来源</w:t>
            </w:r>
          </w:p>
          <w:p w14:paraId="0D0501A7">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Ansi="宋体" w:cs="宋体"/>
                <w:color w:val="auto"/>
                <w:kern w:val="0"/>
                <w:szCs w:val="24"/>
                <w:highlight w:val="none"/>
              </w:rPr>
            </w:pPr>
            <w:r>
              <w:rPr>
                <w:rFonts w:hint="eastAsia" w:hAnsi="宋体" w:cs="宋体"/>
                <w:color w:val="auto"/>
                <w:kern w:val="0"/>
                <w:szCs w:val="24"/>
                <w:highlight w:val="none"/>
              </w:rPr>
              <w:t>及出资比例</w:t>
            </w:r>
          </w:p>
        </w:tc>
        <w:tc>
          <w:tcPr>
            <w:tcW w:w="6856" w:type="dxa"/>
            <w:tcBorders>
              <w:top w:val="single" w:color="auto" w:sz="4" w:space="0"/>
              <w:left w:val="single" w:color="auto" w:sz="4" w:space="0"/>
              <w:bottom w:val="single" w:color="auto" w:sz="4" w:space="0"/>
              <w:right w:val="single" w:color="auto" w:sz="4" w:space="0"/>
            </w:tcBorders>
            <w:vAlign w:val="center"/>
          </w:tcPr>
          <w:p w14:paraId="556F9C6E">
            <w:pPr>
              <w:keepNext w:val="0"/>
              <w:keepLines w:val="0"/>
              <w:pageBreakBefore w:val="0"/>
              <w:widowControl w:val="0"/>
              <w:tabs>
                <w:tab w:val="left" w:pos="5679"/>
              </w:tabs>
              <w:kinsoku/>
              <w:wordWrap w:val="0"/>
              <w:overflowPunct/>
              <w:topLinePunct w:val="0"/>
              <w:autoSpaceDE/>
              <w:autoSpaceDN/>
              <w:bidi w:val="0"/>
              <w:adjustRightInd w:val="0"/>
              <w:snapToGrid w:val="0"/>
              <w:spacing w:line="240" w:lineRule="auto"/>
              <w:ind w:firstLine="480" w:firstLineChars="200"/>
              <w:jc w:val="left"/>
              <w:textAlignment w:val="auto"/>
              <w:rPr>
                <w:rFonts w:hint="default" w:hAnsi="宋体" w:eastAsia="宋体" w:cs="宋体"/>
                <w:color w:val="auto"/>
                <w:kern w:val="0"/>
                <w:szCs w:val="24"/>
                <w:highlight w:val="none"/>
                <w:lang w:val="en-US" w:eastAsia="zh-CN"/>
              </w:rPr>
            </w:pPr>
            <w:r>
              <w:rPr>
                <w:rFonts w:hint="eastAsia" w:hAnsi="宋体" w:cs="宋体"/>
                <w:color w:val="auto"/>
                <w:kern w:val="0"/>
                <w:szCs w:val="24"/>
                <w:highlight w:val="none"/>
                <w:lang w:eastAsia="zh-CN"/>
              </w:rPr>
              <w:t>建设资金来源于地方政府专项债券、县级统筹资金和厚街翁源对口帮扶协作资金，</w:t>
            </w:r>
            <w:r>
              <w:rPr>
                <w:rFonts w:hint="eastAsia" w:hAnsi="宋体" w:cs="宋体"/>
                <w:color w:val="auto"/>
                <w:kern w:val="0"/>
                <w:szCs w:val="24"/>
                <w:highlight w:val="none"/>
                <w:lang w:val="en-US" w:eastAsia="zh-CN"/>
              </w:rPr>
              <w:t>100%</w:t>
            </w:r>
            <w:r>
              <w:rPr>
                <w:rFonts w:hint="eastAsia" w:hAnsi="宋体" w:cs="宋体"/>
                <w:color w:val="auto"/>
                <w:kern w:val="0"/>
                <w:szCs w:val="24"/>
                <w:highlight w:val="none"/>
                <w:lang w:eastAsia="zh-CN"/>
              </w:rPr>
              <w:tab/>
            </w:r>
            <w:r>
              <w:rPr>
                <w:rFonts w:hint="eastAsia" w:hAnsi="宋体" w:cs="宋体"/>
                <w:color w:val="auto"/>
                <w:kern w:val="0"/>
                <w:szCs w:val="24"/>
                <w:highlight w:val="none"/>
                <w:lang w:val="en-US" w:eastAsia="zh-CN"/>
              </w:rPr>
              <w:t xml:space="preserve">   </w:t>
            </w:r>
          </w:p>
        </w:tc>
      </w:tr>
      <w:tr w14:paraId="12B646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21" w:type="dxa"/>
            <w:tcBorders>
              <w:top w:val="single" w:color="auto" w:sz="4" w:space="0"/>
              <w:left w:val="single" w:color="auto" w:sz="4" w:space="0"/>
              <w:bottom w:val="single" w:color="auto" w:sz="4" w:space="0"/>
              <w:right w:val="single" w:color="auto" w:sz="4" w:space="0"/>
            </w:tcBorders>
            <w:vAlign w:val="center"/>
          </w:tcPr>
          <w:p w14:paraId="4F4D09A2">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7</w:t>
            </w:r>
          </w:p>
        </w:tc>
        <w:tc>
          <w:tcPr>
            <w:tcW w:w="1725" w:type="dxa"/>
            <w:tcBorders>
              <w:top w:val="single" w:color="auto" w:sz="4" w:space="0"/>
              <w:left w:val="single" w:color="auto" w:sz="4" w:space="0"/>
              <w:bottom w:val="single" w:color="auto" w:sz="4" w:space="0"/>
              <w:right w:val="single" w:color="auto" w:sz="4" w:space="0"/>
            </w:tcBorders>
            <w:vAlign w:val="center"/>
          </w:tcPr>
          <w:p w14:paraId="7E8E6FAE">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招标人</w:t>
            </w:r>
          </w:p>
        </w:tc>
        <w:tc>
          <w:tcPr>
            <w:tcW w:w="6856" w:type="dxa"/>
            <w:tcBorders>
              <w:top w:val="single" w:color="auto" w:sz="4" w:space="0"/>
              <w:left w:val="single" w:color="auto" w:sz="4" w:space="0"/>
              <w:bottom w:val="single" w:color="auto" w:sz="4" w:space="0"/>
              <w:right w:val="single" w:color="auto" w:sz="4" w:space="0"/>
            </w:tcBorders>
            <w:vAlign w:val="center"/>
          </w:tcPr>
          <w:p w14:paraId="2B78CE37">
            <w:pPr>
              <w:pStyle w:val="119"/>
              <w:keepNext w:val="0"/>
              <w:keepLines w:val="0"/>
              <w:pageBreakBefore w:val="0"/>
              <w:tabs>
                <w:tab w:val="left" w:pos="1890"/>
              </w:tabs>
              <w:kinsoku/>
              <w:wordWrap/>
              <w:overflowPunct/>
              <w:topLinePunct w:val="0"/>
              <w:autoSpaceDE/>
              <w:autoSpaceDN/>
              <w:bidi w:val="0"/>
              <w:adjustRightInd/>
              <w:snapToGrid/>
              <w:spacing w:line="420" w:lineRule="exact"/>
              <w:ind w:firstLine="480" w:firstLineChars="200"/>
              <w:jc w:val="left"/>
              <w:textAlignment w:val="auto"/>
              <w:rPr>
                <w:rFonts w:hint="eastAsia" w:ascii="宋体" w:hAnsi="宋体" w:eastAsia="宋体" w:cs="宋体"/>
                <w:color w:val="auto"/>
                <w:kern w:val="2"/>
                <w:sz w:val="24"/>
                <w:szCs w:val="22"/>
                <w:highlight w:val="none"/>
                <w:lang w:val="en-US" w:eastAsia="zh-CN" w:bidi="ar-SA"/>
              </w:rPr>
            </w:pPr>
            <w:r>
              <w:rPr>
                <w:rFonts w:hint="default" w:hAnsi="宋体" w:eastAsia="宋体" w:cs="宋体"/>
                <w:snapToGrid w:val="0"/>
                <w:color w:val="auto"/>
                <w:kern w:val="0"/>
                <w:sz w:val="24"/>
                <w:szCs w:val="32"/>
                <w:highlight w:val="none"/>
                <w:lang w:val="en-US" w:eastAsia="zh-CN"/>
              </w:rPr>
              <w:t>广东翁源经济开发区管理委员会</w:t>
            </w:r>
          </w:p>
        </w:tc>
      </w:tr>
      <w:tr w14:paraId="7E0D87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21" w:type="dxa"/>
            <w:tcBorders>
              <w:top w:val="single" w:color="auto" w:sz="4" w:space="0"/>
              <w:left w:val="single" w:color="auto" w:sz="4" w:space="0"/>
              <w:bottom w:val="single" w:color="auto" w:sz="4" w:space="0"/>
              <w:right w:val="single" w:color="auto" w:sz="4" w:space="0"/>
            </w:tcBorders>
            <w:vAlign w:val="center"/>
          </w:tcPr>
          <w:p w14:paraId="1862C63B">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8</w:t>
            </w:r>
          </w:p>
        </w:tc>
        <w:tc>
          <w:tcPr>
            <w:tcW w:w="1725" w:type="dxa"/>
            <w:tcBorders>
              <w:top w:val="single" w:color="auto" w:sz="4" w:space="0"/>
              <w:left w:val="single" w:color="auto" w:sz="4" w:space="0"/>
              <w:bottom w:val="single" w:color="auto" w:sz="4" w:space="0"/>
              <w:right w:val="single" w:color="auto" w:sz="4" w:space="0"/>
            </w:tcBorders>
            <w:vAlign w:val="center"/>
          </w:tcPr>
          <w:p w14:paraId="4E7BF75C">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招标代理机构</w:t>
            </w:r>
          </w:p>
        </w:tc>
        <w:tc>
          <w:tcPr>
            <w:tcW w:w="6856" w:type="dxa"/>
            <w:tcBorders>
              <w:top w:val="single" w:color="auto" w:sz="4" w:space="0"/>
              <w:left w:val="single" w:color="auto" w:sz="4" w:space="0"/>
              <w:bottom w:val="single" w:color="auto" w:sz="4" w:space="0"/>
              <w:right w:val="single" w:color="auto" w:sz="4" w:space="0"/>
            </w:tcBorders>
            <w:vAlign w:val="center"/>
          </w:tcPr>
          <w:p w14:paraId="247F9F6F">
            <w:pPr>
              <w:pStyle w:val="119"/>
              <w:keepNext w:val="0"/>
              <w:keepLines w:val="0"/>
              <w:pageBreakBefore w:val="0"/>
              <w:tabs>
                <w:tab w:val="left" w:pos="1890"/>
              </w:tabs>
              <w:kinsoku/>
              <w:wordWrap/>
              <w:overflowPunct/>
              <w:topLinePunct w:val="0"/>
              <w:autoSpaceDE/>
              <w:autoSpaceDN/>
              <w:bidi w:val="0"/>
              <w:adjustRightInd/>
              <w:snapToGrid/>
              <w:spacing w:line="420" w:lineRule="exact"/>
              <w:ind w:firstLine="480" w:firstLineChars="200"/>
              <w:jc w:val="left"/>
              <w:textAlignment w:val="auto"/>
              <w:rPr>
                <w:rFonts w:hint="default" w:ascii="宋体" w:hAnsi="宋体" w:eastAsia="宋体" w:cs="宋体"/>
                <w:color w:val="auto"/>
                <w:kern w:val="2"/>
                <w:sz w:val="24"/>
                <w:szCs w:val="22"/>
                <w:highlight w:val="none"/>
                <w:lang w:val="en-US" w:eastAsia="zh-CN" w:bidi="ar-SA"/>
              </w:rPr>
            </w:pPr>
            <w:r>
              <w:rPr>
                <w:rFonts w:hint="eastAsia" w:ascii="宋体" w:hAnsi="宋体" w:cs="宋体"/>
                <w:color w:val="auto"/>
                <w:kern w:val="2"/>
                <w:sz w:val="24"/>
                <w:szCs w:val="22"/>
                <w:highlight w:val="none"/>
                <w:lang w:val="en-US" w:eastAsia="zh-CN" w:bidi="ar-SA"/>
              </w:rPr>
              <w:t>汇龙工程咨询有限公司</w:t>
            </w:r>
          </w:p>
        </w:tc>
      </w:tr>
      <w:tr w14:paraId="527226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21" w:type="dxa"/>
            <w:tcBorders>
              <w:top w:val="single" w:color="auto" w:sz="4" w:space="0"/>
              <w:left w:val="single" w:color="auto" w:sz="4" w:space="0"/>
              <w:bottom w:val="single" w:color="auto" w:sz="4" w:space="0"/>
              <w:right w:val="single" w:color="auto" w:sz="4" w:space="0"/>
            </w:tcBorders>
            <w:vAlign w:val="center"/>
          </w:tcPr>
          <w:p w14:paraId="67F0BD23">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9</w:t>
            </w:r>
          </w:p>
        </w:tc>
        <w:tc>
          <w:tcPr>
            <w:tcW w:w="1725" w:type="dxa"/>
            <w:tcBorders>
              <w:top w:val="single" w:color="auto" w:sz="4" w:space="0"/>
              <w:left w:val="single" w:color="auto" w:sz="4" w:space="0"/>
              <w:bottom w:val="single" w:color="auto" w:sz="4" w:space="0"/>
              <w:right w:val="single" w:color="auto" w:sz="4" w:space="0"/>
            </w:tcBorders>
            <w:vAlign w:val="center"/>
          </w:tcPr>
          <w:p w14:paraId="38C9C60D">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施工单位</w:t>
            </w:r>
          </w:p>
        </w:tc>
        <w:tc>
          <w:tcPr>
            <w:tcW w:w="6856" w:type="dxa"/>
            <w:tcBorders>
              <w:top w:val="single" w:color="auto" w:sz="4" w:space="0"/>
              <w:left w:val="single" w:color="auto" w:sz="4" w:space="0"/>
              <w:bottom w:val="single" w:color="auto" w:sz="4" w:space="0"/>
              <w:right w:val="single" w:color="auto" w:sz="4" w:space="0"/>
            </w:tcBorders>
            <w:vAlign w:val="center"/>
          </w:tcPr>
          <w:p w14:paraId="5A573BFA">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rPr>
                <w:rFonts w:hint="eastAsia" w:hAnsi="宋体" w:eastAsia="宋体" w:cs="宋体"/>
                <w:bCs/>
                <w:snapToGrid w:val="0"/>
                <w:color w:val="auto"/>
                <w:kern w:val="0"/>
                <w:szCs w:val="24"/>
                <w:highlight w:val="none"/>
                <w:lang w:val="en-US" w:eastAsia="zh-CN"/>
              </w:rPr>
            </w:pPr>
            <w:r>
              <w:rPr>
                <w:rFonts w:hint="eastAsia" w:hAnsi="宋体" w:cs="宋体"/>
                <w:bCs/>
                <w:snapToGrid w:val="0"/>
                <w:color w:val="auto"/>
                <w:kern w:val="0"/>
                <w:szCs w:val="24"/>
                <w:highlight w:val="none"/>
                <w:lang w:val="en-US" w:eastAsia="zh-CN"/>
              </w:rPr>
              <w:t>待定</w:t>
            </w:r>
          </w:p>
        </w:tc>
      </w:tr>
      <w:tr w14:paraId="23BD85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21" w:type="dxa"/>
            <w:tcBorders>
              <w:top w:val="single" w:color="auto" w:sz="4" w:space="0"/>
              <w:left w:val="single" w:color="auto" w:sz="4" w:space="0"/>
              <w:bottom w:val="single" w:color="auto" w:sz="4" w:space="0"/>
              <w:right w:val="single" w:color="auto" w:sz="4" w:space="0"/>
            </w:tcBorders>
            <w:vAlign w:val="center"/>
          </w:tcPr>
          <w:p w14:paraId="3CCDDB26">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10</w:t>
            </w:r>
          </w:p>
        </w:tc>
        <w:tc>
          <w:tcPr>
            <w:tcW w:w="1725" w:type="dxa"/>
            <w:tcBorders>
              <w:top w:val="single" w:color="auto" w:sz="4" w:space="0"/>
              <w:left w:val="single" w:color="auto" w:sz="4" w:space="0"/>
              <w:bottom w:val="single" w:color="auto" w:sz="4" w:space="0"/>
              <w:right w:val="single" w:color="auto" w:sz="4" w:space="0"/>
            </w:tcBorders>
            <w:vAlign w:val="center"/>
          </w:tcPr>
          <w:p w14:paraId="6FF12DE8">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建设地点</w:t>
            </w:r>
          </w:p>
        </w:tc>
        <w:tc>
          <w:tcPr>
            <w:tcW w:w="6856" w:type="dxa"/>
            <w:tcBorders>
              <w:top w:val="single" w:color="auto" w:sz="4" w:space="0"/>
              <w:left w:val="single" w:color="auto" w:sz="4" w:space="0"/>
              <w:bottom w:val="single" w:color="auto" w:sz="4" w:space="0"/>
              <w:right w:val="single" w:color="auto" w:sz="4" w:space="0"/>
            </w:tcBorders>
            <w:vAlign w:val="center"/>
          </w:tcPr>
          <w:p w14:paraId="38AD8131">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rPr>
                <w:rFonts w:hAnsi="宋体" w:cs="宋体"/>
                <w:bCs/>
                <w:snapToGrid w:val="0"/>
                <w:color w:val="auto"/>
                <w:kern w:val="0"/>
                <w:szCs w:val="24"/>
                <w:highlight w:val="none"/>
              </w:rPr>
            </w:pPr>
            <w:r>
              <w:rPr>
                <w:rFonts w:hint="eastAsia" w:hAnsi="宋体" w:cs="宋体"/>
                <w:bCs/>
                <w:snapToGrid w:val="0"/>
                <w:color w:val="auto"/>
                <w:kern w:val="0"/>
                <w:szCs w:val="24"/>
                <w:highlight w:val="none"/>
              </w:rPr>
              <w:t>翁源产业园区</w:t>
            </w:r>
          </w:p>
        </w:tc>
      </w:tr>
      <w:tr w14:paraId="60FBEB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3664" w:hRule="exact"/>
        </w:trPr>
        <w:tc>
          <w:tcPr>
            <w:tcW w:w="721" w:type="dxa"/>
            <w:tcBorders>
              <w:top w:val="single" w:color="auto" w:sz="4" w:space="0"/>
              <w:left w:val="single" w:color="auto" w:sz="4" w:space="0"/>
              <w:bottom w:val="single" w:color="auto" w:sz="4" w:space="0"/>
              <w:right w:val="single" w:color="auto" w:sz="4" w:space="0"/>
            </w:tcBorders>
            <w:vAlign w:val="center"/>
          </w:tcPr>
          <w:p w14:paraId="1C3DB1E9">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11</w:t>
            </w:r>
          </w:p>
        </w:tc>
        <w:tc>
          <w:tcPr>
            <w:tcW w:w="1725" w:type="dxa"/>
            <w:tcBorders>
              <w:top w:val="single" w:color="auto" w:sz="4" w:space="0"/>
              <w:left w:val="single" w:color="auto" w:sz="4" w:space="0"/>
              <w:bottom w:val="single" w:color="auto" w:sz="4" w:space="0"/>
              <w:right w:val="single" w:color="auto" w:sz="4" w:space="0"/>
            </w:tcBorders>
            <w:vAlign w:val="center"/>
          </w:tcPr>
          <w:p w14:paraId="524B41AB">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建设内容和规模</w:t>
            </w:r>
          </w:p>
        </w:tc>
        <w:tc>
          <w:tcPr>
            <w:tcW w:w="6856" w:type="dxa"/>
            <w:tcBorders>
              <w:top w:val="single" w:color="auto" w:sz="4" w:space="0"/>
              <w:left w:val="single" w:color="auto" w:sz="4" w:space="0"/>
              <w:bottom w:val="single" w:color="auto" w:sz="4" w:space="0"/>
              <w:right w:val="single" w:color="auto" w:sz="4" w:space="0"/>
            </w:tcBorders>
            <w:vAlign w:val="center"/>
          </w:tcPr>
          <w:p w14:paraId="07AEA898">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该项目用地面积20787㎡，具体建设内容如下:新建1栋单层钢结构厂房(长100米x宽55米x高15.45米)，建筑面积5500㎡，新建1栋两层框架结构商务和生活配套设施(长28米x宽18米x高8.25米)，建筑面积1054.89㎡;新建1个单层框架结构值班室，建筑面积15㎡。同时，对地块内原有厂房(建筑面积3232.41㎡)进行改造，增设侧墙及设备用房，并在用地红线范围内开展场地平整、混凝土路面浇筑、新建围墙及绿化种植等。</w:t>
            </w:r>
          </w:p>
        </w:tc>
      </w:tr>
      <w:tr w14:paraId="2CCBD7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970" w:hRule="exact"/>
        </w:trPr>
        <w:tc>
          <w:tcPr>
            <w:tcW w:w="721" w:type="dxa"/>
            <w:tcBorders>
              <w:top w:val="single" w:color="auto" w:sz="4" w:space="0"/>
              <w:left w:val="single" w:color="auto" w:sz="4" w:space="0"/>
              <w:bottom w:val="single" w:color="auto" w:sz="4" w:space="0"/>
              <w:right w:val="single" w:color="auto" w:sz="4" w:space="0"/>
            </w:tcBorders>
            <w:vAlign w:val="center"/>
          </w:tcPr>
          <w:p w14:paraId="38F04D53">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12</w:t>
            </w:r>
          </w:p>
        </w:tc>
        <w:tc>
          <w:tcPr>
            <w:tcW w:w="1725" w:type="dxa"/>
            <w:tcBorders>
              <w:top w:val="single" w:color="auto" w:sz="4" w:space="0"/>
              <w:left w:val="single" w:color="auto" w:sz="4" w:space="0"/>
              <w:bottom w:val="single" w:color="auto" w:sz="4" w:space="0"/>
              <w:right w:val="single" w:color="auto" w:sz="4" w:space="0"/>
            </w:tcBorders>
            <w:vAlign w:val="center"/>
          </w:tcPr>
          <w:p w14:paraId="77F81F0E">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项目总投资</w:t>
            </w:r>
          </w:p>
        </w:tc>
        <w:tc>
          <w:tcPr>
            <w:tcW w:w="6856" w:type="dxa"/>
            <w:tcBorders>
              <w:top w:val="single" w:color="auto" w:sz="4" w:space="0"/>
              <w:left w:val="single" w:color="auto" w:sz="4" w:space="0"/>
              <w:bottom w:val="single" w:color="auto" w:sz="4" w:space="0"/>
              <w:right w:val="single" w:color="auto" w:sz="4" w:space="0"/>
            </w:tcBorders>
            <w:vAlign w:val="center"/>
          </w:tcPr>
          <w:p w14:paraId="5A4E55A0">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int="default" w:hAnsi="宋体" w:eastAsia="宋体" w:cs="宋体"/>
                <w:snapToGrid w:val="0"/>
                <w:color w:val="auto"/>
                <w:kern w:val="0"/>
                <w:szCs w:val="24"/>
                <w:highlight w:val="none"/>
                <w:lang w:val="en-US" w:eastAsia="zh-CN"/>
              </w:rPr>
            </w:pPr>
            <w:r>
              <w:rPr>
                <w:rFonts w:hint="eastAsia" w:hAnsi="宋体" w:cs="宋体"/>
                <w:snapToGrid w:val="0"/>
                <w:color w:val="auto"/>
                <w:kern w:val="0"/>
                <w:szCs w:val="24"/>
                <w:highlight w:val="none"/>
                <w:lang w:val="en-US" w:eastAsia="zh-CN"/>
              </w:rPr>
              <w:t>项目总投资3979.75万元，其中建安费2602.04万元。</w:t>
            </w:r>
          </w:p>
        </w:tc>
      </w:tr>
      <w:tr w14:paraId="2303D5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648" w:hRule="exact"/>
        </w:trPr>
        <w:tc>
          <w:tcPr>
            <w:tcW w:w="721" w:type="dxa"/>
            <w:tcBorders>
              <w:top w:val="single" w:color="auto" w:sz="4" w:space="0"/>
              <w:left w:val="single" w:color="auto" w:sz="4" w:space="0"/>
              <w:bottom w:val="single" w:color="auto" w:sz="4" w:space="0"/>
              <w:right w:val="single" w:color="auto" w:sz="4" w:space="0"/>
            </w:tcBorders>
            <w:vAlign w:val="center"/>
          </w:tcPr>
          <w:p w14:paraId="4291E04E">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13</w:t>
            </w:r>
          </w:p>
        </w:tc>
        <w:tc>
          <w:tcPr>
            <w:tcW w:w="1725" w:type="dxa"/>
            <w:tcBorders>
              <w:top w:val="single" w:color="auto" w:sz="4" w:space="0"/>
              <w:left w:val="single" w:color="auto" w:sz="4" w:space="0"/>
              <w:bottom w:val="single" w:color="auto" w:sz="4" w:space="0"/>
              <w:right w:val="single" w:color="auto" w:sz="4" w:space="0"/>
            </w:tcBorders>
            <w:vAlign w:val="center"/>
          </w:tcPr>
          <w:p w14:paraId="7C84CB2F">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招标范围</w:t>
            </w:r>
          </w:p>
        </w:tc>
        <w:tc>
          <w:tcPr>
            <w:tcW w:w="6856" w:type="dxa"/>
            <w:tcBorders>
              <w:top w:val="single" w:color="auto" w:sz="4" w:space="0"/>
              <w:left w:val="single" w:color="auto" w:sz="4" w:space="0"/>
              <w:bottom w:val="single" w:color="auto" w:sz="4" w:space="0"/>
              <w:right w:val="single" w:color="auto" w:sz="4" w:space="0"/>
            </w:tcBorders>
            <w:vAlign w:val="center"/>
          </w:tcPr>
          <w:p w14:paraId="15FBF660">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Ansi="宋体" w:cs="宋体"/>
                <w:bCs/>
                <w:snapToGrid w:val="0"/>
                <w:color w:val="auto"/>
                <w:kern w:val="0"/>
                <w:szCs w:val="24"/>
                <w:highlight w:val="none"/>
              </w:rPr>
            </w:pPr>
            <w:r>
              <w:rPr>
                <w:rFonts w:hint="eastAsia" w:hAnsi="宋体" w:cs="宋体"/>
                <w:bCs/>
                <w:snapToGrid w:val="0"/>
                <w:color w:val="auto"/>
                <w:kern w:val="0"/>
                <w:szCs w:val="24"/>
                <w:highlight w:val="none"/>
              </w:rPr>
              <w:t>项目建设范围内的建设全过程监理(含勘察、设计阶段、施工准备阶段、施工阶段、工程竣工验收及结算阶段和缺陷责任保修期阶段的全过程监理)。</w:t>
            </w:r>
          </w:p>
        </w:tc>
      </w:tr>
      <w:tr w14:paraId="56A166D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21" w:type="dxa"/>
            <w:tcBorders>
              <w:top w:val="single" w:color="auto" w:sz="4" w:space="0"/>
              <w:left w:val="single" w:color="auto" w:sz="4" w:space="0"/>
              <w:bottom w:val="single" w:color="auto" w:sz="4" w:space="0"/>
              <w:right w:val="single" w:color="auto" w:sz="4" w:space="0"/>
            </w:tcBorders>
            <w:vAlign w:val="center"/>
          </w:tcPr>
          <w:p w14:paraId="24E64C0D">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14</w:t>
            </w:r>
          </w:p>
        </w:tc>
        <w:tc>
          <w:tcPr>
            <w:tcW w:w="1725" w:type="dxa"/>
            <w:tcBorders>
              <w:top w:val="single" w:color="auto" w:sz="4" w:space="0"/>
              <w:left w:val="single" w:color="auto" w:sz="4" w:space="0"/>
              <w:bottom w:val="single" w:color="auto" w:sz="4" w:space="0"/>
              <w:right w:val="single" w:color="auto" w:sz="4" w:space="0"/>
            </w:tcBorders>
            <w:vAlign w:val="center"/>
          </w:tcPr>
          <w:p w14:paraId="395764C6">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标段划分</w:t>
            </w:r>
          </w:p>
        </w:tc>
        <w:tc>
          <w:tcPr>
            <w:tcW w:w="6856" w:type="dxa"/>
            <w:tcBorders>
              <w:top w:val="single" w:color="auto" w:sz="4" w:space="0"/>
              <w:left w:val="single" w:color="auto" w:sz="4" w:space="0"/>
              <w:bottom w:val="single" w:color="auto" w:sz="4" w:space="0"/>
              <w:right w:val="single" w:color="auto" w:sz="4" w:space="0"/>
            </w:tcBorders>
            <w:vAlign w:val="center"/>
          </w:tcPr>
          <w:p w14:paraId="6F6ED3D3">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rPr>
                <w:rFonts w:hAnsi="宋体" w:cs="宋体"/>
                <w:snapToGrid w:val="0"/>
                <w:color w:val="auto"/>
                <w:kern w:val="0"/>
                <w:szCs w:val="24"/>
                <w:highlight w:val="none"/>
              </w:rPr>
            </w:pPr>
            <w:r>
              <w:rPr>
                <w:rFonts w:hint="eastAsia" w:hAnsi="宋体" w:cs="宋体"/>
                <w:snapToGrid w:val="0"/>
                <w:color w:val="auto"/>
                <w:kern w:val="0"/>
                <w:szCs w:val="24"/>
                <w:highlight w:val="none"/>
              </w:rPr>
              <w:t>本招标项目不划分标段。</w:t>
            </w:r>
          </w:p>
        </w:tc>
      </w:tr>
      <w:tr w14:paraId="1EAF66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377" w:hRule="atLeast"/>
        </w:trPr>
        <w:tc>
          <w:tcPr>
            <w:tcW w:w="721" w:type="dxa"/>
            <w:tcBorders>
              <w:top w:val="single" w:color="auto" w:sz="4" w:space="0"/>
              <w:left w:val="single" w:color="auto" w:sz="4" w:space="0"/>
              <w:bottom w:val="single" w:color="auto" w:sz="4" w:space="0"/>
              <w:right w:val="single" w:color="auto" w:sz="4" w:space="0"/>
            </w:tcBorders>
            <w:vAlign w:val="center"/>
          </w:tcPr>
          <w:p w14:paraId="0D21C19F">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15</w:t>
            </w:r>
          </w:p>
        </w:tc>
        <w:tc>
          <w:tcPr>
            <w:tcW w:w="1725" w:type="dxa"/>
            <w:tcBorders>
              <w:top w:val="single" w:color="auto" w:sz="4" w:space="0"/>
              <w:left w:val="single" w:color="auto" w:sz="4" w:space="0"/>
              <w:bottom w:val="single" w:color="auto" w:sz="4" w:space="0"/>
              <w:right w:val="single" w:color="auto" w:sz="4" w:space="0"/>
            </w:tcBorders>
            <w:vAlign w:val="center"/>
          </w:tcPr>
          <w:p w14:paraId="39645DBB">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投标人资格要求</w:t>
            </w:r>
          </w:p>
        </w:tc>
        <w:tc>
          <w:tcPr>
            <w:tcW w:w="6856" w:type="dxa"/>
            <w:tcBorders>
              <w:top w:val="single" w:color="auto" w:sz="4" w:space="0"/>
              <w:left w:val="single" w:color="auto" w:sz="4" w:space="0"/>
              <w:bottom w:val="single" w:color="auto" w:sz="4" w:space="0"/>
              <w:right w:val="single" w:color="auto" w:sz="4" w:space="0"/>
            </w:tcBorders>
            <w:vAlign w:val="center"/>
          </w:tcPr>
          <w:p w14:paraId="72B4A504">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Ansi="宋体" w:cs="宋体"/>
                <w:color w:val="auto"/>
                <w:szCs w:val="24"/>
                <w:highlight w:val="none"/>
              </w:rPr>
            </w:pPr>
            <w:r>
              <w:rPr>
                <w:rFonts w:hint="eastAsia" w:hAnsi="宋体" w:cs="宋体"/>
                <w:color w:val="auto"/>
                <w:szCs w:val="24"/>
                <w:highlight w:val="none"/>
              </w:rPr>
              <w:t>1．本次招标不接受联合体投标。</w:t>
            </w:r>
          </w:p>
          <w:p w14:paraId="0C43707D">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Ansi="宋体" w:cs="宋体"/>
                <w:color w:val="auto"/>
                <w:szCs w:val="24"/>
                <w:highlight w:val="none"/>
              </w:rPr>
            </w:pPr>
            <w:r>
              <w:rPr>
                <w:rFonts w:hint="eastAsia" w:hAnsi="宋体" w:cs="宋体"/>
                <w:color w:val="auto"/>
                <w:szCs w:val="24"/>
                <w:highlight w:val="none"/>
              </w:rPr>
              <w:t>2．资质要求</w:t>
            </w:r>
          </w:p>
          <w:p w14:paraId="5E83E10D">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highlight w:val="none"/>
              </w:rPr>
            </w:pPr>
            <w:r>
              <w:rPr>
                <w:rFonts w:hint="eastAsia" w:hAnsi="宋体" w:cs="宋体"/>
                <w:color w:val="auto"/>
                <w:szCs w:val="24"/>
                <w:highlight w:val="none"/>
              </w:rPr>
              <w:t>2.1 投标人须具备独立法人资格，按国家法律经营。</w:t>
            </w:r>
          </w:p>
          <w:p w14:paraId="0BD694E8">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int="eastAsia" w:ascii="宋体" w:hAnsi="宋体" w:eastAsia="宋体" w:cs="宋体"/>
                <w:color w:val="auto"/>
                <w:szCs w:val="24"/>
                <w:highlight w:val="none"/>
              </w:rPr>
            </w:pPr>
            <w:r>
              <w:rPr>
                <w:rFonts w:hint="eastAsia" w:hAnsi="宋体" w:cs="宋体"/>
                <w:color w:val="auto"/>
                <w:szCs w:val="24"/>
                <w:highlight w:val="none"/>
              </w:rPr>
              <w:t xml:space="preserve">2.2 </w:t>
            </w:r>
            <w:r>
              <w:rPr>
                <w:rFonts w:hint="eastAsia" w:ascii="宋体" w:hAnsi="宋体" w:eastAsia="宋体" w:cs="宋体"/>
                <w:color w:val="auto"/>
                <w:szCs w:val="24"/>
                <w:highlight w:val="none"/>
              </w:rPr>
              <w:t>投标人须具备以下资质之一：①工程监理综合资质；②房屋建筑工程监理乙级资质及以上（含</w:t>
            </w:r>
            <w:r>
              <w:rPr>
                <w:rFonts w:hint="eastAsia" w:hAnsi="宋体" w:cs="宋体"/>
                <w:color w:val="auto"/>
                <w:szCs w:val="24"/>
                <w:highlight w:val="none"/>
                <w:lang w:val="en-US" w:eastAsia="zh-CN"/>
              </w:rPr>
              <w:t>乙</w:t>
            </w:r>
            <w:r>
              <w:rPr>
                <w:rFonts w:hint="eastAsia" w:ascii="宋体" w:hAnsi="宋体" w:eastAsia="宋体" w:cs="宋体"/>
                <w:color w:val="auto"/>
                <w:szCs w:val="24"/>
                <w:highlight w:val="none"/>
              </w:rPr>
              <w:t>级）资质。</w:t>
            </w:r>
          </w:p>
          <w:p w14:paraId="313E5A8A">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highlight w:val="none"/>
              </w:rPr>
            </w:pPr>
            <w:r>
              <w:rPr>
                <w:rFonts w:hint="eastAsia" w:hAnsi="宋体" w:cs="宋体"/>
                <w:color w:val="auto"/>
                <w:szCs w:val="24"/>
                <w:highlight w:val="none"/>
              </w:rPr>
              <w:t>2.3 投标人的企业相关证书、人员资质、资格有效期到期的，均按该证书的发证机构相关行业主管部门最新文件执行（如自动顺延或推迟办理延期业务的通知），投标人必须将相关文件附在该证书后面中，证明在开标日继续有效。</w:t>
            </w:r>
          </w:p>
          <w:p w14:paraId="5F5074AC">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highlight w:val="none"/>
              </w:rPr>
            </w:pPr>
            <w:r>
              <w:rPr>
                <w:rFonts w:hint="eastAsia" w:hAnsi="宋体" w:cs="宋体"/>
                <w:color w:val="auto"/>
                <w:szCs w:val="24"/>
                <w:highlight w:val="none"/>
              </w:rPr>
              <w:t>3．相关人员要求</w:t>
            </w:r>
          </w:p>
          <w:p w14:paraId="167EA274">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highlight w:val="none"/>
              </w:rPr>
            </w:pPr>
            <w:r>
              <w:rPr>
                <w:rFonts w:hint="eastAsia" w:hAnsi="宋体" w:cs="宋体"/>
                <w:color w:val="auto"/>
                <w:szCs w:val="24"/>
                <w:highlight w:val="none"/>
              </w:rPr>
              <w:t>3.1 拟派总监理工程师为房屋建筑工程专业注册监理工程师，应持有国家住建部印发的有效注册证书，其担任总监理工程师职务的其他在施（包括已中标未开工、已开工未竣工）建设工程项目不得超过</w:t>
            </w:r>
            <w:r>
              <w:rPr>
                <w:rFonts w:hint="eastAsia" w:hAnsi="宋体" w:cs="宋体"/>
                <w:color w:val="auto"/>
                <w:szCs w:val="24"/>
                <w:highlight w:val="none"/>
                <w:u w:val="single"/>
              </w:rPr>
              <w:t xml:space="preserve"> 2 </w:t>
            </w:r>
            <w:r>
              <w:rPr>
                <w:rFonts w:hint="eastAsia" w:hAnsi="宋体" w:cs="宋体"/>
                <w:color w:val="auto"/>
                <w:szCs w:val="24"/>
                <w:highlight w:val="none"/>
              </w:rPr>
              <w:t>个。</w:t>
            </w:r>
          </w:p>
          <w:p w14:paraId="6A7B3674">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highlight w:val="none"/>
              </w:rPr>
            </w:pPr>
            <w:r>
              <w:rPr>
                <w:rFonts w:hint="eastAsia" w:hAnsi="宋体" w:cs="宋体"/>
                <w:color w:val="auto"/>
                <w:szCs w:val="24"/>
                <w:highlight w:val="none"/>
              </w:rPr>
              <w:t>拟派总监理工程师现阶段有担任其他在施建设工程项目总监理工程师职务的，须得到任职项目建设单位书面同意后方可担任本招标项目总监理工程师。</w:t>
            </w:r>
          </w:p>
          <w:p w14:paraId="27183460">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highlight w:val="none"/>
              </w:rPr>
            </w:pPr>
            <w:r>
              <w:rPr>
                <w:rFonts w:hint="eastAsia" w:hAnsi="宋体" w:cs="宋体"/>
                <w:color w:val="auto"/>
                <w:szCs w:val="24"/>
                <w:highlight w:val="none"/>
              </w:rPr>
              <w:t>3.2 投标人与其拟派往本项目监理机构的所有人员之间必须具备合法、唯一的劳动聘用关系。拟派人员中具备注册执业资格的，其注册单位须与投标人保持一致。</w:t>
            </w:r>
          </w:p>
          <w:p w14:paraId="4D8E3C3A">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highlight w:val="none"/>
              </w:rPr>
            </w:pPr>
            <w:r>
              <w:rPr>
                <w:rFonts w:hint="eastAsia" w:hAnsi="宋体" w:cs="宋体"/>
                <w:color w:val="auto"/>
                <w:szCs w:val="24"/>
                <w:highlight w:val="none"/>
              </w:rPr>
              <w:t>4．禁止投标条款</w:t>
            </w:r>
          </w:p>
          <w:p w14:paraId="643A7970">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highlight w:val="none"/>
              </w:rPr>
            </w:pPr>
            <w:r>
              <w:rPr>
                <w:rFonts w:hint="eastAsia" w:hAnsi="宋体" w:cs="宋体"/>
                <w:color w:val="auto"/>
                <w:szCs w:val="24"/>
                <w:highlight w:val="none"/>
              </w:rPr>
              <w:t>4.1 投标人不得存在下列情形之一：</w:t>
            </w:r>
          </w:p>
          <w:p w14:paraId="33D9336C">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highlight w:val="none"/>
              </w:rPr>
            </w:pPr>
            <w:r>
              <w:rPr>
                <w:rFonts w:hint="eastAsia" w:hAnsi="宋体" w:cs="宋体"/>
                <w:color w:val="auto"/>
                <w:szCs w:val="24"/>
                <w:highlight w:val="none"/>
              </w:rPr>
              <w:t>（1）为招标人不具有独立法人资格的附属机构（单位）；</w:t>
            </w:r>
          </w:p>
          <w:p w14:paraId="050EBDBB">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highlight w:val="none"/>
              </w:rPr>
            </w:pPr>
            <w:r>
              <w:rPr>
                <w:rFonts w:hint="eastAsia" w:hAnsi="宋体" w:cs="宋体"/>
                <w:color w:val="auto"/>
                <w:szCs w:val="24"/>
                <w:highlight w:val="none"/>
              </w:rPr>
              <w:t>（2）与招标人存在利害关系且可能影响招标公正性；</w:t>
            </w:r>
          </w:p>
          <w:p w14:paraId="24F40CA1">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highlight w:val="none"/>
              </w:rPr>
            </w:pPr>
            <w:r>
              <w:rPr>
                <w:rFonts w:hint="eastAsia" w:hAnsi="宋体" w:cs="宋体"/>
                <w:color w:val="auto"/>
                <w:szCs w:val="24"/>
                <w:highlight w:val="none"/>
              </w:rPr>
              <w:t>（3）与本招标项目的其他投标人为同一个单位负责人；</w:t>
            </w:r>
          </w:p>
          <w:p w14:paraId="1244D360">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highlight w:val="none"/>
              </w:rPr>
            </w:pPr>
            <w:r>
              <w:rPr>
                <w:rFonts w:hint="eastAsia" w:hAnsi="宋体" w:cs="宋体"/>
                <w:color w:val="auto"/>
                <w:szCs w:val="24"/>
                <w:highlight w:val="none"/>
              </w:rPr>
              <w:t>（4）与本招标项目的其他投标人存在控股、管理关系；</w:t>
            </w:r>
          </w:p>
          <w:p w14:paraId="66985ACF">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highlight w:val="none"/>
              </w:rPr>
            </w:pPr>
            <w:r>
              <w:rPr>
                <w:rFonts w:hint="eastAsia" w:hAnsi="宋体" w:cs="宋体"/>
                <w:color w:val="auto"/>
                <w:szCs w:val="24"/>
                <w:highlight w:val="none"/>
              </w:rPr>
              <w:t>（5）为本招标项目的代建人；</w:t>
            </w:r>
          </w:p>
          <w:p w14:paraId="7A5518C4">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highlight w:val="none"/>
              </w:rPr>
            </w:pPr>
            <w:r>
              <w:rPr>
                <w:rFonts w:hint="eastAsia" w:hAnsi="宋体" w:cs="宋体"/>
                <w:color w:val="auto"/>
                <w:szCs w:val="24"/>
                <w:highlight w:val="none"/>
              </w:rPr>
              <w:t>（6）为本招标项目的招标代理机构；</w:t>
            </w:r>
          </w:p>
          <w:p w14:paraId="4B96EB39">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highlight w:val="none"/>
              </w:rPr>
            </w:pPr>
            <w:r>
              <w:rPr>
                <w:rFonts w:hint="eastAsia" w:hAnsi="宋体" w:cs="宋体"/>
                <w:color w:val="auto"/>
                <w:szCs w:val="24"/>
                <w:highlight w:val="none"/>
              </w:rPr>
              <w:t>（7）与本招标项目的代建人或招标代理机构同为一个法定代表人；</w:t>
            </w:r>
          </w:p>
          <w:p w14:paraId="097A8C09">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highlight w:val="none"/>
              </w:rPr>
            </w:pPr>
            <w:r>
              <w:rPr>
                <w:rFonts w:hint="eastAsia" w:hAnsi="宋体" w:cs="宋体"/>
                <w:color w:val="auto"/>
                <w:szCs w:val="24"/>
                <w:highlight w:val="none"/>
              </w:rPr>
              <w:t>（8）与本招标项目的代建人或招标代理机构存在控股或参股关系；</w:t>
            </w:r>
          </w:p>
          <w:p w14:paraId="6F337B4D">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highlight w:val="none"/>
              </w:rPr>
            </w:pPr>
            <w:r>
              <w:rPr>
                <w:rFonts w:hint="eastAsia" w:hAnsi="宋体" w:cs="宋体"/>
                <w:color w:val="auto"/>
                <w:szCs w:val="24"/>
                <w:highlight w:val="none"/>
              </w:rPr>
              <w:t>（9）与本招标项目的施工承包人以及建筑材料、建筑构配件和设备供应商有隶属关系或者其他利害关系；</w:t>
            </w:r>
          </w:p>
          <w:p w14:paraId="73DC5655">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highlight w:val="none"/>
              </w:rPr>
            </w:pPr>
            <w:r>
              <w:rPr>
                <w:rFonts w:hint="eastAsia" w:hAnsi="宋体" w:cs="宋体"/>
                <w:color w:val="auto"/>
                <w:szCs w:val="24"/>
                <w:highlight w:val="none"/>
              </w:rPr>
              <w:t>（10）被依法暂停或者取消投标资格；</w:t>
            </w:r>
          </w:p>
          <w:p w14:paraId="679F4547">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highlight w:val="none"/>
              </w:rPr>
            </w:pPr>
            <w:r>
              <w:rPr>
                <w:rFonts w:hint="eastAsia" w:hAnsi="宋体" w:cs="宋体"/>
                <w:color w:val="auto"/>
                <w:szCs w:val="24"/>
                <w:highlight w:val="none"/>
              </w:rPr>
              <w:t>（11）被责令停产停业、暂扣或者吊销许可证、暂扣或者吊销执照；</w:t>
            </w:r>
          </w:p>
          <w:p w14:paraId="27E4256A">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highlight w:val="none"/>
              </w:rPr>
            </w:pPr>
            <w:r>
              <w:rPr>
                <w:rFonts w:hint="eastAsia" w:hAnsi="宋体" w:cs="宋体"/>
                <w:color w:val="auto"/>
                <w:szCs w:val="24"/>
                <w:highlight w:val="none"/>
              </w:rPr>
              <w:t>（12）进入清算程序，或被宣告破产，或其他丧失履约能力的情形；</w:t>
            </w:r>
          </w:p>
          <w:p w14:paraId="74156A1D">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highlight w:val="none"/>
              </w:rPr>
            </w:pPr>
            <w:r>
              <w:rPr>
                <w:rFonts w:hint="eastAsia" w:hAnsi="宋体" w:cs="宋体"/>
                <w:color w:val="auto"/>
                <w:szCs w:val="24"/>
                <w:highlight w:val="none"/>
              </w:rPr>
              <w:t>（13）在最近三年内发生重大监理质量问题（以相关行业主管部门的行政处罚决定或司法机关出具的有关法律文书为准）；</w:t>
            </w:r>
          </w:p>
          <w:p w14:paraId="6002F34E">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highlight w:val="none"/>
              </w:rPr>
            </w:pPr>
            <w:r>
              <w:rPr>
                <w:rFonts w:hint="eastAsia" w:hAnsi="宋体" w:cs="宋体"/>
                <w:color w:val="auto"/>
                <w:szCs w:val="24"/>
                <w:highlight w:val="none"/>
              </w:rPr>
              <w:t>（14）</w:t>
            </w:r>
            <w:r>
              <w:rPr>
                <w:rFonts w:hint="eastAsia" w:hAnsi="宋体" w:cs="宋体"/>
                <w:color w:val="auto"/>
                <w:kern w:val="0"/>
                <w:highlight w:val="none"/>
              </w:rPr>
              <w:t>被“信用中国”网站（https://www.creditchina.gov.cn）发布的《法人和非法人组织公共信用信息报告》列为严重失信主体名单的</w:t>
            </w:r>
            <w:r>
              <w:rPr>
                <w:rFonts w:hint="eastAsia" w:hAnsi="宋体" w:cs="宋体"/>
                <w:color w:val="auto"/>
                <w:szCs w:val="24"/>
                <w:highlight w:val="none"/>
              </w:rPr>
              <w:t>。</w:t>
            </w:r>
          </w:p>
          <w:p w14:paraId="07596E7A">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Ansi="宋体" w:cs="宋体"/>
                <w:color w:val="auto"/>
                <w:szCs w:val="24"/>
                <w:highlight w:val="none"/>
              </w:rPr>
            </w:pPr>
            <w:r>
              <w:rPr>
                <w:rFonts w:hint="eastAsia" w:hAnsi="宋体" w:cs="宋体"/>
                <w:color w:val="auto"/>
                <w:szCs w:val="24"/>
                <w:highlight w:val="none"/>
              </w:rPr>
              <w:t>4.2 招标人拒绝以下名单中的单位参加本次投标：</w:t>
            </w:r>
          </w:p>
          <w:tbl>
            <w:tblPr>
              <w:tblStyle w:val="31"/>
              <w:tblW w:w="65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8"/>
              <w:gridCol w:w="3025"/>
              <w:gridCol w:w="2966"/>
            </w:tblGrid>
            <w:tr w14:paraId="6DFE7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98" w:type="dxa"/>
                  <w:noWrap w:val="0"/>
                  <w:vAlign w:val="center"/>
                </w:tcPr>
                <w:p w14:paraId="1D38E1D9">
                  <w:pPr>
                    <w:keepNext w:val="0"/>
                    <w:keepLines w:val="0"/>
                    <w:pageBreakBefore w:val="0"/>
                    <w:widowControl w:val="0"/>
                    <w:tabs>
                      <w:tab w:val="left" w:pos="1890"/>
                    </w:tabs>
                    <w:kinsoku/>
                    <w:wordWrap/>
                    <w:overflowPunct/>
                    <w:topLinePunct w:val="0"/>
                    <w:autoSpaceDE/>
                    <w:autoSpaceDN/>
                    <w:bidi w:val="0"/>
                    <w:adjustRightInd/>
                    <w:snapToGrid/>
                    <w:spacing w:line="4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序号</w:t>
                  </w:r>
                </w:p>
              </w:tc>
              <w:tc>
                <w:tcPr>
                  <w:tcW w:w="3025" w:type="dxa"/>
                  <w:noWrap w:val="0"/>
                  <w:vAlign w:val="center"/>
                </w:tcPr>
                <w:p w14:paraId="7D918EF4">
                  <w:pPr>
                    <w:keepNext w:val="0"/>
                    <w:keepLines w:val="0"/>
                    <w:pageBreakBefore w:val="0"/>
                    <w:widowControl w:val="0"/>
                    <w:tabs>
                      <w:tab w:val="left" w:pos="1890"/>
                    </w:tabs>
                    <w:kinsoku/>
                    <w:wordWrap/>
                    <w:overflowPunct/>
                    <w:topLinePunct w:val="0"/>
                    <w:autoSpaceDE/>
                    <w:autoSpaceDN/>
                    <w:bidi w:val="0"/>
                    <w:adjustRightInd/>
                    <w:snapToGrid/>
                    <w:spacing w:line="4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单位名称</w:t>
                  </w:r>
                </w:p>
              </w:tc>
              <w:tc>
                <w:tcPr>
                  <w:tcW w:w="2966" w:type="dxa"/>
                  <w:noWrap w:val="0"/>
                  <w:vAlign w:val="center"/>
                </w:tcPr>
                <w:p w14:paraId="20BE8CAB">
                  <w:pPr>
                    <w:keepNext w:val="0"/>
                    <w:keepLines w:val="0"/>
                    <w:pageBreakBefore w:val="0"/>
                    <w:widowControl w:val="0"/>
                    <w:tabs>
                      <w:tab w:val="left" w:pos="1890"/>
                    </w:tabs>
                    <w:kinsoku/>
                    <w:wordWrap/>
                    <w:overflowPunct/>
                    <w:topLinePunct w:val="0"/>
                    <w:autoSpaceDE/>
                    <w:autoSpaceDN/>
                    <w:bidi w:val="0"/>
                    <w:adjustRightInd/>
                    <w:snapToGrid/>
                    <w:spacing w:line="4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拒绝原因</w:t>
                  </w:r>
                </w:p>
              </w:tc>
            </w:tr>
            <w:tr w14:paraId="3D6A9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98" w:type="dxa"/>
                  <w:noWrap w:val="0"/>
                  <w:vAlign w:val="center"/>
                </w:tcPr>
                <w:p w14:paraId="5B757AB9">
                  <w:pPr>
                    <w:pStyle w:val="90"/>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1</w:t>
                  </w:r>
                </w:p>
              </w:tc>
              <w:tc>
                <w:tcPr>
                  <w:tcW w:w="3025" w:type="dxa"/>
                  <w:noWrap w:val="0"/>
                  <w:vAlign w:val="center"/>
                </w:tcPr>
                <w:p w14:paraId="33309A4E">
                  <w:pPr>
                    <w:pStyle w:val="90"/>
                    <w:keepNext w:val="0"/>
                    <w:keepLines w:val="0"/>
                    <w:pageBreakBefore w:val="0"/>
                    <w:widowControl w:val="0"/>
                    <w:tabs>
                      <w:tab w:val="left" w:pos="1890"/>
                    </w:tabs>
                    <w:kinsoku/>
                    <w:wordWrap w:val="0"/>
                    <w:overflowPunct/>
                    <w:topLinePunct w:val="0"/>
                    <w:autoSpaceDE/>
                    <w:autoSpaceDN/>
                    <w:bidi w:val="0"/>
                    <w:adjustRightInd w:val="0"/>
                    <w:snapToGrid w:val="0"/>
                    <w:spacing w:line="240" w:lineRule="auto"/>
                    <w:jc w:val="center"/>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广东翁源经济开发区管理委员会</w:t>
                  </w:r>
                </w:p>
              </w:tc>
              <w:tc>
                <w:tcPr>
                  <w:tcW w:w="2966" w:type="dxa"/>
                  <w:noWrap w:val="0"/>
                  <w:vAlign w:val="center"/>
                </w:tcPr>
                <w:p w14:paraId="3109F4A9">
                  <w:pPr>
                    <w:pStyle w:val="90"/>
                    <w:keepNext w:val="0"/>
                    <w:keepLines w:val="0"/>
                    <w:pageBreakBefore w:val="0"/>
                    <w:widowControl w:val="0"/>
                    <w:tabs>
                      <w:tab w:val="left" w:pos="1890"/>
                    </w:tabs>
                    <w:kinsoku/>
                    <w:wordWrap w:val="0"/>
                    <w:overflowPunct/>
                    <w:topLinePunct w:val="0"/>
                    <w:autoSpaceDE/>
                    <w:autoSpaceDN/>
                    <w:bidi w:val="0"/>
                    <w:adjustRightInd w:val="0"/>
                    <w:snapToGrid w:val="0"/>
                    <w:spacing w:line="240" w:lineRule="auto"/>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为</w:t>
                  </w:r>
                  <w:r>
                    <w:rPr>
                      <w:rFonts w:hint="eastAsia" w:ascii="宋体" w:hAnsi="宋体" w:eastAsia="宋体" w:cs="宋体"/>
                      <w:color w:val="auto"/>
                      <w:kern w:val="2"/>
                      <w:sz w:val="24"/>
                      <w:szCs w:val="24"/>
                      <w:highlight w:val="none"/>
                      <w:lang w:val="en-US" w:eastAsia="zh-CN" w:bidi="ar-SA"/>
                    </w:rPr>
                    <w:t>本项目的</w:t>
                  </w:r>
                  <w:r>
                    <w:rPr>
                      <w:rFonts w:hint="eastAsia" w:ascii="宋体" w:hAnsi="宋体" w:eastAsia="宋体" w:cs="宋体"/>
                      <w:color w:val="auto"/>
                      <w:sz w:val="24"/>
                      <w:szCs w:val="24"/>
                      <w:highlight w:val="none"/>
                    </w:rPr>
                    <w:t>招标人</w:t>
                  </w:r>
                </w:p>
              </w:tc>
            </w:tr>
            <w:tr w14:paraId="74C72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98" w:type="dxa"/>
                  <w:noWrap w:val="0"/>
                  <w:vAlign w:val="center"/>
                </w:tcPr>
                <w:p w14:paraId="28FEDDA3">
                  <w:pPr>
                    <w:pStyle w:val="90"/>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2</w:t>
                  </w:r>
                </w:p>
              </w:tc>
              <w:tc>
                <w:tcPr>
                  <w:tcW w:w="3025" w:type="dxa"/>
                  <w:noWrap w:val="0"/>
                  <w:vAlign w:val="center"/>
                </w:tcPr>
                <w:p w14:paraId="22B974FA">
                  <w:pPr>
                    <w:pStyle w:val="90"/>
                    <w:keepNext w:val="0"/>
                    <w:keepLines w:val="0"/>
                    <w:pageBreakBefore w:val="0"/>
                    <w:widowControl w:val="0"/>
                    <w:tabs>
                      <w:tab w:val="left" w:pos="1890"/>
                    </w:tabs>
                    <w:kinsoku/>
                    <w:wordWrap w:val="0"/>
                    <w:overflowPunct/>
                    <w:topLinePunct w:val="0"/>
                    <w:autoSpaceDE/>
                    <w:autoSpaceDN/>
                    <w:bidi w:val="0"/>
                    <w:adjustRightInd w:val="0"/>
                    <w:snapToGrid w:val="0"/>
                    <w:spacing w:line="240" w:lineRule="auto"/>
                    <w:jc w:val="center"/>
                    <w:textAlignment w:val="auto"/>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汇龙工程咨询有限公司</w:t>
                  </w:r>
                </w:p>
              </w:tc>
              <w:tc>
                <w:tcPr>
                  <w:tcW w:w="2966" w:type="dxa"/>
                  <w:noWrap w:val="0"/>
                  <w:vAlign w:val="center"/>
                </w:tcPr>
                <w:p w14:paraId="3A221F21">
                  <w:pPr>
                    <w:pStyle w:val="90"/>
                    <w:keepNext w:val="0"/>
                    <w:keepLines w:val="0"/>
                    <w:pageBreakBefore w:val="0"/>
                    <w:widowControl w:val="0"/>
                    <w:tabs>
                      <w:tab w:val="left" w:pos="1890"/>
                    </w:tabs>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为本项目的招标代理机构</w:t>
                  </w:r>
                </w:p>
              </w:tc>
            </w:tr>
            <w:tr w14:paraId="5A91B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98" w:type="dxa"/>
                  <w:noWrap w:val="0"/>
                  <w:vAlign w:val="center"/>
                </w:tcPr>
                <w:p w14:paraId="74118216">
                  <w:pPr>
                    <w:pStyle w:val="90"/>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3</w:t>
                  </w:r>
                </w:p>
              </w:tc>
              <w:tc>
                <w:tcPr>
                  <w:tcW w:w="3025" w:type="dxa"/>
                  <w:noWrap w:val="0"/>
                  <w:vAlign w:val="center"/>
                </w:tcPr>
                <w:p w14:paraId="0A3FF80A">
                  <w:pPr>
                    <w:pStyle w:val="90"/>
                    <w:keepNext w:val="0"/>
                    <w:keepLines w:val="0"/>
                    <w:pageBreakBefore w:val="0"/>
                    <w:widowControl w:val="0"/>
                    <w:tabs>
                      <w:tab w:val="left" w:pos="1890"/>
                    </w:tabs>
                    <w:kinsoku/>
                    <w:wordWrap w:val="0"/>
                    <w:overflowPunct/>
                    <w:topLinePunct w:val="0"/>
                    <w:autoSpaceDE/>
                    <w:autoSpaceDN/>
                    <w:bidi w:val="0"/>
                    <w:adjustRightInd w:val="0"/>
                    <w:snapToGrid w:val="0"/>
                    <w:spacing w:line="240" w:lineRule="auto"/>
                    <w:jc w:val="both"/>
                    <w:textAlignment w:val="auto"/>
                    <w:rPr>
                      <w:rFonts w:hint="default"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福建建盛工程管理有限公司</w:t>
                  </w:r>
                </w:p>
              </w:tc>
              <w:tc>
                <w:tcPr>
                  <w:tcW w:w="2966" w:type="dxa"/>
                  <w:noWrap w:val="0"/>
                  <w:vAlign w:val="center"/>
                </w:tcPr>
                <w:p w14:paraId="5C95264F">
                  <w:pPr>
                    <w:pStyle w:val="90"/>
                    <w:keepNext w:val="0"/>
                    <w:keepLines w:val="0"/>
                    <w:pageBreakBefore w:val="0"/>
                    <w:widowControl w:val="0"/>
                    <w:tabs>
                      <w:tab w:val="left" w:pos="1890"/>
                    </w:tabs>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color w:val="auto"/>
                      <w:sz w:val="24"/>
                      <w:szCs w:val="24"/>
                      <w:highlight w:val="none"/>
                    </w:rPr>
                    <w:t>为本项目的可研编制单位</w:t>
                  </w:r>
                </w:p>
              </w:tc>
            </w:tr>
            <w:tr w14:paraId="5E680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98" w:type="dxa"/>
                  <w:noWrap w:val="0"/>
                  <w:vAlign w:val="center"/>
                </w:tcPr>
                <w:p w14:paraId="0D97E1E8">
                  <w:pPr>
                    <w:pStyle w:val="90"/>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default"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4</w:t>
                  </w:r>
                </w:p>
              </w:tc>
              <w:tc>
                <w:tcPr>
                  <w:tcW w:w="3025" w:type="dxa"/>
                  <w:noWrap w:val="0"/>
                  <w:vAlign w:val="center"/>
                </w:tcPr>
                <w:p w14:paraId="5DD32DF6">
                  <w:pPr>
                    <w:pStyle w:val="28"/>
                    <w:keepNext w:val="0"/>
                    <w:keepLines w:val="0"/>
                    <w:widowControl/>
                    <w:suppressLineNumbers w:val="0"/>
                    <w:spacing w:before="0" w:beforeAutospacing="0" w:after="0" w:afterAutospacing="0" w:line="240" w:lineRule="auto"/>
                    <w:ind w:right="0" w:rightChars="0"/>
                    <w:jc w:val="center"/>
                    <w:textAlignment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国昇设计有限责任公司</w:t>
                  </w:r>
                </w:p>
              </w:tc>
              <w:tc>
                <w:tcPr>
                  <w:tcW w:w="2966" w:type="dxa"/>
                  <w:noWrap w:val="0"/>
                  <w:vAlign w:val="center"/>
                </w:tcPr>
                <w:p w14:paraId="0884CAA7">
                  <w:pPr>
                    <w:pStyle w:val="90"/>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为本项目的设计单位</w:t>
                  </w:r>
                </w:p>
              </w:tc>
            </w:tr>
            <w:tr w14:paraId="2F8DC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98" w:type="dxa"/>
                  <w:noWrap w:val="0"/>
                  <w:vAlign w:val="center"/>
                </w:tcPr>
                <w:p w14:paraId="3F0EB043">
                  <w:pPr>
                    <w:pStyle w:val="90"/>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default" w:ascii="宋体" w:hAnsi="宋体" w:cs="宋体"/>
                      <w:snapToGrid w:val="0"/>
                      <w:color w:val="auto"/>
                      <w:kern w:val="0"/>
                      <w:sz w:val="24"/>
                      <w:szCs w:val="24"/>
                      <w:highlight w:val="none"/>
                      <w:lang w:val="en-US" w:eastAsia="zh-CN" w:bidi="ar-SA"/>
                    </w:rPr>
                  </w:pPr>
                  <w:r>
                    <w:rPr>
                      <w:rFonts w:hint="eastAsia" w:ascii="宋体" w:hAnsi="宋体" w:cs="宋体"/>
                      <w:snapToGrid w:val="0"/>
                      <w:color w:val="auto"/>
                      <w:kern w:val="0"/>
                      <w:sz w:val="24"/>
                      <w:szCs w:val="24"/>
                      <w:highlight w:val="none"/>
                      <w:lang w:val="en-US" w:eastAsia="zh-CN" w:bidi="ar-SA"/>
                    </w:rPr>
                    <w:t>5</w:t>
                  </w:r>
                </w:p>
              </w:tc>
              <w:tc>
                <w:tcPr>
                  <w:tcW w:w="3025" w:type="dxa"/>
                  <w:noWrap w:val="0"/>
                  <w:vAlign w:val="center"/>
                </w:tcPr>
                <w:p w14:paraId="0072C1F5">
                  <w:pPr>
                    <w:pStyle w:val="28"/>
                    <w:keepNext w:val="0"/>
                    <w:keepLines w:val="0"/>
                    <w:widowControl/>
                    <w:suppressLineNumbers w:val="0"/>
                    <w:spacing w:before="0" w:beforeAutospacing="0" w:after="0" w:afterAutospacing="0" w:line="240" w:lineRule="auto"/>
                    <w:ind w:right="0" w:rightChars="0"/>
                    <w:jc w:val="center"/>
                    <w:textAlignment w:val="center"/>
                    <w:rPr>
                      <w:rFonts w:hint="default" w:ascii="宋体" w:hAnsi="宋体" w:eastAsia="宋体" w:cs="宋体"/>
                      <w:snapToGrid w:val="0"/>
                      <w:color w:val="auto"/>
                      <w:kern w:val="0"/>
                      <w:sz w:val="24"/>
                      <w:szCs w:val="24"/>
                      <w:highlight w:val="none"/>
                      <w:lang w:val="en-US" w:eastAsia="zh-CN" w:bidi="ar-SA"/>
                    </w:rPr>
                  </w:pPr>
                  <w:r>
                    <w:rPr>
                      <w:rFonts w:hint="eastAsia" w:cs="宋体"/>
                      <w:snapToGrid w:val="0"/>
                      <w:color w:val="auto"/>
                      <w:kern w:val="0"/>
                      <w:sz w:val="24"/>
                      <w:szCs w:val="24"/>
                      <w:highlight w:val="none"/>
                      <w:lang w:val="en-US" w:eastAsia="zh-CN" w:bidi="ar-SA"/>
                    </w:rPr>
                    <w:t>韶关市建韶工程造价咨询有限公司</w:t>
                  </w:r>
                </w:p>
              </w:tc>
              <w:tc>
                <w:tcPr>
                  <w:tcW w:w="2966" w:type="dxa"/>
                  <w:noWrap w:val="0"/>
                  <w:vAlign w:val="center"/>
                </w:tcPr>
                <w:p w14:paraId="718D3F5F">
                  <w:pPr>
                    <w:pStyle w:val="90"/>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为本项目的</w:t>
                  </w:r>
                  <w:r>
                    <w:rPr>
                      <w:rFonts w:hint="eastAsia" w:ascii="宋体" w:hAnsi="宋体" w:cs="宋体"/>
                      <w:snapToGrid w:val="0"/>
                      <w:color w:val="auto"/>
                      <w:kern w:val="0"/>
                      <w:sz w:val="24"/>
                      <w:szCs w:val="24"/>
                      <w:highlight w:val="none"/>
                      <w:lang w:val="en-US" w:eastAsia="zh-CN" w:bidi="ar-SA"/>
                    </w:rPr>
                    <w:t>概算审核</w:t>
                  </w:r>
                  <w:r>
                    <w:rPr>
                      <w:rFonts w:hint="eastAsia" w:ascii="宋体" w:hAnsi="宋体" w:eastAsia="宋体" w:cs="宋体"/>
                      <w:snapToGrid w:val="0"/>
                      <w:color w:val="auto"/>
                      <w:kern w:val="0"/>
                      <w:sz w:val="24"/>
                      <w:szCs w:val="24"/>
                      <w:highlight w:val="none"/>
                      <w:lang w:val="en-US" w:eastAsia="zh-CN" w:bidi="ar-SA"/>
                    </w:rPr>
                    <w:t>单位</w:t>
                  </w:r>
                </w:p>
              </w:tc>
            </w:tr>
          </w:tbl>
          <w:p w14:paraId="0C8F709D">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highlight w:val="none"/>
              </w:rPr>
            </w:pPr>
            <w:r>
              <w:rPr>
                <w:rFonts w:hint="eastAsia" w:hAnsi="宋体" w:cs="宋体"/>
                <w:color w:val="auto"/>
                <w:szCs w:val="24"/>
                <w:highlight w:val="none"/>
              </w:rPr>
              <w:t>5．其他要求</w:t>
            </w:r>
          </w:p>
          <w:p w14:paraId="3927F0F6">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highlight w:val="none"/>
              </w:rPr>
            </w:pPr>
            <w:r>
              <w:rPr>
                <w:rFonts w:hint="eastAsia" w:hAnsi="宋体" w:cs="宋体"/>
                <w:color w:val="auto"/>
                <w:szCs w:val="24"/>
                <w:highlight w:val="none"/>
              </w:rPr>
              <w:t>省外企业及其拟派往本项目管理机构的所有人员均须按照《广东省住房和城乡建设厅关于取消省外建筑企业和人员进粤信息备案有关工作的通知》（粤建市﹝2015﹞52号）规定在“进粤企业和人员诚信信息登记平台”录入相关信息并通过数据规范检查。</w:t>
            </w:r>
          </w:p>
        </w:tc>
      </w:tr>
      <w:tr w14:paraId="2EB3D6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90" w:hRule="atLeast"/>
        </w:trPr>
        <w:tc>
          <w:tcPr>
            <w:tcW w:w="721" w:type="dxa"/>
            <w:tcBorders>
              <w:top w:val="single" w:color="auto" w:sz="4" w:space="0"/>
              <w:left w:val="single" w:color="auto" w:sz="4" w:space="0"/>
              <w:bottom w:val="single" w:color="auto" w:sz="4" w:space="0"/>
              <w:right w:val="single" w:color="auto" w:sz="4" w:space="0"/>
            </w:tcBorders>
            <w:vAlign w:val="center"/>
          </w:tcPr>
          <w:p w14:paraId="49A6DA9F">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16</w:t>
            </w:r>
          </w:p>
        </w:tc>
        <w:tc>
          <w:tcPr>
            <w:tcW w:w="1725" w:type="dxa"/>
            <w:tcBorders>
              <w:top w:val="single" w:color="auto" w:sz="4" w:space="0"/>
              <w:left w:val="single" w:color="auto" w:sz="4" w:space="0"/>
              <w:bottom w:val="single" w:color="auto" w:sz="4" w:space="0"/>
              <w:right w:val="single" w:color="auto" w:sz="4" w:space="0"/>
            </w:tcBorders>
            <w:vAlign w:val="center"/>
          </w:tcPr>
          <w:p w14:paraId="688F74D9">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服务期限</w:t>
            </w:r>
          </w:p>
        </w:tc>
        <w:tc>
          <w:tcPr>
            <w:tcW w:w="6856" w:type="dxa"/>
            <w:tcBorders>
              <w:top w:val="single" w:color="auto" w:sz="4" w:space="0"/>
              <w:left w:val="single" w:color="auto" w:sz="4" w:space="0"/>
              <w:bottom w:val="single" w:color="auto" w:sz="4" w:space="0"/>
              <w:right w:val="single" w:color="auto" w:sz="4" w:space="0"/>
            </w:tcBorders>
            <w:vAlign w:val="center"/>
          </w:tcPr>
          <w:p w14:paraId="5CB8F92A">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lang w:val="en-US" w:eastAsia="zh-CN"/>
              </w:rPr>
              <w:t>本项目施工工期是360日历天，</w:t>
            </w:r>
            <w:r>
              <w:rPr>
                <w:rFonts w:hint="eastAsia" w:hAnsi="宋体" w:cs="宋体"/>
                <w:snapToGrid w:val="0"/>
                <w:color w:val="auto"/>
                <w:kern w:val="0"/>
                <w:szCs w:val="24"/>
                <w:highlight w:val="none"/>
              </w:rPr>
              <w:t>监理服务期从监理合同签订之日起计，至本工程缺陷责任保修期结束且本工程结算金额经政府主管部门审定且双方的责任义务履行完毕时止。</w:t>
            </w:r>
          </w:p>
        </w:tc>
      </w:tr>
      <w:tr w14:paraId="69F3B81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721" w:type="dxa"/>
            <w:tcBorders>
              <w:top w:val="single" w:color="auto" w:sz="4" w:space="0"/>
              <w:left w:val="single" w:color="auto" w:sz="4" w:space="0"/>
              <w:bottom w:val="single" w:color="auto" w:sz="4" w:space="0"/>
              <w:right w:val="single" w:color="auto" w:sz="4" w:space="0"/>
            </w:tcBorders>
            <w:vAlign w:val="center"/>
          </w:tcPr>
          <w:p w14:paraId="44679C84">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17</w:t>
            </w:r>
          </w:p>
        </w:tc>
        <w:tc>
          <w:tcPr>
            <w:tcW w:w="1725" w:type="dxa"/>
            <w:tcBorders>
              <w:top w:val="single" w:color="auto" w:sz="4" w:space="0"/>
              <w:left w:val="single" w:color="auto" w:sz="4" w:space="0"/>
              <w:bottom w:val="single" w:color="auto" w:sz="4" w:space="0"/>
              <w:right w:val="single" w:color="auto" w:sz="4" w:space="0"/>
            </w:tcBorders>
            <w:vAlign w:val="center"/>
          </w:tcPr>
          <w:p w14:paraId="61DD6485">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服务标准</w:t>
            </w:r>
          </w:p>
        </w:tc>
        <w:tc>
          <w:tcPr>
            <w:tcW w:w="6856" w:type="dxa"/>
            <w:tcBorders>
              <w:top w:val="single" w:color="auto" w:sz="4" w:space="0"/>
              <w:left w:val="single" w:color="auto" w:sz="4" w:space="0"/>
              <w:bottom w:val="single" w:color="auto" w:sz="4" w:space="0"/>
              <w:right w:val="single" w:color="auto" w:sz="4" w:space="0"/>
            </w:tcBorders>
            <w:vAlign w:val="center"/>
          </w:tcPr>
          <w:p w14:paraId="4C9992E2">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rPr>
                <w:rFonts w:hAnsi="宋体" w:cs="宋体"/>
                <w:snapToGrid w:val="0"/>
                <w:color w:val="auto"/>
                <w:kern w:val="0"/>
                <w:szCs w:val="24"/>
                <w:highlight w:val="none"/>
              </w:rPr>
            </w:pPr>
            <w:r>
              <w:rPr>
                <w:rFonts w:hint="eastAsia" w:hAnsi="宋体" w:cs="宋体"/>
                <w:snapToGrid w:val="0"/>
                <w:color w:val="auto"/>
                <w:kern w:val="0"/>
                <w:szCs w:val="24"/>
                <w:highlight w:val="none"/>
              </w:rPr>
              <w:t>工程质量达到合格或以上标准。</w:t>
            </w:r>
          </w:p>
        </w:tc>
      </w:tr>
      <w:tr w14:paraId="51DD003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721" w:type="dxa"/>
            <w:tcBorders>
              <w:top w:val="single" w:color="auto" w:sz="4" w:space="0"/>
              <w:left w:val="single" w:color="auto" w:sz="4" w:space="0"/>
              <w:bottom w:val="single" w:color="auto" w:sz="4" w:space="0"/>
              <w:right w:val="single" w:color="auto" w:sz="4" w:space="0"/>
            </w:tcBorders>
            <w:vAlign w:val="center"/>
          </w:tcPr>
          <w:p w14:paraId="75EDEE73">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18</w:t>
            </w:r>
          </w:p>
        </w:tc>
        <w:tc>
          <w:tcPr>
            <w:tcW w:w="1725" w:type="dxa"/>
            <w:tcBorders>
              <w:top w:val="single" w:color="auto" w:sz="4" w:space="0"/>
              <w:left w:val="single" w:color="auto" w:sz="4" w:space="0"/>
              <w:bottom w:val="single" w:color="auto" w:sz="4" w:space="0"/>
              <w:right w:val="single" w:color="auto" w:sz="4" w:space="0"/>
            </w:tcBorders>
            <w:vAlign w:val="center"/>
          </w:tcPr>
          <w:p w14:paraId="126D9AF2">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最高投标限价</w:t>
            </w:r>
          </w:p>
        </w:tc>
        <w:tc>
          <w:tcPr>
            <w:tcW w:w="6856" w:type="dxa"/>
            <w:tcBorders>
              <w:top w:val="single" w:color="auto" w:sz="4" w:space="0"/>
              <w:left w:val="single" w:color="auto" w:sz="4" w:space="0"/>
              <w:bottom w:val="single" w:color="auto" w:sz="4" w:space="0"/>
              <w:right w:val="single" w:color="auto" w:sz="4" w:space="0"/>
            </w:tcBorders>
            <w:vAlign w:val="center"/>
          </w:tcPr>
          <w:p w14:paraId="495F840F">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rPr>
                <w:rFonts w:hAnsi="宋体" w:cs="宋体"/>
                <w:snapToGrid w:val="0"/>
                <w:color w:val="auto"/>
                <w:kern w:val="0"/>
                <w:szCs w:val="24"/>
                <w:highlight w:val="none"/>
              </w:rPr>
            </w:pPr>
            <w:r>
              <w:rPr>
                <w:rFonts w:hint="eastAsia" w:hAnsi="宋体" w:cs="宋体"/>
                <w:bCs/>
                <w:color w:val="auto"/>
                <w:szCs w:val="24"/>
                <w:highlight w:val="none"/>
              </w:rPr>
              <w:t>详见招标文件“第一章 投标人须知 8 最高投标限价”</w:t>
            </w:r>
          </w:p>
        </w:tc>
      </w:tr>
      <w:tr w14:paraId="3D0225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48" w:hRule="atLeast"/>
        </w:trPr>
        <w:tc>
          <w:tcPr>
            <w:tcW w:w="721" w:type="dxa"/>
            <w:tcBorders>
              <w:top w:val="single" w:color="auto" w:sz="4" w:space="0"/>
              <w:left w:val="single" w:color="auto" w:sz="4" w:space="0"/>
              <w:bottom w:val="single" w:color="auto" w:sz="4" w:space="0"/>
              <w:right w:val="single" w:color="auto" w:sz="4" w:space="0"/>
            </w:tcBorders>
            <w:vAlign w:val="center"/>
          </w:tcPr>
          <w:p w14:paraId="5943758B">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19</w:t>
            </w:r>
          </w:p>
        </w:tc>
        <w:tc>
          <w:tcPr>
            <w:tcW w:w="1725" w:type="dxa"/>
            <w:tcBorders>
              <w:top w:val="single" w:color="auto" w:sz="4" w:space="0"/>
              <w:left w:val="single" w:color="auto" w:sz="4" w:space="0"/>
              <w:bottom w:val="single" w:color="auto" w:sz="4" w:space="0"/>
              <w:right w:val="single" w:color="auto" w:sz="4" w:space="0"/>
            </w:tcBorders>
            <w:vAlign w:val="center"/>
          </w:tcPr>
          <w:p w14:paraId="0AAED69C">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投标保证金</w:t>
            </w:r>
          </w:p>
        </w:tc>
        <w:tc>
          <w:tcPr>
            <w:tcW w:w="6856" w:type="dxa"/>
            <w:tcBorders>
              <w:top w:val="single" w:color="auto" w:sz="4" w:space="0"/>
              <w:left w:val="single" w:color="auto" w:sz="4" w:space="0"/>
              <w:bottom w:val="single" w:color="auto" w:sz="4" w:space="0"/>
              <w:right w:val="single" w:color="auto" w:sz="4" w:space="0"/>
            </w:tcBorders>
            <w:vAlign w:val="center"/>
          </w:tcPr>
          <w:p w14:paraId="69BE724C">
            <w:pPr>
              <w:keepNext w:val="0"/>
              <w:keepLines w:val="0"/>
              <w:pageBreakBefore w:val="0"/>
              <w:widowControl w:val="0"/>
              <w:kinsoku/>
              <w:overflowPunct/>
              <w:topLinePunct w:val="0"/>
              <w:autoSpaceDE/>
              <w:autoSpaceDN/>
              <w:bidi w:val="0"/>
              <w:snapToGrid w:val="0"/>
              <w:spacing w:line="500" w:lineRule="exact"/>
              <w:ind w:firstLine="480" w:firstLineChars="200"/>
              <w:textAlignment w:val="auto"/>
              <w:rPr>
                <w:rFonts w:hint="eastAsia" w:hAnsi="宋体" w:eastAsia="宋体" w:cs="宋体"/>
                <w:color w:val="auto"/>
                <w:highlight w:val="none"/>
                <w:lang w:eastAsia="zh-CN"/>
              </w:rPr>
            </w:pPr>
            <w:r>
              <w:rPr>
                <w:rFonts w:hint="eastAsia" w:hAnsi="宋体" w:cs="宋体"/>
                <w:color w:val="auto"/>
                <w:highlight w:val="none"/>
              </w:rPr>
              <w:t>1.投标人须缴纳金额为人民币</w:t>
            </w:r>
            <w:r>
              <w:rPr>
                <w:rFonts w:hint="eastAsia" w:hAnsi="宋体" w:cs="宋体"/>
                <w:color w:val="auto"/>
                <w:highlight w:val="none"/>
                <w:u w:val="single"/>
                <w:lang w:val="en-US" w:eastAsia="zh-CN"/>
              </w:rPr>
              <w:t>伍仟</w:t>
            </w:r>
            <w:r>
              <w:rPr>
                <w:rFonts w:hint="eastAsia" w:hAnsi="宋体" w:cs="宋体"/>
                <w:color w:val="auto"/>
                <w:highlight w:val="none"/>
              </w:rPr>
              <w:t>元的投标保证。</w:t>
            </w:r>
          </w:p>
          <w:p w14:paraId="0BEC4750">
            <w:pPr>
              <w:keepNext w:val="0"/>
              <w:keepLines w:val="0"/>
              <w:pageBreakBefore w:val="0"/>
              <w:widowControl w:val="0"/>
              <w:kinsoku/>
              <w:overflowPunct/>
              <w:topLinePunct w:val="0"/>
              <w:autoSpaceDE/>
              <w:autoSpaceDN/>
              <w:bidi w:val="0"/>
              <w:snapToGrid w:val="0"/>
              <w:spacing w:line="500" w:lineRule="exact"/>
              <w:ind w:firstLine="480" w:firstLineChars="200"/>
              <w:textAlignment w:val="auto"/>
              <w:rPr>
                <w:rFonts w:hAnsi="宋体" w:cs="宋体"/>
                <w:color w:val="auto"/>
                <w:highlight w:val="none"/>
              </w:rPr>
            </w:pPr>
            <w:r>
              <w:rPr>
                <w:rFonts w:hint="eastAsia" w:hAnsi="宋体" w:cs="宋体"/>
                <w:color w:val="auto"/>
                <w:highlight w:val="none"/>
              </w:rPr>
              <w:t>2.投标保证的形式包括投标保证金、投标保证担保、投标保证保险三种，由投标人自主选择。</w:t>
            </w:r>
          </w:p>
          <w:p w14:paraId="74EBCF82">
            <w:pPr>
              <w:keepNext w:val="0"/>
              <w:keepLines w:val="0"/>
              <w:pageBreakBefore w:val="0"/>
              <w:widowControl w:val="0"/>
              <w:kinsoku/>
              <w:overflowPunct/>
              <w:topLinePunct w:val="0"/>
              <w:autoSpaceDE/>
              <w:autoSpaceDN/>
              <w:bidi w:val="0"/>
              <w:snapToGrid w:val="0"/>
              <w:spacing w:line="500" w:lineRule="exact"/>
              <w:ind w:firstLine="480" w:firstLineChars="200"/>
              <w:textAlignment w:val="auto"/>
              <w:rPr>
                <w:rFonts w:hAnsi="宋体" w:cs="宋体"/>
                <w:color w:val="auto"/>
                <w:highlight w:val="none"/>
              </w:rPr>
            </w:pPr>
            <w:r>
              <w:rPr>
                <w:rFonts w:hint="eastAsia" w:hAnsi="宋体" w:cs="宋体"/>
                <w:color w:val="auto"/>
                <w:highlight w:val="none"/>
              </w:rPr>
              <w:t>（1）采用投标保证金的，投标人在建设工程交易系统获取招标文件完毕后，即可在系统申请缴纳投标保证金，获取本次招标投标保证金缴纳账号。投标人必须于投标保证金到账截止时间（本章第二节“重要事项时间地点一览表”）前，从其基本账户将投标保证金转账到指定的缴纳账号。逾期到账的、从非投标人基本账户转出的，其投标无效。</w:t>
            </w:r>
          </w:p>
          <w:p w14:paraId="0B87F797">
            <w:pPr>
              <w:keepNext w:val="0"/>
              <w:keepLines w:val="0"/>
              <w:pageBreakBefore w:val="0"/>
              <w:widowControl w:val="0"/>
              <w:kinsoku/>
              <w:overflowPunct/>
              <w:topLinePunct w:val="0"/>
              <w:autoSpaceDE/>
              <w:autoSpaceDN/>
              <w:bidi w:val="0"/>
              <w:snapToGrid w:val="0"/>
              <w:spacing w:line="500" w:lineRule="exact"/>
              <w:ind w:firstLine="480" w:firstLineChars="200"/>
              <w:textAlignment w:val="auto"/>
              <w:rPr>
                <w:rFonts w:hAnsi="宋体" w:cs="宋体"/>
                <w:color w:val="auto"/>
                <w:highlight w:val="none"/>
              </w:rPr>
            </w:pPr>
            <w:r>
              <w:rPr>
                <w:rFonts w:hint="eastAsia" w:hAnsi="宋体" w:cs="宋体"/>
                <w:color w:val="auto"/>
                <w:highlight w:val="none"/>
              </w:rPr>
              <w:t>（2）采用投标保证担保的，投标人应提交有效的电子保函，电子保函的有效期不得短于投标有效期。投标人必须在投标保证担保截止时间（见本章第二节“重要事项时间地点一览表”）前，使用工程建设交易系统完成网上办理电子保函。</w:t>
            </w:r>
          </w:p>
          <w:p w14:paraId="2CF2939A">
            <w:pPr>
              <w:keepNext w:val="0"/>
              <w:keepLines w:val="0"/>
              <w:pageBreakBefore w:val="0"/>
              <w:widowControl w:val="0"/>
              <w:kinsoku/>
              <w:overflowPunct/>
              <w:topLinePunct w:val="0"/>
              <w:autoSpaceDE/>
              <w:autoSpaceDN/>
              <w:bidi w:val="0"/>
              <w:snapToGrid w:val="0"/>
              <w:spacing w:line="500" w:lineRule="exact"/>
              <w:ind w:firstLine="480" w:firstLineChars="200"/>
              <w:textAlignment w:val="auto"/>
              <w:rPr>
                <w:rFonts w:hint="eastAsia" w:hAnsi="宋体" w:cs="宋体"/>
                <w:color w:val="auto"/>
                <w:highlight w:val="none"/>
              </w:rPr>
            </w:pPr>
            <w:r>
              <w:rPr>
                <w:rFonts w:hint="eastAsia" w:hAnsi="宋体" w:cs="宋体"/>
                <w:color w:val="auto"/>
                <w:highlight w:val="none"/>
              </w:rPr>
              <w:t>（3）采用投标保证保险的，投标人须在投标保证保险投保截止时间（见本章第二节“重要事项时间地点一览表”）前，使用建设工程交易系统完成网上投保。投标人可在系统选择保险机构、录入投保信息、支付保费、打印电子保单，电子保单的有效期不得短于投标有效期。投标人可登录全国公共资源交易平台（广东省·韶关市）</w:t>
            </w:r>
          </w:p>
          <w:p w14:paraId="06E48727">
            <w:pPr>
              <w:keepNext w:val="0"/>
              <w:keepLines w:val="0"/>
              <w:pageBreakBefore w:val="0"/>
              <w:widowControl w:val="0"/>
              <w:kinsoku/>
              <w:overflowPunct/>
              <w:topLinePunct w:val="0"/>
              <w:autoSpaceDE/>
              <w:autoSpaceDN/>
              <w:bidi w:val="0"/>
              <w:snapToGrid w:val="0"/>
              <w:spacing w:line="500" w:lineRule="exact"/>
              <w:textAlignment w:val="auto"/>
              <w:rPr>
                <w:rFonts w:hAnsi="宋体" w:cs="宋体"/>
                <w:color w:val="auto"/>
                <w:highlight w:val="none"/>
              </w:rPr>
            </w:pPr>
            <w:r>
              <w:rPr>
                <w:rFonts w:hint="eastAsia" w:hAnsi="宋体" w:cs="宋体"/>
                <w:color w:val="auto"/>
                <w:highlight w:val="none"/>
              </w:rPr>
              <w:t>（https://ygp.gdzwfw.gov.cn/ggzy-portal/#/440200/index），在【服务指南】栏目中下载《韶关市公共资源建设工程交易系统-投标人操作指南》，了解网上投保具体操作流程。逾期投保的，其投标无效。</w:t>
            </w:r>
          </w:p>
          <w:p w14:paraId="099FFFD9">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color w:val="auto"/>
                <w:highlight w:val="none"/>
              </w:rPr>
              <w:t>温馨提醒：投标人采用投标保证担保或投标保证保险的，为避免在评标过程中因有效期发生争议，建议投标人将银行保函或电子保单有效期设置为较招标文件规定的投标有效期延长不少于20个日历天。</w:t>
            </w:r>
          </w:p>
        </w:tc>
      </w:tr>
      <w:tr w14:paraId="25F403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721" w:type="dxa"/>
            <w:tcBorders>
              <w:top w:val="single" w:color="auto" w:sz="4" w:space="0"/>
              <w:left w:val="single" w:color="auto" w:sz="4" w:space="0"/>
              <w:bottom w:val="single" w:color="auto" w:sz="4" w:space="0"/>
              <w:right w:val="single" w:color="auto" w:sz="4" w:space="0"/>
            </w:tcBorders>
            <w:vAlign w:val="center"/>
          </w:tcPr>
          <w:p w14:paraId="6EBF5FCC">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20</w:t>
            </w:r>
          </w:p>
        </w:tc>
        <w:tc>
          <w:tcPr>
            <w:tcW w:w="1725" w:type="dxa"/>
            <w:tcBorders>
              <w:top w:val="single" w:color="auto" w:sz="4" w:space="0"/>
              <w:left w:val="single" w:color="auto" w:sz="4" w:space="0"/>
              <w:bottom w:val="single" w:color="auto" w:sz="4" w:space="0"/>
              <w:right w:val="single" w:color="auto" w:sz="4" w:space="0"/>
            </w:tcBorders>
            <w:vAlign w:val="center"/>
          </w:tcPr>
          <w:p w14:paraId="55725C5C">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投标有效期</w:t>
            </w:r>
          </w:p>
        </w:tc>
        <w:tc>
          <w:tcPr>
            <w:tcW w:w="6856" w:type="dxa"/>
            <w:tcBorders>
              <w:top w:val="single" w:color="auto" w:sz="4" w:space="0"/>
              <w:left w:val="single" w:color="auto" w:sz="4" w:space="0"/>
              <w:bottom w:val="single" w:color="auto" w:sz="4" w:space="0"/>
              <w:right w:val="single" w:color="auto" w:sz="4" w:space="0"/>
            </w:tcBorders>
            <w:vAlign w:val="center"/>
          </w:tcPr>
          <w:p w14:paraId="73AFD775">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rPr>
                <w:rFonts w:hAnsi="宋体" w:cs="宋体"/>
                <w:snapToGrid w:val="0"/>
                <w:color w:val="auto"/>
                <w:kern w:val="0"/>
                <w:szCs w:val="24"/>
                <w:highlight w:val="none"/>
              </w:rPr>
            </w:pPr>
            <w:r>
              <w:rPr>
                <w:rFonts w:hint="eastAsia" w:hAnsi="宋体" w:cs="宋体"/>
                <w:snapToGrid w:val="0"/>
                <w:color w:val="auto"/>
                <w:kern w:val="0"/>
                <w:szCs w:val="24"/>
                <w:highlight w:val="none"/>
              </w:rPr>
              <w:t>本次招标的投标有效期为</w:t>
            </w:r>
            <w:r>
              <w:rPr>
                <w:rFonts w:hint="eastAsia" w:hAnsi="宋体" w:cs="宋体"/>
                <w:snapToGrid w:val="0"/>
                <w:color w:val="auto"/>
                <w:kern w:val="0"/>
                <w:szCs w:val="24"/>
                <w:highlight w:val="none"/>
                <w:u w:val="single"/>
              </w:rPr>
              <w:t xml:space="preserve"> 90 </w:t>
            </w:r>
            <w:r>
              <w:rPr>
                <w:rFonts w:hint="eastAsia" w:hAnsi="宋体" w:cs="宋体"/>
                <w:snapToGrid w:val="0"/>
                <w:color w:val="auto"/>
                <w:kern w:val="0"/>
                <w:szCs w:val="24"/>
                <w:highlight w:val="none"/>
              </w:rPr>
              <w:t>个日历天。</w:t>
            </w:r>
          </w:p>
        </w:tc>
      </w:tr>
      <w:tr w14:paraId="1490BD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21" w:type="dxa"/>
            <w:tcBorders>
              <w:top w:val="single" w:color="auto" w:sz="4" w:space="0"/>
              <w:left w:val="single" w:color="auto" w:sz="4" w:space="0"/>
              <w:bottom w:val="single" w:color="auto" w:sz="4" w:space="0"/>
              <w:right w:val="single" w:color="auto" w:sz="4" w:space="0"/>
            </w:tcBorders>
            <w:vAlign w:val="center"/>
          </w:tcPr>
          <w:p w14:paraId="298563C2">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21</w:t>
            </w:r>
          </w:p>
        </w:tc>
        <w:tc>
          <w:tcPr>
            <w:tcW w:w="1725" w:type="dxa"/>
            <w:tcBorders>
              <w:top w:val="single" w:color="auto" w:sz="4" w:space="0"/>
              <w:left w:val="single" w:color="auto" w:sz="4" w:space="0"/>
              <w:bottom w:val="single" w:color="auto" w:sz="4" w:space="0"/>
              <w:right w:val="single" w:color="auto" w:sz="4" w:space="0"/>
            </w:tcBorders>
            <w:vAlign w:val="center"/>
          </w:tcPr>
          <w:p w14:paraId="35AAF608">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投标文件组成</w:t>
            </w:r>
          </w:p>
        </w:tc>
        <w:tc>
          <w:tcPr>
            <w:tcW w:w="6856" w:type="dxa"/>
            <w:tcBorders>
              <w:top w:val="single" w:color="auto" w:sz="4" w:space="0"/>
              <w:left w:val="single" w:color="auto" w:sz="4" w:space="0"/>
              <w:bottom w:val="single" w:color="auto" w:sz="4" w:space="0"/>
              <w:right w:val="single" w:color="auto" w:sz="4" w:space="0"/>
            </w:tcBorders>
            <w:vAlign w:val="center"/>
          </w:tcPr>
          <w:p w14:paraId="2210B600">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rPr>
                <w:rFonts w:hAnsi="宋体" w:cs="宋体"/>
                <w:snapToGrid w:val="0"/>
                <w:color w:val="auto"/>
                <w:kern w:val="0"/>
                <w:szCs w:val="24"/>
                <w:highlight w:val="none"/>
              </w:rPr>
            </w:pPr>
            <w:r>
              <w:rPr>
                <w:rFonts w:hint="eastAsia" w:hAnsi="宋体" w:cs="宋体"/>
                <w:snapToGrid w:val="0"/>
                <w:color w:val="auto"/>
                <w:kern w:val="0"/>
                <w:szCs w:val="24"/>
                <w:highlight w:val="none"/>
              </w:rPr>
              <w:t>投标文件包括商务标书、监理大纲</w:t>
            </w:r>
            <w:r>
              <w:rPr>
                <w:rFonts w:hint="eastAsia" w:hAnsi="宋体" w:cs="宋体"/>
                <w:snapToGrid w:val="0"/>
                <w:color w:val="auto"/>
                <w:kern w:val="0"/>
                <w:szCs w:val="24"/>
                <w:highlight w:val="none"/>
                <w:lang w:val="en-US" w:eastAsia="zh-CN"/>
              </w:rPr>
              <w:t>两</w:t>
            </w:r>
            <w:r>
              <w:rPr>
                <w:rFonts w:hint="eastAsia" w:hAnsi="宋体" w:cs="宋体"/>
                <w:snapToGrid w:val="0"/>
                <w:color w:val="auto"/>
                <w:kern w:val="0"/>
                <w:szCs w:val="24"/>
                <w:highlight w:val="none"/>
              </w:rPr>
              <w:t>个分册。</w:t>
            </w:r>
          </w:p>
        </w:tc>
      </w:tr>
      <w:tr w14:paraId="611500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721" w:type="dxa"/>
            <w:tcBorders>
              <w:top w:val="single" w:color="auto" w:sz="4" w:space="0"/>
              <w:left w:val="single" w:color="auto" w:sz="4" w:space="0"/>
              <w:bottom w:val="single" w:color="auto" w:sz="4" w:space="0"/>
              <w:right w:val="single" w:color="auto" w:sz="4" w:space="0"/>
            </w:tcBorders>
            <w:vAlign w:val="center"/>
          </w:tcPr>
          <w:p w14:paraId="4982B3CD">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22</w:t>
            </w:r>
          </w:p>
        </w:tc>
        <w:tc>
          <w:tcPr>
            <w:tcW w:w="1725" w:type="dxa"/>
            <w:tcBorders>
              <w:top w:val="single" w:color="auto" w:sz="4" w:space="0"/>
              <w:left w:val="single" w:color="auto" w:sz="4" w:space="0"/>
              <w:bottom w:val="single" w:color="auto" w:sz="4" w:space="0"/>
              <w:right w:val="single" w:color="auto" w:sz="4" w:space="0"/>
            </w:tcBorders>
            <w:vAlign w:val="center"/>
          </w:tcPr>
          <w:p w14:paraId="37EED64F">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评标方法</w:t>
            </w:r>
          </w:p>
        </w:tc>
        <w:tc>
          <w:tcPr>
            <w:tcW w:w="6856" w:type="dxa"/>
            <w:tcBorders>
              <w:top w:val="single" w:color="auto" w:sz="4" w:space="0"/>
              <w:left w:val="single" w:color="auto" w:sz="4" w:space="0"/>
              <w:bottom w:val="single" w:color="auto" w:sz="4" w:space="0"/>
              <w:right w:val="single" w:color="auto" w:sz="4" w:space="0"/>
            </w:tcBorders>
            <w:vAlign w:val="center"/>
          </w:tcPr>
          <w:p w14:paraId="606C701F">
            <w:pPr>
              <w:keepNext w:val="0"/>
              <w:keepLines w:val="0"/>
              <w:pageBreakBefore w:val="0"/>
              <w:widowControl w:val="0"/>
              <w:kinsoku/>
              <w:wordWrap w:val="0"/>
              <w:overflowPunct/>
              <w:topLinePunct w:val="0"/>
              <w:autoSpaceDE/>
              <w:autoSpaceDN/>
              <w:bidi w:val="0"/>
              <w:adjustRightInd w:val="0"/>
              <w:snapToGrid w:val="0"/>
              <w:spacing w:line="500" w:lineRule="exact"/>
              <w:rPr>
                <w:rFonts w:hAnsi="宋体" w:cs="宋体"/>
                <w:snapToGrid w:val="0"/>
                <w:color w:val="auto"/>
                <w:kern w:val="0"/>
                <w:szCs w:val="24"/>
                <w:highlight w:val="none"/>
              </w:rPr>
            </w:pPr>
            <w:r>
              <w:rPr>
                <w:rFonts w:hint="eastAsia" w:hAnsi="宋体" w:cs="宋体"/>
                <w:snapToGrid w:val="0"/>
                <w:color w:val="auto"/>
                <w:kern w:val="0"/>
                <w:szCs w:val="24"/>
                <w:highlight w:val="none"/>
              </w:rPr>
              <w:t xml:space="preserve">    综合评估法</w:t>
            </w:r>
          </w:p>
        </w:tc>
      </w:tr>
      <w:tr w14:paraId="076C4A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90" w:hRule="atLeast"/>
        </w:trPr>
        <w:tc>
          <w:tcPr>
            <w:tcW w:w="721" w:type="dxa"/>
            <w:tcBorders>
              <w:top w:val="single" w:color="auto" w:sz="4" w:space="0"/>
              <w:left w:val="single" w:color="auto" w:sz="4" w:space="0"/>
              <w:bottom w:val="single" w:color="auto" w:sz="4" w:space="0"/>
              <w:right w:val="single" w:color="auto" w:sz="4" w:space="0"/>
            </w:tcBorders>
            <w:vAlign w:val="center"/>
          </w:tcPr>
          <w:p w14:paraId="0B5D8580">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23</w:t>
            </w:r>
          </w:p>
        </w:tc>
        <w:tc>
          <w:tcPr>
            <w:tcW w:w="1725" w:type="dxa"/>
            <w:tcBorders>
              <w:top w:val="single" w:color="auto" w:sz="4" w:space="0"/>
              <w:left w:val="single" w:color="auto" w:sz="4" w:space="0"/>
              <w:bottom w:val="single" w:color="auto" w:sz="4" w:space="0"/>
              <w:right w:val="single" w:color="auto" w:sz="4" w:space="0"/>
            </w:tcBorders>
            <w:vAlign w:val="center"/>
          </w:tcPr>
          <w:p w14:paraId="794A6822">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hAnsi="宋体" w:cs="宋体"/>
                <w:snapToGrid w:val="0"/>
                <w:color w:val="auto"/>
                <w:kern w:val="0"/>
                <w:szCs w:val="24"/>
                <w:highlight w:val="none"/>
              </w:rPr>
            </w:pPr>
            <w:r>
              <w:rPr>
                <w:rFonts w:hint="eastAsia" w:hAnsi="宋体" w:cs="宋体"/>
                <w:snapToGrid w:val="0"/>
                <w:color w:val="auto"/>
                <w:kern w:val="0"/>
                <w:szCs w:val="24"/>
                <w:highlight w:val="none"/>
              </w:rPr>
              <w:t>监理大纲评审</w:t>
            </w:r>
          </w:p>
          <w:p w14:paraId="3AB04B4A">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方式</w:t>
            </w:r>
          </w:p>
        </w:tc>
        <w:tc>
          <w:tcPr>
            <w:tcW w:w="6856" w:type="dxa"/>
            <w:tcBorders>
              <w:top w:val="single" w:color="auto" w:sz="4" w:space="0"/>
              <w:left w:val="single" w:color="auto" w:sz="4" w:space="0"/>
              <w:bottom w:val="single" w:color="auto" w:sz="4" w:space="0"/>
              <w:right w:val="single" w:color="auto" w:sz="4" w:space="0"/>
            </w:tcBorders>
            <w:vAlign w:val="center"/>
          </w:tcPr>
          <w:p w14:paraId="6D01719C">
            <w:pPr>
              <w:keepNext w:val="0"/>
              <w:keepLines w:val="0"/>
              <w:pageBreakBefore w:val="0"/>
              <w:widowControl w:val="0"/>
              <w:kinsoku/>
              <w:wordWrap w:val="0"/>
              <w:overflowPunct/>
              <w:topLinePunct w:val="0"/>
              <w:autoSpaceDE/>
              <w:autoSpaceDN/>
              <w:bidi w:val="0"/>
              <w:adjustRightInd w:val="0"/>
              <w:snapToGrid w:val="0"/>
              <w:spacing w:line="24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本次招标监理大纲</w:t>
            </w:r>
            <w:r>
              <w:rPr>
                <w:rFonts w:hint="eastAsia" w:hAnsi="宋体" w:cs="宋体"/>
                <w:snapToGrid w:val="0"/>
                <w:color w:val="auto"/>
                <w:kern w:val="0"/>
                <w:szCs w:val="24"/>
                <w:highlight w:val="none"/>
                <w:u w:val="single"/>
              </w:rPr>
              <w:t xml:space="preserve"> 不采用 </w:t>
            </w:r>
            <w:r>
              <w:rPr>
                <w:rFonts w:hint="eastAsia" w:hAnsi="宋体" w:cs="宋体"/>
                <w:snapToGrid w:val="0"/>
                <w:color w:val="auto"/>
                <w:kern w:val="0"/>
                <w:szCs w:val="24"/>
                <w:highlight w:val="none"/>
              </w:rPr>
              <w:t>“暗标”方式进行评审。</w:t>
            </w:r>
          </w:p>
        </w:tc>
      </w:tr>
      <w:tr w14:paraId="2BF2ED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90" w:hRule="atLeast"/>
        </w:trPr>
        <w:tc>
          <w:tcPr>
            <w:tcW w:w="721" w:type="dxa"/>
            <w:tcBorders>
              <w:top w:val="single" w:color="auto" w:sz="4" w:space="0"/>
              <w:left w:val="single" w:color="auto" w:sz="4" w:space="0"/>
              <w:bottom w:val="single" w:color="auto" w:sz="4" w:space="0"/>
              <w:right w:val="single" w:color="auto" w:sz="4" w:space="0"/>
            </w:tcBorders>
            <w:vAlign w:val="center"/>
          </w:tcPr>
          <w:p w14:paraId="0A83B325">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eastAsia" w:hAnsi="宋体" w:eastAsia="宋体" w:cs="宋体"/>
                <w:snapToGrid w:val="0"/>
                <w:color w:val="auto"/>
                <w:kern w:val="0"/>
                <w:szCs w:val="24"/>
                <w:highlight w:val="none"/>
                <w:lang w:val="en-US" w:eastAsia="zh-CN"/>
              </w:rPr>
            </w:pPr>
            <w:r>
              <w:rPr>
                <w:rFonts w:hint="eastAsia" w:hAnsi="宋体" w:cs="宋体"/>
                <w:snapToGrid w:val="0"/>
                <w:color w:val="auto"/>
                <w:kern w:val="0"/>
                <w:szCs w:val="24"/>
                <w:highlight w:val="none"/>
              </w:rPr>
              <w:t>2</w:t>
            </w:r>
            <w:r>
              <w:rPr>
                <w:rFonts w:hint="eastAsia" w:hAnsi="宋体" w:cs="宋体"/>
                <w:snapToGrid w:val="0"/>
                <w:color w:val="auto"/>
                <w:kern w:val="0"/>
                <w:szCs w:val="24"/>
                <w:highlight w:val="none"/>
                <w:lang w:val="en-US" w:eastAsia="zh-CN"/>
              </w:rPr>
              <w:t>4</w:t>
            </w:r>
          </w:p>
        </w:tc>
        <w:tc>
          <w:tcPr>
            <w:tcW w:w="1725" w:type="dxa"/>
            <w:tcBorders>
              <w:top w:val="single" w:color="auto" w:sz="4" w:space="0"/>
              <w:left w:val="single" w:color="auto" w:sz="4" w:space="0"/>
              <w:bottom w:val="single" w:color="auto" w:sz="4" w:space="0"/>
              <w:right w:val="single" w:color="auto" w:sz="4" w:space="0"/>
            </w:tcBorders>
            <w:vAlign w:val="center"/>
          </w:tcPr>
          <w:p w14:paraId="6CC5BE86">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评标委员会</w:t>
            </w:r>
          </w:p>
        </w:tc>
        <w:tc>
          <w:tcPr>
            <w:tcW w:w="6856" w:type="dxa"/>
            <w:tcBorders>
              <w:top w:val="single" w:color="auto" w:sz="4" w:space="0"/>
              <w:left w:val="single" w:color="auto" w:sz="4" w:space="0"/>
              <w:bottom w:val="single" w:color="auto" w:sz="4" w:space="0"/>
              <w:right w:val="single" w:color="auto" w:sz="4" w:space="0"/>
            </w:tcBorders>
            <w:vAlign w:val="center"/>
          </w:tcPr>
          <w:p w14:paraId="71EEA215">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rPr>
                <w:rFonts w:hAnsi="宋体" w:cs="宋体"/>
                <w:snapToGrid w:val="0"/>
                <w:color w:val="auto"/>
                <w:kern w:val="0"/>
                <w:szCs w:val="24"/>
                <w:highlight w:val="none"/>
              </w:rPr>
            </w:pPr>
            <w:r>
              <w:rPr>
                <w:rFonts w:hint="eastAsia" w:hAnsi="宋体" w:cs="宋体"/>
                <w:snapToGrid w:val="0"/>
                <w:color w:val="auto"/>
                <w:kern w:val="0"/>
                <w:szCs w:val="24"/>
                <w:highlight w:val="none"/>
              </w:rPr>
              <w:t>评标委员会由</w:t>
            </w:r>
            <w:r>
              <w:rPr>
                <w:rFonts w:hint="eastAsia" w:hAnsi="宋体" w:cs="宋体"/>
                <w:snapToGrid w:val="0"/>
                <w:color w:val="auto"/>
                <w:kern w:val="0"/>
                <w:szCs w:val="24"/>
                <w:highlight w:val="none"/>
                <w:u w:val="single"/>
              </w:rPr>
              <w:t xml:space="preserve"> 5 </w:t>
            </w:r>
            <w:r>
              <w:rPr>
                <w:rFonts w:hint="eastAsia" w:hAnsi="宋体" w:cs="宋体"/>
                <w:snapToGrid w:val="0"/>
                <w:color w:val="auto"/>
                <w:kern w:val="0"/>
                <w:szCs w:val="24"/>
                <w:highlight w:val="none"/>
              </w:rPr>
              <w:t>人组成，其中招标人代表</w:t>
            </w:r>
            <w:r>
              <w:rPr>
                <w:rFonts w:hint="eastAsia" w:hAnsi="宋体" w:cs="宋体"/>
                <w:snapToGrid w:val="0"/>
                <w:color w:val="auto"/>
                <w:kern w:val="0"/>
                <w:szCs w:val="24"/>
                <w:highlight w:val="none"/>
                <w:u w:val="single"/>
              </w:rPr>
              <w:t xml:space="preserve"> 0 </w:t>
            </w:r>
            <w:r>
              <w:rPr>
                <w:rFonts w:hint="eastAsia" w:hAnsi="宋体" w:cs="宋体"/>
                <w:snapToGrid w:val="0"/>
                <w:color w:val="auto"/>
                <w:kern w:val="0"/>
                <w:szCs w:val="24"/>
                <w:highlight w:val="none"/>
              </w:rPr>
              <w:t>人，专家</w:t>
            </w:r>
            <w:r>
              <w:rPr>
                <w:rFonts w:hint="eastAsia" w:hAnsi="宋体" w:cs="宋体"/>
                <w:snapToGrid w:val="0"/>
                <w:color w:val="auto"/>
                <w:kern w:val="0"/>
                <w:szCs w:val="24"/>
                <w:highlight w:val="none"/>
                <w:u w:val="single"/>
              </w:rPr>
              <w:t xml:space="preserve"> 5 </w:t>
            </w:r>
            <w:r>
              <w:rPr>
                <w:rFonts w:hint="eastAsia" w:hAnsi="宋体" w:cs="宋体"/>
                <w:snapToGrid w:val="0"/>
                <w:color w:val="auto"/>
                <w:kern w:val="0"/>
                <w:szCs w:val="24"/>
                <w:highlight w:val="none"/>
              </w:rPr>
              <w:t>人。专家从广东省综合评标评审专家库</w:t>
            </w:r>
            <w:r>
              <w:rPr>
                <w:rFonts w:hint="eastAsia" w:hAnsi="宋体" w:cs="宋体"/>
                <w:snapToGrid w:val="0"/>
                <w:color w:val="auto"/>
                <w:kern w:val="0"/>
                <w:szCs w:val="24"/>
                <w:highlight w:val="none"/>
                <w:lang w:val="en-US" w:eastAsia="zh-CN"/>
              </w:rPr>
              <w:t>-韶关区域</w:t>
            </w:r>
            <w:r>
              <w:rPr>
                <w:rFonts w:hint="eastAsia" w:hAnsi="宋体" w:cs="宋体"/>
                <w:snapToGrid w:val="0"/>
                <w:color w:val="auto"/>
                <w:kern w:val="0"/>
                <w:szCs w:val="24"/>
                <w:highlight w:val="none"/>
              </w:rPr>
              <w:t>中随机抽取，其中技术类专家</w:t>
            </w:r>
            <w:r>
              <w:rPr>
                <w:rFonts w:hint="eastAsia" w:hAnsi="宋体" w:cs="宋体"/>
                <w:snapToGrid w:val="0"/>
                <w:color w:val="auto"/>
                <w:kern w:val="0"/>
                <w:szCs w:val="24"/>
                <w:highlight w:val="none"/>
                <w:u w:val="single"/>
              </w:rPr>
              <w:t xml:space="preserve"> 3 </w:t>
            </w:r>
            <w:r>
              <w:rPr>
                <w:rFonts w:hint="eastAsia" w:hAnsi="宋体" w:cs="宋体"/>
                <w:snapToGrid w:val="0"/>
                <w:color w:val="auto"/>
                <w:kern w:val="0"/>
                <w:szCs w:val="24"/>
                <w:highlight w:val="none"/>
              </w:rPr>
              <w:t>人，经济类专家</w:t>
            </w:r>
            <w:r>
              <w:rPr>
                <w:rFonts w:hint="eastAsia" w:hAnsi="宋体" w:cs="宋体"/>
                <w:snapToGrid w:val="0"/>
                <w:color w:val="auto"/>
                <w:kern w:val="0"/>
                <w:szCs w:val="24"/>
                <w:highlight w:val="none"/>
                <w:u w:val="single"/>
              </w:rPr>
              <w:t xml:space="preserve"> 2 </w:t>
            </w:r>
            <w:r>
              <w:rPr>
                <w:rFonts w:hint="eastAsia" w:hAnsi="宋体" w:cs="宋体"/>
                <w:snapToGrid w:val="0"/>
                <w:color w:val="auto"/>
                <w:kern w:val="0"/>
                <w:szCs w:val="24"/>
                <w:highlight w:val="none"/>
              </w:rPr>
              <w:t>人。</w:t>
            </w:r>
          </w:p>
        </w:tc>
      </w:tr>
      <w:tr w14:paraId="0C4486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350" w:hRule="atLeast"/>
        </w:trPr>
        <w:tc>
          <w:tcPr>
            <w:tcW w:w="721" w:type="dxa"/>
            <w:tcBorders>
              <w:top w:val="single" w:color="auto" w:sz="4" w:space="0"/>
              <w:left w:val="single" w:color="auto" w:sz="4" w:space="0"/>
              <w:bottom w:val="single" w:color="auto" w:sz="4" w:space="0"/>
              <w:right w:val="single" w:color="auto" w:sz="4" w:space="0"/>
            </w:tcBorders>
            <w:shd w:val="clear" w:color="auto" w:fill="auto"/>
            <w:vAlign w:val="center"/>
          </w:tcPr>
          <w:p w14:paraId="285B89BB">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hAnsi="宋体" w:cs="宋体"/>
                <w:snapToGrid w:val="0"/>
                <w:color w:val="auto"/>
                <w:kern w:val="0"/>
                <w:szCs w:val="24"/>
                <w:highlight w:val="none"/>
              </w:rPr>
              <w:t>2</w:t>
            </w:r>
            <w:r>
              <w:rPr>
                <w:rFonts w:hint="eastAsia" w:hAnsi="宋体" w:cs="宋体"/>
                <w:snapToGrid w:val="0"/>
                <w:color w:val="auto"/>
                <w:kern w:val="0"/>
                <w:szCs w:val="24"/>
                <w:highlight w:val="none"/>
                <w:lang w:val="en-US" w:eastAsia="zh-CN"/>
              </w:rPr>
              <w:t>5</w:t>
            </w:r>
          </w:p>
        </w:tc>
        <w:tc>
          <w:tcPr>
            <w:tcW w:w="1725" w:type="dxa"/>
            <w:tcBorders>
              <w:top w:val="single" w:color="auto" w:sz="4" w:space="0"/>
              <w:left w:val="single" w:color="auto" w:sz="4" w:space="0"/>
              <w:bottom w:val="single" w:color="auto" w:sz="4" w:space="0"/>
              <w:right w:val="single" w:color="auto" w:sz="4" w:space="0"/>
            </w:tcBorders>
            <w:vAlign w:val="center"/>
          </w:tcPr>
          <w:p w14:paraId="3196D7ED">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int="eastAsia" w:hAnsi="宋体" w:cs="宋体"/>
                <w:snapToGrid w:val="0"/>
                <w:color w:val="auto"/>
                <w:kern w:val="0"/>
                <w:szCs w:val="24"/>
                <w:highlight w:val="none"/>
              </w:rPr>
            </w:pPr>
            <w:r>
              <w:rPr>
                <w:rFonts w:hint="eastAsia" w:ascii="宋体" w:hAnsi="宋体" w:eastAsia="宋体" w:cs="宋体"/>
                <w:snapToGrid w:val="0"/>
                <w:color w:val="auto"/>
                <w:kern w:val="0"/>
                <w:sz w:val="24"/>
                <w:szCs w:val="24"/>
                <w:highlight w:val="none"/>
              </w:rPr>
              <w:t>招标文件要求提交的用于评审的证书、证件、证明原件</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lang w:val="en-US" w:eastAsia="zh-CN"/>
              </w:rPr>
              <w:t>如有</w:t>
            </w:r>
            <w:r>
              <w:rPr>
                <w:rFonts w:hint="eastAsia" w:ascii="宋体" w:hAnsi="宋体" w:eastAsia="宋体" w:cs="宋体"/>
                <w:snapToGrid w:val="0"/>
                <w:color w:val="auto"/>
                <w:kern w:val="0"/>
                <w:sz w:val="24"/>
                <w:szCs w:val="24"/>
                <w:highlight w:val="none"/>
                <w:lang w:eastAsia="zh-CN"/>
              </w:rPr>
              <w:t>）</w:t>
            </w:r>
          </w:p>
        </w:tc>
        <w:tc>
          <w:tcPr>
            <w:tcW w:w="6856" w:type="dxa"/>
            <w:tcBorders>
              <w:top w:val="single" w:color="auto" w:sz="4" w:space="0"/>
              <w:left w:val="single" w:color="auto" w:sz="4" w:space="0"/>
              <w:bottom w:val="single" w:color="auto" w:sz="4" w:space="0"/>
              <w:right w:val="single" w:color="auto" w:sz="4" w:space="0"/>
            </w:tcBorders>
            <w:vAlign w:val="center"/>
          </w:tcPr>
          <w:p w14:paraId="72AFF7D2">
            <w:pPr>
              <w:keepNext w:val="0"/>
              <w:keepLines w:val="0"/>
              <w:pageBreakBefore w:val="0"/>
              <w:widowControl w:val="0"/>
              <w:kinsoku/>
              <w:wordWrap w:val="0"/>
              <w:overflowPunct/>
              <w:topLinePunct w:val="0"/>
              <w:autoSpaceDE/>
              <w:autoSpaceDN/>
              <w:bidi w:val="0"/>
              <w:adjustRightInd w:val="0"/>
              <w:snapToGrid w:val="0"/>
              <w:spacing w:line="500" w:lineRule="exact"/>
              <w:jc w:val="left"/>
              <w:textAlignment w:val="auto"/>
              <w:rPr>
                <w:rFonts w:hint="eastAsia" w:hAnsi="宋体" w:cs="宋体"/>
                <w:snapToGrid w:val="0"/>
                <w:color w:val="auto"/>
                <w:kern w:val="0"/>
                <w:szCs w:val="24"/>
                <w:highlight w:val="none"/>
              </w:rPr>
            </w:pPr>
            <w:r>
              <w:rPr>
                <w:rFonts w:hint="eastAsia" w:ascii="宋体" w:hAnsi="宋体" w:eastAsia="宋体" w:cs="宋体"/>
                <w:snapToGrid w:val="0"/>
                <w:color w:val="auto"/>
                <w:kern w:val="0"/>
                <w:sz w:val="24"/>
                <w:szCs w:val="24"/>
                <w:highlight w:val="none"/>
                <w:lang w:val="en-US" w:eastAsia="zh-CN"/>
              </w:rPr>
              <w:t xml:space="preserve">    </w:t>
            </w:r>
            <w:r>
              <w:rPr>
                <w:rFonts w:hint="eastAsia" w:ascii="宋体" w:hAnsi="宋体" w:eastAsia="宋体" w:cs="宋体"/>
                <w:snapToGrid w:val="0"/>
                <w:color w:val="auto"/>
                <w:kern w:val="0"/>
                <w:sz w:val="24"/>
                <w:szCs w:val="24"/>
                <w:highlight w:val="none"/>
              </w:rPr>
              <w:t>投标人提交用于评审的证书、证件、证明原件的，应自行准备两张“原件一览表”(详见</w:t>
            </w:r>
            <w:r>
              <w:rPr>
                <w:rFonts w:hint="eastAsia" w:hAnsi="宋体" w:cs="宋体"/>
                <w:snapToGrid w:val="0"/>
                <w:color w:val="auto"/>
                <w:kern w:val="0"/>
                <w:sz w:val="24"/>
                <w:szCs w:val="24"/>
                <w:highlight w:val="none"/>
                <w:lang w:val="en-US" w:eastAsia="zh-CN"/>
              </w:rPr>
              <w:t>投标文件格式</w:t>
            </w:r>
            <w:r>
              <w:rPr>
                <w:rFonts w:hint="eastAsia" w:ascii="宋体" w:hAnsi="宋体" w:eastAsia="宋体" w:cs="宋体"/>
                <w:snapToGrid w:val="0"/>
                <w:color w:val="auto"/>
                <w:kern w:val="0"/>
                <w:sz w:val="24"/>
                <w:szCs w:val="24"/>
                <w:highlight w:val="none"/>
              </w:rPr>
              <w:t>，投标人须自行填写，表格可扩展)，该表一式两份，两份表格投标人均需如实填写各项内容，两份表格的填写内容应一致。一份贴于装纳原件的文件袋（箱），一份在递交文件袋（箱）时由招标代理机构、投标人签字后交招标代理机构。招标代理机构仅代签收装纳原件的文件袋（箱），而不对文件袋（箱）中资料的数量、内容及真实性负责。评标结束后，招标代理机构将退回投标人的原件。若投标人未按要求提交相应证明材料原件或投标文件中证明材料的彩色扫描件与原件不一致，评审时相应证明材料不予认可。</w:t>
            </w:r>
          </w:p>
        </w:tc>
      </w:tr>
      <w:tr w14:paraId="7161C5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90" w:hRule="atLeast"/>
        </w:trPr>
        <w:tc>
          <w:tcPr>
            <w:tcW w:w="721" w:type="dxa"/>
            <w:tcBorders>
              <w:top w:val="single" w:color="auto" w:sz="4" w:space="0"/>
              <w:left w:val="single" w:color="auto" w:sz="4" w:space="0"/>
              <w:bottom w:val="single" w:color="auto" w:sz="4" w:space="0"/>
              <w:right w:val="single" w:color="auto" w:sz="4" w:space="0"/>
            </w:tcBorders>
            <w:shd w:val="clear" w:color="auto" w:fill="auto"/>
            <w:vAlign w:val="center"/>
          </w:tcPr>
          <w:p w14:paraId="7B8721E2">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hAnsi="宋体" w:cs="宋体"/>
                <w:snapToGrid w:val="0"/>
                <w:color w:val="auto"/>
                <w:kern w:val="0"/>
                <w:szCs w:val="24"/>
                <w:highlight w:val="none"/>
              </w:rPr>
              <w:t>2</w:t>
            </w:r>
            <w:r>
              <w:rPr>
                <w:rFonts w:hint="eastAsia" w:hAnsi="宋体" w:cs="宋体"/>
                <w:snapToGrid w:val="0"/>
                <w:color w:val="auto"/>
                <w:kern w:val="0"/>
                <w:szCs w:val="24"/>
                <w:highlight w:val="none"/>
                <w:lang w:val="en-US" w:eastAsia="zh-CN"/>
              </w:rPr>
              <w:t>6</w:t>
            </w:r>
          </w:p>
        </w:tc>
        <w:tc>
          <w:tcPr>
            <w:tcW w:w="1725" w:type="dxa"/>
            <w:tcBorders>
              <w:top w:val="single" w:color="auto" w:sz="4" w:space="0"/>
              <w:left w:val="single" w:color="auto" w:sz="4" w:space="0"/>
              <w:bottom w:val="single" w:color="auto" w:sz="4" w:space="0"/>
              <w:right w:val="single" w:color="auto" w:sz="4" w:space="0"/>
            </w:tcBorders>
            <w:vAlign w:val="center"/>
          </w:tcPr>
          <w:p w14:paraId="4CB5F7E5">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招标人</w:t>
            </w:r>
          </w:p>
          <w:p w14:paraId="7CA2CE30">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联系方式</w:t>
            </w:r>
          </w:p>
        </w:tc>
        <w:tc>
          <w:tcPr>
            <w:tcW w:w="6856" w:type="dxa"/>
            <w:tcBorders>
              <w:top w:val="single" w:color="auto" w:sz="4" w:space="0"/>
              <w:left w:val="single" w:color="auto" w:sz="4" w:space="0"/>
              <w:bottom w:val="single" w:color="auto" w:sz="4" w:space="0"/>
              <w:right w:val="single" w:color="auto" w:sz="4" w:space="0"/>
            </w:tcBorders>
            <w:vAlign w:val="center"/>
          </w:tcPr>
          <w:p w14:paraId="34AA6CF6">
            <w:pPr>
              <w:keepNext w:val="0"/>
              <w:keepLines w:val="0"/>
              <w:pageBreakBefore w:val="0"/>
              <w:widowControl w:val="0"/>
              <w:kinsoku/>
              <w:wordWrap w:val="0"/>
              <w:overflowPunct/>
              <w:topLinePunct/>
              <w:autoSpaceDE/>
              <w:autoSpaceDN/>
              <w:bidi w:val="0"/>
              <w:adjustRightInd w:val="0"/>
              <w:snapToGrid w:val="0"/>
              <w:spacing w:line="360" w:lineRule="exact"/>
              <w:ind w:right="96" w:rightChars="40" w:firstLine="240" w:firstLineChars="100"/>
              <w:jc w:val="left"/>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单位名称：广东翁源经济开发区管理委员会</w:t>
            </w:r>
          </w:p>
          <w:p w14:paraId="3B223CC1">
            <w:pPr>
              <w:keepNext w:val="0"/>
              <w:keepLines w:val="0"/>
              <w:pageBreakBefore w:val="0"/>
              <w:widowControl w:val="0"/>
              <w:kinsoku/>
              <w:wordWrap w:val="0"/>
              <w:overflowPunct/>
              <w:topLinePunct/>
              <w:autoSpaceDE/>
              <w:autoSpaceDN/>
              <w:bidi w:val="0"/>
              <w:adjustRightInd w:val="0"/>
              <w:snapToGrid w:val="0"/>
              <w:spacing w:line="360" w:lineRule="exact"/>
              <w:ind w:right="96" w:rightChars="40" w:firstLine="240" w:firstLineChars="100"/>
              <w:jc w:val="left"/>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地址：翁源县翁城镇厚源大厦210</w:t>
            </w:r>
          </w:p>
          <w:p w14:paraId="4B0747A0">
            <w:pPr>
              <w:keepNext w:val="0"/>
              <w:keepLines w:val="0"/>
              <w:pageBreakBefore w:val="0"/>
              <w:widowControl w:val="0"/>
              <w:kinsoku/>
              <w:wordWrap w:val="0"/>
              <w:overflowPunct/>
              <w:topLinePunct/>
              <w:autoSpaceDE/>
              <w:autoSpaceDN/>
              <w:bidi w:val="0"/>
              <w:adjustRightInd w:val="0"/>
              <w:snapToGrid w:val="0"/>
              <w:spacing w:line="360" w:lineRule="exact"/>
              <w:ind w:right="96" w:rightChars="40" w:firstLine="240" w:firstLineChars="100"/>
              <w:jc w:val="left"/>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联系人：蓝工</w:t>
            </w:r>
          </w:p>
          <w:p w14:paraId="1511AD60">
            <w:pPr>
              <w:keepNext w:val="0"/>
              <w:keepLines w:val="0"/>
              <w:pageBreakBefore w:val="0"/>
              <w:widowControl w:val="0"/>
              <w:kinsoku/>
              <w:wordWrap w:val="0"/>
              <w:overflowPunct/>
              <w:topLinePunct/>
              <w:autoSpaceDE/>
              <w:autoSpaceDN/>
              <w:bidi w:val="0"/>
              <w:adjustRightInd w:val="0"/>
              <w:snapToGrid w:val="0"/>
              <w:spacing w:line="360" w:lineRule="exact"/>
              <w:ind w:right="96" w:rightChars="40" w:firstLine="240" w:firstLineChars="100"/>
              <w:jc w:val="left"/>
              <w:rPr>
                <w:rFonts w:hAnsi="宋体" w:cs="宋体"/>
                <w:snapToGrid w:val="0"/>
                <w:color w:val="auto"/>
                <w:kern w:val="0"/>
                <w:szCs w:val="24"/>
                <w:highlight w:val="none"/>
              </w:rPr>
            </w:pPr>
            <w:r>
              <w:rPr>
                <w:rFonts w:hint="eastAsia" w:asciiTheme="minorEastAsia" w:hAnsiTheme="minorEastAsia" w:eastAsiaTheme="minorEastAsia" w:cstheme="minorEastAsia"/>
                <w:snapToGrid w:val="0"/>
                <w:color w:val="auto"/>
                <w:kern w:val="0"/>
                <w:sz w:val="24"/>
                <w:szCs w:val="24"/>
                <w:highlight w:val="none"/>
              </w:rPr>
              <w:t>联系电话：</w:t>
            </w:r>
            <w:r>
              <w:rPr>
                <w:rFonts w:hint="eastAsia" w:asciiTheme="minorEastAsia" w:hAnsiTheme="minorEastAsia" w:eastAsiaTheme="minorEastAsia" w:cstheme="minorEastAsia"/>
                <w:snapToGrid w:val="0"/>
                <w:color w:val="auto"/>
                <w:kern w:val="0"/>
                <w:sz w:val="24"/>
                <w:szCs w:val="24"/>
                <w:highlight w:val="none"/>
                <w:lang w:val="en-US" w:eastAsia="zh-CN"/>
              </w:rPr>
              <w:t>0751-</w:t>
            </w:r>
            <w:r>
              <w:rPr>
                <w:rFonts w:hint="eastAsia" w:asciiTheme="minorEastAsia" w:hAnsiTheme="minorEastAsia" w:eastAsiaTheme="minorEastAsia" w:cstheme="minorEastAsia"/>
                <w:snapToGrid w:val="0"/>
                <w:color w:val="auto"/>
                <w:kern w:val="0"/>
                <w:sz w:val="24"/>
                <w:szCs w:val="24"/>
                <w:highlight w:val="none"/>
              </w:rPr>
              <w:t>6928836</w:t>
            </w:r>
          </w:p>
        </w:tc>
      </w:tr>
      <w:tr w14:paraId="06B4FD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75" w:hRule="atLeast"/>
        </w:trPr>
        <w:tc>
          <w:tcPr>
            <w:tcW w:w="721" w:type="dxa"/>
            <w:tcBorders>
              <w:top w:val="single" w:color="auto" w:sz="4" w:space="0"/>
              <w:left w:val="single" w:color="auto" w:sz="4" w:space="0"/>
              <w:bottom w:val="single" w:color="auto" w:sz="4" w:space="0"/>
              <w:right w:val="single" w:color="auto" w:sz="4" w:space="0"/>
            </w:tcBorders>
            <w:shd w:val="clear" w:color="auto" w:fill="auto"/>
            <w:vAlign w:val="center"/>
          </w:tcPr>
          <w:p w14:paraId="27824ACC">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default" w:ascii="宋体" w:hAnsi="宋体" w:eastAsia="宋体" w:cs="宋体"/>
                <w:snapToGrid w:val="0"/>
                <w:color w:val="auto"/>
                <w:kern w:val="0"/>
                <w:sz w:val="24"/>
                <w:szCs w:val="24"/>
                <w:highlight w:val="none"/>
                <w:lang w:val="en-US" w:eastAsia="zh-CN" w:bidi="ar-SA"/>
              </w:rPr>
            </w:pPr>
            <w:r>
              <w:rPr>
                <w:rFonts w:hint="eastAsia" w:hAnsi="宋体" w:cs="宋体"/>
                <w:snapToGrid w:val="0"/>
                <w:color w:val="auto"/>
                <w:kern w:val="0"/>
                <w:sz w:val="24"/>
                <w:szCs w:val="24"/>
                <w:highlight w:val="none"/>
                <w:lang w:val="en-US" w:eastAsia="zh-CN" w:bidi="ar-SA"/>
              </w:rPr>
              <w:t>27</w:t>
            </w:r>
          </w:p>
        </w:tc>
        <w:tc>
          <w:tcPr>
            <w:tcW w:w="1725" w:type="dxa"/>
            <w:tcBorders>
              <w:top w:val="single" w:color="auto" w:sz="4" w:space="0"/>
              <w:left w:val="single" w:color="auto" w:sz="4" w:space="0"/>
              <w:bottom w:val="single" w:color="auto" w:sz="4" w:space="0"/>
              <w:right w:val="single" w:color="auto" w:sz="4" w:space="0"/>
            </w:tcBorders>
            <w:vAlign w:val="center"/>
          </w:tcPr>
          <w:p w14:paraId="08D285B7">
            <w:pPr>
              <w:keepNext w:val="0"/>
              <w:keepLines w:val="0"/>
              <w:pageBreakBefore w:val="0"/>
              <w:widowControl w:val="0"/>
              <w:kinsoku/>
              <w:wordWrap w:val="0"/>
              <w:overflowPunct/>
              <w:topLinePunct/>
              <w:autoSpaceDE/>
              <w:autoSpaceDN/>
              <w:bidi w:val="0"/>
              <w:adjustRightInd w:val="0"/>
              <w:snapToGrid w:val="0"/>
              <w:spacing w:line="400" w:lineRule="exact"/>
              <w:ind w:right="96" w:rightChars="40"/>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招标代理机构</w:t>
            </w:r>
          </w:p>
          <w:p w14:paraId="61EAB285">
            <w:pPr>
              <w:keepNext w:val="0"/>
              <w:keepLines w:val="0"/>
              <w:pageBreakBefore w:val="0"/>
              <w:widowControl w:val="0"/>
              <w:kinsoku/>
              <w:wordWrap w:val="0"/>
              <w:overflowPunct/>
              <w:topLinePunct/>
              <w:autoSpaceDE/>
              <w:autoSpaceDN/>
              <w:bidi w:val="0"/>
              <w:adjustRightInd w:val="0"/>
              <w:snapToGrid w:val="0"/>
              <w:spacing w:line="400" w:lineRule="exact"/>
              <w:ind w:right="96" w:rightChars="40"/>
              <w:jc w:val="center"/>
              <w:textAlignment w:val="auto"/>
              <w:rPr>
                <w:rFonts w:hAnsi="宋体" w:cs="宋体"/>
                <w:snapToGrid w:val="0"/>
                <w:color w:val="auto"/>
                <w:kern w:val="0"/>
                <w:szCs w:val="24"/>
                <w:highlight w:val="none"/>
              </w:rPr>
            </w:pPr>
            <w:r>
              <w:rPr>
                <w:rFonts w:hint="eastAsia" w:asciiTheme="minorEastAsia" w:hAnsiTheme="minorEastAsia" w:eastAsiaTheme="minorEastAsia" w:cstheme="minorEastAsia"/>
                <w:snapToGrid w:val="0"/>
                <w:color w:val="auto"/>
                <w:kern w:val="0"/>
                <w:sz w:val="24"/>
                <w:szCs w:val="24"/>
                <w:highlight w:val="none"/>
                <w:lang w:eastAsia="zh-CN"/>
              </w:rPr>
              <w:t>联系方式</w:t>
            </w:r>
          </w:p>
        </w:tc>
        <w:tc>
          <w:tcPr>
            <w:tcW w:w="6856" w:type="dxa"/>
            <w:tcBorders>
              <w:top w:val="single" w:color="auto" w:sz="4" w:space="0"/>
              <w:left w:val="single" w:color="auto" w:sz="4" w:space="0"/>
              <w:bottom w:val="single" w:color="auto" w:sz="4" w:space="0"/>
              <w:right w:val="single" w:color="auto" w:sz="4" w:space="0"/>
            </w:tcBorders>
            <w:vAlign w:val="center"/>
          </w:tcPr>
          <w:p w14:paraId="12BCE90B">
            <w:pPr>
              <w:keepNext w:val="0"/>
              <w:keepLines w:val="0"/>
              <w:pageBreakBefore w:val="0"/>
              <w:widowControl w:val="0"/>
              <w:kinsoku/>
              <w:wordWrap w:val="0"/>
              <w:overflowPunct/>
              <w:topLinePunct/>
              <w:autoSpaceDE/>
              <w:autoSpaceDN/>
              <w:bidi w:val="0"/>
              <w:adjustRightInd w:val="0"/>
              <w:snapToGrid w:val="0"/>
              <w:spacing w:line="360" w:lineRule="exact"/>
              <w:ind w:right="96" w:rightChars="40" w:firstLine="240" w:firstLineChars="100"/>
              <w:jc w:val="left"/>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rPr>
              <w:t>单位名称：</w:t>
            </w:r>
            <w:r>
              <w:rPr>
                <w:rFonts w:hint="eastAsia" w:asciiTheme="minorEastAsia" w:hAnsiTheme="minorEastAsia" w:eastAsiaTheme="minorEastAsia" w:cstheme="minorEastAsia"/>
                <w:snapToGrid w:val="0"/>
                <w:color w:val="auto"/>
                <w:kern w:val="0"/>
                <w:sz w:val="24"/>
                <w:szCs w:val="24"/>
                <w:highlight w:val="none"/>
                <w:lang w:eastAsia="zh-CN"/>
              </w:rPr>
              <w:t>汇龙工程咨询有限公司</w:t>
            </w:r>
          </w:p>
          <w:p w14:paraId="10D85320">
            <w:pPr>
              <w:keepNext w:val="0"/>
              <w:keepLines w:val="0"/>
              <w:pageBreakBefore w:val="0"/>
              <w:widowControl w:val="0"/>
              <w:kinsoku/>
              <w:wordWrap w:val="0"/>
              <w:overflowPunct/>
              <w:topLinePunct/>
              <w:autoSpaceDE/>
              <w:autoSpaceDN/>
              <w:bidi w:val="0"/>
              <w:adjustRightInd w:val="0"/>
              <w:snapToGrid w:val="0"/>
              <w:spacing w:line="360" w:lineRule="exact"/>
              <w:ind w:right="96" w:rightChars="40" w:firstLine="240" w:firstLineChars="100"/>
              <w:jc w:val="left"/>
              <w:rPr>
                <w:rFonts w:hint="default"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rPr>
              <w:t>办公地址：韶关市翁源县龙仙镇河口村日光小组文化室201房</w:t>
            </w:r>
          </w:p>
          <w:p w14:paraId="38C5590E">
            <w:pPr>
              <w:keepNext w:val="0"/>
              <w:keepLines w:val="0"/>
              <w:pageBreakBefore w:val="0"/>
              <w:widowControl w:val="0"/>
              <w:kinsoku/>
              <w:wordWrap w:val="0"/>
              <w:overflowPunct/>
              <w:topLinePunct/>
              <w:autoSpaceDE/>
              <w:autoSpaceDN/>
              <w:bidi w:val="0"/>
              <w:adjustRightInd w:val="0"/>
              <w:snapToGrid w:val="0"/>
              <w:spacing w:line="360" w:lineRule="exact"/>
              <w:ind w:right="96" w:rightChars="40" w:firstLine="240" w:firstLineChars="100"/>
              <w:jc w:val="left"/>
              <w:rPr>
                <w:rFonts w:hint="default"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rPr>
              <w:t>联 系 人：</w:t>
            </w:r>
            <w:r>
              <w:rPr>
                <w:rFonts w:hint="eastAsia" w:asciiTheme="minorEastAsia" w:hAnsiTheme="minorEastAsia" w:eastAsiaTheme="minorEastAsia" w:cstheme="minorEastAsia"/>
                <w:snapToGrid w:val="0"/>
                <w:color w:val="auto"/>
                <w:kern w:val="0"/>
                <w:sz w:val="24"/>
                <w:szCs w:val="24"/>
                <w:highlight w:val="none"/>
                <w:lang w:val="en-US" w:eastAsia="zh-CN"/>
              </w:rPr>
              <w:t>李工</w:t>
            </w:r>
          </w:p>
          <w:p w14:paraId="455FD8F5">
            <w:pPr>
              <w:keepNext w:val="0"/>
              <w:keepLines w:val="0"/>
              <w:pageBreakBefore w:val="0"/>
              <w:widowControl w:val="0"/>
              <w:kinsoku/>
              <w:wordWrap w:val="0"/>
              <w:overflowPunct/>
              <w:topLinePunct/>
              <w:autoSpaceDE/>
              <w:autoSpaceDN/>
              <w:bidi w:val="0"/>
              <w:adjustRightInd w:val="0"/>
              <w:snapToGrid w:val="0"/>
              <w:spacing w:line="360" w:lineRule="exact"/>
              <w:ind w:right="96" w:rightChars="40" w:firstLine="240" w:firstLineChars="100"/>
              <w:jc w:val="left"/>
              <w:rPr>
                <w:rFonts w:hint="default" w:ascii="宋体" w:hAnsi="宋体" w:eastAsia="宋体" w:cs="宋体"/>
                <w:snapToGrid w:val="0"/>
                <w:color w:val="auto"/>
                <w:kern w:val="0"/>
                <w:sz w:val="24"/>
                <w:szCs w:val="24"/>
                <w:highlight w:val="none"/>
                <w:lang w:val="en-US"/>
              </w:rPr>
            </w:pPr>
            <w:r>
              <w:rPr>
                <w:rFonts w:hint="eastAsia" w:asciiTheme="minorEastAsia" w:hAnsiTheme="minorEastAsia" w:eastAsiaTheme="minorEastAsia" w:cstheme="minorEastAsia"/>
                <w:snapToGrid w:val="0"/>
                <w:color w:val="auto"/>
                <w:kern w:val="0"/>
                <w:sz w:val="24"/>
                <w:szCs w:val="24"/>
                <w:highlight w:val="none"/>
              </w:rPr>
              <w:t>电    话：0751-2828218</w:t>
            </w:r>
          </w:p>
        </w:tc>
      </w:tr>
      <w:tr w14:paraId="613847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779" w:hRule="atLeast"/>
        </w:trPr>
        <w:tc>
          <w:tcPr>
            <w:tcW w:w="721" w:type="dxa"/>
            <w:tcBorders>
              <w:top w:val="single" w:color="auto" w:sz="4" w:space="0"/>
              <w:left w:val="single" w:color="auto" w:sz="4" w:space="0"/>
              <w:bottom w:val="single" w:color="auto" w:sz="4" w:space="0"/>
              <w:right w:val="single" w:color="auto" w:sz="4" w:space="0"/>
            </w:tcBorders>
            <w:shd w:val="clear" w:color="auto" w:fill="auto"/>
            <w:vAlign w:val="center"/>
          </w:tcPr>
          <w:p w14:paraId="4F5D1456">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default" w:ascii="宋体" w:hAnsi="宋体" w:eastAsia="宋体" w:cs="宋体"/>
                <w:snapToGrid w:val="0"/>
                <w:color w:val="auto"/>
                <w:kern w:val="0"/>
                <w:sz w:val="24"/>
                <w:szCs w:val="24"/>
                <w:highlight w:val="none"/>
                <w:lang w:val="en-US" w:eastAsia="zh-CN" w:bidi="ar-SA"/>
              </w:rPr>
            </w:pPr>
            <w:r>
              <w:rPr>
                <w:rFonts w:hint="eastAsia" w:hAnsi="宋体" w:cs="宋体"/>
                <w:snapToGrid w:val="0"/>
                <w:color w:val="auto"/>
                <w:kern w:val="0"/>
                <w:sz w:val="24"/>
                <w:szCs w:val="24"/>
                <w:highlight w:val="none"/>
                <w:lang w:val="en-US" w:eastAsia="zh-CN" w:bidi="ar-SA"/>
              </w:rPr>
              <w:t>28</w:t>
            </w:r>
          </w:p>
        </w:tc>
        <w:tc>
          <w:tcPr>
            <w:tcW w:w="1725" w:type="dxa"/>
            <w:tcBorders>
              <w:top w:val="single" w:color="auto" w:sz="4" w:space="0"/>
              <w:left w:val="single" w:color="auto" w:sz="4" w:space="0"/>
              <w:bottom w:val="single" w:color="auto" w:sz="4" w:space="0"/>
              <w:right w:val="single" w:color="auto" w:sz="4" w:space="0"/>
            </w:tcBorders>
            <w:vAlign w:val="center"/>
          </w:tcPr>
          <w:p w14:paraId="58C58EBE">
            <w:pPr>
              <w:keepNext w:val="0"/>
              <w:keepLines w:val="0"/>
              <w:pageBreakBefore w:val="0"/>
              <w:widowControl w:val="0"/>
              <w:kinsoku/>
              <w:wordWrap w:val="0"/>
              <w:overflowPunct/>
              <w:topLinePunct/>
              <w:autoSpaceDE/>
              <w:autoSpaceDN/>
              <w:bidi w:val="0"/>
              <w:adjustRightInd w:val="0"/>
              <w:snapToGrid w:val="0"/>
              <w:spacing w:line="400" w:lineRule="exact"/>
              <w:ind w:right="96" w:rightChars="40"/>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交易场所</w:t>
            </w:r>
          </w:p>
          <w:p w14:paraId="39E802A2">
            <w:pPr>
              <w:keepNext w:val="0"/>
              <w:keepLines w:val="0"/>
              <w:pageBreakBefore w:val="0"/>
              <w:widowControl w:val="0"/>
              <w:kinsoku/>
              <w:wordWrap w:val="0"/>
              <w:overflowPunct/>
              <w:topLinePunct/>
              <w:autoSpaceDE/>
              <w:autoSpaceDN/>
              <w:bidi w:val="0"/>
              <w:adjustRightInd w:val="0"/>
              <w:snapToGrid w:val="0"/>
              <w:spacing w:line="400" w:lineRule="exact"/>
              <w:ind w:right="96" w:rightChars="40"/>
              <w:jc w:val="center"/>
              <w:textAlignment w:val="auto"/>
              <w:rPr>
                <w:rFonts w:hAnsi="宋体" w:cs="宋体"/>
                <w:snapToGrid w:val="0"/>
                <w:color w:val="auto"/>
                <w:kern w:val="0"/>
                <w:szCs w:val="24"/>
                <w:highlight w:val="none"/>
              </w:rPr>
            </w:pPr>
            <w:r>
              <w:rPr>
                <w:rFonts w:hint="eastAsia" w:asciiTheme="minorEastAsia" w:hAnsiTheme="minorEastAsia" w:eastAsiaTheme="minorEastAsia" w:cstheme="minorEastAsia"/>
                <w:snapToGrid w:val="0"/>
                <w:color w:val="auto"/>
                <w:kern w:val="0"/>
                <w:sz w:val="24"/>
                <w:szCs w:val="24"/>
                <w:highlight w:val="none"/>
                <w:lang w:eastAsia="zh-CN"/>
              </w:rPr>
              <w:t>联系方式</w:t>
            </w:r>
          </w:p>
        </w:tc>
        <w:tc>
          <w:tcPr>
            <w:tcW w:w="6856" w:type="dxa"/>
            <w:tcBorders>
              <w:top w:val="single" w:color="auto" w:sz="4" w:space="0"/>
              <w:left w:val="single" w:color="auto" w:sz="4" w:space="0"/>
              <w:bottom w:val="single" w:color="auto" w:sz="4" w:space="0"/>
              <w:right w:val="single" w:color="auto" w:sz="4" w:space="0"/>
            </w:tcBorders>
            <w:vAlign w:val="center"/>
          </w:tcPr>
          <w:p w14:paraId="6648CDF2">
            <w:pPr>
              <w:keepNext w:val="0"/>
              <w:keepLines w:val="0"/>
              <w:pageBreakBefore w:val="0"/>
              <w:widowControl w:val="0"/>
              <w:kinsoku/>
              <w:wordWrap w:val="0"/>
              <w:overflowPunct/>
              <w:topLinePunct/>
              <w:autoSpaceDE/>
              <w:autoSpaceDN/>
              <w:bidi w:val="0"/>
              <w:adjustRightInd w:val="0"/>
              <w:snapToGrid w:val="0"/>
              <w:spacing w:line="360" w:lineRule="exact"/>
              <w:ind w:right="96" w:rightChars="40" w:firstLine="273" w:firstLineChars="114"/>
              <w:jc w:val="left"/>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单位名称：韶关市公共资源交易中心</w:t>
            </w:r>
          </w:p>
          <w:p w14:paraId="517F5633">
            <w:pPr>
              <w:keepNext w:val="0"/>
              <w:keepLines w:val="0"/>
              <w:pageBreakBefore w:val="0"/>
              <w:widowControl w:val="0"/>
              <w:kinsoku/>
              <w:wordWrap w:val="0"/>
              <w:overflowPunct/>
              <w:topLinePunct/>
              <w:autoSpaceDE/>
              <w:autoSpaceDN/>
              <w:bidi w:val="0"/>
              <w:adjustRightInd w:val="0"/>
              <w:snapToGrid w:val="0"/>
              <w:spacing w:line="360" w:lineRule="exact"/>
              <w:ind w:right="96" w:rightChars="40" w:firstLine="273" w:firstLineChars="114"/>
              <w:jc w:val="left"/>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办公地址：翁源县龙仙镇朝阳路63号韶关市公共资源交易中心翁源分中心</w:t>
            </w:r>
          </w:p>
          <w:p w14:paraId="53F2F02E">
            <w:pPr>
              <w:keepNext w:val="0"/>
              <w:keepLines w:val="0"/>
              <w:pageBreakBefore w:val="0"/>
              <w:widowControl w:val="0"/>
              <w:kinsoku/>
              <w:wordWrap w:val="0"/>
              <w:overflowPunct/>
              <w:topLinePunct/>
              <w:autoSpaceDE/>
              <w:autoSpaceDN/>
              <w:bidi w:val="0"/>
              <w:adjustRightInd w:val="0"/>
              <w:snapToGrid w:val="0"/>
              <w:spacing w:line="360" w:lineRule="exact"/>
              <w:ind w:right="96" w:rightChars="40" w:firstLine="273" w:firstLineChars="114"/>
              <w:jc w:val="left"/>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 xml:space="preserve">联系人（部门）：工程交易股 </w:t>
            </w:r>
          </w:p>
          <w:p w14:paraId="52A159D9">
            <w:pPr>
              <w:keepNext w:val="0"/>
              <w:keepLines w:val="0"/>
              <w:pageBreakBefore w:val="0"/>
              <w:widowControl w:val="0"/>
              <w:kinsoku/>
              <w:wordWrap w:val="0"/>
              <w:overflowPunct/>
              <w:topLinePunct/>
              <w:autoSpaceDE/>
              <w:autoSpaceDN/>
              <w:bidi w:val="0"/>
              <w:adjustRightInd w:val="0"/>
              <w:snapToGrid w:val="0"/>
              <w:spacing w:line="360" w:lineRule="exact"/>
              <w:ind w:right="96" w:rightChars="40" w:firstLine="273" w:firstLineChars="114"/>
              <w:jc w:val="left"/>
              <w:rPr>
                <w:rFonts w:hint="eastAsia" w:ascii="宋体" w:hAnsi="宋体" w:eastAsia="宋体" w:cs="宋体"/>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lang w:val="en-US" w:eastAsia="zh-CN"/>
              </w:rPr>
              <w:t>联系电话：0751-2815819</w:t>
            </w:r>
          </w:p>
        </w:tc>
      </w:tr>
      <w:tr w14:paraId="6D4149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990" w:hRule="atLeast"/>
        </w:trPr>
        <w:tc>
          <w:tcPr>
            <w:tcW w:w="721" w:type="dxa"/>
            <w:tcBorders>
              <w:top w:val="single" w:color="auto" w:sz="4" w:space="0"/>
              <w:left w:val="single" w:color="auto" w:sz="4" w:space="0"/>
              <w:bottom w:val="single" w:color="auto" w:sz="4" w:space="0"/>
              <w:right w:val="single" w:color="auto" w:sz="4" w:space="0"/>
            </w:tcBorders>
            <w:shd w:val="clear" w:color="auto" w:fill="auto"/>
            <w:vAlign w:val="center"/>
          </w:tcPr>
          <w:p w14:paraId="3D05CDAF">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default" w:ascii="宋体" w:hAnsi="宋体" w:eastAsia="宋体" w:cs="宋体"/>
                <w:snapToGrid w:val="0"/>
                <w:color w:val="auto"/>
                <w:kern w:val="0"/>
                <w:sz w:val="24"/>
                <w:szCs w:val="24"/>
                <w:highlight w:val="none"/>
                <w:lang w:val="en-US" w:eastAsia="zh-CN" w:bidi="ar-SA"/>
              </w:rPr>
            </w:pPr>
            <w:r>
              <w:rPr>
                <w:rFonts w:hint="eastAsia" w:hAnsi="宋体" w:cs="宋体"/>
                <w:snapToGrid w:val="0"/>
                <w:color w:val="auto"/>
                <w:kern w:val="0"/>
                <w:sz w:val="24"/>
                <w:szCs w:val="24"/>
                <w:highlight w:val="none"/>
                <w:lang w:val="en-US" w:eastAsia="zh-CN" w:bidi="ar-SA"/>
              </w:rPr>
              <w:t>29</w:t>
            </w:r>
          </w:p>
        </w:tc>
        <w:tc>
          <w:tcPr>
            <w:tcW w:w="1725" w:type="dxa"/>
            <w:tcBorders>
              <w:top w:val="single" w:color="auto" w:sz="4" w:space="0"/>
              <w:left w:val="single" w:color="auto" w:sz="4" w:space="0"/>
              <w:bottom w:val="single" w:color="auto" w:sz="4" w:space="0"/>
              <w:right w:val="single" w:color="auto" w:sz="4" w:space="0"/>
            </w:tcBorders>
            <w:vAlign w:val="center"/>
          </w:tcPr>
          <w:p w14:paraId="798C7F0A">
            <w:pPr>
              <w:keepNext w:val="0"/>
              <w:keepLines w:val="0"/>
              <w:pageBreakBefore w:val="0"/>
              <w:widowControl w:val="0"/>
              <w:kinsoku/>
              <w:wordWrap w:val="0"/>
              <w:overflowPunct/>
              <w:topLinePunct/>
              <w:autoSpaceDE/>
              <w:autoSpaceDN/>
              <w:bidi w:val="0"/>
              <w:adjustRightInd w:val="0"/>
              <w:snapToGrid w:val="0"/>
              <w:spacing w:line="400" w:lineRule="exact"/>
              <w:ind w:right="96" w:rightChars="40"/>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行政监督部门</w:t>
            </w:r>
          </w:p>
          <w:p w14:paraId="7D06EA50">
            <w:pPr>
              <w:keepNext w:val="0"/>
              <w:keepLines w:val="0"/>
              <w:pageBreakBefore w:val="0"/>
              <w:widowControl w:val="0"/>
              <w:kinsoku/>
              <w:wordWrap w:val="0"/>
              <w:overflowPunct/>
              <w:topLinePunct/>
              <w:autoSpaceDE/>
              <w:autoSpaceDN/>
              <w:bidi w:val="0"/>
              <w:adjustRightInd w:val="0"/>
              <w:snapToGrid w:val="0"/>
              <w:spacing w:line="400" w:lineRule="exact"/>
              <w:ind w:right="96" w:rightChars="40"/>
              <w:jc w:val="center"/>
              <w:textAlignment w:val="auto"/>
              <w:rPr>
                <w:rFonts w:hAnsi="宋体" w:cs="宋体"/>
                <w:snapToGrid w:val="0"/>
                <w:color w:val="auto"/>
                <w:kern w:val="0"/>
                <w:szCs w:val="24"/>
                <w:highlight w:val="none"/>
              </w:rPr>
            </w:pPr>
            <w:r>
              <w:rPr>
                <w:rFonts w:hint="eastAsia" w:asciiTheme="minorEastAsia" w:hAnsiTheme="minorEastAsia" w:eastAsiaTheme="minorEastAsia" w:cstheme="minorEastAsia"/>
                <w:snapToGrid w:val="0"/>
                <w:color w:val="auto"/>
                <w:kern w:val="0"/>
                <w:sz w:val="24"/>
                <w:szCs w:val="24"/>
                <w:highlight w:val="none"/>
                <w:lang w:eastAsia="zh-CN"/>
              </w:rPr>
              <w:t>联系方式</w:t>
            </w:r>
          </w:p>
        </w:tc>
        <w:tc>
          <w:tcPr>
            <w:tcW w:w="6856" w:type="dxa"/>
            <w:tcBorders>
              <w:top w:val="single" w:color="auto" w:sz="4" w:space="0"/>
              <w:left w:val="single" w:color="auto" w:sz="4" w:space="0"/>
              <w:bottom w:val="single" w:color="auto" w:sz="4" w:space="0"/>
              <w:right w:val="single" w:color="auto" w:sz="4" w:space="0"/>
            </w:tcBorders>
            <w:vAlign w:val="center"/>
          </w:tcPr>
          <w:p w14:paraId="5088574B">
            <w:pPr>
              <w:keepNext w:val="0"/>
              <w:keepLines w:val="0"/>
              <w:pageBreakBefore w:val="0"/>
              <w:widowControl w:val="0"/>
              <w:kinsoku/>
              <w:wordWrap w:val="0"/>
              <w:overflowPunct/>
              <w:topLinePunct/>
              <w:autoSpaceDE/>
              <w:autoSpaceDN/>
              <w:bidi w:val="0"/>
              <w:adjustRightInd w:val="0"/>
              <w:snapToGrid w:val="0"/>
              <w:spacing w:line="360" w:lineRule="exact"/>
              <w:ind w:right="96" w:rightChars="40" w:firstLine="273" w:firstLineChars="114"/>
              <w:jc w:val="left"/>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单位名称：翁源县住房和城乡建设管理局</w:t>
            </w:r>
          </w:p>
          <w:p w14:paraId="707C3045">
            <w:pPr>
              <w:keepNext w:val="0"/>
              <w:keepLines w:val="0"/>
              <w:pageBreakBefore w:val="0"/>
              <w:widowControl w:val="0"/>
              <w:kinsoku/>
              <w:wordWrap w:val="0"/>
              <w:overflowPunct/>
              <w:topLinePunct/>
              <w:autoSpaceDE/>
              <w:autoSpaceDN/>
              <w:bidi w:val="0"/>
              <w:adjustRightInd w:val="0"/>
              <w:snapToGrid w:val="0"/>
              <w:spacing w:line="360" w:lineRule="exact"/>
              <w:ind w:right="96" w:rightChars="40" w:firstLine="273" w:firstLineChars="114"/>
              <w:jc w:val="left"/>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办公地址：翁源县龙仙镇朝阳路186号</w:t>
            </w:r>
          </w:p>
          <w:p w14:paraId="13719F46">
            <w:pPr>
              <w:keepNext w:val="0"/>
              <w:keepLines w:val="0"/>
              <w:pageBreakBefore w:val="0"/>
              <w:widowControl w:val="0"/>
              <w:kinsoku/>
              <w:wordWrap w:val="0"/>
              <w:overflowPunct/>
              <w:topLinePunct/>
              <w:autoSpaceDE/>
              <w:autoSpaceDN/>
              <w:bidi w:val="0"/>
              <w:adjustRightInd w:val="0"/>
              <w:snapToGrid w:val="0"/>
              <w:spacing w:line="360" w:lineRule="exact"/>
              <w:ind w:right="96" w:rightChars="40" w:firstLine="273" w:firstLineChars="114"/>
              <w:jc w:val="left"/>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联系人(部门)：建管股</w:t>
            </w:r>
          </w:p>
          <w:p w14:paraId="38D48A3B">
            <w:pPr>
              <w:keepNext w:val="0"/>
              <w:keepLines w:val="0"/>
              <w:pageBreakBefore w:val="0"/>
              <w:widowControl w:val="0"/>
              <w:kinsoku/>
              <w:wordWrap w:val="0"/>
              <w:overflowPunct/>
              <w:topLinePunct/>
              <w:autoSpaceDE/>
              <w:autoSpaceDN/>
              <w:bidi w:val="0"/>
              <w:adjustRightInd w:val="0"/>
              <w:snapToGrid w:val="0"/>
              <w:spacing w:line="360" w:lineRule="exact"/>
              <w:ind w:right="96" w:rightChars="40" w:firstLine="273" w:firstLineChars="114"/>
              <w:jc w:val="left"/>
              <w:rPr>
                <w:rFonts w:hint="eastAsia" w:ascii="宋体" w:hAnsi="宋体" w:eastAsia="宋体" w:cs="宋体"/>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lang w:val="en-US" w:eastAsia="zh-CN"/>
              </w:rPr>
              <w:t>联系电话：0751-2870501 </w:t>
            </w:r>
          </w:p>
        </w:tc>
      </w:tr>
      <w:bookmarkEnd w:id="4"/>
      <w:tr w14:paraId="74867B7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3625" w:hRule="atLeast"/>
        </w:trPr>
        <w:tc>
          <w:tcPr>
            <w:tcW w:w="721" w:type="dxa"/>
            <w:tcBorders>
              <w:top w:val="single" w:color="auto" w:sz="4" w:space="0"/>
              <w:left w:val="single" w:color="auto" w:sz="4" w:space="0"/>
              <w:bottom w:val="single" w:color="auto" w:sz="4" w:space="0"/>
              <w:right w:val="single" w:color="auto" w:sz="4" w:space="0"/>
            </w:tcBorders>
            <w:shd w:val="clear" w:color="auto" w:fill="auto"/>
            <w:vAlign w:val="center"/>
          </w:tcPr>
          <w:p w14:paraId="565918AC">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eastAsia" w:ascii="宋体" w:hAnsi="宋体" w:eastAsia="宋体" w:cs="宋体"/>
                <w:snapToGrid w:val="0"/>
                <w:color w:val="auto"/>
                <w:kern w:val="0"/>
                <w:sz w:val="24"/>
                <w:szCs w:val="24"/>
                <w:highlight w:val="none"/>
                <w:lang w:val="en-US" w:eastAsia="zh-CN" w:bidi="ar-SA"/>
              </w:rPr>
            </w:pPr>
            <w:bookmarkStart w:id="5" w:name="_Toc122769943"/>
            <w:bookmarkStart w:id="6" w:name="_Toc122859103"/>
            <w:bookmarkStart w:id="7" w:name="_Toc122671103"/>
            <w:r>
              <w:rPr>
                <w:rFonts w:hint="eastAsia" w:hAnsi="宋体" w:cs="宋体"/>
                <w:snapToGrid w:val="0"/>
                <w:color w:val="auto"/>
                <w:kern w:val="0"/>
                <w:szCs w:val="24"/>
                <w:highlight w:val="none"/>
              </w:rPr>
              <w:t>3</w:t>
            </w:r>
            <w:r>
              <w:rPr>
                <w:rFonts w:hint="eastAsia" w:hAnsi="宋体" w:cs="宋体"/>
                <w:snapToGrid w:val="0"/>
                <w:color w:val="auto"/>
                <w:kern w:val="0"/>
                <w:szCs w:val="24"/>
                <w:highlight w:val="none"/>
                <w:lang w:val="en-US" w:eastAsia="zh-CN"/>
              </w:rPr>
              <w:t>0</w:t>
            </w:r>
          </w:p>
        </w:tc>
        <w:tc>
          <w:tcPr>
            <w:tcW w:w="1725" w:type="dxa"/>
            <w:tcBorders>
              <w:top w:val="single" w:color="auto" w:sz="4" w:space="0"/>
              <w:left w:val="single" w:color="auto" w:sz="4" w:space="0"/>
              <w:bottom w:val="single" w:color="auto" w:sz="4" w:space="0"/>
              <w:right w:val="single" w:color="auto" w:sz="4" w:space="0"/>
            </w:tcBorders>
            <w:vAlign w:val="center"/>
          </w:tcPr>
          <w:p w14:paraId="24C0BFAA">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术语</w:t>
            </w:r>
          </w:p>
        </w:tc>
        <w:tc>
          <w:tcPr>
            <w:tcW w:w="6856" w:type="dxa"/>
            <w:tcBorders>
              <w:top w:val="single" w:color="auto" w:sz="4" w:space="0"/>
              <w:left w:val="single" w:color="auto" w:sz="4" w:space="0"/>
              <w:bottom w:val="single" w:color="auto" w:sz="4" w:space="0"/>
              <w:right w:val="single" w:color="auto" w:sz="4" w:space="0"/>
            </w:tcBorders>
            <w:vAlign w:val="center"/>
          </w:tcPr>
          <w:p w14:paraId="1A8F6FFC">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rPr>
                <w:rFonts w:hAnsi="宋体" w:cs="宋体"/>
                <w:snapToGrid w:val="0"/>
                <w:color w:val="auto"/>
                <w:kern w:val="0"/>
                <w:szCs w:val="24"/>
                <w:highlight w:val="none"/>
              </w:rPr>
            </w:pPr>
            <w:r>
              <w:rPr>
                <w:rFonts w:hint="eastAsia" w:hAnsi="宋体" w:cs="宋体"/>
                <w:snapToGrid w:val="0"/>
                <w:color w:val="auto"/>
                <w:kern w:val="0"/>
                <w:szCs w:val="24"/>
                <w:highlight w:val="none"/>
              </w:rPr>
              <w:t>1．“监理”是指监理人受委托人的委托，依照法律法规、工程建设标准、勘察设计文件及合同，在施工阶段对建设工程质量、进度、造价进行控制，对合同、信息进行管理，对工程建设相关方的关系进行协调，并履行建设工程安全生产管理法定职责的服务活动。</w:t>
            </w:r>
          </w:p>
          <w:p w14:paraId="7AD3FB51">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rPr>
                <w:rFonts w:hAnsi="宋体" w:cs="宋体"/>
                <w:snapToGrid w:val="0"/>
                <w:color w:val="auto"/>
                <w:kern w:val="0"/>
                <w:szCs w:val="24"/>
                <w:highlight w:val="none"/>
              </w:rPr>
            </w:pPr>
            <w:r>
              <w:rPr>
                <w:rFonts w:hint="eastAsia" w:hAnsi="宋体" w:cs="宋体"/>
                <w:snapToGrid w:val="0"/>
                <w:color w:val="auto"/>
                <w:kern w:val="0"/>
                <w:szCs w:val="24"/>
                <w:highlight w:val="none"/>
              </w:rPr>
              <w:t>2．“相关服务”是指监理人受委托人的委托，按照合同约定，在勘察、设计、保修等阶段提供的服务活动。</w:t>
            </w:r>
          </w:p>
        </w:tc>
      </w:tr>
      <w:bookmarkEnd w:id="5"/>
      <w:bookmarkEnd w:id="6"/>
      <w:bookmarkEnd w:id="7"/>
      <w:tr w14:paraId="409212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018" w:hRule="atLeast"/>
        </w:trPr>
        <w:tc>
          <w:tcPr>
            <w:tcW w:w="721" w:type="dxa"/>
            <w:tcBorders>
              <w:top w:val="single" w:color="auto" w:sz="4" w:space="0"/>
              <w:left w:val="single" w:color="auto" w:sz="4" w:space="0"/>
              <w:bottom w:val="single" w:color="auto" w:sz="4" w:space="0"/>
              <w:right w:val="single" w:color="auto" w:sz="4" w:space="0"/>
            </w:tcBorders>
            <w:vAlign w:val="center"/>
          </w:tcPr>
          <w:p w14:paraId="57613CC9">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default" w:hAnsi="宋体" w:eastAsia="宋体" w:cs="宋体"/>
                <w:snapToGrid w:val="0"/>
                <w:color w:val="auto"/>
                <w:kern w:val="0"/>
                <w:szCs w:val="24"/>
                <w:highlight w:val="none"/>
                <w:lang w:val="en-US" w:eastAsia="zh-CN"/>
              </w:rPr>
            </w:pPr>
            <w:r>
              <w:rPr>
                <w:rFonts w:hint="eastAsia" w:hAnsi="宋体" w:cs="宋体"/>
                <w:snapToGrid w:val="0"/>
                <w:color w:val="auto"/>
                <w:kern w:val="0"/>
                <w:szCs w:val="24"/>
                <w:highlight w:val="none"/>
                <w:lang w:val="en-US" w:eastAsia="zh-CN"/>
              </w:rPr>
              <w:t>31</w:t>
            </w:r>
          </w:p>
        </w:tc>
        <w:tc>
          <w:tcPr>
            <w:tcW w:w="1725" w:type="dxa"/>
            <w:tcBorders>
              <w:top w:val="single" w:color="auto" w:sz="4" w:space="0"/>
              <w:left w:val="single" w:color="auto" w:sz="4" w:space="0"/>
              <w:bottom w:val="single" w:color="auto" w:sz="4" w:space="0"/>
              <w:right w:val="single" w:color="auto" w:sz="4" w:space="0"/>
            </w:tcBorders>
            <w:vAlign w:val="center"/>
          </w:tcPr>
          <w:p w14:paraId="5B5FCE42">
            <w:pPr>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default" w:hAnsi="宋体" w:eastAsia="宋体" w:cs="宋体"/>
                <w:snapToGrid w:val="0"/>
                <w:color w:val="auto"/>
                <w:kern w:val="0"/>
                <w:szCs w:val="24"/>
                <w:highlight w:val="none"/>
                <w:lang w:val="en-US" w:eastAsia="zh-CN"/>
              </w:rPr>
            </w:pPr>
            <w:r>
              <w:rPr>
                <w:rFonts w:hint="eastAsia" w:hAnsi="宋体" w:cs="宋体"/>
                <w:snapToGrid w:val="0"/>
                <w:color w:val="auto"/>
                <w:kern w:val="0"/>
                <w:szCs w:val="24"/>
                <w:highlight w:val="none"/>
                <w:lang w:val="en-US" w:eastAsia="zh-CN"/>
              </w:rPr>
              <w:t>其他费用</w:t>
            </w:r>
          </w:p>
        </w:tc>
        <w:tc>
          <w:tcPr>
            <w:tcW w:w="6856" w:type="dxa"/>
            <w:tcBorders>
              <w:top w:val="single" w:color="auto" w:sz="4" w:space="0"/>
              <w:left w:val="single" w:color="auto" w:sz="4" w:space="0"/>
              <w:bottom w:val="single" w:color="auto" w:sz="4" w:space="0"/>
              <w:right w:val="single" w:color="auto" w:sz="4" w:space="0"/>
            </w:tcBorders>
            <w:vAlign w:val="center"/>
          </w:tcPr>
          <w:p w14:paraId="7DC1CEF4">
            <w:pPr>
              <w:keepNext w:val="0"/>
              <w:keepLines w:val="0"/>
              <w:pageBreakBefore w:val="0"/>
              <w:widowControl w:val="0"/>
              <w:tabs>
                <w:tab w:val="left" w:pos="1890"/>
              </w:tabs>
              <w:kinsoku/>
              <w:wordWrap/>
              <w:overflowPunct/>
              <w:topLinePunct w:val="0"/>
              <w:autoSpaceDE/>
              <w:autoSpaceDN/>
              <w:bidi w:val="0"/>
              <w:adjustRightInd/>
              <w:snapToGrid w:val="0"/>
              <w:spacing w:line="460" w:lineRule="exact"/>
              <w:ind w:firstLine="480" w:firstLineChars="200"/>
              <w:textAlignment w:val="auto"/>
              <w:rPr>
                <w:rFonts w:hAnsi="宋体" w:cs="宋体"/>
                <w:snapToGrid w:val="0"/>
                <w:color w:val="auto"/>
                <w:szCs w:val="24"/>
                <w:highlight w:val="none"/>
              </w:rPr>
            </w:pPr>
            <w:r>
              <w:rPr>
                <w:rFonts w:hint="eastAsia" w:asciiTheme="minorEastAsia" w:hAnsiTheme="minorEastAsia" w:eastAsiaTheme="minorEastAsia" w:cstheme="minorEastAsia"/>
                <w:snapToGrid w:val="0"/>
                <w:color w:val="auto"/>
                <w:kern w:val="0"/>
                <w:sz w:val="24"/>
                <w:szCs w:val="24"/>
                <w:highlight w:val="none"/>
                <w:lang w:val="en-US" w:eastAsia="zh-CN"/>
              </w:rPr>
              <w:t>本工程的招标代理服务费由中标人支付，该费用不再另行报价，由投标人在投标报价时综合考虑在内。中标人须向招标代理机构一次性支付（招标代理服务费：参照《关于印发&lt;招标代理服务收费管理暂行办法&gt;通知》[2002]1980号文以中标价为基数并下浮20%计取，</w:t>
            </w:r>
            <w:r>
              <w:rPr>
                <w:rFonts w:hint="eastAsia" w:ascii="宋体" w:hAnsi="宋体" w:eastAsia="宋体" w:cs="宋体"/>
                <w:snapToGrid w:val="0"/>
                <w:color w:val="auto"/>
                <w:kern w:val="0"/>
                <w:sz w:val="24"/>
                <w:szCs w:val="24"/>
                <w:highlight w:val="none"/>
                <w:lang w:val="en-US" w:eastAsia="zh-CN"/>
              </w:rPr>
              <w:t>中标人在领取中标通知书前须向招标代理机构一次性支付本项目的招标代理服务费。</w:t>
            </w:r>
            <w:r>
              <w:rPr>
                <w:rFonts w:hint="eastAsia" w:asciiTheme="minorEastAsia" w:hAnsiTheme="minorEastAsia" w:eastAsiaTheme="minorEastAsia" w:cstheme="minorEastAsia"/>
                <w:snapToGrid w:val="0"/>
                <w:color w:val="auto"/>
                <w:kern w:val="0"/>
                <w:sz w:val="24"/>
                <w:szCs w:val="24"/>
                <w:highlight w:val="none"/>
                <w:lang w:val="en-US" w:eastAsia="zh-CN"/>
              </w:rPr>
              <w:t>具体以签订的合同为准。</w:t>
            </w:r>
          </w:p>
        </w:tc>
      </w:tr>
    </w:tbl>
    <w:p w14:paraId="7C81AEA2">
      <w:pPr>
        <w:pStyle w:val="4"/>
        <w:wordWrap w:val="0"/>
        <w:autoSpaceDE/>
        <w:autoSpaceDN/>
        <w:snapToGrid w:val="0"/>
        <w:spacing w:before="260" w:after="260" w:line="440" w:lineRule="exact"/>
        <w:jc w:val="both"/>
        <w:rPr>
          <w:rFonts w:ascii="Times New Roman"/>
          <w:b/>
          <w:snapToGrid w:val="0"/>
          <w:color w:val="auto"/>
          <w:highlight w:val="none"/>
        </w:rPr>
        <w:sectPr>
          <w:footerReference r:id="rId8" w:type="default"/>
          <w:endnotePr>
            <w:numFmt w:val="decimal"/>
          </w:endnotePr>
          <w:pgSz w:w="11906" w:h="16838"/>
          <w:pgMar w:top="1417" w:right="1417" w:bottom="1417" w:left="1417" w:header="850" w:footer="992" w:gutter="0"/>
          <w:pgNumType w:fmt="decimal" w:start="1"/>
          <w:cols w:space="0" w:num="1"/>
          <w:docGrid w:linePitch="327" w:charSpace="0"/>
        </w:sectPr>
      </w:pPr>
    </w:p>
    <w:p w14:paraId="21CE9C32">
      <w:pPr>
        <w:pStyle w:val="4"/>
        <w:wordWrap w:val="0"/>
        <w:autoSpaceDE/>
        <w:autoSpaceDN/>
        <w:snapToGrid w:val="0"/>
        <w:spacing w:after="120" w:afterLines="50" w:line="440" w:lineRule="exact"/>
        <w:jc w:val="both"/>
        <w:rPr>
          <w:rFonts w:ascii="Times New Roman"/>
          <w:snapToGrid w:val="0"/>
          <w:color w:val="auto"/>
          <w:highlight w:val="none"/>
        </w:rPr>
      </w:pPr>
      <w:bookmarkStart w:id="8" w:name="_Toc32522"/>
      <w:bookmarkStart w:id="9" w:name="_Toc714"/>
      <w:r>
        <w:rPr>
          <w:rFonts w:hint="eastAsia" w:ascii="Times New Roman"/>
          <w:b/>
          <w:snapToGrid w:val="0"/>
          <w:color w:val="auto"/>
          <w:highlight w:val="none"/>
        </w:rPr>
        <w:t>第二节 重要事项时间地点一览表</w:t>
      </w:r>
      <w:bookmarkEnd w:id="8"/>
      <w:bookmarkEnd w:id="9"/>
    </w:p>
    <w:tbl>
      <w:tblPr>
        <w:tblStyle w:val="31"/>
        <w:tblW w:w="10179" w:type="dxa"/>
        <w:tblInd w:w="-147"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57" w:type="dxa"/>
          <w:bottom w:w="0" w:type="dxa"/>
          <w:right w:w="57" w:type="dxa"/>
        </w:tblCellMar>
      </w:tblPr>
      <w:tblGrid>
        <w:gridCol w:w="491"/>
        <w:gridCol w:w="1756"/>
        <w:gridCol w:w="7932"/>
      </w:tblGrid>
      <w:tr w14:paraId="673165C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trHeight w:val="940" w:hRule="atLeast"/>
        </w:trPr>
        <w:tc>
          <w:tcPr>
            <w:tcW w:w="491" w:type="dxa"/>
            <w:tcBorders>
              <w:top w:val="single" w:color="080000" w:sz="4" w:space="0"/>
              <w:left w:val="single" w:color="080000" w:sz="4" w:space="0"/>
              <w:bottom w:val="single" w:color="080000" w:sz="4" w:space="0"/>
              <w:right w:val="single" w:color="080000" w:sz="4" w:space="0"/>
            </w:tcBorders>
            <w:vAlign w:val="center"/>
          </w:tcPr>
          <w:p w14:paraId="11B6C0CD">
            <w:pPr>
              <w:pStyle w:val="90"/>
              <w:keepNext w:val="0"/>
              <w:keepLines w:val="0"/>
              <w:pageBreakBefore w:val="0"/>
              <w:widowControl w:val="0"/>
              <w:kinsoku/>
              <w:wordWrap w:val="0"/>
              <w:overflowPunct/>
              <w:topLinePunct/>
              <w:autoSpaceDE/>
              <w:autoSpaceDN/>
              <w:bidi w:val="0"/>
              <w:adjustRightInd w:val="0"/>
              <w:snapToGrid w:val="0"/>
              <w:spacing w:line="360" w:lineRule="exact"/>
              <w:ind w:right="96" w:rightChars="40"/>
              <w:jc w:val="center"/>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w:t>
            </w:r>
          </w:p>
        </w:tc>
        <w:tc>
          <w:tcPr>
            <w:tcW w:w="1756" w:type="dxa"/>
            <w:tcBorders>
              <w:top w:val="single" w:color="080000" w:sz="4" w:space="0"/>
              <w:left w:val="single" w:color="080000" w:sz="4" w:space="0"/>
              <w:bottom w:val="single" w:color="080000" w:sz="4" w:space="0"/>
              <w:right w:val="single" w:color="080000" w:sz="4" w:space="0"/>
            </w:tcBorders>
            <w:vAlign w:val="center"/>
          </w:tcPr>
          <w:p w14:paraId="0797CB9C">
            <w:pPr>
              <w:keepNext w:val="0"/>
              <w:keepLines w:val="0"/>
              <w:pageBreakBefore w:val="0"/>
              <w:widowControl w:val="0"/>
              <w:kinsoku/>
              <w:wordWrap w:val="0"/>
              <w:overflowPunct/>
              <w:topLinePunct/>
              <w:autoSpaceDE/>
              <w:autoSpaceDN/>
              <w:bidi w:val="0"/>
              <w:adjustRightInd w:val="0"/>
              <w:snapToGrid w:val="0"/>
              <w:spacing w:line="360" w:lineRule="exact"/>
              <w:ind w:right="96" w:rightChars="40"/>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招标公告</w:t>
            </w:r>
          </w:p>
          <w:p w14:paraId="13F62A2A">
            <w:pPr>
              <w:keepNext w:val="0"/>
              <w:keepLines w:val="0"/>
              <w:pageBreakBefore w:val="0"/>
              <w:widowControl w:val="0"/>
              <w:kinsoku/>
              <w:wordWrap w:val="0"/>
              <w:overflowPunct/>
              <w:topLinePunct/>
              <w:autoSpaceDE/>
              <w:autoSpaceDN/>
              <w:bidi w:val="0"/>
              <w:adjustRightInd w:val="0"/>
              <w:snapToGrid w:val="0"/>
              <w:spacing w:line="360" w:lineRule="exact"/>
              <w:ind w:right="96" w:rightChars="40"/>
              <w:jc w:val="center"/>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SA"/>
              </w:rPr>
              <w:t xml:space="preserve">发布时间 </w:t>
            </w:r>
          </w:p>
        </w:tc>
        <w:tc>
          <w:tcPr>
            <w:tcW w:w="7932" w:type="dxa"/>
            <w:tcBorders>
              <w:top w:val="single" w:color="080000" w:sz="4" w:space="0"/>
              <w:left w:val="single" w:color="080000" w:sz="4" w:space="0"/>
              <w:bottom w:val="single" w:color="080000" w:sz="4" w:space="0"/>
              <w:right w:val="single" w:color="080000" w:sz="4" w:space="0"/>
            </w:tcBorders>
            <w:vAlign w:val="center"/>
          </w:tcPr>
          <w:p w14:paraId="2F4E5CEF">
            <w:pPr>
              <w:keepNext w:val="0"/>
              <w:keepLines w:val="0"/>
              <w:pageBreakBefore w:val="0"/>
              <w:widowControl w:val="0"/>
              <w:kinsoku/>
              <w:wordWrap w:val="0"/>
              <w:overflowPunct/>
              <w:topLinePunct/>
              <w:autoSpaceDE/>
              <w:autoSpaceDN/>
              <w:bidi w:val="0"/>
              <w:adjustRightInd w:val="0"/>
              <w:snapToGrid w:val="0"/>
              <w:ind w:right="96" w:rightChars="40"/>
              <w:jc w:val="left"/>
              <w:rPr>
                <w:rFonts w:hint="eastAsia" w:ascii="宋体" w:hAnsi="宋体" w:eastAsia="宋体" w:cs="宋体"/>
                <w:b w:val="0"/>
                <w:bCs w:val="0"/>
                <w:snapToGrid w:val="0"/>
                <w:color w:val="auto"/>
                <w:kern w:val="0"/>
                <w:sz w:val="24"/>
                <w:szCs w:val="24"/>
                <w:highlight w:val="none"/>
              </w:rPr>
            </w:pPr>
            <w:r>
              <w:rPr>
                <w:rFonts w:hint="eastAsia" w:hAnsi="宋体" w:cs="宋体"/>
                <w:color w:val="auto"/>
                <w:kern w:val="0"/>
                <w:sz w:val="24"/>
                <w:szCs w:val="24"/>
                <w:highlight w:val="none"/>
                <w:u w:val="single"/>
                <w:lang w:val="en-US" w:eastAsia="zh-CN" w:bidi="ar-SA"/>
              </w:rPr>
              <w:t>2026</w:t>
            </w:r>
            <w:r>
              <w:rPr>
                <w:rFonts w:hint="eastAsia" w:ascii="宋体" w:hAnsi="宋体" w:eastAsia="宋体" w:cs="宋体"/>
                <w:color w:val="auto"/>
                <w:kern w:val="0"/>
                <w:sz w:val="24"/>
                <w:szCs w:val="24"/>
                <w:highlight w:val="none"/>
                <w:lang w:val="en-US" w:eastAsia="zh-CN" w:bidi="ar-SA"/>
              </w:rPr>
              <w:t>年</w:t>
            </w:r>
            <w:r>
              <w:rPr>
                <w:rFonts w:hint="eastAsia" w:hAnsi="宋体" w:cs="宋体"/>
                <w:color w:val="auto"/>
                <w:kern w:val="0"/>
                <w:sz w:val="24"/>
                <w:szCs w:val="24"/>
                <w:highlight w:val="none"/>
                <w:u w:val="single"/>
                <w:lang w:val="en-US" w:eastAsia="zh-CN" w:bidi="ar-SA"/>
              </w:rPr>
              <w:t>3</w:t>
            </w:r>
            <w:r>
              <w:rPr>
                <w:rFonts w:hint="eastAsia" w:ascii="宋体" w:hAnsi="宋体" w:eastAsia="宋体" w:cs="宋体"/>
                <w:color w:val="auto"/>
                <w:kern w:val="0"/>
                <w:sz w:val="24"/>
                <w:szCs w:val="24"/>
                <w:highlight w:val="none"/>
                <w:lang w:val="en-US" w:eastAsia="zh-CN" w:bidi="ar-SA"/>
              </w:rPr>
              <w:t>月</w:t>
            </w:r>
            <w:r>
              <w:rPr>
                <w:rFonts w:hint="eastAsia" w:hAnsi="宋体" w:cs="宋体"/>
                <w:color w:val="auto"/>
                <w:kern w:val="0"/>
                <w:sz w:val="24"/>
                <w:szCs w:val="24"/>
                <w:highlight w:val="none"/>
                <w:u w:val="single"/>
                <w:lang w:val="en-US" w:eastAsia="zh-CN" w:bidi="ar-SA"/>
              </w:rPr>
              <w:t>27</w:t>
            </w:r>
            <w:r>
              <w:rPr>
                <w:rFonts w:hint="eastAsia" w:ascii="宋体" w:hAnsi="宋体" w:eastAsia="宋体" w:cs="宋体"/>
                <w:color w:val="auto"/>
                <w:kern w:val="0"/>
                <w:sz w:val="24"/>
                <w:szCs w:val="24"/>
                <w:highlight w:val="none"/>
                <w:lang w:val="en-US" w:eastAsia="zh-CN" w:bidi="ar-SA"/>
              </w:rPr>
              <w:t>日</w:t>
            </w:r>
            <w:r>
              <w:rPr>
                <w:rFonts w:hint="eastAsia" w:hAnsi="宋体" w:cs="宋体"/>
                <w:color w:val="auto"/>
                <w:kern w:val="0"/>
                <w:sz w:val="24"/>
                <w:szCs w:val="24"/>
                <w:highlight w:val="none"/>
                <w:u w:val="single"/>
                <w:lang w:val="en-US" w:eastAsia="zh-CN" w:bidi="ar-SA"/>
              </w:rPr>
              <w:t>17</w:t>
            </w:r>
            <w:r>
              <w:rPr>
                <w:rFonts w:hint="eastAsia" w:ascii="宋体" w:hAnsi="宋体" w:eastAsia="宋体" w:cs="宋体"/>
                <w:color w:val="auto"/>
                <w:kern w:val="0"/>
                <w:sz w:val="24"/>
                <w:szCs w:val="24"/>
                <w:highlight w:val="none"/>
                <w:lang w:val="en-US" w:eastAsia="zh-CN" w:bidi="ar-SA"/>
              </w:rPr>
              <w:t>时</w:t>
            </w:r>
            <w:r>
              <w:rPr>
                <w:rFonts w:hint="eastAsia" w:hAnsi="宋体" w:cs="宋体"/>
                <w:color w:val="auto"/>
                <w:kern w:val="0"/>
                <w:sz w:val="24"/>
                <w:szCs w:val="24"/>
                <w:highlight w:val="none"/>
                <w:u w:val="single"/>
                <w:lang w:val="en-US" w:eastAsia="zh-CN" w:bidi="ar-SA"/>
              </w:rPr>
              <w:t>30</w:t>
            </w:r>
            <w:r>
              <w:rPr>
                <w:rFonts w:hint="eastAsia" w:ascii="宋体" w:hAnsi="宋体" w:eastAsia="宋体" w:cs="宋体"/>
                <w:color w:val="auto"/>
                <w:kern w:val="0"/>
                <w:sz w:val="24"/>
                <w:szCs w:val="24"/>
                <w:highlight w:val="none"/>
                <w:lang w:val="en-US" w:eastAsia="zh-CN" w:bidi="ar-SA"/>
              </w:rPr>
              <w:t>分</w:t>
            </w:r>
          </w:p>
        </w:tc>
      </w:tr>
      <w:tr w14:paraId="5A0D200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trHeight w:val="952" w:hRule="atLeast"/>
        </w:trPr>
        <w:tc>
          <w:tcPr>
            <w:tcW w:w="491" w:type="dxa"/>
            <w:tcBorders>
              <w:top w:val="single" w:color="080000" w:sz="4" w:space="0"/>
              <w:left w:val="single" w:color="080000" w:sz="4" w:space="0"/>
              <w:bottom w:val="single" w:color="080000" w:sz="4" w:space="0"/>
              <w:right w:val="single" w:color="080000" w:sz="4" w:space="0"/>
            </w:tcBorders>
            <w:vAlign w:val="center"/>
          </w:tcPr>
          <w:p w14:paraId="61FD2847">
            <w:pPr>
              <w:pStyle w:val="90"/>
              <w:keepNext w:val="0"/>
              <w:keepLines w:val="0"/>
              <w:pageBreakBefore w:val="0"/>
              <w:widowControl w:val="0"/>
              <w:kinsoku/>
              <w:wordWrap w:val="0"/>
              <w:overflowPunct/>
              <w:topLinePunct/>
              <w:autoSpaceDE/>
              <w:autoSpaceDN/>
              <w:bidi w:val="0"/>
              <w:adjustRightInd w:val="0"/>
              <w:snapToGrid w:val="0"/>
              <w:spacing w:line="360" w:lineRule="exact"/>
              <w:ind w:right="96" w:rightChars="40"/>
              <w:jc w:val="center"/>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w:t>
            </w:r>
          </w:p>
        </w:tc>
        <w:tc>
          <w:tcPr>
            <w:tcW w:w="1756" w:type="dxa"/>
            <w:tcBorders>
              <w:top w:val="single" w:color="080000" w:sz="4" w:space="0"/>
              <w:left w:val="single" w:color="080000" w:sz="4" w:space="0"/>
              <w:bottom w:val="single" w:color="080000" w:sz="4" w:space="0"/>
              <w:right w:val="single" w:color="080000" w:sz="4" w:space="0"/>
            </w:tcBorders>
            <w:vAlign w:val="center"/>
          </w:tcPr>
          <w:p w14:paraId="6D4969C3">
            <w:pPr>
              <w:keepNext w:val="0"/>
              <w:keepLines w:val="0"/>
              <w:pageBreakBefore w:val="0"/>
              <w:widowControl w:val="0"/>
              <w:kinsoku/>
              <w:wordWrap w:val="0"/>
              <w:overflowPunct/>
              <w:topLinePunct/>
              <w:autoSpaceDE/>
              <w:autoSpaceDN/>
              <w:bidi w:val="0"/>
              <w:adjustRightInd w:val="0"/>
              <w:snapToGrid w:val="0"/>
              <w:spacing w:line="360" w:lineRule="exact"/>
              <w:ind w:right="96" w:rightChars="40"/>
              <w:jc w:val="center"/>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SA"/>
              </w:rPr>
              <w:t xml:space="preserve">获取招标文件截止时间 </w:t>
            </w:r>
          </w:p>
        </w:tc>
        <w:tc>
          <w:tcPr>
            <w:tcW w:w="7932" w:type="dxa"/>
            <w:tcBorders>
              <w:top w:val="single" w:color="080000" w:sz="4" w:space="0"/>
              <w:left w:val="single" w:color="080000" w:sz="4" w:space="0"/>
              <w:bottom w:val="single" w:color="080000" w:sz="4" w:space="0"/>
              <w:right w:val="single" w:color="080000" w:sz="4" w:space="0"/>
            </w:tcBorders>
            <w:vAlign w:val="center"/>
          </w:tcPr>
          <w:p w14:paraId="78D661A0">
            <w:pPr>
              <w:keepNext w:val="0"/>
              <w:keepLines w:val="0"/>
              <w:pageBreakBefore w:val="0"/>
              <w:widowControl w:val="0"/>
              <w:kinsoku/>
              <w:wordWrap w:val="0"/>
              <w:overflowPunct/>
              <w:topLinePunct/>
              <w:autoSpaceDE/>
              <w:autoSpaceDN/>
              <w:bidi w:val="0"/>
              <w:adjustRightInd w:val="0"/>
              <w:snapToGrid w:val="0"/>
              <w:ind w:right="96" w:rightChars="40"/>
              <w:jc w:val="left"/>
              <w:rPr>
                <w:rFonts w:hint="eastAsia" w:ascii="宋体" w:hAnsi="宋体" w:eastAsia="宋体" w:cs="宋体"/>
                <w:b w:val="0"/>
                <w:bCs w:val="0"/>
                <w:snapToGrid w:val="0"/>
                <w:color w:val="auto"/>
                <w:kern w:val="0"/>
                <w:sz w:val="24"/>
                <w:szCs w:val="24"/>
                <w:highlight w:val="none"/>
              </w:rPr>
            </w:pPr>
            <w:r>
              <w:rPr>
                <w:rFonts w:hint="eastAsia" w:hAnsi="宋体" w:cs="宋体"/>
                <w:color w:val="auto"/>
                <w:kern w:val="0"/>
                <w:sz w:val="24"/>
                <w:szCs w:val="24"/>
                <w:highlight w:val="none"/>
                <w:u w:val="single"/>
                <w:lang w:val="en-US" w:eastAsia="zh-CN" w:bidi="ar-SA"/>
              </w:rPr>
              <w:t>2026</w:t>
            </w:r>
            <w:r>
              <w:rPr>
                <w:rFonts w:hint="eastAsia" w:ascii="宋体" w:hAnsi="宋体" w:eastAsia="宋体" w:cs="宋体"/>
                <w:color w:val="auto"/>
                <w:kern w:val="0"/>
                <w:sz w:val="24"/>
                <w:szCs w:val="24"/>
                <w:highlight w:val="none"/>
                <w:lang w:val="en-US" w:eastAsia="zh-CN" w:bidi="ar-SA"/>
              </w:rPr>
              <w:t>年</w:t>
            </w:r>
            <w:r>
              <w:rPr>
                <w:rFonts w:hint="eastAsia" w:hAnsi="宋体" w:cs="宋体"/>
                <w:color w:val="auto"/>
                <w:kern w:val="0"/>
                <w:sz w:val="24"/>
                <w:szCs w:val="24"/>
                <w:highlight w:val="none"/>
                <w:u w:val="single"/>
                <w:lang w:val="en-US" w:eastAsia="zh-CN" w:bidi="ar-SA"/>
              </w:rPr>
              <w:t>4</w:t>
            </w:r>
            <w:r>
              <w:rPr>
                <w:rFonts w:hint="eastAsia" w:ascii="宋体" w:hAnsi="宋体" w:eastAsia="宋体" w:cs="宋体"/>
                <w:color w:val="auto"/>
                <w:kern w:val="0"/>
                <w:sz w:val="24"/>
                <w:szCs w:val="24"/>
                <w:highlight w:val="none"/>
                <w:lang w:val="en-US" w:eastAsia="zh-CN" w:bidi="ar-SA"/>
              </w:rPr>
              <w:t>月</w:t>
            </w:r>
            <w:r>
              <w:rPr>
                <w:rFonts w:hint="eastAsia" w:hAnsi="宋体" w:cs="宋体"/>
                <w:color w:val="auto"/>
                <w:kern w:val="0"/>
                <w:sz w:val="24"/>
                <w:szCs w:val="24"/>
                <w:highlight w:val="none"/>
                <w:u w:val="single"/>
                <w:lang w:val="en-US" w:eastAsia="zh-CN" w:bidi="ar-SA"/>
              </w:rPr>
              <w:t>21</w:t>
            </w:r>
            <w:r>
              <w:rPr>
                <w:rFonts w:hint="eastAsia" w:ascii="宋体" w:hAnsi="宋体" w:eastAsia="宋体" w:cs="宋体"/>
                <w:color w:val="auto"/>
                <w:kern w:val="0"/>
                <w:sz w:val="24"/>
                <w:szCs w:val="24"/>
                <w:highlight w:val="none"/>
                <w:lang w:val="en-US" w:eastAsia="zh-CN" w:bidi="ar-SA"/>
              </w:rPr>
              <w:t>日</w:t>
            </w:r>
            <w:r>
              <w:rPr>
                <w:rFonts w:hint="eastAsia" w:hAnsi="宋体" w:cs="宋体"/>
                <w:color w:val="auto"/>
                <w:kern w:val="0"/>
                <w:sz w:val="24"/>
                <w:szCs w:val="24"/>
                <w:highlight w:val="none"/>
                <w:u w:val="single"/>
                <w:lang w:val="en-US" w:eastAsia="zh-CN" w:bidi="ar-SA"/>
              </w:rPr>
              <w:t>9</w:t>
            </w:r>
            <w:r>
              <w:rPr>
                <w:rFonts w:hint="eastAsia" w:ascii="宋体" w:hAnsi="宋体" w:eastAsia="宋体" w:cs="宋体"/>
                <w:color w:val="auto"/>
                <w:kern w:val="0"/>
                <w:sz w:val="24"/>
                <w:szCs w:val="24"/>
                <w:highlight w:val="none"/>
                <w:lang w:val="en-US" w:eastAsia="zh-CN" w:bidi="ar-SA"/>
              </w:rPr>
              <w:t>时</w:t>
            </w:r>
            <w:r>
              <w:rPr>
                <w:rFonts w:hint="eastAsia" w:hAnsi="宋体" w:cs="宋体"/>
                <w:color w:val="auto"/>
                <w:kern w:val="0"/>
                <w:sz w:val="24"/>
                <w:szCs w:val="24"/>
                <w:highlight w:val="none"/>
                <w:u w:val="single"/>
                <w:lang w:val="en-US" w:eastAsia="zh-CN" w:bidi="ar-SA"/>
              </w:rPr>
              <w:t>30</w:t>
            </w:r>
            <w:r>
              <w:rPr>
                <w:rFonts w:hint="eastAsia" w:ascii="宋体" w:hAnsi="宋体" w:eastAsia="宋体" w:cs="宋体"/>
                <w:color w:val="auto"/>
                <w:kern w:val="0"/>
                <w:sz w:val="24"/>
                <w:szCs w:val="24"/>
                <w:highlight w:val="none"/>
                <w:lang w:val="en-US" w:eastAsia="zh-CN" w:bidi="ar-SA"/>
              </w:rPr>
              <w:t>分</w:t>
            </w:r>
            <w:bookmarkStart w:id="351" w:name="_GoBack"/>
            <w:bookmarkEnd w:id="351"/>
          </w:p>
        </w:tc>
      </w:tr>
      <w:tr w14:paraId="7B0509A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trHeight w:val="986" w:hRule="atLeast"/>
        </w:trPr>
        <w:tc>
          <w:tcPr>
            <w:tcW w:w="491" w:type="dxa"/>
            <w:tcBorders>
              <w:top w:val="single" w:color="080000" w:sz="4" w:space="0"/>
              <w:left w:val="single" w:color="080000" w:sz="4" w:space="0"/>
              <w:bottom w:val="single" w:color="080000" w:sz="4" w:space="0"/>
              <w:right w:val="single" w:color="080000" w:sz="4" w:space="0"/>
            </w:tcBorders>
            <w:vAlign w:val="center"/>
          </w:tcPr>
          <w:p w14:paraId="2BDAC1CA">
            <w:pPr>
              <w:pStyle w:val="90"/>
              <w:keepNext w:val="0"/>
              <w:keepLines w:val="0"/>
              <w:pageBreakBefore w:val="0"/>
              <w:widowControl w:val="0"/>
              <w:kinsoku/>
              <w:wordWrap w:val="0"/>
              <w:overflowPunct/>
              <w:topLinePunct/>
              <w:autoSpaceDE/>
              <w:autoSpaceDN/>
              <w:bidi w:val="0"/>
              <w:adjustRightInd w:val="0"/>
              <w:snapToGrid w:val="0"/>
              <w:spacing w:line="360" w:lineRule="exact"/>
              <w:ind w:right="96" w:rightChars="40"/>
              <w:jc w:val="center"/>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w:t>
            </w:r>
          </w:p>
        </w:tc>
        <w:tc>
          <w:tcPr>
            <w:tcW w:w="1756" w:type="dxa"/>
            <w:tcBorders>
              <w:top w:val="single" w:color="080000" w:sz="4" w:space="0"/>
              <w:left w:val="single" w:color="080000" w:sz="4" w:space="0"/>
              <w:bottom w:val="single" w:color="080000" w:sz="4" w:space="0"/>
              <w:right w:val="single" w:color="080000" w:sz="4" w:space="0"/>
            </w:tcBorders>
            <w:vAlign w:val="center"/>
          </w:tcPr>
          <w:p w14:paraId="62596278">
            <w:pPr>
              <w:keepNext w:val="0"/>
              <w:keepLines w:val="0"/>
              <w:pageBreakBefore w:val="0"/>
              <w:widowControl w:val="0"/>
              <w:kinsoku/>
              <w:wordWrap w:val="0"/>
              <w:overflowPunct/>
              <w:topLinePunct/>
              <w:autoSpaceDE/>
              <w:autoSpaceDN/>
              <w:bidi w:val="0"/>
              <w:adjustRightInd w:val="0"/>
              <w:snapToGrid w:val="0"/>
              <w:spacing w:line="360" w:lineRule="exact"/>
              <w:ind w:right="96" w:rightChars="40"/>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网上提问</w:t>
            </w:r>
          </w:p>
          <w:p w14:paraId="57C3AED6">
            <w:pPr>
              <w:keepNext w:val="0"/>
              <w:keepLines w:val="0"/>
              <w:pageBreakBefore w:val="0"/>
              <w:widowControl w:val="0"/>
              <w:kinsoku/>
              <w:wordWrap w:val="0"/>
              <w:overflowPunct/>
              <w:topLinePunct/>
              <w:autoSpaceDE/>
              <w:autoSpaceDN/>
              <w:bidi w:val="0"/>
              <w:adjustRightInd w:val="0"/>
              <w:snapToGrid w:val="0"/>
              <w:spacing w:line="360" w:lineRule="exact"/>
              <w:ind w:right="96" w:rightChars="40"/>
              <w:jc w:val="center"/>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SA"/>
              </w:rPr>
              <w:t xml:space="preserve">截止时间 </w:t>
            </w:r>
          </w:p>
        </w:tc>
        <w:tc>
          <w:tcPr>
            <w:tcW w:w="7932" w:type="dxa"/>
            <w:tcBorders>
              <w:top w:val="single" w:color="080000" w:sz="4" w:space="0"/>
              <w:left w:val="single" w:color="080000" w:sz="4" w:space="0"/>
              <w:bottom w:val="single" w:color="080000" w:sz="4" w:space="0"/>
              <w:right w:val="single" w:color="080000" w:sz="4" w:space="0"/>
            </w:tcBorders>
            <w:vAlign w:val="center"/>
          </w:tcPr>
          <w:p w14:paraId="5370E150">
            <w:pPr>
              <w:keepNext w:val="0"/>
              <w:keepLines w:val="0"/>
              <w:pageBreakBefore w:val="0"/>
              <w:widowControl w:val="0"/>
              <w:kinsoku/>
              <w:wordWrap w:val="0"/>
              <w:overflowPunct/>
              <w:topLinePunct/>
              <w:autoSpaceDE/>
              <w:autoSpaceDN/>
              <w:bidi w:val="0"/>
              <w:adjustRightInd w:val="0"/>
              <w:snapToGrid w:val="0"/>
              <w:spacing w:line="400" w:lineRule="exact"/>
              <w:ind w:right="96" w:rightChars="40"/>
              <w:jc w:val="left"/>
              <w:rPr>
                <w:rFonts w:hint="eastAsia" w:ascii="宋体" w:hAnsi="宋体" w:eastAsia="宋体" w:cs="宋体"/>
                <w:b w:val="0"/>
                <w:bCs w:val="0"/>
                <w:snapToGrid w:val="0"/>
                <w:color w:val="auto"/>
                <w:kern w:val="0"/>
                <w:sz w:val="24"/>
                <w:szCs w:val="24"/>
                <w:highlight w:val="none"/>
              </w:rPr>
            </w:pPr>
            <w:r>
              <w:rPr>
                <w:rFonts w:hint="eastAsia" w:hAnsi="宋体" w:cs="宋体"/>
                <w:color w:val="auto"/>
                <w:kern w:val="0"/>
                <w:sz w:val="24"/>
                <w:szCs w:val="24"/>
                <w:highlight w:val="none"/>
                <w:u w:val="single"/>
                <w:lang w:val="en-US" w:eastAsia="zh-CN" w:bidi="ar-SA"/>
              </w:rPr>
              <w:t>2026</w:t>
            </w:r>
            <w:r>
              <w:rPr>
                <w:rFonts w:hint="eastAsia" w:ascii="宋体" w:hAnsi="宋体" w:eastAsia="宋体" w:cs="宋体"/>
                <w:color w:val="auto"/>
                <w:kern w:val="0"/>
                <w:sz w:val="24"/>
                <w:szCs w:val="24"/>
                <w:highlight w:val="none"/>
                <w:lang w:val="en-US" w:eastAsia="zh-CN" w:bidi="ar-SA"/>
              </w:rPr>
              <w:t>年</w:t>
            </w:r>
            <w:r>
              <w:rPr>
                <w:rFonts w:hint="eastAsia" w:hAnsi="宋体" w:cs="宋体"/>
                <w:color w:val="auto"/>
                <w:kern w:val="0"/>
                <w:sz w:val="24"/>
                <w:szCs w:val="24"/>
                <w:highlight w:val="none"/>
                <w:u w:val="single"/>
                <w:lang w:val="en-US" w:eastAsia="zh-CN" w:bidi="ar-SA"/>
              </w:rPr>
              <w:t>4</w:t>
            </w:r>
            <w:r>
              <w:rPr>
                <w:rFonts w:hint="eastAsia" w:ascii="宋体" w:hAnsi="宋体" w:eastAsia="宋体" w:cs="宋体"/>
                <w:color w:val="auto"/>
                <w:kern w:val="0"/>
                <w:sz w:val="24"/>
                <w:szCs w:val="24"/>
                <w:highlight w:val="none"/>
                <w:lang w:val="en-US" w:eastAsia="zh-CN" w:bidi="ar-SA"/>
              </w:rPr>
              <w:t>月</w:t>
            </w:r>
            <w:r>
              <w:rPr>
                <w:rFonts w:hint="eastAsia" w:hAnsi="宋体" w:cs="宋体"/>
                <w:color w:val="auto"/>
                <w:kern w:val="0"/>
                <w:sz w:val="24"/>
                <w:szCs w:val="24"/>
                <w:highlight w:val="none"/>
                <w:u w:val="single"/>
                <w:lang w:val="en-US" w:eastAsia="zh-CN" w:bidi="ar-SA"/>
              </w:rPr>
              <w:t>11</w:t>
            </w:r>
            <w:r>
              <w:rPr>
                <w:rFonts w:hint="eastAsia" w:ascii="宋体" w:hAnsi="宋体" w:eastAsia="宋体" w:cs="宋体"/>
                <w:color w:val="auto"/>
                <w:kern w:val="0"/>
                <w:sz w:val="24"/>
                <w:szCs w:val="24"/>
                <w:highlight w:val="none"/>
                <w:lang w:val="en-US" w:eastAsia="zh-CN" w:bidi="ar-SA"/>
              </w:rPr>
              <w:t>日</w:t>
            </w:r>
            <w:r>
              <w:rPr>
                <w:rFonts w:hint="eastAsia" w:ascii="宋体" w:hAnsi="宋体" w:eastAsia="宋体" w:cs="宋体"/>
                <w:color w:val="auto"/>
                <w:kern w:val="0"/>
                <w:sz w:val="24"/>
                <w:szCs w:val="24"/>
                <w:highlight w:val="none"/>
                <w:u w:val="single"/>
                <w:lang w:val="en-US" w:eastAsia="zh-CN" w:bidi="ar-SA"/>
              </w:rPr>
              <w:t xml:space="preserve">16 </w:t>
            </w:r>
            <w:r>
              <w:rPr>
                <w:rFonts w:hint="eastAsia" w:ascii="宋体" w:hAnsi="宋体" w:eastAsia="宋体" w:cs="宋体"/>
                <w:color w:val="auto"/>
                <w:kern w:val="0"/>
                <w:sz w:val="24"/>
                <w:szCs w:val="24"/>
                <w:highlight w:val="none"/>
                <w:lang w:val="en-US" w:eastAsia="zh-CN" w:bidi="ar-SA"/>
              </w:rPr>
              <w:t>时</w:t>
            </w:r>
            <w:r>
              <w:rPr>
                <w:rFonts w:hint="eastAsia" w:ascii="宋体" w:hAnsi="宋体" w:eastAsia="宋体" w:cs="宋体"/>
                <w:color w:val="auto"/>
                <w:kern w:val="0"/>
                <w:sz w:val="24"/>
                <w:szCs w:val="24"/>
                <w:highlight w:val="none"/>
                <w:u w:val="single"/>
                <w:lang w:val="en-US" w:eastAsia="zh-CN" w:bidi="ar-SA"/>
              </w:rPr>
              <w:t>00</w:t>
            </w:r>
            <w:r>
              <w:rPr>
                <w:rFonts w:hint="eastAsia" w:ascii="宋体" w:hAnsi="宋体" w:eastAsia="宋体" w:cs="宋体"/>
                <w:color w:val="auto"/>
                <w:kern w:val="0"/>
                <w:sz w:val="24"/>
                <w:szCs w:val="24"/>
                <w:highlight w:val="none"/>
                <w:lang w:val="en-US" w:eastAsia="zh-CN" w:bidi="ar-SA"/>
              </w:rPr>
              <w:t>分</w:t>
            </w:r>
          </w:p>
        </w:tc>
      </w:tr>
      <w:tr w14:paraId="101064F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trHeight w:val="951" w:hRule="atLeast"/>
        </w:trPr>
        <w:tc>
          <w:tcPr>
            <w:tcW w:w="491" w:type="dxa"/>
            <w:tcBorders>
              <w:top w:val="single" w:color="080000" w:sz="4" w:space="0"/>
              <w:left w:val="single" w:color="080000" w:sz="4" w:space="0"/>
              <w:bottom w:val="single" w:color="080000" w:sz="4" w:space="0"/>
              <w:right w:val="single" w:color="080000" w:sz="4" w:space="0"/>
            </w:tcBorders>
            <w:vAlign w:val="center"/>
          </w:tcPr>
          <w:p w14:paraId="1A03DB83">
            <w:pPr>
              <w:pStyle w:val="90"/>
              <w:keepNext w:val="0"/>
              <w:keepLines w:val="0"/>
              <w:pageBreakBefore w:val="0"/>
              <w:widowControl w:val="0"/>
              <w:kinsoku/>
              <w:wordWrap w:val="0"/>
              <w:overflowPunct/>
              <w:topLinePunct/>
              <w:autoSpaceDE/>
              <w:autoSpaceDN/>
              <w:bidi w:val="0"/>
              <w:adjustRightInd w:val="0"/>
              <w:snapToGrid w:val="0"/>
              <w:spacing w:line="360" w:lineRule="exact"/>
              <w:ind w:right="96" w:rightChars="40"/>
              <w:jc w:val="center"/>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w:t>
            </w:r>
          </w:p>
        </w:tc>
        <w:tc>
          <w:tcPr>
            <w:tcW w:w="1756" w:type="dxa"/>
            <w:tcBorders>
              <w:top w:val="single" w:color="080000" w:sz="4" w:space="0"/>
              <w:left w:val="single" w:color="080000" w:sz="4" w:space="0"/>
              <w:bottom w:val="single" w:color="080000" w:sz="4" w:space="0"/>
              <w:right w:val="single" w:color="080000" w:sz="4" w:space="0"/>
            </w:tcBorders>
            <w:vAlign w:val="center"/>
          </w:tcPr>
          <w:p w14:paraId="4D015354">
            <w:pPr>
              <w:keepNext w:val="0"/>
              <w:keepLines w:val="0"/>
              <w:pageBreakBefore w:val="0"/>
              <w:widowControl w:val="0"/>
              <w:kinsoku/>
              <w:wordWrap w:val="0"/>
              <w:overflowPunct/>
              <w:topLinePunct/>
              <w:autoSpaceDE/>
              <w:autoSpaceDN/>
              <w:bidi w:val="0"/>
              <w:adjustRightInd w:val="0"/>
              <w:snapToGrid w:val="0"/>
              <w:spacing w:line="360" w:lineRule="exact"/>
              <w:ind w:right="96" w:rightChars="40"/>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网上答疑</w:t>
            </w:r>
          </w:p>
          <w:p w14:paraId="2D7C8154">
            <w:pPr>
              <w:keepNext w:val="0"/>
              <w:keepLines w:val="0"/>
              <w:pageBreakBefore w:val="0"/>
              <w:widowControl w:val="0"/>
              <w:kinsoku/>
              <w:wordWrap w:val="0"/>
              <w:overflowPunct/>
              <w:topLinePunct/>
              <w:autoSpaceDE/>
              <w:autoSpaceDN/>
              <w:bidi w:val="0"/>
              <w:adjustRightInd w:val="0"/>
              <w:snapToGrid w:val="0"/>
              <w:spacing w:line="360" w:lineRule="exact"/>
              <w:ind w:right="96" w:rightChars="40"/>
              <w:jc w:val="center"/>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SA"/>
              </w:rPr>
              <w:t>时间</w:t>
            </w:r>
          </w:p>
        </w:tc>
        <w:tc>
          <w:tcPr>
            <w:tcW w:w="7932" w:type="dxa"/>
            <w:tcBorders>
              <w:top w:val="single" w:color="080000" w:sz="4" w:space="0"/>
              <w:left w:val="single" w:color="080000" w:sz="4" w:space="0"/>
              <w:bottom w:val="single" w:color="080000" w:sz="4" w:space="0"/>
              <w:right w:val="single" w:color="080000" w:sz="4" w:space="0"/>
            </w:tcBorders>
            <w:vAlign w:val="center"/>
          </w:tcPr>
          <w:p w14:paraId="58246610">
            <w:pPr>
              <w:keepNext w:val="0"/>
              <w:keepLines w:val="0"/>
              <w:pageBreakBefore w:val="0"/>
              <w:widowControl w:val="0"/>
              <w:kinsoku/>
              <w:wordWrap w:val="0"/>
              <w:overflowPunct/>
              <w:topLinePunct/>
              <w:autoSpaceDE/>
              <w:autoSpaceDN/>
              <w:bidi w:val="0"/>
              <w:adjustRightInd w:val="0"/>
              <w:snapToGrid w:val="0"/>
              <w:ind w:right="96" w:rightChars="40"/>
              <w:jc w:val="left"/>
              <w:rPr>
                <w:rFonts w:hint="eastAsia" w:ascii="宋体" w:hAnsi="宋体" w:eastAsia="宋体" w:cs="宋体"/>
                <w:b w:val="0"/>
                <w:bCs w:val="0"/>
                <w:snapToGrid w:val="0"/>
                <w:color w:val="auto"/>
                <w:kern w:val="0"/>
                <w:sz w:val="24"/>
                <w:szCs w:val="24"/>
                <w:highlight w:val="none"/>
              </w:rPr>
            </w:pPr>
            <w:r>
              <w:rPr>
                <w:rFonts w:hint="eastAsia" w:hAnsi="宋体" w:cs="宋体"/>
                <w:color w:val="auto"/>
                <w:kern w:val="0"/>
                <w:sz w:val="24"/>
                <w:szCs w:val="24"/>
                <w:highlight w:val="none"/>
                <w:u w:val="single"/>
                <w:lang w:val="en-US" w:eastAsia="zh-CN" w:bidi="ar-SA"/>
              </w:rPr>
              <w:t>2026</w:t>
            </w:r>
            <w:r>
              <w:rPr>
                <w:rFonts w:hint="eastAsia" w:ascii="宋体" w:hAnsi="宋体" w:eastAsia="宋体" w:cs="宋体"/>
                <w:color w:val="auto"/>
                <w:kern w:val="0"/>
                <w:sz w:val="24"/>
                <w:szCs w:val="24"/>
                <w:highlight w:val="none"/>
                <w:lang w:val="en-US" w:eastAsia="zh-CN" w:bidi="ar-SA"/>
              </w:rPr>
              <w:t>年</w:t>
            </w:r>
            <w:r>
              <w:rPr>
                <w:rFonts w:hint="eastAsia" w:hAnsi="宋体" w:cs="宋体"/>
                <w:color w:val="auto"/>
                <w:kern w:val="0"/>
                <w:sz w:val="24"/>
                <w:szCs w:val="24"/>
                <w:highlight w:val="none"/>
                <w:u w:val="single"/>
                <w:lang w:val="en-US" w:eastAsia="zh-CN" w:bidi="ar-SA"/>
              </w:rPr>
              <w:t>4</w:t>
            </w:r>
            <w:r>
              <w:rPr>
                <w:rFonts w:hint="eastAsia" w:ascii="宋体" w:hAnsi="宋体" w:eastAsia="宋体" w:cs="宋体"/>
                <w:color w:val="auto"/>
                <w:kern w:val="0"/>
                <w:sz w:val="24"/>
                <w:szCs w:val="24"/>
                <w:highlight w:val="none"/>
                <w:lang w:val="en-US" w:eastAsia="zh-CN" w:bidi="ar-SA"/>
              </w:rPr>
              <w:t>月</w:t>
            </w:r>
            <w:r>
              <w:rPr>
                <w:rFonts w:hint="eastAsia" w:hAnsi="宋体" w:cs="宋体"/>
                <w:color w:val="auto"/>
                <w:kern w:val="0"/>
                <w:sz w:val="24"/>
                <w:szCs w:val="24"/>
                <w:highlight w:val="none"/>
                <w:u w:val="single"/>
                <w:lang w:val="en-US" w:eastAsia="zh-CN" w:bidi="ar-SA"/>
              </w:rPr>
              <w:t>11</w:t>
            </w:r>
            <w:r>
              <w:rPr>
                <w:rFonts w:hint="eastAsia" w:ascii="宋体" w:hAnsi="宋体" w:eastAsia="宋体" w:cs="宋体"/>
                <w:color w:val="auto"/>
                <w:kern w:val="0"/>
                <w:sz w:val="24"/>
                <w:szCs w:val="24"/>
                <w:highlight w:val="none"/>
                <w:lang w:val="en-US" w:eastAsia="zh-CN" w:bidi="ar-SA"/>
              </w:rPr>
              <w:t>日</w:t>
            </w:r>
            <w:r>
              <w:rPr>
                <w:rFonts w:hint="eastAsia" w:ascii="宋体" w:hAnsi="宋体" w:eastAsia="宋体" w:cs="宋体"/>
                <w:color w:val="auto"/>
                <w:kern w:val="0"/>
                <w:sz w:val="24"/>
                <w:szCs w:val="24"/>
                <w:highlight w:val="none"/>
                <w:u w:val="single"/>
                <w:lang w:val="en-US" w:eastAsia="zh-CN" w:bidi="ar-SA"/>
              </w:rPr>
              <w:t xml:space="preserve"> 16 </w:t>
            </w:r>
            <w:r>
              <w:rPr>
                <w:rFonts w:hint="eastAsia" w:ascii="宋体" w:hAnsi="宋体" w:eastAsia="宋体" w:cs="宋体"/>
                <w:color w:val="auto"/>
                <w:kern w:val="0"/>
                <w:sz w:val="24"/>
                <w:szCs w:val="24"/>
                <w:highlight w:val="none"/>
                <w:lang w:val="en-US" w:eastAsia="zh-CN" w:bidi="ar-SA"/>
              </w:rPr>
              <w:t>时</w:t>
            </w:r>
            <w:r>
              <w:rPr>
                <w:rFonts w:hint="eastAsia" w:ascii="宋体" w:hAnsi="宋体" w:eastAsia="宋体" w:cs="宋体"/>
                <w:color w:val="auto"/>
                <w:kern w:val="0"/>
                <w:sz w:val="24"/>
                <w:szCs w:val="24"/>
                <w:highlight w:val="none"/>
                <w:u w:val="single"/>
                <w:lang w:val="en-US" w:eastAsia="zh-CN" w:bidi="ar-SA"/>
              </w:rPr>
              <w:t xml:space="preserve"> 30 </w:t>
            </w:r>
            <w:r>
              <w:rPr>
                <w:rFonts w:hint="eastAsia" w:ascii="宋体" w:hAnsi="宋体" w:eastAsia="宋体" w:cs="宋体"/>
                <w:color w:val="auto"/>
                <w:kern w:val="0"/>
                <w:sz w:val="24"/>
                <w:szCs w:val="24"/>
                <w:highlight w:val="none"/>
                <w:lang w:val="en-US" w:eastAsia="zh-CN" w:bidi="ar-SA"/>
              </w:rPr>
              <w:t>分至</w:t>
            </w:r>
            <w:r>
              <w:rPr>
                <w:rFonts w:hint="eastAsia" w:hAnsi="宋体" w:cs="宋体"/>
                <w:color w:val="auto"/>
                <w:kern w:val="0"/>
                <w:sz w:val="24"/>
                <w:szCs w:val="24"/>
                <w:highlight w:val="none"/>
                <w:u w:val="single"/>
                <w:lang w:val="en-US" w:eastAsia="zh-CN" w:bidi="ar-SA"/>
              </w:rPr>
              <w:t>2026</w:t>
            </w:r>
            <w:r>
              <w:rPr>
                <w:rFonts w:hint="eastAsia" w:ascii="宋体" w:hAnsi="宋体" w:eastAsia="宋体" w:cs="宋体"/>
                <w:color w:val="auto"/>
                <w:kern w:val="0"/>
                <w:sz w:val="24"/>
                <w:szCs w:val="24"/>
                <w:highlight w:val="none"/>
                <w:lang w:val="en-US" w:eastAsia="zh-CN" w:bidi="ar-SA"/>
              </w:rPr>
              <w:t>年</w:t>
            </w:r>
            <w:r>
              <w:rPr>
                <w:rFonts w:hint="eastAsia" w:hAnsi="宋体" w:cs="宋体"/>
                <w:color w:val="auto"/>
                <w:kern w:val="0"/>
                <w:sz w:val="24"/>
                <w:szCs w:val="24"/>
                <w:highlight w:val="none"/>
                <w:u w:val="single"/>
                <w:lang w:val="en-US" w:eastAsia="zh-CN" w:bidi="ar-SA"/>
              </w:rPr>
              <w:t>4</w:t>
            </w:r>
            <w:r>
              <w:rPr>
                <w:rFonts w:hint="eastAsia" w:ascii="宋体" w:hAnsi="宋体" w:eastAsia="宋体" w:cs="宋体"/>
                <w:color w:val="auto"/>
                <w:kern w:val="0"/>
                <w:sz w:val="24"/>
                <w:szCs w:val="24"/>
                <w:highlight w:val="none"/>
                <w:lang w:val="en-US" w:eastAsia="zh-CN" w:bidi="ar-SA"/>
              </w:rPr>
              <w:t>月</w:t>
            </w:r>
            <w:r>
              <w:rPr>
                <w:rFonts w:hint="eastAsia" w:hAnsi="宋体" w:cs="宋体"/>
                <w:color w:val="auto"/>
                <w:kern w:val="0"/>
                <w:sz w:val="24"/>
                <w:szCs w:val="24"/>
                <w:highlight w:val="none"/>
                <w:u w:val="single"/>
                <w:lang w:val="en-US" w:eastAsia="zh-CN" w:bidi="ar-SA"/>
              </w:rPr>
              <w:t>14</w:t>
            </w:r>
            <w:r>
              <w:rPr>
                <w:rFonts w:hint="eastAsia" w:ascii="宋体" w:hAnsi="宋体" w:eastAsia="宋体" w:cs="宋体"/>
                <w:color w:val="auto"/>
                <w:kern w:val="0"/>
                <w:sz w:val="24"/>
                <w:szCs w:val="24"/>
                <w:highlight w:val="none"/>
                <w:lang w:val="en-US" w:eastAsia="zh-CN" w:bidi="ar-SA"/>
              </w:rPr>
              <w:t>日</w:t>
            </w:r>
            <w:r>
              <w:rPr>
                <w:rFonts w:hint="eastAsia" w:ascii="宋体" w:hAnsi="宋体" w:eastAsia="宋体" w:cs="宋体"/>
                <w:color w:val="auto"/>
                <w:kern w:val="0"/>
                <w:sz w:val="24"/>
                <w:szCs w:val="24"/>
                <w:highlight w:val="none"/>
                <w:u w:val="single"/>
                <w:lang w:val="en-US" w:eastAsia="zh-CN" w:bidi="ar-SA"/>
              </w:rPr>
              <w:t xml:space="preserve"> 16 </w:t>
            </w:r>
            <w:r>
              <w:rPr>
                <w:rFonts w:hint="eastAsia" w:ascii="宋体" w:hAnsi="宋体" w:eastAsia="宋体" w:cs="宋体"/>
                <w:color w:val="auto"/>
                <w:kern w:val="0"/>
                <w:sz w:val="24"/>
                <w:szCs w:val="24"/>
                <w:highlight w:val="none"/>
                <w:lang w:val="en-US" w:eastAsia="zh-CN" w:bidi="ar-SA"/>
              </w:rPr>
              <w:t>时</w:t>
            </w:r>
            <w:r>
              <w:rPr>
                <w:rFonts w:hint="eastAsia" w:ascii="宋体" w:hAnsi="宋体" w:eastAsia="宋体" w:cs="宋体"/>
                <w:color w:val="auto"/>
                <w:kern w:val="0"/>
                <w:sz w:val="24"/>
                <w:szCs w:val="24"/>
                <w:highlight w:val="none"/>
                <w:u w:val="single"/>
                <w:lang w:val="en-US" w:eastAsia="zh-CN" w:bidi="ar-SA"/>
              </w:rPr>
              <w:t xml:space="preserve"> 00</w:t>
            </w:r>
            <w:r>
              <w:rPr>
                <w:rFonts w:hint="eastAsia" w:ascii="宋体" w:hAnsi="宋体" w:eastAsia="宋体" w:cs="宋体"/>
                <w:color w:val="auto"/>
                <w:kern w:val="0"/>
                <w:sz w:val="24"/>
                <w:szCs w:val="24"/>
                <w:highlight w:val="none"/>
                <w:lang w:val="en-US" w:eastAsia="zh-CN" w:bidi="ar-SA"/>
              </w:rPr>
              <w:t>分</w:t>
            </w:r>
          </w:p>
        </w:tc>
      </w:tr>
      <w:tr w14:paraId="38C9A3D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trHeight w:val="1638" w:hRule="atLeast"/>
        </w:trPr>
        <w:tc>
          <w:tcPr>
            <w:tcW w:w="491" w:type="dxa"/>
            <w:tcBorders>
              <w:top w:val="single" w:color="080000" w:sz="4" w:space="0"/>
              <w:left w:val="single" w:color="080000" w:sz="4" w:space="0"/>
              <w:bottom w:val="single" w:color="080000" w:sz="4" w:space="0"/>
              <w:right w:val="single" w:color="080000" w:sz="4" w:space="0"/>
            </w:tcBorders>
            <w:vAlign w:val="center"/>
          </w:tcPr>
          <w:p w14:paraId="1085E5DA">
            <w:pPr>
              <w:pStyle w:val="90"/>
              <w:keepNext w:val="0"/>
              <w:keepLines w:val="0"/>
              <w:pageBreakBefore w:val="0"/>
              <w:widowControl w:val="0"/>
              <w:kinsoku/>
              <w:wordWrap w:val="0"/>
              <w:overflowPunct/>
              <w:topLinePunct/>
              <w:autoSpaceDE/>
              <w:autoSpaceDN/>
              <w:bidi w:val="0"/>
              <w:adjustRightInd w:val="0"/>
              <w:snapToGrid w:val="0"/>
              <w:spacing w:line="360" w:lineRule="exact"/>
              <w:ind w:right="96" w:rightChars="40"/>
              <w:jc w:val="center"/>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w:t>
            </w:r>
          </w:p>
        </w:tc>
        <w:tc>
          <w:tcPr>
            <w:tcW w:w="1756" w:type="dxa"/>
            <w:tcBorders>
              <w:top w:val="single" w:color="080000" w:sz="4" w:space="0"/>
              <w:left w:val="single" w:color="080000" w:sz="4" w:space="0"/>
              <w:bottom w:val="single" w:color="080000" w:sz="4" w:space="0"/>
              <w:right w:val="single" w:color="080000" w:sz="4" w:space="0"/>
            </w:tcBorders>
            <w:vAlign w:val="center"/>
          </w:tcPr>
          <w:p w14:paraId="4FE4E15B">
            <w:pPr>
              <w:keepNext w:val="0"/>
              <w:keepLines w:val="0"/>
              <w:pageBreakBefore w:val="0"/>
              <w:widowControl w:val="0"/>
              <w:kinsoku/>
              <w:wordWrap w:val="0"/>
              <w:overflowPunct/>
              <w:topLinePunct/>
              <w:autoSpaceDE/>
              <w:autoSpaceDN/>
              <w:bidi w:val="0"/>
              <w:adjustRightInd w:val="0"/>
              <w:snapToGrid w:val="0"/>
              <w:spacing w:line="360" w:lineRule="exact"/>
              <w:ind w:right="96" w:rightChars="40"/>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投标保证缴</w:t>
            </w:r>
          </w:p>
          <w:p w14:paraId="534BCB01">
            <w:pPr>
              <w:keepNext w:val="0"/>
              <w:keepLines w:val="0"/>
              <w:pageBreakBefore w:val="0"/>
              <w:widowControl w:val="0"/>
              <w:kinsoku/>
              <w:wordWrap w:val="0"/>
              <w:overflowPunct/>
              <w:topLinePunct/>
              <w:autoSpaceDE/>
              <w:autoSpaceDN/>
              <w:bidi w:val="0"/>
              <w:adjustRightInd w:val="0"/>
              <w:snapToGrid w:val="0"/>
              <w:spacing w:line="360" w:lineRule="exact"/>
              <w:ind w:right="96" w:rightChars="40"/>
              <w:jc w:val="center"/>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SA"/>
              </w:rPr>
              <w:t>纳截止时间</w:t>
            </w:r>
          </w:p>
        </w:tc>
        <w:tc>
          <w:tcPr>
            <w:tcW w:w="7932" w:type="dxa"/>
            <w:tcBorders>
              <w:top w:val="single" w:color="080000" w:sz="4" w:space="0"/>
              <w:left w:val="single" w:color="080000" w:sz="4" w:space="0"/>
              <w:bottom w:val="single" w:color="080000" w:sz="4" w:space="0"/>
              <w:right w:val="single" w:color="080000" w:sz="4" w:space="0"/>
            </w:tcBorders>
            <w:vAlign w:val="center"/>
          </w:tcPr>
          <w:p w14:paraId="5C00812F">
            <w:pPr>
              <w:keepNext w:val="0"/>
              <w:keepLines w:val="0"/>
              <w:pageBreakBefore w:val="0"/>
              <w:widowControl w:val="0"/>
              <w:kinsoku/>
              <w:wordWrap w:val="0"/>
              <w:overflowPunct/>
              <w:topLinePunct/>
              <w:autoSpaceDE/>
              <w:autoSpaceDN/>
              <w:bidi w:val="0"/>
              <w:adjustRightInd w:val="0"/>
              <w:snapToGrid w:val="0"/>
              <w:ind w:right="96" w:rightChars="40"/>
              <w:jc w:val="left"/>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投标保证金到账截止时间：</w:t>
            </w:r>
            <w:r>
              <w:rPr>
                <w:rFonts w:hint="eastAsia" w:hAnsi="宋体" w:cs="宋体"/>
                <w:color w:val="auto"/>
                <w:kern w:val="0"/>
                <w:sz w:val="24"/>
                <w:szCs w:val="24"/>
                <w:highlight w:val="none"/>
                <w:u w:val="single"/>
                <w:lang w:val="en-US" w:eastAsia="zh-CN" w:bidi="ar-SA"/>
              </w:rPr>
              <w:t>2026</w:t>
            </w:r>
            <w:r>
              <w:rPr>
                <w:rFonts w:hint="eastAsia" w:ascii="宋体" w:hAnsi="宋体" w:eastAsia="宋体" w:cs="宋体"/>
                <w:color w:val="auto"/>
                <w:kern w:val="0"/>
                <w:sz w:val="24"/>
                <w:szCs w:val="24"/>
                <w:highlight w:val="none"/>
                <w:lang w:val="en-US" w:eastAsia="zh-CN" w:bidi="ar-SA"/>
              </w:rPr>
              <w:t>年</w:t>
            </w:r>
            <w:r>
              <w:rPr>
                <w:rFonts w:hint="eastAsia" w:hAnsi="宋体" w:cs="宋体"/>
                <w:color w:val="auto"/>
                <w:kern w:val="0"/>
                <w:sz w:val="24"/>
                <w:szCs w:val="24"/>
                <w:highlight w:val="none"/>
                <w:u w:val="single"/>
                <w:lang w:val="en-US" w:eastAsia="zh-CN" w:bidi="ar-SA"/>
              </w:rPr>
              <w:t>4</w:t>
            </w:r>
            <w:r>
              <w:rPr>
                <w:rFonts w:hint="eastAsia" w:ascii="宋体" w:hAnsi="宋体" w:eastAsia="宋体" w:cs="宋体"/>
                <w:color w:val="auto"/>
                <w:kern w:val="0"/>
                <w:sz w:val="24"/>
                <w:szCs w:val="24"/>
                <w:highlight w:val="none"/>
                <w:lang w:val="en-US" w:eastAsia="zh-CN" w:bidi="ar-SA"/>
              </w:rPr>
              <w:t>月</w:t>
            </w:r>
            <w:r>
              <w:rPr>
                <w:rFonts w:hint="eastAsia" w:hAnsi="宋体" w:cs="宋体"/>
                <w:color w:val="auto"/>
                <w:kern w:val="0"/>
                <w:sz w:val="24"/>
                <w:szCs w:val="24"/>
                <w:highlight w:val="none"/>
                <w:u w:val="single"/>
                <w:lang w:val="en-US" w:eastAsia="zh-CN" w:bidi="ar-SA"/>
              </w:rPr>
              <w:t>20</w:t>
            </w:r>
            <w:r>
              <w:rPr>
                <w:rFonts w:hint="eastAsia" w:ascii="宋体" w:hAnsi="宋体" w:eastAsia="宋体" w:cs="宋体"/>
                <w:color w:val="auto"/>
                <w:kern w:val="0"/>
                <w:sz w:val="24"/>
                <w:szCs w:val="24"/>
                <w:highlight w:val="none"/>
                <w:lang w:val="en-US" w:eastAsia="zh-CN" w:bidi="ar-SA"/>
              </w:rPr>
              <w:t>日</w:t>
            </w:r>
            <w:r>
              <w:rPr>
                <w:rFonts w:hint="eastAsia" w:hAnsi="宋体" w:cs="宋体"/>
                <w:color w:val="auto"/>
                <w:kern w:val="0"/>
                <w:sz w:val="24"/>
                <w:szCs w:val="24"/>
                <w:highlight w:val="none"/>
                <w:u w:val="single"/>
                <w:lang w:val="en-US" w:eastAsia="zh-CN" w:bidi="ar-SA"/>
              </w:rPr>
              <w:t>9</w:t>
            </w:r>
            <w:r>
              <w:rPr>
                <w:rFonts w:hint="eastAsia" w:ascii="宋体" w:hAnsi="宋体" w:eastAsia="宋体" w:cs="宋体"/>
                <w:color w:val="auto"/>
                <w:kern w:val="0"/>
                <w:sz w:val="24"/>
                <w:szCs w:val="24"/>
                <w:highlight w:val="none"/>
                <w:u w:val="single"/>
                <w:lang w:val="en-US" w:eastAsia="zh-CN" w:bidi="ar-SA"/>
              </w:rPr>
              <w:t xml:space="preserve"> </w:t>
            </w:r>
            <w:r>
              <w:rPr>
                <w:rFonts w:hint="eastAsia" w:ascii="宋体" w:hAnsi="宋体" w:eastAsia="宋体" w:cs="宋体"/>
                <w:color w:val="auto"/>
                <w:kern w:val="0"/>
                <w:sz w:val="24"/>
                <w:szCs w:val="24"/>
                <w:highlight w:val="none"/>
                <w:lang w:val="en-US" w:eastAsia="zh-CN" w:bidi="ar-SA"/>
              </w:rPr>
              <w:t>时</w:t>
            </w:r>
            <w:r>
              <w:rPr>
                <w:rFonts w:hint="eastAsia" w:hAnsi="宋体" w:cs="宋体"/>
                <w:color w:val="auto"/>
                <w:kern w:val="0"/>
                <w:sz w:val="24"/>
                <w:szCs w:val="24"/>
                <w:highlight w:val="none"/>
                <w:u w:val="single"/>
                <w:lang w:val="en-US" w:eastAsia="zh-CN" w:bidi="ar-SA"/>
              </w:rPr>
              <w:t>30</w:t>
            </w:r>
            <w:r>
              <w:rPr>
                <w:rFonts w:hint="eastAsia" w:ascii="宋体" w:hAnsi="宋体" w:eastAsia="宋体" w:cs="宋体"/>
                <w:color w:val="auto"/>
                <w:kern w:val="0"/>
                <w:sz w:val="24"/>
                <w:szCs w:val="24"/>
                <w:highlight w:val="none"/>
                <w:lang w:val="en-US" w:eastAsia="zh-CN" w:bidi="ar-SA"/>
              </w:rPr>
              <w:t>分；</w:t>
            </w:r>
          </w:p>
          <w:p w14:paraId="4FD62677">
            <w:pPr>
              <w:keepNext w:val="0"/>
              <w:keepLines w:val="0"/>
              <w:pageBreakBefore w:val="0"/>
              <w:widowControl w:val="0"/>
              <w:kinsoku/>
              <w:wordWrap w:val="0"/>
              <w:overflowPunct/>
              <w:topLinePunct/>
              <w:autoSpaceDE/>
              <w:autoSpaceDN/>
              <w:bidi w:val="0"/>
              <w:adjustRightInd w:val="0"/>
              <w:snapToGrid w:val="0"/>
              <w:ind w:right="96" w:rightChars="40"/>
              <w:jc w:val="left"/>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投标保证担保上传截止时间：</w:t>
            </w:r>
            <w:r>
              <w:rPr>
                <w:rFonts w:hint="eastAsia" w:hAnsi="宋体" w:cs="宋体"/>
                <w:color w:val="auto"/>
                <w:kern w:val="0"/>
                <w:sz w:val="24"/>
                <w:szCs w:val="24"/>
                <w:highlight w:val="none"/>
                <w:u w:val="single"/>
                <w:lang w:val="en-US" w:eastAsia="zh-CN" w:bidi="ar-SA"/>
              </w:rPr>
              <w:t>2026</w:t>
            </w:r>
            <w:r>
              <w:rPr>
                <w:rFonts w:hint="eastAsia" w:ascii="宋体" w:hAnsi="宋体" w:eastAsia="宋体" w:cs="宋体"/>
                <w:color w:val="auto"/>
                <w:kern w:val="0"/>
                <w:sz w:val="24"/>
                <w:szCs w:val="24"/>
                <w:highlight w:val="none"/>
                <w:lang w:val="en-US" w:eastAsia="zh-CN" w:bidi="ar-SA"/>
              </w:rPr>
              <w:t>年</w:t>
            </w:r>
            <w:r>
              <w:rPr>
                <w:rFonts w:hint="eastAsia" w:hAnsi="宋体" w:cs="宋体"/>
                <w:color w:val="auto"/>
                <w:kern w:val="0"/>
                <w:sz w:val="24"/>
                <w:szCs w:val="24"/>
                <w:highlight w:val="none"/>
                <w:u w:val="single"/>
                <w:lang w:val="en-US" w:eastAsia="zh-CN" w:bidi="ar-SA"/>
              </w:rPr>
              <w:t>4</w:t>
            </w:r>
            <w:r>
              <w:rPr>
                <w:rFonts w:hint="eastAsia" w:ascii="宋体" w:hAnsi="宋体" w:eastAsia="宋体" w:cs="宋体"/>
                <w:color w:val="auto"/>
                <w:kern w:val="0"/>
                <w:sz w:val="24"/>
                <w:szCs w:val="24"/>
                <w:highlight w:val="none"/>
                <w:lang w:val="en-US" w:eastAsia="zh-CN" w:bidi="ar-SA"/>
              </w:rPr>
              <w:t>月</w:t>
            </w:r>
            <w:r>
              <w:rPr>
                <w:rFonts w:hint="eastAsia" w:hAnsi="宋体" w:cs="宋体"/>
                <w:color w:val="auto"/>
                <w:kern w:val="0"/>
                <w:sz w:val="24"/>
                <w:szCs w:val="24"/>
                <w:highlight w:val="none"/>
                <w:u w:val="single"/>
                <w:lang w:val="en-US" w:eastAsia="zh-CN" w:bidi="ar-SA"/>
              </w:rPr>
              <w:t>20</w:t>
            </w:r>
            <w:r>
              <w:rPr>
                <w:rFonts w:hint="eastAsia" w:ascii="宋体" w:hAnsi="宋体" w:eastAsia="宋体" w:cs="宋体"/>
                <w:color w:val="auto"/>
                <w:kern w:val="0"/>
                <w:sz w:val="24"/>
                <w:szCs w:val="24"/>
                <w:highlight w:val="none"/>
                <w:lang w:val="en-US" w:eastAsia="zh-CN" w:bidi="ar-SA"/>
              </w:rPr>
              <w:t>日</w:t>
            </w:r>
            <w:r>
              <w:rPr>
                <w:rFonts w:hint="eastAsia" w:hAnsi="宋体" w:cs="宋体"/>
                <w:color w:val="auto"/>
                <w:kern w:val="0"/>
                <w:sz w:val="24"/>
                <w:szCs w:val="24"/>
                <w:highlight w:val="none"/>
                <w:u w:val="single"/>
                <w:lang w:val="en-US" w:eastAsia="zh-CN" w:bidi="ar-SA"/>
              </w:rPr>
              <w:t>9</w:t>
            </w:r>
            <w:r>
              <w:rPr>
                <w:rFonts w:hint="eastAsia" w:ascii="宋体" w:hAnsi="宋体" w:eastAsia="宋体" w:cs="宋体"/>
                <w:color w:val="auto"/>
                <w:kern w:val="0"/>
                <w:sz w:val="24"/>
                <w:szCs w:val="24"/>
                <w:highlight w:val="none"/>
                <w:u w:val="single"/>
                <w:lang w:val="en-US" w:eastAsia="zh-CN" w:bidi="ar-SA"/>
              </w:rPr>
              <w:t xml:space="preserve"> </w:t>
            </w:r>
            <w:r>
              <w:rPr>
                <w:rFonts w:hint="eastAsia" w:ascii="宋体" w:hAnsi="宋体" w:eastAsia="宋体" w:cs="宋体"/>
                <w:color w:val="auto"/>
                <w:kern w:val="0"/>
                <w:sz w:val="24"/>
                <w:szCs w:val="24"/>
                <w:highlight w:val="none"/>
                <w:lang w:val="en-US" w:eastAsia="zh-CN" w:bidi="ar-SA"/>
              </w:rPr>
              <w:t>时</w:t>
            </w:r>
            <w:r>
              <w:rPr>
                <w:rFonts w:hint="eastAsia" w:hAnsi="宋体" w:cs="宋体"/>
                <w:color w:val="auto"/>
                <w:kern w:val="0"/>
                <w:sz w:val="24"/>
                <w:szCs w:val="24"/>
                <w:highlight w:val="none"/>
                <w:u w:val="single"/>
                <w:lang w:val="en-US" w:eastAsia="zh-CN" w:bidi="ar-SA"/>
              </w:rPr>
              <w:t>30</w:t>
            </w:r>
            <w:r>
              <w:rPr>
                <w:rFonts w:hint="eastAsia" w:ascii="宋体" w:hAnsi="宋体" w:eastAsia="宋体" w:cs="宋体"/>
                <w:color w:val="auto"/>
                <w:kern w:val="0"/>
                <w:sz w:val="24"/>
                <w:szCs w:val="24"/>
                <w:highlight w:val="none"/>
                <w:lang w:val="en-US" w:eastAsia="zh-CN" w:bidi="ar-SA"/>
              </w:rPr>
              <w:t>分；</w:t>
            </w:r>
          </w:p>
          <w:p w14:paraId="02A26BBC">
            <w:pPr>
              <w:keepNext w:val="0"/>
              <w:keepLines w:val="0"/>
              <w:pageBreakBefore w:val="0"/>
              <w:widowControl w:val="0"/>
              <w:kinsoku/>
              <w:wordWrap w:val="0"/>
              <w:overflowPunct/>
              <w:topLinePunct/>
              <w:autoSpaceDE/>
              <w:autoSpaceDN/>
              <w:bidi w:val="0"/>
              <w:adjustRightInd w:val="0"/>
              <w:snapToGrid w:val="0"/>
              <w:ind w:right="96" w:rightChars="40"/>
              <w:jc w:val="left"/>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color w:val="auto"/>
                <w:kern w:val="0"/>
                <w:sz w:val="24"/>
                <w:szCs w:val="24"/>
                <w:highlight w:val="none"/>
                <w:lang w:val="en-US" w:eastAsia="zh-CN" w:bidi="ar-SA"/>
              </w:rPr>
              <w:t>投标保证保险投保截止时间：</w:t>
            </w:r>
            <w:r>
              <w:rPr>
                <w:rFonts w:hint="eastAsia" w:hAnsi="宋体" w:cs="宋体"/>
                <w:color w:val="auto"/>
                <w:kern w:val="0"/>
                <w:sz w:val="24"/>
                <w:szCs w:val="24"/>
                <w:highlight w:val="none"/>
                <w:u w:val="single"/>
                <w:lang w:val="en-US" w:eastAsia="zh-CN" w:bidi="ar-SA"/>
              </w:rPr>
              <w:t>2026</w:t>
            </w:r>
            <w:r>
              <w:rPr>
                <w:rFonts w:hint="eastAsia" w:ascii="宋体" w:hAnsi="宋体" w:eastAsia="宋体" w:cs="宋体"/>
                <w:color w:val="auto"/>
                <w:kern w:val="0"/>
                <w:sz w:val="24"/>
                <w:szCs w:val="24"/>
                <w:highlight w:val="none"/>
                <w:lang w:val="en-US" w:eastAsia="zh-CN" w:bidi="ar-SA"/>
              </w:rPr>
              <w:t>年</w:t>
            </w:r>
            <w:r>
              <w:rPr>
                <w:rFonts w:hint="eastAsia" w:hAnsi="宋体" w:cs="宋体"/>
                <w:color w:val="auto"/>
                <w:kern w:val="0"/>
                <w:sz w:val="24"/>
                <w:szCs w:val="24"/>
                <w:highlight w:val="none"/>
                <w:u w:val="single"/>
                <w:lang w:val="en-US" w:eastAsia="zh-CN" w:bidi="ar-SA"/>
              </w:rPr>
              <w:t>4</w:t>
            </w:r>
            <w:r>
              <w:rPr>
                <w:rFonts w:hint="eastAsia" w:ascii="宋体" w:hAnsi="宋体" w:eastAsia="宋体" w:cs="宋体"/>
                <w:color w:val="auto"/>
                <w:kern w:val="0"/>
                <w:sz w:val="24"/>
                <w:szCs w:val="24"/>
                <w:highlight w:val="none"/>
                <w:lang w:val="en-US" w:eastAsia="zh-CN" w:bidi="ar-SA"/>
              </w:rPr>
              <w:t>月</w:t>
            </w:r>
            <w:r>
              <w:rPr>
                <w:rFonts w:hint="eastAsia" w:hAnsi="宋体" w:cs="宋体"/>
                <w:color w:val="auto"/>
                <w:kern w:val="0"/>
                <w:sz w:val="24"/>
                <w:szCs w:val="24"/>
                <w:highlight w:val="none"/>
                <w:u w:val="single"/>
                <w:lang w:val="en-US" w:eastAsia="zh-CN" w:bidi="ar-SA"/>
              </w:rPr>
              <w:t>20</w:t>
            </w:r>
            <w:r>
              <w:rPr>
                <w:rFonts w:hint="eastAsia" w:ascii="宋体" w:hAnsi="宋体" w:eastAsia="宋体" w:cs="宋体"/>
                <w:color w:val="auto"/>
                <w:kern w:val="0"/>
                <w:sz w:val="24"/>
                <w:szCs w:val="24"/>
                <w:highlight w:val="none"/>
                <w:lang w:val="en-US" w:eastAsia="zh-CN" w:bidi="ar-SA"/>
              </w:rPr>
              <w:t>日</w:t>
            </w:r>
            <w:r>
              <w:rPr>
                <w:rFonts w:hint="eastAsia" w:hAnsi="宋体" w:cs="宋体"/>
                <w:color w:val="auto"/>
                <w:kern w:val="0"/>
                <w:sz w:val="24"/>
                <w:szCs w:val="24"/>
                <w:highlight w:val="none"/>
                <w:u w:val="single"/>
                <w:lang w:val="en-US" w:eastAsia="zh-CN" w:bidi="ar-SA"/>
              </w:rPr>
              <w:t>9</w:t>
            </w:r>
            <w:r>
              <w:rPr>
                <w:rFonts w:hint="eastAsia" w:ascii="宋体" w:hAnsi="宋体" w:eastAsia="宋体" w:cs="宋体"/>
                <w:color w:val="auto"/>
                <w:kern w:val="0"/>
                <w:sz w:val="24"/>
                <w:szCs w:val="24"/>
                <w:highlight w:val="none"/>
                <w:u w:val="single"/>
                <w:lang w:val="en-US" w:eastAsia="zh-CN" w:bidi="ar-SA"/>
              </w:rPr>
              <w:t xml:space="preserve"> </w:t>
            </w:r>
            <w:r>
              <w:rPr>
                <w:rFonts w:hint="eastAsia" w:ascii="宋体" w:hAnsi="宋体" w:eastAsia="宋体" w:cs="宋体"/>
                <w:color w:val="auto"/>
                <w:kern w:val="0"/>
                <w:sz w:val="24"/>
                <w:szCs w:val="24"/>
                <w:highlight w:val="none"/>
                <w:lang w:val="en-US" w:eastAsia="zh-CN" w:bidi="ar-SA"/>
              </w:rPr>
              <w:t>时</w:t>
            </w:r>
            <w:r>
              <w:rPr>
                <w:rFonts w:hint="eastAsia" w:hAnsi="宋体" w:cs="宋体"/>
                <w:color w:val="auto"/>
                <w:kern w:val="0"/>
                <w:sz w:val="24"/>
                <w:szCs w:val="24"/>
                <w:highlight w:val="none"/>
                <w:u w:val="single"/>
                <w:lang w:val="en-US" w:eastAsia="zh-CN" w:bidi="ar-SA"/>
              </w:rPr>
              <w:t>30</w:t>
            </w:r>
            <w:r>
              <w:rPr>
                <w:rFonts w:hint="eastAsia" w:ascii="宋体" w:hAnsi="宋体" w:eastAsia="宋体" w:cs="宋体"/>
                <w:color w:val="auto"/>
                <w:kern w:val="0"/>
                <w:sz w:val="24"/>
                <w:szCs w:val="24"/>
                <w:highlight w:val="none"/>
                <w:lang w:val="en-US" w:eastAsia="zh-CN" w:bidi="ar-SA"/>
              </w:rPr>
              <w:t>分。</w:t>
            </w:r>
          </w:p>
        </w:tc>
      </w:tr>
      <w:tr w14:paraId="19C78DF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trHeight w:val="996" w:hRule="atLeast"/>
        </w:trPr>
        <w:tc>
          <w:tcPr>
            <w:tcW w:w="491" w:type="dxa"/>
            <w:tcBorders>
              <w:top w:val="single" w:color="080000" w:sz="4" w:space="0"/>
              <w:left w:val="single" w:color="080000" w:sz="4" w:space="0"/>
              <w:bottom w:val="single" w:color="080000" w:sz="4" w:space="0"/>
              <w:right w:val="single" w:color="080000" w:sz="4" w:space="0"/>
            </w:tcBorders>
            <w:vAlign w:val="center"/>
          </w:tcPr>
          <w:p w14:paraId="3AED9F60">
            <w:pPr>
              <w:pStyle w:val="90"/>
              <w:keepNext w:val="0"/>
              <w:keepLines w:val="0"/>
              <w:pageBreakBefore w:val="0"/>
              <w:widowControl w:val="0"/>
              <w:kinsoku/>
              <w:wordWrap w:val="0"/>
              <w:overflowPunct/>
              <w:topLinePunct/>
              <w:autoSpaceDE/>
              <w:autoSpaceDN/>
              <w:bidi w:val="0"/>
              <w:adjustRightInd w:val="0"/>
              <w:snapToGrid w:val="0"/>
              <w:spacing w:line="360" w:lineRule="exact"/>
              <w:ind w:right="96" w:rightChars="40"/>
              <w:jc w:val="center"/>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w:t>
            </w:r>
          </w:p>
        </w:tc>
        <w:tc>
          <w:tcPr>
            <w:tcW w:w="1756" w:type="dxa"/>
            <w:tcBorders>
              <w:top w:val="single" w:color="080000" w:sz="4" w:space="0"/>
              <w:left w:val="single" w:color="080000" w:sz="4" w:space="0"/>
              <w:bottom w:val="single" w:color="080000" w:sz="4" w:space="0"/>
              <w:right w:val="single" w:color="080000" w:sz="4" w:space="0"/>
            </w:tcBorders>
            <w:vAlign w:val="center"/>
          </w:tcPr>
          <w:p w14:paraId="35292E2C">
            <w:pPr>
              <w:keepNext w:val="0"/>
              <w:keepLines w:val="0"/>
              <w:pageBreakBefore w:val="0"/>
              <w:widowControl w:val="0"/>
              <w:kinsoku/>
              <w:wordWrap w:val="0"/>
              <w:overflowPunct/>
              <w:topLinePunct/>
              <w:autoSpaceDE/>
              <w:autoSpaceDN/>
              <w:bidi w:val="0"/>
              <w:adjustRightInd w:val="0"/>
              <w:snapToGrid w:val="0"/>
              <w:spacing w:line="360" w:lineRule="exact"/>
              <w:ind w:right="96" w:rightChars="40"/>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电子投标</w:t>
            </w:r>
          </w:p>
          <w:p w14:paraId="083CEE58">
            <w:pPr>
              <w:keepNext w:val="0"/>
              <w:keepLines w:val="0"/>
              <w:pageBreakBefore w:val="0"/>
              <w:widowControl w:val="0"/>
              <w:kinsoku/>
              <w:wordWrap w:val="0"/>
              <w:overflowPunct/>
              <w:topLinePunct/>
              <w:autoSpaceDE/>
              <w:autoSpaceDN/>
              <w:bidi w:val="0"/>
              <w:adjustRightInd w:val="0"/>
              <w:snapToGrid w:val="0"/>
              <w:spacing w:line="360" w:lineRule="exact"/>
              <w:ind w:right="96" w:rightChars="40"/>
              <w:jc w:val="center"/>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SA"/>
              </w:rPr>
              <w:t xml:space="preserve">截止时间 </w:t>
            </w:r>
          </w:p>
        </w:tc>
        <w:tc>
          <w:tcPr>
            <w:tcW w:w="7932" w:type="dxa"/>
            <w:tcBorders>
              <w:top w:val="single" w:color="080000" w:sz="4" w:space="0"/>
              <w:left w:val="single" w:color="080000" w:sz="4" w:space="0"/>
              <w:bottom w:val="single" w:color="080000" w:sz="4" w:space="0"/>
              <w:right w:val="single" w:color="080000" w:sz="4" w:space="0"/>
            </w:tcBorders>
            <w:vAlign w:val="center"/>
          </w:tcPr>
          <w:p w14:paraId="17827926">
            <w:pPr>
              <w:keepNext w:val="0"/>
              <w:keepLines w:val="0"/>
              <w:pageBreakBefore w:val="0"/>
              <w:widowControl w:val="0"/>
              <w:kinsoku/>
              <w:wordWrap w:val="0"/>
              <w:overflowPunct/>
              <w:topLinePunct/>
              <w:autoSpaceDE/>
              <w:autoSpaceDN/>
              <w:bidi w:val="0"/>
              <w:adjustRightInd w:val="0"/>
              <w:snapToGrid w:val="0"/>
              <w:ind w:right="96" w:rightChars="40"/>
              <w:jc w:val="left"/>
              <w:rPr>
                <w:rFonts w:hint="eastAsia" w:ascii="宋体" w:hAnsi="宋体" w:eastAsia="宋体" w:cs="宋体"/>
                <w:b w:val="0"/>
                <w:bCs w:val="0"/>
                <w:snapToGrid w:val="0"/>
                <w:color w:val="auto"/>
                <w:kern w:val="0"/>
                <w:sz w:val="24"/>
                <w:szCs w:val="24"/>
                <w:highlight w:val="none"/>
              </w:rPr>
            </w:pPr>
            <w:r>
              <w:rPr>
                <w:rFonts w:hint="eastAsia" w:hAnsi="宋体" w:cs="宋体"/>
                <w:color w:val="auto"/>
                <w:kern w:val="0"/>
                <w:sz w:val="24"/>
                <w:szCs w:val="24"/>
                <w:highlight w:val="none"/>
                <w:u w:val="single"/>
                <w:lang w:val="en-US" w:eastAsia="zh-CN" w:bidi="ar-SA"/>
              </w:rPr>
              <w:t>2026</w:t>
            </w:r>
            <w:r>
              <w:rPr>
                <w:rFonts w:hint="eastAsia" w:ascii="宋体" w:hAnsi="宋体" w:eastAsia="宋体" w:cs="宋体"/>
                <w:color w:val="auto"/>
                <w:kern w:val="0"/>
                <w:sz w:val="24"/>
                <w:szCs w:val="24"/>
                <w:highlight w:val="none"/>
                <w:lang w:val="en-US" w:eastAsia="zh-CN" w:bidi="ar-SA"/>
              </w:rPr>
              <w:t>年</w:t>
            </w:r>
            <w:r>
              <w:rPr>
                <w:rFonts w:hint="eastAsia" w:hAnsi="宋体" w:cs="宋体"/>
                <w:color w:val="auto"/>
                <w:kern w:val="0"/>
                <w:sz w:val="24"/>
                <w:szCs w:val="24"/>
                <w:highlight w:val="none"/>
                <w:u w:val="single"/>
                <w:lang w:val="en-US" w:eastAsia="zh-CN" w:bidi="ar-SA"/>
              </w:rPr>
              <w:t>4</w:t>
            </w:r>
            <w:r>
              <w:rPr>
                <w:rFonts w:hint="eastAsia" w:ascii="宋体" w:hAnsi="宋体" w:eastAsia="宋体" w:cs="宋体"/>
                <w:color w:val="auto"/>
                <w:kern w:val="0"/>
                <w:sz w:val="24"/>
                <w:szCs w:val="24"/>
                <w:highlight w:val="none"/>
                <w:lang w:val="en-US" w:eastAsia="zh-CN" w:bidi="ar-SA"/>
              </w:rPr>
              <w:t>月</w:t>
            </w:r>
            <w:r>
              <w:rPr>
                <w:rFonts w:hint="eastAsia" w:hAnsi="宋体" w:cs="宋体"/>
                <w:color w:val="auto"/>
                <w:kern w:val="0"/>
                <w:sz w:val="24"/>
                <w:szCs w:val="24"/>
                <w:highlight w:val="none"/>
                <w:u w:val="single"/>
                <w:lang w:val="en-US" w:eastAsia="zh-CN" w:bidi="ar-SA"/>
              </w:rPr>
              <w:t>21</w:t>
            </w:r>
            <w:r>
              <w:rPr>
                <w:rFonts w:hint="eastAsia" w:ascii="宋体" w:hAnsi="宋体" w:eastAsia="宋体" w:cs="宋体"/>
                <w:color w:val="auto"/>
                <w:kern w:val="0"/>
                <w:sz w:val="24"/>
                <w:szCs w:val="24"/>
                <w:highlight w:val="none"/>
                <w:lang w:val="en-US" w:eastAsia="zh-CN" w:bidi="ar-SA"/>
              </w:rPr>
              <w:t>日</w:t>
            </w:r>
            <w:r>
              <w:rPr>
                <w:rFonts w:hint="eastAsia" w:hAnsi="宋体" w:cs="宋体"/>
                <w:color w:val="auto"/>
                <w:kern w:val="0"/>
                <w:sz w:val="24"/>
                <w:szCs w:val="24"/>
                <w:highlight w:val="none"/>
                <w:u w:val="single"/>
                <w:lang w:val="en-US" w:eastAsia="zh-CN" w:bidi="ar-SA"/>
              </w:rPr>
              <w:t>9</w:t>
            </w:r>
            <w:r>
              <w:rPr>
                <w:rFonts w:hint="eastAsia" w:ascii="宋体" w:hAnsi="宋体" w:eastAsia="宋体" w:cs="宋体"/>
                <w:color w:val="auto"/>
                <w:kern w:val="0"/>
                <w:sz w:val="24"/>
                <w:szCs w:val="24"/>
                <w:highlight w:val="none"/>
                <w:lang w:val="en-US" w:eastAsia="zh-CN" w:bidi="ar-SA"/>
              </w:rPr>
              <w:t>时</w:t>
            </w:r>
            <w:r>
              <w:rPr>
                <w:rFonts w:hint="eastAsia" w:hAnsi="宋体" w:cs="宋体"/>
                <w:color w:val="auto"/>
                <w:kern w:val="0"/>
                <w:sz w:val="24"/>
                <w:szCs w:val="24"/>
                <w:highlight w:val="none"/>
                <w:u w:val="single"/>
                <w:lang w:val="en-US" w:eastAsia="zh-CN" w:bidi="ar-SA"/>
              </w:rPr>
              <w:t>30</w:t>
            </w:r>
            <w:r>
              <w:rPr>
                <w:rFonts w:hint="eastAsia" w:ascii="宋体" w:hAnsi="宋体" w:eastAsia="宋体" w:cs="宋体"/>
                <w:color w:val="auto"/>
                <w:kern w:val="0"/>
                <w:sz w:val="24"/>
                <w:szCs w:val="24"/>
                <w:highlight w:val="none"/>
                <w:lang w:val="en-US" w:eastAsia="zh-CN" w:bidi="ar-SA"/>
              </w:rPr>
              <w:t>分</w:t>
            </w:r>
          </w:p>
        </w:tc>
      </w:tr>
      <w:tr w14:paraId="2E7EDE0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trHeight w:val="1297" w:hRule="atLeast"/>
        </w:trPr>
        <w:tc>
          <w:tcPr>
            <w:tcW w:w="491" w:type="dxa"/>
            <w:tcBorders>
              <w:top w:val="single" w:color="080000" w:sz="4" w:space="0"/>
              <w:left w:val="single" w:color="080000" w:sz="4" w:space="0"/>
              <w:bottom w:val="single" w:color="080000" w:sz="4" w:space="0"/>
              <w:right w:val="single" w:color="080000" w:sz="4" w:space="0"/>
            </w:tcBorders>
            <w:vAlign w:val="center"/>
          </w:tcPr>
          <w:p w14:paraId="2AE7DCF3">
            <w:pPr>
              <w:pStyle w:val="90"/>
              <w:keepNext w:val="0"/>
              <w:keepLines w:val="0"/>
              <w:pageBreakBefore w:val="0"/>
              <w:widowControl w:val="0"/>
              <w:kinsoku/>
              <w:wordWrap w:val="0"/>
              <w:overflowPunct/>
              <w:topLinePunct/>
              <w:autoSpaceDE/>
              <w:autoSpaceDN/>
              <w:bidi w:val="0"/>
              <w:adjustRightInd w:val="0"/>
              <w:snapToGrid w:val="0"/>
              <w:spacing w:line="360" w:lineRule="exact"/>
              <w:ind w:right="96" w:rightChars="40"/>
              <w:jc w:val="center"/>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7</w:t>
            </w:r>
          </w:p>
        </w:tc>
        <w:tc>
          <w:tcPr>
            <w:tcW w:w="1756" w:type="dxa"/>
            <w:tcBorders>
              <w:top w:val="single" w:color="080000" w:sz="4" w:space="0"/>
              <w:left w:val="single" w:color="080000" w:sz="4" w:space="0"/>
              <w:bottom w:val="single" w:color="080000" w:sz="4" w:space="0"/>
              <w:right w:val="single" w:color="080000" w:sz="4" w:space="0"/>
            </w:tcBorders>
            <w:vAlign w:val="center"/>
          </w:tcPr>
          <w:p w14:paraId="16535467">
            <w:pPr>
              <w:keepNext w:val="0"/>
              <w:keepLines w:val="0"/>
              <w:pageBreakBefore w:val="0"/>
              <w:widowControl w:val="0"/>
              <w:kinsoku/>
              <w:wordWrap w:val="0"/>
              <w:overflowPunct/>
              <w:topLinePunct/>
              <w:autoSpaceDE/>
              <w:autoSpaceDN/>
              <w:bidi w:val="0"/>
              <w:adjustRightInd w:val="0"/>
              <w:snapToGrid w:val="0"/>
              <w:spacing w:line="360" w:lineRule="exact"/>
              <w:ind w:right="96" w:rightChars="40"/>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投标相关资料（如有）</w:t>
            </w:r>
          </w:p>
          <w:p w14:paraId="326B11F8">
            <w:pPr>
              <w:keepNext w:val="0"/>
              <w:keepLines w:val="0"/>
              <w:pageBreakBefore w:val="0"/>
              <w:widowControl w:val="0"/>
              <w:kinsoku/>
              <w:wordWrap w:val="0"/>
              <w:overflowPunct/>
              <w:topLinePunct/>
              <w:autoSpaceDE/>
              <w:autoSpaceDN/>
              <w:bidi w:val="0"/>
              <w:adjustRightInd w:val="0"/>
              <w:snapToGrid w:val="0"/>
              <w:spacing w:line="360" w:lineRule="exact"/>
              <w:ind w:right="96" w:rightChars="40"/>
              <w:jc w:val="center"/>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SA"/>
              </w:rPr>
              <w:t>递交时间</w:t>
            </w:r>
          </w:p>
        </w:tc>
        <w:tc>
          <w:tcPr>
            <w:tcW w:w="7932" w:type="dxa"/>
            <w:tcBorders>
              <w:top w:val="single" w:color="080000" w:sz="4" w:space="0"/>
              <w:left w:val="single" w:color="080000" w:sz="4" w:space="0"/>
              <w:bottom w:val="single" w:color="080000" w:sz="4" w:space="0"/>
              <w:right w:val="single" w:color="080000" w:sz="4" w:space="0"/>
            </w:tcBorders>
            <w:vAlign w:val="center"/>
          </w:tcPr>
          <w:p w14:paraId="2B87C0CA">
            <w:pPr>
              <w:keepNext w:val="0"/>
              <w:keepLines w:val="0"/>
              <w:pageBreakBefore w:val="0"/>
              <w:widowControl w:val="0"/>
              <w:kinsoku/>
              <w:wordWrap w:val="0"/>
              <w:overflowPunct/>
              <w:topLinePunct/>
              <w:autoSpaceDE/>
              <w:autoSpaceDN/>
              <w:bidi w:val="0"/>
              <w:adjustRightInd w:val="0"/>
              <w:snapToGrid w:val="0"/>
              <w:ind w:right="96" w:rightChars="40"/>
              <w:jc w:val="left"/>
              <w:rPr>
                <w:rFonts w:hint="eastAsia" w:ascii="宋体" w:hAnsi="宋体" w:eastAsia="宋体" w:cs="宋体"/>
                <w:b w:val="0"/>
                <w:bCs w:val="0"/>
                <w:snapToGrid w:val="0"/>
                <w:color w:val="auto"/>
                <w:kern w:val="0"/>
                <w:sz w:val="24"/>
                <w:szCs w:val="24"/>
                <w:highlight w:val="none"/>
              </w:rPr>
            </w:pPr>
            <w:r>
              <w:rPr>
                <w:rFonts w:hint="eastAsia" w:hAnsi="宋体" w:cs="宋体"/>
                <w:color w:val="auto"/>
                <w:kern w:val="0"/>
                <w:sz w:val="24"/>
                <w:szCs w:val="24"/>
                <w:highlight w:val="none"/>
                <w:u w:val="single"/>
                <w:lang w:val="en-US" w:eastAsia="zh-CN" w:bidi="ar-SA"/>
              </w:rPr>
              <w:t>2026</w:t>
            </w:r>
            <w:r>
              <w:rPr>
                <w:rFonts w:hint="eastAsia" w:ascii="宋体" w:hAnsi="宋体" w:eastAsia="宋体" w:cs="宋体"/>
                <w:color w:val="auto"/>
                <w:kern w:val="0"/>
                <w:sz w:val="24"/>
                <w:szCs w:val="24"/>
                <w:highlight w:val="none"/>
                <w:lang w:val="en-US" w:eastAsia="zh-CN" w:bidi="ar-SA"/>
              </w:rPr>
              <w:t>年</w:t>
            </w:r>
            <w:r>
              <w:rPr>
                <w:rFonts w:hint="eastAsia" w:hAnsi="宋体" w:cs="宋体"/>
                <w:color w:val="auto"/>
                <w:kern w:val="0"/>
                <w:sz w:val="24"/>
                <w:szCs w:val="24"/>
                <w:highlight w:val="none"/>
                <w:u w:val="single"/>
                <w:lang w:val="en-US" w:eastAsia="zh-CN" w:bidi="ar-SA"/>
              </w:rPr>
              <w:t>4</w:t>
            </w:r>
            <w:r>
              <w:rPr>
                <w:rFonts w:hint="eastAsia" w:ascii="宋体" w:hAnsi="宋体" w:eastAsia="宋体" w:cs="宋体"/>
                <w:color w:val="auto"/>
                <w:kern w:val="0"/>
                <w:sz w:val="24"/>
                <w:szCs w:val="24"/>
                <w:highlight w:val="none"/>
                <w:lang w:val="en-US" w:eastAsia="zh-CN" w:bidi="ar-SA"/>
              </w:rPr>
              <w:t>月</w:t>
            </w:r>
            <w:r>
              <w:rPr>
                <w:rFonts w:hint="eastAsia" w:hAnsi="宋体" w:cs="宋体"/>
                <w:color w:val="auto"/>
                <w:kern w:val="0"/>
                <w:sz w:val="24"/>
                <w:szCs w:val="24"/>
                <w:highlight w:val="none"/>
                <w:u w:val="single"/>
                <w:lang w:val="en-US" w:eastAsia="zh-CN" w:bidi="ar-SA"/>
              </w:rPr>
              <w:t>21</w:t>
            </w:r>
            <w:r>
              <w:rPr>
                <w:rFonts w:hint="eastAsia" w:ascii="宋体" w:hAnsi="宋体" w:eastAsia="宋体" w:cs="宋体"/>
                <w:color w:val="auto"/>
                <w:kern w:val="0"/>
                <w:sz w:val="24"/>
                <w:szCs w:val="24"/>
                <w:highlight w:val="none"/>
                <w:lang w:val="en-US" w:eastAsia="zh-CN" w:bidi="ar-SA"/>
              </w:rPr>
              <w:t>日</w:t>
            </w:r>
            <w:r>
              <w:rPr>
                <w:rFonts w:hint="eastAsia" w:hAnsi="宋体" w:cs="宋体"/>
                <w:color w:val="auto"/>
                <w:kern w:val="0"/>
                <w:sz w:val="24"/>
                <w:szCs w:val="24"/>
                <w:highlight w:val="none"/>
                <w:u w:val="single"/>
                <w:lang w:val="en-US" w:eastAsia="zh-CN" w:bidi="ar-SA"/>
              </w:rPr>
              <w:t>9</w:t>
            </w:r>
            <w:r>
              <w:rPr>
                <w:rFonts w:hint="eastAsia" w:ascii="宋体" w:hAnsi="宋体" w:eastAsia="宋体" w:cs="宋体"/>
                <w:color w:val="auto"/>
                <w:kern w:val="0"/>
                <w:sz w:val="24"/>
                <w:szCs w:val="24"/>
                <w:highlight w:val="none"/>
                <w:lang w:val="en-US" w:eastAsia="zh-CN" w:bidi="ar-SA"/>
              </w:rPr>
              <w:t>时</w:t>
            </w:r>
            <w:r>
              <w:rPr>
                <w:rFonts w:hint="eastAsia" w:hAnsi="宋体" w:cs="宋体"/>
                <w:color w:val="auto"/>
                <w:kern w:val="0"/>
                <w:sz w:val="24"/>
                <w:szCs w:val="24"/>
                <w:highlight w:val="none"/>
                <w:u w:val="single"/>
                <w:lang w:val="en-US" w:eastAsia="zh-CN" w:bidi="ar-SA"/>
              </w:rPr>
              <w:t>00</w:t>
            </w:r>
            <w:r>
              <w:rPr>
                <w:rFonts w:hint="eastAsia" w:ascii="宋体" w:hAnsi="宋体" w:eastAsia="宋体" w:cs="宋体"/>
                <w:color w:val="auto"/>
                <w:kern w:val="0"/>
                <w:sz w:val="24"/>
                <w:szCs w:val="24"/>
                <w:highlight w:val="none"/>
                <w:lang w:val="en-US" w:eastAsia="zh-CN" w:bidi="ar-SA"/>
              </w:rPr>
              <w:t>分至</w:t>
            </w:r>
            <w:r>
              <w:rPr>
                <w:rFonts w:hint="eastAsia" w:hAnsi="宋体" w:cs="宋体"/>
                <w:color w:val="auto"/>
                <w:kern w:val="0"/>
                <w:sz w:val="24"/>
                <w:szCs w:val="24"/>
                <w:highlight w:val="none"/>
                <w:u w:val="single"/>
                <w:lang w:val="en-US" w:eastAsia="zh-CN" w:bidi="ar-SA"/>
              </w:rPr>
              <w:t>2026</w:t>
            </w:r>
            <w:r>
              <w:rPr>
                <w:rFonts w:hint="eastAsia" w:ascii="宋体" w:hAnsi="宋体" w:eastAsia="宋体" w:cs="宋体"/>
                <w:color w:val="auto"/>
                <w:kern w:val="0"/>
                <w:sz w:val="24"/>
                <w:szCs w:val="24"/>
                <w:highlight w:val="none"/>
                <w:lang w:val="en-US" w:eastAsia="zh-CN" w:bidi="ar-SA"/>
              </w:rPr>
              <w:t>年</w:t>
            </w:r>
            <w:r>
              <w:rPr>
                <w:rFonts w:hint="eastAsia" w:hAnsi="宋体" w:cs="宋体"/>
                <w:color w:val="auto"/>
                <w:kern w:val="0"/>
                <w:sz w:val="24"/>
                <w:szCs w:val="24"/>
                <w:highlight w:val="none"/>
                <w:u w:val="single"/>
                <w:lang w:val="en-US" w:eastAsia="zh-CN" w:bidi="ar-SA"/>
              </w:rPr>
              <w:t>4</w:t>
            </w:r>
            <w:r>
              <w:rPr>
                <w:rFonts w:hint="eastAsia" w:ascii="宋体" w:hAnsi="宋体" w:eastAsia="宋体" w:cs="宋体"/>
                <w:color w:val="auto"/>
                <w:kern w:val="0"/>
                <w:sz w:val="24"/>
                <w:szCs w:val="24"/>
                <w:highlight w:val="none"/>
                <w:lang w:val="en-US" w:eastAsia="zh-CN" w:bidi="ar-SA"/>
              </w:rPr>
              <w:t>月</w:t>
            </w:r>
            <w:r>
              <w:rPr>
                <w:rFonts w:hint="eastAsia" w:hAnsi="宋体" w:cs="宋体"/>
                <w:color w:val="auto"/>
                <w:kern w:val="0"/>
                <w:sz w:val="24"/>
                <w:szCs w:val="24"/>
                <w:highlight w:val="none"/>
                <w:u w:val="single"/>
                <w:lang w:val="en-US" w:eastAsia="zh-CN" w:bidi="ar-SA"/>
              </w:rPr>
              <w:t>21</w:t>
            </w:r>
            <w:r>
              <w:rPr>
                <w:rFonts w:hint="eastAsia" w:ascii="宋体" w:hAnsi="宋体" w:eastAsia="宋体" w:cs="宋体"/>
                <w:color w:val="auto"/>
                <w:kern w:val="0"/>
                <w:sz w:val="24"/>
                <w:szCs w:val="24"/>
                <w:highlight w:val="none"/>
                <w:lang w:val="en-US" w:eastAsia="zh-CN" w:bidi="ar-SA"/>
              </w:rPr>
              <w:t>日</w:t>
            </w:r>
            <w:r>
              <w:rPr>
                <w:rFonts w:hint="eastAsia" w:hAnsi="宋体" w:cs="宋体"/>
                <w:color w:val="auto"/>
                <w:kern w:val="0"/>
                <w:sz w:val="24"/>
                <w:szCs w:val="24"/>
                <w:highlight w:val="none"/>
                <w:u w:val="single"/>
                <w:lang w:val="en-US" w:eastAsia="zh-CN" w:bidi="ar-SA"/>
              </w:rPr>
              <w:t>9</w:t>
            </w:r>
            <w:r>
              <w:rPr>
                <w:rFonts w:hint="eastAsia" w:ascii="宋体" w:hAnsi="宋体" w:eastAsia="宋体" w:cs="宋体"/>
                <w:color w:val="auto"/>
                <w:kern w:val="0"/>
                <w:sz w:val="24"/>
                <w:szCs w:val="24"/>
                <w:highlight w:val="none"/>
                <w:lang w:val="en-US" w:eastAsia="zh-CN" w:bidi="ar-SA"/>
              </w:rPr>
              <w:t>时</w:t>
            </w:r>
            <w:r>
              <w:rPr>
                <w:rFonts w:hint="eastAsia" w:hAnsi="宋体" w:cs="宋体"/>
                <w:color w:val="auto"/>
                <w:kern w:val="0"/>
                <w:sz w:val="24"/>
                <w:szCs w:val="24"/>
                <w:highlight w:val="none"/>
                <w:u w:val="single"/>
                <w:lang w:val="en-US" w:eastAsia="zh-CN" w:bidi="ar-SA"/>
              </w:rPr>
              <w:t>30</w:t>
            </w:r>
            <w:r>
              <w:rPr>
                <w:rFonts w:hint="eastAsia" w:ascii="宋体" w:hAnsi="宋体" w:eastAsia="宋体" w:cs="宋体"/>
                <w:color w:val="auto"/>
                <w:kern w:val="0"/>
                <w:sz w:val="24"/>
                <w:szCs w:val="24"/>
                <w:highlight w:val="none"/>
                <w:lang w:val="en-US" w:eastAsia="zh-CN" w:bidi="ar-SA"/>
              </w:rPr>
              <w:t>分</w:t>
            </w:r>
          </w:p>
        </w:tc>
      </w:tr>
      <w:tr w14:paraId="5885841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trHeight w:val="1297" w:hRule="atLeast"/>
        </w:trPr>
        <w:tc>
          <w:tcPr>
            <w:tcW w:w="491" w:type="dxa"/>
            <w:tcBorders>
              <w:top w:val="single" w:color="080000" w:sz="4" w:space="0"/>
              <w:left w:val="single" w:color="080000" w:sz="4" w:space="0"/>
              <w:bottom w:val="single" w:color="080000" w:sz="4" w:space="0"/>
              <w:right w:val="single" w:color="080000" w:sz="4" w:space="0"/>
            </w:tcBorders>
            <w:vAlign w:val="center"/>
          </w:tcPr>
          <w:p w14:paraId="25E5C405">
            <w:pPr>
              <w:pStyle w:val="90"/>
              <w:keepNext w:val="0"/>
              <w:keepLines w:val="0"/>
              <w:pageBreakBefore w:val="0"/>
              <w:widowControl w:val="0"/>
              <w:kinsoku/>
              <w:wordWrap w:val="0"/>
              <w:overflowPunct/>
              <w:topLinePunct/>
              <w:autoSpaceDE/>
              <w:autoSpaceDN/>
              <w:bidi w:val="0"/>
              <w:adjustRightInd w:val="0"/>
              <w:snapToGrid w:val="0"/>
              <w:spacing w:line="360" w:lineRule="exact"/>
              <w:ind w:right="96" w:rightChars="40"/>
              <w:jc w:val="center"/>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8</w:t>
            </w:r>
          </w:p>
        </w:tc>
        <w:tc>
          <w:tcPr>
            <w:tcW w:w="1756" w:type="dxa"/>
            <w:tcBorders>
              <w:top w:val="single" w:color="080000" w:sz="4" w:space="0"/>
              <w:left w:val="single" w:color="080000" w:sz="4" w:space="0"/>
              <w:bottom w:val="single" w:color="080000" w:sz="4" w:space="0"/>
              <w:right w:val="single" w:color="080000" w:sz="4" w:space="0"/>
            </w:tcBorders>
            <w:vAlign w:val="center"/>
          </w:tcPr>
          <w:p w14:paraId="382D945C">
            <w:pPr>
              <w:keepNext w:val="0"/>
              <w:keepLines w:val="0"/>
              <w:pageBreakBefore w:val="0"/>
              <w:widowControl w:val="0"/>
              <w:kinsoku/>
              <w:wordWrap w:val="0"/>
              <w:overflowPunct/>
              <w:topLinePunct/>
              <w:autoSpaceDE/>
              <w:autoSpaceDN/>
              <w:bidi w:val="0"/>
              <w:adjustRightInd w:val="0"/>
              <w:snapToGrid w:val="0"/>
              <w:spacing w:line="360" w:lineRule="exact"/>
              <w:ind w:right="96" w:rightChars="40"/>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投标相关资料（如有）</w:t>
            </w:r>
          </w:p>
          <w:p w14:paraId="7752393B">
            <w:pPr>
              <w:keepNext w:val="0"/>
              <w:keepLines w:val="0"/>
              <w:pageBreakBefore w:val="0"/>
              <w:widowControl w:val="0"/>
              <w:kinsoku/>
              <w:wordWrap w:val="0"/>
              <w:overflowPunct/>
              <w:topLinePunct/>
              <w:autoSpaceDE/>
              <w:autoSpaceDN/>
              <w:bidi w:val="0"/>
              <w:adjustRightInd w:val="0"/>
              <w:snapToGrid w:val="0"/>
              <w:spacing w:line="360" w:lineRule="exact"/>
              <w:ind w:right="96" w:rightChars="40"/>
              <w:jc w:val="center"/>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SA"/>
              </w:rPr>
              <w:t>递交地点</w:t>
            </w:r>
          </w:p>
        </w:tc>
        <w:tc>
          <w:tcPr>
            <w:tcW w:w="7932" w:type="dxa"/>
            <w:tcBorders>
              <w:top w:val="single" w:color="080000" w:sz="4" w:space="0"/>
              <w:left w:val="single" w:color="080000" w:sz="4" w:space="0"/>
              <w:bottom w:val="single" w:color="080000" w:sz="4" w:space="0"/>
              <w:right w:val="single" w:color="080000" w:sz="4" w:space="0"/>
            </w:tcBorders>
            <w:vAlign w:val="center"/>
          </w:tcPr>
          <w:p w14:paraId="4046774B">
            <w:pPr>
              <w:keepNext w:val="0"/>
              <w:keepLines w:val="0"/>
              <w:pageBreakBefore w:val="0"/>
              <w:widowControl w:val="0"/>
              <w:kinsoku/>
              <w:wordWrap w:val="0"/>
              <w:overflowPunct/>
              <w:topLinePunct/>
              <w:autoSpaceDE/>
              <w:autoSpaceDN/>
              <w:bidi w:val="0"/>
              <w:adjustRightInd w:val="0"/>
              <w:snapToGrid w:val="0"/>
              <w:spacing w:line="400" w:lineRule="exact"/>
              <w:ind w:right="96" w:rightChars="40"/>
              <w:jc w:val="left"/>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SA"/>
              </w:rPr>
              <w:t>递交场所： 韶关市公共资源交易中心</w:t>
            </w:r>
            <w:r>
              <w:rPr>
                <w:rFonts w:hint="eastAsia" w:asciiTheme="minorEastAsia" w:hAnsiTheme="minorEastAsia" w:eastAsiaTheme="minorEastAsia" w:cstheme="minorEastAsia"/>
                <w:snapToGrid w:val="0"/>
                <w:color w:val="auto"/>
                <w:kern w:val="0"/>
                <w:sz w:val="24"/>
                <w:szCs w:val="24"/>
                <w:highlight w:val="none"/>
                <w:lang w:val="en-US" w:eastAsia="zh-CN"/>
              </w:rPr>
              <w:t>翁源分中心</w:t>
            </w:r>
            <w:r>
              <w:rPr>
                <w:rFonts w:hint="eastAsia" w:ascii="宋体" w:hAnsi="宋体" w:eastAsia="宋体" w:cs="宋体"/>
                <w:snapToGrid w:val="0"/>
                <w:color w:val="auto"/>
                <w:kern w:val="0"/>
                <w:sz w:val="24"/>
                <w:szCs w:val="24"/>
                <w:highlight w:val="none"/>
                <w:lang w:val="en-US" w:eastAsia="zh-CN" w:bidi="ar-SA"/>
              </w:rPr>
              <w:t>，地址：</w:t>
            </w:r>
            <w:r>
              <w:rPr>
                <w:rFonts w:hint="eastAsia" w:asciiTheme="minorEastAsia" w:hAnsiTheme="minorEastAsia" w:eastAsiaTheme="minorEastAsia" w:cstheme="minorEastAsia"/>
                <w:snapToGrid w:val="0"/>
                <w:color w:val="auto"/>
                <w:kern w:val="0"/>
                <w:sz w:val="24"/>
                <w:szCs w:val="24"/>
                <w:highlight w:val="none"/>
                <w:lang w:val="en-US" w:eastAsia="zh-CN"/>
              </w:rPr>
              <w:t>翁源县龙仙镇朝阳路63号韶关市公共资源交易中心翁源分中心</w:t>
            </w:r>
            <w:r>
              <w:rPr>
                <w:rFonts w:hint="eastAsia" w:ascii="宋体" w:hAnsi="宋体" w:eastAsia="宋体" w:cs="宋体"/>
                <w:snapToGrid w:val="0"/>
                <w:color w:val="auto"/>
                <w:kern w:val="0"/>
                <w:sz w:val="24"/>
                <w:szCs w:val="24"/>
                <w:highlight w:val="none"/>
                <w:lang w:val="en-US" w:eastAsia="zh-CN" w:bidi="ar-SA"/>
              </w:rPr>
              <w:t>，具体房间号以当日现场通知为准。</w:t>
            </w:r>
          </w:p>
        </w:tc>
      </w:tr>
      <w:tr w14:paraId="3AE67C5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trHeight w:val="920" w:hRule="atLeast"/>
        </w:trPr>
        <w:tc>
          <w:tcPr>
            <w:tcW w:w="491" w:type="dxa"/>
            <w:tcBorders>
              <w:top w:val="single" w:color="080000" w:sz="4" w:space="0"/>
              <w:left w:val="single" w:color="080000" w:sz="4" w:space="0"/>
              <w:bottom w:val="single" w:color="080000" w:sz="4" w:space="0"/>
              <w:right w:val="single" w:color="080000" w:sz="4" w:space="0"/>
            </w:tcBorders>
            <w:vAlign w:val="center"/>
          </w:tcPr>
          <w:p w14:paraId="5A26C4B5">
            <w:pPr>
              <w:pStyle w:val="90"/>
              <w:keepNext w:val="0"/>
              <w:keepLines w:val="0"/>
              <w:pageBreakBefore w:val="0"/>
              <w:widowControl w:val="0"/>
              <w:kinsoku/>
              <w:wordWrap w:val="0"/>
              <w:overflowPunct/>
              <w:topLinePunct/>
              <w:autoSpaceDE/>
              <w:autoSpaceDN/>
              <w:bidi w:val="0"/>
              <w:adjustRightInd w:val="0"/>
              <w:snapToGrid w:val="0"/>
              <w:spacing w:line="360" w:lineRule="exact"/>
              <w:ind w:right="96" w:rightChars="40"/>
              <w:jc w:val="center"/>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9</w:t>
            </w:r>
          </w:p>
        </w:tc>
        <w:tc>
          <w:tcPr>
            <w:tcW w:w="1756" w:type="dxa"/>
            <w:tcBorders>
              <w:top w:val="single" w:color="080000" w:sz="4" w:space="0"/>
              <w:left w:val="single" w:color="080000" w:sz="4" w:space="0"/>
              <w:bottom w:val="single" w:color="080000" w:sz="4" w:space="0"/>
              <w:right w:val="single" w:color="080000" w:sz="4" w:space="0"/>
            </w:tcBorders>
            <w:vAlign w:val="center"/>
          </w:tcPr>
          <w:p w14:paraId="25C68903">
            <w:pPr>
              <w:keepNext w:val="0"/>
              <w:keepLines w:val="0"/>
              <w:pageBreakBefore w:val="0"/>
              <w:widowControl w:val="0"/>
              <w:kinsoku/>
              <w:wordWrap w:val="0"/>
              <w:overflowPunct/>
              <w:topLinePunct/>
              <w:autoSpaceDE/>
              <w:autoSpaceDN/>
              <w:bidi w:val="0"/>
              <w:adjustRightInd w:val="0"/>
              <w:snapToGrid w:val="0"/>
              <w:spacing w:line="360" w:lineRule="exact"/>
              <w:ind w:right="96" w:rightChars="40"/>
              <w:jc w:val="center"/>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SA"/>
              </w:rPr>
              <w:t xml:space="preserve">开标时间 </w:t>
            </w:r>
          </w:p>
        </w:tc>
        <w:tc>
          <w:tcPr>
            <w:tcW w:w="7932" w:type="dxa"/>
            <w:tcBorders>
              <w:top w:val="single" w:color="080000" w:sz="4" w:space="0"/>
              <w:left w:val="single" w:color="080000" w:sz="4" w:space="0"/>
              <w:bottom w:val="single" w:color="080000" w:sz="4" w:space="0"/>
              <w:right w:val="single" w:color="080000" w:sz="4" w:space="0"/>
            </w:tcBorders>
            <w:vAlign w:val="center"/>
          </w:tcPr>
          <w:p w14:paraId="2ED0604D">
            <w:pPr>
              <w:keepNext w:val="0"/>
              <w:keepLines w:val="0"/>
              <w:pageBreakBefore w:val="0"/>
              <w:widowControl w:val="0"/>
              <w:kinsoku/>
              <w:wordWrap w:val="0"/>
              <w:overflowPunct/>
              <w:topLinePunct/>
              <w:autoSpaceDE/>
              <w:autoSpaceDN/>
              <w:bidi w:val="0"/>
              <w:adjustRightInd w:val="0"/>
              <w:snapToGrid w:val="0"/>
              <w:spacing w:line="400" w:lineRule="exact"/>
              <w:ind w:right="96" w:rightChars="40"/>
              <w:jc w:val="left"/>
              <w:rPr>
                <w:rFonts w:hint="eastAsia" w:ascii="宋体" w:hAnsi="宋体" w:eastAsia="宋体" w:cs="宋体"/>
                <w:b w:val="0"/>
                <w:bCs w:val="0"/>
                <w:snapToGrid w:val="0"/>
                <w:color w:val="auto"/>
                <w:kern w:val="0"/>
                <w:sz w:val="24"/>
                <w:szCs w:val="24"/>
                <w:highlight w:val="none"/>
              </w:rPr>
            </w:pPr>
            <w:r>
              <w:rPr>
                <w:rFonts w:hint="eastAsia" w:hAnsi="宋体" w:cs="宋体"/>
                <w:color w:val="auto"/>
                <w:kern w:val="0"/>
                <w:sz w:val="24"/>
                <w:szCs w:val="24"/>
                <w:highlight w:val="none"/>
                <w:u w:val="single"/>
                <w:lang w:val="en-US" w:eastAsia="zh-CN" w:bidi="ar-SA"/>
              </w:rPr>
              <w:t>2026</w:t>
            </w:r>
            <w:r>
              <w:rPr>
                <w:rFonts w:hint="eastAsia" w:ascii="宋体" w:hAnsi="宋体" w:eastAsia="宋体" w:cs="宋体"/>
                <w:color w:val="auto"/>
                <w:kern w:val="0"/>
                <w:sz w:val="24"/>
                <w:szCs w:val="24"/>
                <w:highlight w:val="none"/>
                <w:lang w:val="en-US" w:eastAsia="zh-CN" w:bidi="ar-SA"/>
              </w:rPr>
              <w:t>年</w:t>
            </w:r>
            <w:r>
              <w:rPr>
                <w:rFonts w:hint="eastAsia" w:hAnsi="宋体" w:cs="宋体"/>
                <w:color w:val="auto"/>
                <w:kern w:val="0"/>
                <w:sz w:val="24"/>
                <w:szCs w:val="24"/>
                <w:highlight w:val="none"/>
                <w:u w:val="single"/>
                <w:lang w:val="en-US" w:eastAsia="zh-CN" w:bidi="ar-SA"/>
              </w:rPr>
              <w:t>4</w:t>
            </w:r>
            <w:r>
              <w:rPr>
                <w:rFonts w:hint="eastAsia" w:ascii="宋体" w:hAnsi="宋体" w:eastAsia="宋体" w:cs="宋体"/>
                <w:color w:val="auto"/>
                <w:kern w:val="0"/>
                <w:sz w:val="24"/>
                <w:szCs w:val="24"/>
                <w:highlight w:val="none"/>
                <w:lang w:val="en-US" w:eastAsia="zh-CN" w:bidi="ar-SA"/>
              </w:rPr>
              <w:t>月</w:t>
            </w:r>
            <w:r>
              <w:rPr>
                <w:rFonts w:hint="eastAsia" w:hAnsi="宋体" w:cs="宋体"/>
                <w:color w:val="auto"/>
                <w:kern w:val="0"/>
                <w:sz w:val="24"/>
                <w:szCs w:val="24"/>
                <w:highlight w:val="none"/>
                <w:u w:val="single"/>
                <w:lang w:val="en-US" w:eastAsia="zh-CN" w:bidi="ar-SA"/>
              </w:rPr>
              <w:t>21</w:t>
            </w:r>
            <w:r>
              <w:rPr>
                <w:rFonts w:hint="eastAsia" w:ascii="宋体" w:hAnsi="宋体" w:eastAsia="宋体" w:cs="宋体"/>
                <w:color w:val="auto"/>
                <w:kern w:val="0"/>
                <w:sz w:val="24"/>
                <w:szCs w:val="24"/>
                <w:highlight w:val="none"/>
                <w:lang w:val="en-US" w:eastAsia="zh-CN" w:bidi="ar-SA"/>
              </w:rPr>
              <w:t>日</w:t>
            </w:r>
            <w:r>
              <w:rPr>
                <w:rFonts w:hint="eastAsia" w:hAnsi="宋体" w:cs="宋体"/>
                <w:color w:val="auto"/>
                <w:kern w:val="0"/>
                <w:sz w:val="24"/>
                <w:szCs w:val="24"/>
                <w:highlight w:val="none"/>
                <w:u w:val="single"/>
                <w:lang w:val="en-US" w:eastAsia="zh-CN" w:bidi="ar-SA"/>
              </w:rPr>
              <w:t>9</w:t>
            </w:r>
            <w:r>
              <w:rPr>
                <w:rFonts w:hint="eastAsia" w:ascii="宋体" w:hAnsi="宋体" w:eastAsia="宋体" w:cs="宋体"/>
                <w:color w:val="auto"/>
                <w:kern w:val="0"/>
                <w:sz w:val="24"/>
                <w:szCs w:val="24"/>
                <w:highlight w:val="none"/>
                <w:lang w:val="en-US" w:eastAsia="zh-CN" w:bidi="ar-SA"/>
              </w:rPr>
              <w:t>时</w:t>
            </w:r>
            <w:r>
              <w:rPr>
                <w:rFonts w:hint="eastAsia" w:hAnsi="宋体" w:cs="宋体"/>
                <w:color w:val="auto"/>
                <w:kern w:val="0"/>
                <w:sz w:val="24"/>
                <w:szCs w:val="24"/>
                <w:highlight w:val="none"/>
                <w:u w:val="single"/>
                <w:lang w:val="en-US" w:eastAsia="zh-CN" w:bidi="ar-SA"/>
              </w:rPr>
              <w:t>30</w:t>
            </w:r>
            <w:r>
              <w:rPr>
                <w:rFonts w:hint="eastAsia" w:ascii="宋体" w:hAnsi="宋体" w:eastAsia="宋体" w:cs="宋体"/>
                <w:color w:val="auto"/>
                <w:kern w:val="0"/>
                <w:sz w:val="24"/>
                <w:szCs w:val="24"/>
                <w:highlight w:val="none"/>
                <w:lang w:val="en-US" w:eastAsia="zh-CN" w:bidi="ar-SA"/>
              </w:rPr>
              <w:t>分</w:t>
            </w:r>
          </w:p>
        </w:tc>
      </w:tr>
      <w:tr w14:paraId="15756B7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trHeight w:val="1197" w:hRule="atLeast"/>
        </w:trPr>
        <w:tc>
          <w:tcPr>
            <w:tcW w:w="491" w:type="dxa"/>
            <w:tcBorders>
              <w:top w:val="single" w:color="080000" w:sz="4" w:space="0"/>
              <w:left w:val="single" w:color="080000" w:sz="4" w:space="0"/>
              <w:bottom w:val="single" w:color="080000" w:sz="4" w:space="0"/>
              <w:right w:val="single" w:color="080000" w:sz="4" w:space="0"/>
            </w:tcBorders>
            <w:vAlign w:val="center"/>
          </w:tcPr>
          <w:p w14:paraId="1C43D769">
            <w:pPr>
              <w:pStyle w:val="90"/>
              <w:keepNext w:val="0"/>
              <w:keepLines w:val="0"/>
              <w:pageBreakBefore w:val="0"/>
              <w:widowControl w:val="0"/>
              <w:kinsoku/>
              <w:wordWrap w:val="0"/>
              <w:overflowPunct/>
              <w:topLinePunct/>
              <w:autoSpaceDE/>
              <w:autoSpaceDN/>
              <w:bidi w:val="0"/>
              <w:adjustRightInd w:val="0"/>
              <w:snapToGrid w:val="0"/>
              <w:spacing w:line="360" w:lineRule="exact"/>
              <w:ind w:right="96" w:rightChars="40"/>
              <w:jc w:val="center"/>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10</w:t>
            </w:r>
          </w:p>
        </w:tc>
        <w:tc>
          <w:tcPr>
            <w:tcW w:w="1756" w:type="dxa"/>
            <w:tcBorders>
              <w:top w:val="single" w:color="080000" w:sz="4" w:space="0"/>
              <w:left w:val="single" w:color="080000" w:sz="4" w:space="0"/>
              <w:bottom w:val="single" w:color="080000" w:sz="4" w:space="0"/>
              <w:right w:val="single" w:color="080000" w:sz="4" w:space="0"/>
            </w:tcBorders>
            <w:vAlign w:val="center"/>
          </w:tcPr>
          <w:p w14:paraId="17EE823E">
            <w:pPr>
              <w:keepNext w:val="0"/>
              <w:keepLines w:val="0"/>
              <w:pageBreakBefore w:val="0"/>
              <w:widowControl w:val="0"/>
              <w:kinsoku/>
              <w:wordWrap w:val="0"/>
              <w:overflowPunct/>
              <w:topLinePunct/>
              <w:autoSpaceDE/>
              <w:autoSpaceDN/>
              <w:bidi w:val="0"/>
              <w:adjustRightInd w:val="0"/>
              <w:snapToGrid w:val="0"/>
              <w:spacing w:line="360" w:lineRule="exact"/>
              <w:ind w:right="96" w:rightChars="40"/>
              <w:jc w:val="center"/>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SA"/>
              </w:rPr>
              <w:t xml:space="preserve">开标地点 </w:t>
            </w:r>
          </w:p>
        </w:tc>
        <w:tc>
          <w:tcPr>
            <w:tcW w:w="7932" w:type="dxa"/>
            <w:tcBorders>
              <w:top w:val="single" w:color="080000" w:sz="4" w:space="0"/>
              <w:left w:val="single" w:color="080000" w:sz="4" w:space="0"/>
              <w:bottom w:val="single" w:color="080000" w:sz="4" w:space="0"/>
              <w:right w:val="single" w:color="080000" w:sz="4" w:space="0"/>
            </w:tcBorders>
            <w:vAlign w:val="center"/>
          </w:tcPr>
          <w:p w14:paraId="1FC1AD23">
            <w:pPr>
              <w:keepNext w:val="0"/>
              <w:keepLines w:val="0"/>
              <w:pageBreakBefore w:val="0"/>
              <w:widowControl w:val="0"/>
              <w:kinsoku/>
              <w:wordWrap w:val="0"/>
              <w:overflowPunct/>
              <w:topLinePunct/>
              <w:autoSpaceDE/>
              <w:autoSpaceDN/>
              <w:bidi w:val="0"/>
              <w:adjustRightInd w:val="0"/>
              <w:snapToGrid w:val="0"/>
              <w:spacing w:line="360" w:lineRule="exact"/>
              <w:ind w:right="96" w:rightChars="40" w:firstLine="273" w:firstLineChars="114"/>
              <w:jc w:val="left"/>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SA"/>
              </w:rPr>
              <w:t>开标地点： 韶关市公共资源交易中心</w:t>
            </w:r>
            <w:r>
              <w:rPr>
                <w:rFonts w:hint="eastAsia" w:asciiTheme="minorEastAsia" w:hAnsiTheme="minorEastAsia" w:eastAsiaTheme="minorEastAsia" w:cstheme="minorEastAsia"/>
                <w:snapToGrid w:val="0"/>
                <w:color w:val="auto"/>
                <w:kern w:val="0"/>
                <w:sz w:val="24"/>
                <w:szCs w:val="24"/>
                <w:highlight w:val="none"/>
                <w:lang w:val="en-US" w:eastAsia="zh-CN"/>
              </w:rPr>
              <w:t>翁源</w:t>
            </w:r>
            <w:r>
              <w:rPr>
                <w:rFonts w:hint="eastAsia" w:ascii="宋体" w:hAnsi="宋体" w:eastAsia="宋体" w:cs="宋体"/>
                <w:snapToGrid w:val="0"/>
                <w:color w:val="auto"/>
                <w:kern w:val="0"/>
                <w:sz w:val="24"/>
                <w:szCs w:val="24"/>
                <w:highlight w:val="none"/>
                <w:lang w:val="en-US" w:eastAsia="zh-CN" w:bidi="ar-SA"/>
              </w:rPr>
              <w:t>分中心，地址：</w:t>
            </w:r>
            <w:r>
              <w:rPr>
                <w:rFonts w:hint="eastAsia" w:asciiTheme="minorEastAsia" w:hAnsiTheme="minorEastAsia" w:eastAsiaTheme="minorEastAsia" w:cstheme="minorEastAsia"/>
                <w:snapToGrid w:val="0"/>
                <w:color w:val="auto"/>
                <w:kern w:val="0"/>
                <w:sz w:val="24"/>
                <w:szCs w:val="24"/>
                <w:highlight w:val="none"/>
                <w:lang w:val="en-US" w:eastAsia="zh-CN"/>
              </w:rPr>
              <w:t>翁源县龙仙镇朝阳路63号韶关市公共资源交易中心翁源分中心</w:t>
            </w:r>
            <w:r>
              <w:rPr>
                <w:rFonts w:hint="eastAsia" w:ascii="宋体" w:hAnsi="宋体" w:eastAsia="宋体" w:cs="宋体"/>
                <w:snapToGrid w:val="0"/>
                <w:color w:val="auto"/>
                <w:kern w:val="0"/>
                <w:sz w:val="24"/>
                <w:szCs w:val="24"/>
                <w:highlight w:val="none"/>
                <w:lang w:val="en-US" w:eastAsia="zh-CN" w:bidi="ar-SA"/>
              </w:rPr>
              <w:t>，具体房间号以当日现场通知为准。</w:t>
            </w:r>
          </w:p>
        </w:tc>
      </w:tr>
      <w:tr w14:paraId="3B00E9C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trHeight w:val="1732" w:hRule="atLeast"/>
        </w:trPr>
        <w:tc>
          <w:tcPr>
            <w:tcW w:w="2247" w:type="dxa"/>
            <w:gridSpan w:val="2"/>
            <w:tcBorders>
              <w:top w:val="single" w:color="080000" w:sz="4" w:space="0"/>
              <w:left w:val="single" w:color="080000" w:sz="4" w:space="0"/>
              <w:bottom w:val="single" w:color="080000" w:sz="4" w:space="0"/>
              <w:right w:val="single" w:color="080000" w:sz="4" w:space="0"/>
            </w:tcBorders>
            <w:vAlign w:val="center"/>
          </w:tcPr>
          <w:p w14:paraId="1338FC7C">
            <w:pPr>
              <w:pStyle w:val="90"/>
              <w:keepNext w:val="0"/>
              <w:keepLines w:val="0"/>
              <w:pageBreakBefore w:val="0"/>
              <w:widowControl w:val="0"/>
              <w:kinsoku/>
              <w:wordWrap w:val="0"/>
              <w:overflowPunct/>
              <w:topLinePunct/>
              <w:autoSpaceDE/>
              <w:autoSpaceDN/>
              <w:bidi w:val="0"/>
              <w:adjustRightInd w:val="0"/>
              <w:snapToGrid w:val="0"/>
              <w:spacing w:line="360" w:lineRule="exact"/>
              <w:ind w:right="96" w:rightChars="40"/>
              <w:jc w:val="center"/>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备注</w:t>
            </w:r>
          </w:p>
        </w:tc>
        <w:tc>
          <w:tcPr>
            <w:tcW w:w="7932" w:type="dxa"/>
            <w:tcBorders>
              <w:top w:val="single" w:color="080000" w:sz="4" w:space="0"/>
              <w:left w:val="single" w:color="080000" w:sz="4" w:space="0"/>
              <w:bottom w:val="single" w:color="080000" w:sz="4" w:space="0"/>
              <w:right w:val="single" w:color="080000" w:sz="4" w:space="0"/>
            </w:tcBorders>
            <w:vAlign w:val="center"/>
          </w:tcPr>
          <w:p w14:paraId="09CD714A">
            <w:pPr>
              <w:pStyle w:val="90"/>
              <w:keepNext w:val="0"/>
              <w:keepLines w:val="0"/>
              <w:pageBreakBefore w:val="0"/>
              <w:widowControl w:val="0"/>
              <w:kinsoku/>
              <w:wordWrap w:val="0"/>
              <w:overflowPunct/>
              <w:topLinePunct/>
              <w:autoSpaceDE/>
              <w:autoSpaceDN/>
              <w:bidi w:val="0"/>
              <w:adjustRightInd w:val="0"/>
              <w:snapToGrid w:val="0"/>
              <w:spacing w:line="400" w:lineRule="exact"/>
              <w:ind w:right="96" w:rightChars="40" w:firstLine="240" w:firstLineChars="100"/>
              <w:jc w:val="left"/>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投标人应按有关计划时间安排办理企业CA认证、企业入库等，获取招标文件后自行下载招标文件、资料文件及招标答疑书等。若由于投标人自身原因未能及时取得上述资料的，由此发生的任何责任由投标人自负。</w:t>
            </w:r>
          </w:p>
        </w:tc>
      </w:tr>
    </w:tbl>
    <w:p w14:paraId="2ED65E25">
      <w:pPr>
        <w:pStyle w:val="42"/>
        <w:rPr>
          <w:color w:val="auto"/>
          <w:highlight w:val="none"/>
        </w:rPr>
        <w:sectPr>
          <w:endnotePr>
            <w:numFmt w:val="decimal"/>
          </w:endnotePr>
          <w:pgSz w:w="11906" w:h="16838"/>
          <w:pgMar w:top="1417" w:right="1417" w:bottom="1417" w:left="1417" w:header="850" w:footer="992" w:gutter="0"/>
          <w:pgNumType w:fmt="decimal"/>
          <w:cols w:space="0" w:num="1"/>
          <w:docGrid w:linePitch="327" w:charSpace="0"/>
        </w:sectPr>
      </w:pPr>
    </w:p>
    <w:p w14:paraId="59BCED9A">
      <w:pPr>
        <w:pStyle w:val="4"/>
        <w:keepNext w:val="0"/>
        <w:keepLines w:val="0"/>
        <w:pageBreakBefore w:val="0"/>
        <w:topLinePunct w:val="0"/>
        <w:bidi w:val="0"/>
        <w:spacing w:line="500" w:lineRule="exact"/>
        <w:textAlignment w:val="auto"/>
        <w:rPr>
          <w:b/>
          <w:bCs/>
          <w:color w:val="auto"/>
          <w:highlight w:val="none"/>
        </w:rPr>
      </w:pPr>
      <w:bookmarkStart w:id="10" w:name="_Hlt87793819"/>
      <w:bookmarkEnd w:id="10"/>
      <w:bookmarkStart w:id="11" w:name="_Toc16304"/>
      <w:bookmarkStart w:id="12" w:name="_Toc29916"/>
      <w:bookmarkStart w:id="13" w:name="_Hlt69698754"/>
      <w:bookmarkStart w:id="14" w:name="_Hlt69698705"/>
      <w:r>
        <w:rPr>
          <w:rFonts w:hint="eastAsia"/>
          <w:b/>
          <w:bCs/>
          <w:color w:val="auto"/>
          <w:highlight w:val="none"/>
        </w:rPr>
        <w:t>第三节 投标人须知</w:t>
      </w:r>
      <w:bookmarkStart w:id="15" w:name="_Hlt69669159"/>
      <w:bookmarkEnd w:id="15"/>
      <w:r>
        <w:rPr>
          <w:rFonts w:hint="eastAsia"/>
          <w:b/>
          <w:bCs/>
          <w:color w:val="auto"/>
          <w:highlight w:val="none"/>
        </w:rPr>
        <w:t>正文</w:t>
      </w:r>
      <w:bookmarkEnd w:id="11"/>
      <w:bookmarkEnd w:id="12"/>
    </w:p>
    <w:bookmarkEnd w:id="13"/>
    <w:bookmarkEnd w:id="14"/>
    <w:p w14:paraId="1CAD0699">
      <w:pPr>
        <w:pStyle w:val="11"/>
        <w:keepNext w:val="0"/>
        <w:keepLines w:val="0"/>
        <w:pageBreakBefore w:val="0"/>
        <w:widowControl w:val="0"/>
        <w:tabs>
          <w:tab w:val="left" w:pos="1890"/>
        </w:tabs>
        <w:kinsoku w:val="0"/>
        <w:wordWrap w:val="0"/>
        <w:overflowPunct w:val="0"/>
        <w:topLinePunct w:val="0"/>
        <w:autoSpaceDE w:val="0"/>
        <w:autoSpaceDN w:val="0"/>
        <w:bidi w:val="0"/>
        <w:adjustRightInd/>
        <w:snapToGrid/>
        <w:spacing w:line="500" w:lineRule="exact"/>
        <w:ind w:firstLine="480" w:firstLineChars="200"/>
        <w:textAlignment w:val="auto"/>
        <w:rPr>
          <w:rFonts w:hint="eastAsia" w:ascii="宋体" w:hAnsi="宋体" w:eastAsia="宋体" w:cs="宋体"/>
          <w:color w:val="auto"/>
          <w:sz w:val="24"/>
          <w:highlight w:val="none"/>
        </w:rPr>
      </w:pPr>
      <w:r>
        <w:rPr>
          <w:rFonts w:hint="eastAsia" w:hAnsi="宋体" w:cs="宋体"/>
          <w:color w:val="auto"/>
          <w:sz w:val="24"/>
          <w:szCs w:val="24"/>
          <w:highlight w:val="none"/>
          <w:u w:val="single"/>
          <w:lang w:val="en-US" w:eastAsia="zh-CN"/>
        </w:rPr>
        <w:t>翁源产业园区产城融合基础设施配套项目（电源工业基地标准厂房）全过程监理</w:t>
      </w:r>
      <w:r>
        <w:rPr>
          <w:rFonts w:hint="eastAsia" w:ascii="宋体" w:hAnsi="宋体" w:eastAsia="宋体" w:cs="宋体"/>
          <w:color w:val="auto"/>
          <w:sz w:val="24"/>
          <w:szCs w:val="24"/>
          <w:highlight w:val="none"/>
          <w:u w:val="none"/>
          <w:lang w:val="en-US" w:eastAsia="zh-CN"/>
        </w:rPr>
        <w:t>业</w:t>
      </w:r>
      <w:r>
        <w:rPr>
          <w:rFonts w:hint="eastAsia" w:ascii="宋体" w:hAnsi="宋体" w:eastAsia="宋体" w:cs="宋体"/>
          <w:color w:val="auto"/>
          <w:kern w:val="0"/>
          <w:sz w:val="24"/>
          <w:szCs w:val="22"/>
          <w:highlight w:val="none"/>
        </w:rPr>
        <w:t>经</w:t>
      </w:r>
      <w:r>
        <w:rPr>
          <w:rFonts w:hint="eastAsia" w:hAnsi="宋体" w:cs="宋体"/>
          <w:b w:val="0"/>
          <w:bCs w:val="0"/>
          <w:color w:val="auto"/>
          <w:kern w:val="0"/>
          <w:sz w:val="24"/>
          <w:szCs w:val="22"/>
          <w:highlight w:val="none"/>
          <w:u w:val="single"/>
          <w:lang w:val="en-US" w:eastAsia="zh-CN"/>
        </w:rPr>
        <w:t>翁源县发展和改革局</w:t>
      </w:r>
      <w:r>
        <w:rPr>
          <w:rFonts w:hint="eastAsia" w:ascii="宋体" w:hAnsi="宋体" w:eastAsia="宋体" w:cs="宋体"/>
          <w:color w:val="auto"/>
          <w:kern w:val="0"/>
          <w:sz w:val="24"/>
          <w:szCs w:val="22"/>
          <w:highlight w:val="none"/>
        </w:rPr>
        <w:t>以</w:t>
      </w:r>
      <w:r>
        <w:rPr>
          <w:rFonts w:hint="eastAsia" w:ascii="宋体" w:hAnsi="宋体" w:eastAsia="宋体" w:cs="宋体"/>
          <w:color w:val="auto"/>
          <w:kern w:val="0"/>
          <w:sz w:val="24"/>
          <w:szCs w:val="22"/>
          <w:highlight w:val="none"/>
          <w:u w:val="single"/>
          <w:lang w:eastAsia="zh-CN"/>
        </w:rPr>
        <w:t>《</w:t>
      </w:r>
      <w:r>
        <w:rPr>
          <w:rFonts w:hint="eastAsia" w:ascii="宋体" w:hAnsi="宋体" w:eastAsia="宋体" w:cs="宋体"/>
          <w:color w:val="auto"/>
          <w:kern w:val="0"/>
          <w:sz w:val="24"/>
          <w:szCs w:val="22"/>
          <w:highlight w:val="none"/>
          <w:u w:val="single"/>
        </w:rPr>
        <w:t>翁源县发展和改革局关于翁源产业园区产城融合基础设施配套项目可行性研究报告的批复</w:t>
      </w:r>
      <w:r>
        <w:rPr>
          <w:rFonts w:hint="eastAsia" w:ascii="宋体" w:hAnsi="宋体" w:eastAsia="宋体" w:cs="宋体"/>
          <w:color w:val="auto"/>
          <w:kern w:val="0"/>
          <w:sz w:val="24"/>
          <w:szCs w:val="22"/>
          <w:highlight w:val="none"/>
          <w:u w:val="single"/>
          <w:lang w:eastAsia="zh-CN"/>
        </w:rPr>
        <w:t>》（</w:t>
      </w:r>
      <w:r>
        <w:rPr>
          <w:rFonts w:hint="eastAsia" w:ascii="宋体" w:hAnsi="宋体" w:eastAsia="宋体" w:cs="宋体"/>
          <w:color w:val="auto"/>
          <w:kern w:val="0"/>
          <w:sz w:val="24"/>
          <w:szCs w:val="22"/>
          <w:highlight w:val="none"/>
          <w:u w:val="single"/>
          <w:lang w:val="en-US" w:eastAsia="zh-CN"/>
        </w:rPr>
        <w:t>翁发改投审〔2021〕13号</w:t>
      </w:r>
      <w:r>
        <w:rPr>
          <w:rFonts w:hint="eastAsia" w:ascii="宋体" w:hAnsi="宋体" w:eastAsia="宋体" w:cs="宋体"/>
          <w:color w:val="auto"/>
          <w:kern w:val="0"/>
          <w:sz w:val="24"/>
          <w:szCs w:val="22"/>
          <w:highlight w:val="none"/>
          <w:u w:val="single"/>
          <w:lang w:eastAsia="zh-CN"/>
        </w:rPr>
        <w:t>）</w:t>
      </w:r>
      <w:r>
        <w:rPr>
          <w:rFonts w:hint="eastAsia" w:hAnsi="宋体" w:cs="宋体"/>
          <w:color w:val="auto"/>
          <w:kern w:val="0"/>
          <w:sz w:val="24"/>
          <w:szCs w:val="22"/>
          <w:highlight w:val="none"/>
          <w:u w:val="single"/>
          <w:lang w:eastAsia="zh-CN"/>
        </w:rPr>
        <w:t>、</w:t>
      </w:r>
      <w:r>
        <w:rPr>
          <w:rFonts w:hint="eastAsia" w:ascii="宋体" w:hAnsi="宋体" w:eastAsia="宋体" w:cs="宋体"/>
          <w:color w:val="auto"/>
          <w:kern w:val="0"/>
          <w:sz w:val="24"/>
          <w:szCs w:val="22"/>
          <w:highlight w:val="none"/>
          <w:u w:val="single"/>
          <w:lang w:eastAsia="zh-CN"/>
        </w:rPr>
        <w:t>《翁源县发展和改革局关于翁源产业园区产城融合基础设施配套项目变更的复函》（</w:t>
      </w:r>
      <w:r>
        <w:rPr>
          <w:rFonts w:hint="eastAsia" w:ascii="宋体" w:hAnsi="宋体" w:eastAsia="宋体" w:cs="宋体"/>
          <w:color w:val="auto"/>
          <w:kern w:val="0"/>
          <w:sz w:val="24"/>
          <w:szCs w:val="22"/>
          <w:highlight w:val="none"/>
          <w:u w:val="single"/>
          <w:lang w:val="en-US" w:eastAsia="zh-CN"/>
        </w:rPr>
        <w:t>翁发改投审〔2025〕50号</w:t>
      </w:r>
      <w:r>
        <w:rPr>
          <w:rFonts w:hint="eastAsia" w:ascii="宋体" w:hAnsi="宋体" w:eastAsia="宋体" w:cs="宋体"/>
          <w:color w:val="auto"/>
          <w:kern w:val="0"/>
          <w:sz w:val="24"/>
          <w:szCs w:val="22"/>
          <w:highlight w:val="none"/>
          <w:u w:val="single"/>
          <w:lang w:eastAsia="zh-CN"/>
        </w:rPr>
        <w:t>）</w:t>
      </w:r>
      <w:r>
        <w:rPr>
          <w:rFonts w:hint="eastAsia" w:ascii="宋体" w:hAnsi="宋体" w:eastAsia="宋体" w:cs="宋体"/>
          <w:color w:val="auto"/>
          <w:kern w:val="0"/>
          <w:sz w:val="24"/>
          <w:szCs w:val="22"/>
          <w:highlight w:val="none"/>
        </w:rPr>
        <w:t>文批准建设，项目代码为</w:t>
      </w:r>
      <w:r>
        <w:rPr>
          <w:rFonts w:hint="eastAsia" w:ascii="宋体" w:hAnsi="宋体" w:eastAsia="宋体" w:cs="宋体"/>
          <w:color w:val="auto"/>
          <w:kern w:val="0"/>
          <w:sz w:val="24"/>
          <w:szCs w:val="22"/>
          <w:highlight w:val="none"/>
          <w:u w:val="single"/>
          <w:lang w:val="en-US" w:eastAsia="zh-CN"/>
        </w:rPr>
        <w:t>2110-440229-04-01-834756</w:t>
      </w:r>
      <w:r>
        <w:rPr>
          <w:rFonts w:hint="eastAsia" w:ascii="宋体" w:hAnsi="宋体" w:eastAsia="宋体" w:cs="宋体"/>
          <w:color w:val="auto"/>
          <w:kern w:val="0"/>
          <w:sz w:val="24"/>
          <w:szCs w:val="22"/>
          <w:highlight w:val="none"/>
        </w:rPr>
        <w:t>。本项目业主为</w:t>
      </w:r>
      <w:r>
        <w:rPr>
          <w:rFonts w:hint="eastAsia" w:hAnsi="宋体" w:cs="宋体"/>
          <w:color w:val="auto"/>
          <w:kern w:val="0"/>
          <w:sz w:val="24"/>
          <w:szCs w:val="22"/>
          <w:highlight w:val="none"/>
          <w:u w:val="single"/>
          <w:lang w:val="en-US" w:eastAsia="zh-CN"/>
        </w:rPr>
        <w:t>广东翁源经济开发区管理委员会</w:t>
      </w:r>
      <w:r>
        <w:rPr>
          <w:rFonts w:hint="eastAsia" w:ascii="宋体" w:hAnsi="宋体" w:eastAsia="宋体" w:cs="宋体"/>
          <w:color w:val="auto"/>
          <w:kern w:val="0"/>
          <w:sz w:val="24"/>
          <w:szCs w:val="22"/>
          <w:highlight w:val="none"/>
        </w:rPr>
        <w:t>，建设资金来自</w:t>
      </w:r>
      <w:r>
        <w:rPr>
          <w:rFonts w:hint="eastAsia" w:hAnsi="宋体" w:cs="宋体"/>
          <w:color w:val="auto"/>
          <w:kern w:val="0"/>
          <w:sz w:val="24"/>
          <w:szCs w:val="22"/>
          <w:highlight w:val="none"/>
          <w:u w:val="single"/>
          <w:lang w:val="en-US" w:eastAsia="zh-CN"/>
        </w:rPr>
        <w:t>地方政府专项债券、县级统筹资金和厚街翁源对口帮扶协作资金</w:t>
      </w:r>
      <w:r>
        <w:rPr>
          <w:rFonts w:hint="eastAsia" w:ascii="宋体" w:hAnsi="宋体" w:eastAsia="宋体" w:cs="宋体"/>
          <w:color w:val="auto"/>
          <w:kern w:val="0"/>
          <w:sz w:val="24"/>
          <w:szCs w:val="22"/>
          <w:highlight w:val="none"/>
        </w:rPr>
        <w:t>，招标人为</w:t>
      </w:r>
      <w:r>
        <w:rPr>
          <w:rFonts w:hint="eastAsia" w:hAnsi="宋体" w:cs="宋体"/>
          <w:color w:val="auto"/>
          <w:kern w:val="0"/>
          <w:sz w:val="24"/>
          <w:szCs w:val="22"/>
          <w:highlight w:val="none"/>
          <w:u w:val="single"/>
          <w:lang w:val="en-US" w:eastAsia="zh-CN"/>
        </w:rPr>
        <w:t>广东翁源经济开发区管理委员会</w:t>
      </w:r>
      <w:r>
        <w:rPr>
          <w:rFonts w:hint="eastAsia" w:ascii="宋体" w:hAnsi="宋体" w:eastAsia="宋体" w:cs="宋体"/>
          <w:color w:val="auto"/>
          <w:kern w:val="0"/>
          <w:sz w:val="24"/>
          <w:szCs w:val="22"/>
          <w:highlight w:val="none"/>
        </w:rPr>
        <w:t>，招标代理机构为</w:t>
      </w:r>
      <w:r>
        <w:rPr>
          <w:rFonts w:hint="eastAsia" w:hAnsi="宋体" w:cs="宋体"/>
          <w:color w:val="auto"/>
          <w:kern w:val="0"/>
          <w:sz w:val="24"/>
          <w:szCs w:val="22"/>
          <w:highlight w:val="none"/>
          <w:u w:val="single"/>
          <w:lang w:val="en-US" w:eastAsia="zh-CN"/>
        </w:rPr>
        <w:t>汇龙工程咨询有限公司</w:t>
      </w:r>
      <w:r>
        <w:rPr>
          <w:rFonts w:hint="eastAsia" w:ascii="宋体" w:hAnsi="宋体" w:eastAsia="宋体" w:cs="宋体"/>
          <w:color w:val="auto"/>
          <w:kern w:val="0"/>
          <w:sz w:val="24"/>
          <w:szCs w:val="22"/>
          <w:highlight w:val="none"/>
        </w:rPr>
        <w:t>。项目已具备招标条件，现对该项目</w:t>
      </w:r>
      <w:r>
        <w:rPr>
          <w:rFonts w:hint="eastAsia" w:ascii="宋体" w:hAnsi="宋体" w:eastAsia="宋体" w:cs="宋体"/>
          <w:color w:val="auto"/>
          <w:kern w:val="0"/>
          <w:sz w:val="24"/>
          <w:szCs w:val="22"/>
          <w:highlight w:val="none"/>
          <w:lang w:val="en-US" w:eastAsia="zh-CN"/>
        </w:rPr>
        <w:t>的</w:t>
      </w:r>
      <w:r>
        <w:rPr>
          <w:rFonts w:hint="eastAsia" w:hAnsi="宋体" w:cs="宋体"/>
          <w:color w:val="auto"/>
          <w:sz w:val="24"/>
          <w:szCs w:val="24"/>
          <w:highlight w:val="none"/>
          <w:u w:val="single"/>
          <w:lang w:val="en-US" w:eastAsia="zh-CN"/>
        </w:rPr>
        <w:t>项目全过程监理服务</w:t>
      </w:r>
      <w:r>
        <w:rPr>
          <w:rFonts w:hint="eastAsia" w:ascii="宋体" w:hAnsi="宋体" w:eastAsia="宋体" w:cs="宋体"/>
          <w:color w:val="auto"/>
          <w:kern w:val="0"/>
          <w:sz w:val="24"/>
          <w:szCs w:val="22"/>
          <w:highlight w:val="none"/>
        </w:rPr>
        <w:t>进行公开招标。</w:t>
      </w:r>
    </w:p>
    <w:p w14:paraId="6E939B6A">
      <w:pPr>
        <w:pStyle w:val="90"/>
        <w:keepNext w:val="0"/>
        <w:keepLines w:val="0"/>
        <w:pageBreakBefore w:val="0"/>
        <w:wordWrap w:val="0"/>
        <w:topLinePunct w:val="0"/>
        <w:bidi w:val="0"/>
        <w:adjustRightInd w:val="0"/>
        <w:snapToGrid w:val="0"/>
        <w:spacing w:line="500" w:lineRule="exact"/>
        <w:ind w:firstLine="480"/>
        <w:jc w:val="left"/>
        <w:textAlignment w:val="auto"/>
        <w:outlineLvl w:val="2"/>
        <w:rPr>
          <w:b/>
          <w:bCs/>
          <w:snapToGrid w:val="0"/>
          <w:color w:val="auto"/>
          <w:kern w:val="0"/>
          <w:sz w:val="24"/>
          <w:highlight w:val="none"/>
        </w:rPr>
      </w:pPr>
      <w:bookmarkStart w:id="16" w:name="_Toc9487"/>
      <w:r>
        <w:rPr>
          <w:rFonts w:hint="eastAsia"/>
          <w:b/>
          <w:bCs/>
          <w:snapToGrid w:val="0"/>
          <w:color w:val="auto"/>
          <w:kern w:val="0"/>
          <w:sz w:val="24"/>
          <w:highlight w:val="none"/>
        </w:rPr>
        <w:t>1．项目概况、招标范围和标段划分、投标费用</w:t>
      </w:r>
      <w:bookmarkEnd w:id="16"/>
    </w:p>
    <w:p w14:paraId="5A9B532C">
      <w:pPr>
        <w:pStyle w:val="90"/>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1.1</w:t>
      </w:r>
      <w:r>
        <w:rPr>
          <w:rFonts w:hint="eastAsia" w:ascii="宋体" w:hAnsi="宋体" w:cs="宋体"/>
          <w:snapToGrid w:val="0"/>
          <w:color w:val="auto"/>
          <w:kern w:val="0"/>
          <w:sz w:val="24"/>
          <w:highlight w:val="none"/>
        </w:rPr>
        <w:t xml:space="preserve"> 项目概况</w:t>
      </w:r>
    </w:p>
    <w:p w14:paraId="457EF3D7">
      <w:pPr>
        <w:pStyle w:val="90"/>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1.1.1</w:t>
      </w:r>
      <w:r>
        <w:rPr>
          <w:rFonts w:hint="eastAsia" w:ascii="宋体" w:hAnsi="宋体" w:cs="宋体"/>
          <w:snapToGrid w:val="0"/>
          <w:color w:val="auto"/>
          <w:kern w:val="0"/>
          <w:sz w:val="24"/>
          <w:highlight w:val="none"/>
        </w:rPr>
        <w:t xml:space="preserve"> 建设地点：翁源产业园区</w:t>
      </w:r>
    </w:p>
    <w:p w14:paraId="538AC66F">
      <w:pPr>
        <w:pStyle w:val="90"/>
        <w:keepNext w:val="0"/>
        <w:keepLines w:val="0"/>
        <w:pageBreakBefore w:val="0"/>
        <w:wordWrap w:val="0"/>
        <w:topLinePunct w:val="0"/>
        <w:bidi w:val="0"/>
        <w:adjustRightInd w:val="0"/>
        <w:snapToGrid w:val="0"/>
        <w:spacing w:line="500" w:lineRule="exact"/>
        <w:ind w:firstLine="480"/>
        <w:jc w:val="left"/>
        <w:textAlignment w:val="auto"/>
        <w:rPr>
          <w:rFonts w:hint="eastAsia" w:ascii="宋体" w:hAnsi="宋体" w:cs="宋体"/>
          <w:b w:val="0"/>
          <w:bCs w:val="0"/>
          <w:snapToGrid w:val="0"/>
          <w:color w:val="auto"/>
          <w:kern w:val="0"/>
          <w:sz w:val="24"/>
          <w:highlight w:val="none"/>
          <w:lang w:val="en-US" w:eastAsia="zh-CN"/>
        </w:rPr>
      </w:pPr>
      <w:r>
        <w:rPr>
          <w:rFonts w:hint="eastAsia" w:ascii="宋体" w:hAnsi="宋体" w:cs="宋体"/>
          <w:b/>
          <w:bCs/>
          <w:snapToGrid w:val="0"/>
          <w:color w:val="auto"/>
          <w:kern w:val="0"/>
          <w:sz w:val="24"/>
          <w:highlight w:val="none"/>
          <w:lang w:val="en-US" w:eastAsia="zh-CN"/>
        </w:rPr>
        <w:t xml:space="preserve">1.1.2 </w:t>
      </w:r>
      <w:r>
        <w:rPr>
          <w:rFonts w:hint="eastAsia" w:ascii="宋体" w:hAnsi="宋体" w:cs="宋体"/>
          <w:b w:val="0"/>
          <w:bCs w:val="0"/>
          <w:snapToGrid w:val="0"/>
          <w:color w:val="auto"/>
          <w:kern w:val="0"/>
          <w:sz w:val="24"/>
          <w:highlight w:val="none"/>
          <w:lang w:val="en-US" w:eastAsia="zh-CN"/>
        </w:rPr>
        <w:t>建设内容：该项目用地面积20787㎡，具体建设内容如下:新建1栋单层钢结构厂房(长100米x宽55米x高15.45米)，建筑面积5500㎡，新建1栋两层框架结构商务和生活配套设施(长28米x宽18米x高8.25米)，建筑面积1054.89㎡;新建1个单层框架结构值班室，建筑面积15㎡。同时，对地块内原有厂房(建筑面积3232.41㎡)进行改造，增设侧墙及设备用房，并在用地红线范围内开展场地平整、混凝土路面浇筑、新建围墙及绿化种植等。</w:t>
      </w:r>
    </w:p>
    <w:p w14:paraId="2E42ACE0">
      <w:pPr>
        <w:pStyle w:val="90"/>
        <w:keepNext w:val="0"/>
        <w:keepLines w:val="0"/>
        <w:pageBreakBefore w:val="0"/>
        <w:wordWrap w:val="0"/>
        <w:topLinePunct w:val="0"/>
        <w:bidi w:val="0"/>
        <w:adjustRightInd w:val="0"/>
        <w:snapToGrid w:val="0"/>
        <w:spacing w:line="500" w:lineRule="exact"/>
        <w:ind w:firstLine="480"/>
        <w:jc w:val="left"/>
        <w:textAlignment w:val="auto"/>
        <w:rPr>
          <w:rFonts w:hint="default" w:ascii="宋体" w:hAnsi="宋体" w:eastAsia="宋体" w:cs="宋体"/>
          <w:snapToGrid w:val="0"/>
          <w:color w:val="auto"/>
          <w:kern w:val="0"/>
          <w:sz w:val="24"/>
          <w:szCs w:val="24"/>
          <w:highlight w:val="none"/>
          <w:lang w:val="en-US" w:eastAsia="zh-CN"/>
        </w:rPr>
      </w:pPr>
      <w:r>
        <w:rPr>
          <w:rFonts w:hint="eastAsia" w:ascii="宋体" w:hAnsi="宋体" w:cs="宋体"/>
          <w:b/>
          <w:bCs/>
          <w:snapToGrid w:val="0"/>
          <w:color w:val="auto"/>
          <w:kern w:val="0"/>
          <w:sz w:val="24"/>
          <w:highlight w:val="none"/>
        </w:rPr>
        <w:t xml:space="preserve">1.1.3 </w:t>
      </w:r>
      <w:r>
        <w:rPr>
          <w:rFonts w:hint="eastAsia" w:ascii="宋体" w:hAnsi="宋体" w:eastAsia="宋体" w:cs="宋体"/>
          <w:snapToGrid w:val="0"/>
          <w:color w:val="auto"/>
          <w:kern w:val="0"/>
          <w:sz w:val="24"/>
          <w:szCs w:val="24"/>
          <w:highlight w:val="none"/>
          <w:lang w:val="en-US" w:eastAsia="zh-CN"/>
        </w:rPr>
        <w:t>项目总投资：</w:t>
      </w:r>
      <w:r>
        <w:rPr>
          <w:rFonts w:hint="eastAsia" w:ascii="宋体" w:hAnsi="宋体" w:cs="宋体"/>
          <w:snapToGrid w:val="0"/>
          <w:color w:val="auto"/>
          <w:kern w:val="0"/>
          <w:sz w:val="24"/>
          <w:szCs w:val="24"/>
          <w:highlight w:val="none"/>
          <w:lang w:val="en-US" w:eastAsia="zh-CN"/>
        </w:rPr>
        <w:t>项目总投资</w:t>
      </w:r>
      <w:r>
        <w:rPr>
          <w:rFonts w:hint="eastAsia" w:ascii="宋体" w:hAnsi="宋体" w:eastAsia="宋体" w:cs="宋体"/>
          <w:snapToGrid w:val="0"/>
          <w:color w:val="auto"/>
          <w:kern w:val="0"/>
          <w:sz w:val="24"/>
          <w:szCs w:val="24"/>
          <w:highlight w:val="none"/>
          <w:lang w:val="en-US" w:eastAsia="zh-CN"/>
        </w:rPr>
        <w:t>397</w:t>
      </w:r>
      <w:r>
        <w:rPr>
          <w:rFonts w:hint="eastAsia" w:ascii="宋体" w:hAnsi="宋体" w:cs="宋体"/>
          <w:snapToGrid w:val="0"/>
          <w:color w:val="auto"/>
          <w:kern w:val="0"/>
          <w:sz w:val="24"/>
          <w:szCs w:val="24"/>
          <w:highlight w:val="none"/>
          <w:lang w:val="en-US" w:eastAsia="zh-CN"/>
        </w:rPr>
        <w:t>9</w:t>
      </w:r>
      <w:r>
        <w:rPr>
          <w:rFonts w:hint="eastAsia" w:ascii="宋体" w:hAnsi="宋体" w:eastAsia="宋体" w:cs="宋体"/>
          <w:snapToGrid w:val="0"/>
          <w:color w:val="auto"/>
          <w:kern w:val="0"/>
          <w:sz w:val="24"/>
          <w:szCs w:val="24"/>
          <w:highlight w:val="none"/>
          <w:lang w:val="en-US" w:eastAsia="zh-CN"/>
        </w:rPr>
        <w:t>.7</w:t>
      </w:r>
      <w:r>
        <w:rPr>
          <w:rFonts w:hint="eastAsia" w:ascii="宋体" w:hAnsi="宋体" w:cs="宋体"/>
          <w:snapToGrid w:val="0"/>
          <w:color w:val="auto"/>
          <w:kern w:val="0"/>
          <w:sz w:val="24"/>
          <w:szCs w:val="24"/>
          <w:highlight w:val="none"/>
          <w:lang w:val="en-US" w:eastAsia="zh-CN"/>
        </w:rPr>
        <w:t>5</w:t>
      </w:r>
      <w:r>
        <w:rPr>
          <w:rFonts w:hint="eastAsia" w:ascii="宋体" w:hAnsi="宋体" w:eastAsia="宋体" w:cs="宋体"/>
          <w:snapToGrid w:val="0"/>
          <w:color w:val="auto"/>
          <w:kern w:val="0"/>
          <w:sz w:val="24"/>
          <w:szCs w:val="24"/>
          <w:highlight w:val="none"/>
          <w:lang w:val="en-US" w:eastAsia="zh-CN"/>
        </w:rPr>
        <w:t>万元，其中建安费2602.04万元。</w:t>
      </w:r>
    </w:p>
    <w:p w14:paraId="737B5441">
      <w:pPr>
        <w:pStyle w:val="90"/>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b/>
          <w:bCs/>
          <w:snapToGrid w:val="0"/>
          <w:color w:val="auto"/>
          <w:kern w:val="0"/>
          <w:sz w:val="24"/>
          <w:highlight w:val="none"/>
        </w:rPr>
      </w:pPr>
      <w:r>
        <w:rPr>
          <w:rFonts w:hint="eastAsia" w:ascii="宋体" w:hAnsi="宋体" w:cs="宋体"/>
          <w:b/>
          <w:bCs/>
          <w:snapToGrid w:val="0"/>
          <w:color w:val="auto"/>
          <w:kern w:val="0"/>
          <w:sz w:val="24"/>
          <w:highlight w:val="none"/>
        </w:rPr>
        <w:t xml:space="preserve">1.2 </w:t>
      </w:r>
      <w:r>
        <w:rPr>
          <w:rFonts w:hint="eastAsia" w:ascii="宋体" w:hAnsi="宋体" w:cs="宋体"/>
          <w:snapToGrid w:val="0"/>
          <w:color w:val="auto"/>
          <w:kern w:val="0"/>
          <w:sz w:val="24"/>
          <w:highlight w:val="none"/>
        </w:rPr>
        <w:t>招标范围和标段划分</w:t>
      </w:r>
    </w:p>
    <w:p w14:paraId="5C8BB663">
      <w:pPr>
        <w:pStyle w:val="90"/>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1.2.1</w:t>
      </w:r>
      <w:r>
        <w:rPr>
          <w:rFonts w:hint="eastAsia" w:ascii="宋体" w:hAnsi="宋体" w:cs="宋体"/>
          <w:snapToGrid w:val="0"/>
          <w:color w:val="auto"/>
          <w:kern w:val="0"/>
          <w:sz w:val="24"/>
          <w:highlight w:val="none"/>
        </w:rPr>
        <w:t xml:space="preserve"> 招标范围</w:t>
      </w:r>
    </w:p>
    <w:p w14:paraId="0F812CFE">
      <w:pPr>
        <w:pStyle w:val="90"/>
        <w:keepNext w:val="0"/>
        <w:keepLines w:val="0"/>
        <w:pageBreakBefore w:val="0"/>
        <w:wordWrap w:val="0"/>
        <w:topLinePunct w:val="0"/>
        <w:bidi w:val="0"/>
        <w:adjustRightInd w:val="0"/>
        <w:snapToGrid w:val="0"/>
        <w:spacing w:line="500" w:lineRule="exact"/>
        <w:ind w:firstLine="480"/>
        <w:jc w:val="left"/>
        <w:textAlignment w:val="auto"/>
        <w:rPr>
          <w:rFonts w:hint="eastAsia" w:ascii="宋体" w:hAnsi="宋体" w:cs="宋体"/>
          <w:snapToGrid w:val="0"/>
          <w:color w:val="auto"/>
          <w:kern w:val="0"/>
          <w:sz w:val="24"/>
          <w:highlight w:val="none"/>
        </w:rPr>
      </w:pPr>
      <w:r>
        <w:rPr>
          <w:rFonts w:hint="eastAsia" w:ascii="宋体" w:hAnsi="宋体" w:cs="宋体"/>
          <w:snapToGrid w:val="0"/>
          <w:color w:val="auto"/>
          <w:kern w:val="0"/>
          <w:sz w:val="24"/>
          <w:highlight w:val="none"/>
        </w:rPr>
        <w:t>监理：项目建设范围内的建设全过程监理(含勘察、设计阶段、施工准备阶段、施工阶段、工程竣工验收及结算阶段和缺陷责任保修期阶段的全过程监理)。</w:t>
      </w:r>
    </w:p>
    <w:p w14:paraId="76AFCD12">
      <w:pPr>
        <w:keepNext w:val="0"/>
        <w:keepLines w:val="0"/>
        <w:pageBreakBefore w:val="0"/>
        <w:wordWrap w:val="0"/>
        <w:topLinePunct w:val="0"/>
        <w:bidi w:val="0"/>
        <w:adjustRightInd w:val="0"/>
        <w:snapToGrid w:val="0"/>
        <w:spacing w:line="500" w:lineRule="exact"/>
        <w:ind w:firstLine="480"/>
        <w:textAlignment w:val="auto"/>
        <w:rPr>
          <w:rFonts w:hAnsi="宋体" w:cs="宋体"/>
          <w:b/>
          <w:bCs/>
          <w:snapToGrid w:val="0"/>
          <w:color w:val="auto"/>
          <w:kern w:val="0"/>
          <w:szCs w:val="24"/>
          <w:highlight w:val="none"/>
        </w:rPr>
      </w:pPr>
      <w:r>
        <w:rPr>
          <w:rFonts w:hint="eastAsia" w:hAnsi="宋体" w:cs="宋体"/>
          <w:b/>
          <w:bCs/>
          <w:snapToGrid w:val="0"/>
          <w:color w:val="auto"/>
          <w:kern w:val="0"/>
          <w:szCs w:val="24"/>
          <w:highlight w:val="none"/>
        </w:rPr>
        <w:t>1.2.2</w:t>
      </w:r>
      <w:r>
        <w:rPr>
          <w:rFonts w:hint="eastAsia" w:hAnsi="宋体" w:cs="宋体"/>
          <w:snapToGrid w:val="0"/>
          <w:color w:val="auto"/>
          <w:kern w:val="0"/>
          <w:szCs w:val="24"/>
          <w:highlight w:val="none"/>
        </w:rPr>
        <w:t xml:space="preserve"> 标段划分：本招标项目不划分标段。</w:t>
      </w:r>
    </w:p>
    <w:p w14:paraId="5632ADE2">
      <w:pPr>
        <w:keepNext w:val="0"/>
        <w:keepLines w:val="0"/>
        <w:pageBreakBefore w:val="0"/>
        <w:wordWrap w:val="0"/>
        <w:topLinePunct w:val="0"/>
        <w:bidi w:val="0"/>
        <w:adjustRightInd w:val="0"/>
        <w:snapToGrid w:val="0"/>
        <w:spacing w:line="500" w:lineRule="exact"/>
        <w:ind w:firstLine="532" w:firstLineChars="221"/>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1.3</w:t>
      </w:r>
      <w:r>
        <w:rPr>
          <w:rFonts w:hint="eastAsia" w:hAnsi="宋体" w:cs="宋体"/>
          <w:snapToGrid w:val="0"/>
          <w:color w:val="auto"/>
          <w:kern w:val="0"/>
          <w:szCs w:val="24"/>
          <w:highlight w:val="none"/>
        </w:rPr>
        <w:t xml:space="preserve"> 投标费用：投标人应承担所有准备和参加投标的相关费用，不论投标结果如何，招标人均无义务和责任承担这些费用。</w:t>
      </w:r>
    </w:p>
    <w:p w14:paraId="6BE91A1C">
      <w:pPr>
        <w:pStyle w:val="90"/>
        <w:keepNext w:val="0"/>
        <w:keepLines w:val="0"/>
        <w:pageBreakBefore w:val="0"/>
        <w:wordWrap w:val="0"/>
        <w:topLinePunct w:val="0"/>
        <w:bidi w:val="0"/>
        <w:adjustRightInd w:val="0"/>
        <w:snapToGrid w:val="0"/>
        <w:spacing w:line="500" w:lineRule="exact"/>
        <w:ind w:firstLine="480"/>
        <w:jc w:val="left"/>
        <w:textAlignment w:val="auto"/>
        <w:outlineLvl w:val="2"/>
        <w:rPr>
          <w:rFonts w:hint="eastAsia"/>
          <w:b/>
          <w:bCs/>
          <w:snapToGrid w:val="0"/>
          <w:color w:val="auto"/>
          <w:kern w:val="0"/>
          <w:sz w:val="24"/>
          <w:highlight w:val="none"/>
        </w:rPr>
      </w:pPr>
      <w:bookmarkStart w:id="17" w:name="_Toc31535"/>
      <w:bookmarkStart w:id="18" w:name="_Toc31795"/>
      <w:r>
        <w:rPr>
          <w:rFonts w:hint="eastAsia"/>
          <w:b/>
          <w:bCs/>
          <w:snapToGrid w:val="0"/>
          <w:color w:val="auto"/>
          <w:kern w:val="0"/>
          <w:sz w:val="24"/>
          <w:highlight w:val="none"/>
        </w:rPr>
        <w:t>2．投标人资格要求</w:t>
      </w:r>
      <w:bookmarkEnd w:id="17"/>
      <w:bookmarkEnd w:id="18"/>
      <w:bookmarkStart w:id="19" w:name="_Hlt74496495"/>
      <w:bookmarkEnd w:id="19"/>
    </w:p>
    <w:p w14:paraId="229AFBAA">
      <w:pPr>
        <w:pStyle w:val="90"/>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2.1</w:t>
      </w:r>
      <w:r>
        <w:rPr>
          <w:rFonts w:hint="eastAsia" w:ascii="宋体" w:hAnsi="宋体" w:cs="宋体"/>
          <w:snapToGrid w:val="0"/>
          <w:color w:val="auto"/>
          <w:kern w:val="0"/>
          <w:sz w:val="24"/>
          <w:highlight w:val="none"/>
        </w:rPr>
        <w:t xml:space="preserve"> 本次招标不接受联合体投标。</w:t>
      </w:r>
    </w:p>
    <w:p w14:paraId="376870ED">
      <w:pPr>
        <w:pStyle w:val="90"/>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2.2</w:t>
      </w:r>
      <w:r>
        <w:rPr>
          <w:rFonts w:hint="eastAsia" w:ascii="宋体" w:hAnsi="宋体" w:cs="宋体"/>
          <w:snapToGrid w:val="0"/>
          <w:color w:val="auto"/>
          <w:kern w:val="0"/>
          <w:sz w:val="24"/>
          <w:highlight w:val="none"/>
        </w:rPr>
        <w:t xml:space="preserve"> 资格资质要求</w:t>
      </w:r>
    </w:p>
    <w:p w14:paraId="296608D7">
      <w:pPr>
        <w:pStyle w:val="90"/>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2.2.1</w:t>
      </w:r>
      <w:r>
        <w:rPr>
          <w:rFonts w:hint="eastAsia" w:ascii="宋体" w:hAnsi="宋体" w:cs="宋体"/>
          <w:snapToGrid w:val="0"/>
          <w:color w:val="auto"/>
          <w:kern w:val="0"/>
          <w:sz w:val="24"/>
          <w:highlight w:val="none"/>
        </w:rPr>
        <w:t xml:space="preserve"> 投标人须具备独立法人资格，按国家法律经营。</w:t>
      </w:r>
    </w:p>
    <w:p w14:paraId="3918A31D">
      <w:pPr>
        <w:keepNext w:val="0"/>
        <w:keepLines w:val="0"/>
        <w:pageBreakBefore w:val="0"/>
        <w:wordWrap w:val="0"/>
        <w:topLinePunct w:val="0"/>
        <w:bidi w:val="0"/>
        <w:adjustRightInd w:val="0"/>
        <w:snapToGrid w:val="0"/>
        <w:spacing w:line="500" w:lineRule="exact"/>
        <w:ind w:firstLine="482" w:firstLineChars="200"/>
        <w:jc w:val="left"/>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2.2.2</w:t>
      </w:r>
      <w:r>
        <w:rPr>
          <w:rFonts w:hint="eastAsia" w:hAnsi="宋体" w:cs="宋体"/>
          <w:snapToGrid w:val="0"/>
          <w:color w:val="auto"/>
          <w:kern w:val="0"/>
          <w:szCs w:val="24"/>
          <w:highlight w:val="none"/>
        </w:rPr>
        <w:t xml:space="preserve"> </w:t>
      </w:r>
      <w:r>
        <w:rPr>
          <w:rFonts w:hint="eastAsia" w:ascii="宋体" w:hAnsi="宋体" w:eastAsia="宋体" w:cs="宋体"/>
          <w:color w:val="auto"/>
          <w:szCs w:val="24"/>
          <w:highlight w:val="none"/>
        </w:rPr>
        <w:t>投标人须具备以下资质之一：①工程监理综合资质；②房屋建筑工程监理乙级资质及以上（含</w:t>
      </w:r>
      <w:r>
        <w:rPr>
          <w:rFonts w:hint="eastAsia" w:hAnsi="宋体" w:cs="宋体"/>
          <w:color w:val="auto"/>
          <w:szCs w:val="24"/>
          <w:highlight w:val="none"/>
          <w:lang w:val="en-US" w:eastAsia="zh-CN"/>
        </w:rPr>
        <w:t>乙</w:t>
      </w:r>
      <w:r>
        <w:rPr>
          <w:rFonts w:hint="eastAsia" w:ascii="宋体" w:hAnsi="宋体" w:eastAsia="宋体" w:cs="宋体"/>
          <w:color w:val="auto"/>
          <w:szCs w:val="24"/>
          <w:highlight w:val="none"/>
        </w:rPr>
        <w:t>级）资质</w:t>
      </w:r>
      <w:r>
        <w:rPr>
          <w:rFonts w:hint="eastAsia" w:hAnsi="宋体" w:cs="宋体"/>
          <w:snapToGrid w:val="0"/>
          <w:color w:val="auto"/>
          <w:kern w:val="0"/>
          <w:szCs w:val="24"/>
          <w:highlight w:val="none"/>
        </w:rPr>
        <w:t>。</w:t>
      </w:r>
    </w:p>
    <w:p w14:paraId="6AE8E91B">
      <w:pPr>
        <w:keepNext w:val="0"/>
        <w:keepLines w:val="0"/>
        <w:pageBreakBefore w:val="0"/>
        <w:wordWrap w:val="0"/>
        <w:topLinePunct w:val="0"/>
        <w:bidi w:val="0"/>
        <w:adjustRightInd w:val="0"/>
        <w:snapToGrid w:val="0"/>
        <w:spacing w:line="500" w:lineRule="exact"/>
        <w:ind w:firstLine="482" w:firstLineChars="200"/>
        <w:jc w:val="left"/>
        <w:textAlignment w:val="auto"/>
        <w:rPr>
          <w:rFonts w:hAnsi="宋体" w:cs="宋体"/>
          <w:color w:val="auto"/>
          <w:szCs w:val="24"/>
          <w:highlight w:val="none"/>
        </w:rPr>
      </w:pPr>
      <w:r>
        <w:rPr>
          <w:rFonts w:hint="eastAsia" w:hAnsi="宋体" w:cs="宋体"/>
          <w:b/>
          <w:bCs/>
          <w:snapToGrid w:val="0"/>
          <w:color w:val="auto"/>
          <w:kern w:val="0"/>
          <w:szCs w:val="24"/>
          <w:highlight w:val="none"/>
        </w:rPr>
        <w:t>2.2.3</w:t>
      </w:r>
      <w:r>
        <w:rPr>
          <w:rFonts w:hint="eastAsia" w:hAnsi="宋体" w:cs="宋体"/>
          <w:snapToGrid w:val="0"/>
          <w:color w:val="auto"/>
          <w:kern w:val="0"/>
          <w:szCs w:val="24"/>
          <w:highlight w:val="none"/>
        </w:rPr>
        <w:t xml:space="preserve"> </w:t>
      </w:r>
      <w:r>
        <w:rPr>
          <w:rFonts w:hint="eastAsia" w:hAnsi="宋体" w:cs="宋体"/>
          <w:color w:val="auto"/>
          <w:szCs w:val="24"/>
          <w:highlight w:val="none"/>
        </w:rPr>
        <w:t>投标人的企业相关证书、人员资质、资格有效期到期的，均按该证书的发证机构相关行业主管部门最新文件执行（如自动顺延或推迟办理延期业务的通知），投标人必须将相关文件附在该证书后面中，证明在开标日继续有效。</w:t>
      </w:r>
    </w:p>
    <w:p w14:paraId="53EE3233">
      <w:pPr>
        <w:pStyle w:val="90"/>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2.3</w:t>
      </w:r>
      <w:r>
        <w:rPr>
          <w:rFonts w:hint="eastAsia" w:ascii="宋体" w:hAnsi="宋体" w:cs="宋体"/>
          <w:snapToGrid w:val="0"/>
          <w:color w:val="auto"/>
          <w:kern w:val="0"/>
          <w:sz w:val="24"/>
          <w:highlight w:val="none"/>
        </w:rPr>
        <w:t xml:space="preserve"> 相关人员要求</w:t>
      </w:r>
    </w:p>
    <w:p w14:paraId="3BEF3E14">
      <w:pPr>
        <w:keepNext w:val="0"/>
        <w:keepLines w:val="0"/>
        <w:pageBreakBefore w:val="0"/>
        <w:wordWrap w:val="0"/>
        <w:topLinePunct w:val="0"/>
        <w:bidi w:val="0"/>
        <w:adjustRightInd w:val="0"/>
        <w:snapToGrid w:val="0"/>
        <w:spacing w:line="500" w:lineRule="exact"/>
        <w:ind w:firstLine="482" w:firstLineChars="200"/>
        <w:jc w:val="left"/>
        <w:textAlignment w:val="auto"/>
        <w:rPr>
          <w:rFonts w:hAnsi="宋体" w:cs="宋体"/>
          <w:color w:val="auto"/>
          <w:szCs w:val="24"/>
          <w:highlight w:val="none"/>
        </w:rPr>
      </w:pPr>
      <w:r>
        <w:rPr>
          <w:rFonts w:hint="eastAsia" w:ascii="宋体" w:hAnsi="宋体" w:cs="宋体"/>
          <w:b/>
          <w:bCs/>
          <w:snapToGrid w:val="0"/>
          <w:color w:val="auto"/>
          <w:kern w:val="0"/>
          <w:sz w:val="24"/>
          <w:highlight w:val="none"/>
        </w:rPr>
        <w:t>2.3.1</w:t>
      </w:r>
      <w:r>
        <w:rPr>
          <w:rFonts w:hint="eastAsia" w:ascii="宋体" w:hAnsi="宋体" w:cs="宋体"/>
          <w:snapToGrid w:val="0"/>
          <w:color w:val="auto"/>
          <w:kern w:val="0"/>
          <w:sz w:val="24"/>
          <w:highlight w:val="none"/>
        </w:rPr>
        <w:t xml:space="preserve"> </w:t>
      </w:r>
      <w:r>
        <w:rPr>
          <w:rFonts w:hint="eastAsia" w:hAnsi="宋体" w:cs="宋体"/>
          <w:color w:val="auto"/>
          <w:szCs w:val="24"/>
          <w:highlight w:val="none"/>
        </w:rPr>
        <w:t>拟派总监理工程师为</w:t>
      </w:r>
      <w:r>
        <w:rPr>
          <w:rFonts w:hint="eastAsia" w:hAnsi="宋体" w:cs="宋体"/>
          <w:color w:val="auto"/>
          <w:szCs w:val="24"/>
          <w:highlight w:val="none"/>
          <w:lang w:val="en-US" w:eastAsia="zh-CN"/>
        </w:rPr>
        <w:t>房屋建筑</w:t>
      </w:r>
      <w:r>
        <w:rPr>
          <w:rFonts w:hint="eastAsia" w:hAnsi="宋体" w:cs="宋体"/>
          <w:color w:val="auto"/>
          <w:szCs w:val="24"/>
          <w:highlight w:val="none"/>
        </w:rPr>
        <w:t>工程专业注册监理工程师，应持有国家住建部印发的有效注册证书，其担任总监理工程师职务的其他在施（包括已中标未开工、已开工未竣工）建设工程项目不得超过</w:t>
      </w:r>
      <w:r>
        <w:rPr>
          <w:rFonts w:hint="eastAsia" w:hAnsi="宋体" w:cs="宋体"/>
          <w:color w:val="auto"/>
          <w:szCs w:val="24"/>
          <w:highlight w:val="none"/>
          <w:u w:val="single"/>
        </w:rPr>
        <w:t xml:space="preserve"> 2 </w:t>
      </w:r>
      <w:r>
        <w:rPr>
          <w:rFonts w:hint="eastAsia" w:hAnsi="宋体" w:cs="宋体"/>
          <w:color w:val="auto"/>
          <w:szCs w:val="24"/>
          <w:highlight w:val="none"/>
        </w:rPr>
        <w:t>个。</w:t>
      </w:r>
    </w:p>
    <w:p w14:paraId="1B937DB3">
      <w:pPr>
        <w:pStyle w:val="90"/>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拟派总监理工程师现阶段有担任其他在施建设工程项目总监理工程师职务的，须得到任职项目建设单位书面同意后方可担任本招标项目总监理工程师。</w:t>
      </w:r>
    </w:p>
    <w:p w14:paraId="729B3FCF">
      <w:pPr>
        <w:pStyle w:val="90"/>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2.3.2</w:t>
      </w:r>
      <w:r>
        <w:rPr>
          <w:rFonts w:hint="eastAsia" w:ascii="宋体" w:hAnsi="宋体" w:cs="宋体"/>
          <w:snapToGrid w:val="0"/>
          <w:color w:val="auto"/>
          <w:kern w:val="0"/>
          <w:sz w:val="24"/>
          <w:highlight w:val="none"/>
        </w:rPr>
        <w:t xml:space="preserve"> 投标人与其拟派往本项目监理机构的所有人员之间必须具备合法、唯一的劳动聘用关系。拟派人员中具备注册执业资格的，其注册单位须与投标人保持一致。</w:t>
      </w:r>
    </w:p>
    <w:p w14:paraId="51D5C150">
      <w:pPr>
        <w:pStyle w:val="90"/>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2.4</w:t>
      </w:r>
      <w:r>
        <w:rPr>
          <w:rFonts w:hint="eastAsia" w:ascii="宋体" w:hAnsi="宋体" w:cs="宋体"/>
          <w:snapToGrid w:val="0"/>
          <w:color w:val="auto"/>
          <w:kern w:val="0"/>
          <w:sz w:val="24"/>
          <w:highlight w:val="none"/>
        </w:rPr>
        <w:t xml:space="preserve"> 禁止投标条款</w:t>
      </w:r>
    </w:p>
    <w:p w14:paraId="7D7AD0E4">
      <w:pPr>
        <w:pStyle w:val="90"/>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2.4.1</w:t>
      </w:r>
      <w:r>
        <w:rPr>
          <w:rFonts w:hint="eastAsia" w:ascii="宋体" w:hAnsi="宋体" w:cs="宋体"/>
          <w:snapToGrid w:val="0"/>
          <w:color w:val="auto"/>
          <w:kern w:val="0"/>
          <w:sz w:val="24"/>
          <w:highlight w:val="none"/>
        </w:rPr>
        <w:t xml:space="preserve"> 投标人不得存在下列情形之一：</w:t>
      </w:r>
    </w:p>
    <w:p w14:paraId="23B2DC3C">
      <w:pPr>
        <w:pStyle w:val="90"/>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（1）为招标人不具有独立法人资格的附属机构（单位）；</w:t>
      </w:r>
    </w:p>
    <w:p w14:paraId="7B77E298">
      <w:pPr>
        <w:pStyle w:val="90"/>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（2）与招标人存在利害关系且可能影响招标公正性；</w:t>
      </w:r>
    </w:p>
    <w:p w14:paraId="66A8637F">
      <w:pPr>
        <w:pStyle w:val="90"/>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（3）与本招标项目的其他投标人为同一个单位负责人；</w:t>
      </w:r>
    </w:p>
    <w:p w14:paraId="6445557B">
      <w:pPr>
        <w:pStyle w:val="90"/>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（4）与本招标项目的其他投标人存在控股、管理关系；</w:t>
      </w:r>
    </w:p>
    <w:p w14:paraId="66EBD7D7">
      <w:pPr>
        <w:pStyle w:val="90"/>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（5）为本招标项目的代建人；</w:t>
      </w:r>
    </w:p>
    <w:p w14:paraId="2102A470">
      <w:pPr>
        <w:pStyle w:val="90"/>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（6）为本招标项目的招标代理机构；</w:t>
      </w:r>
    </w:p>
    <w:p w14:paraId="22A7EB6B">
      <w:pPr>
        <w:pStyle w:val="90"/>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（7）与本招标项目的代建人或招标代理机构同为一个法定代表人；</w:t>
      </w:r>
    </w:p>
    <w:p w14:paraId="3FC11BF5">
      <w:pPr>
        <w:pStyle w:val="90"/>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（8）与本招标项目的代建人或招标代理机构存在控股或参股关系；</w:t>
      </w:r>
    </w:p>
    <w:p w14:paraId="12857A0D">
      <w:pPr>
        <w:pStyle w:val="90"/>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（9）与本招标项目的施工承包人以及建筑材料、建筑构配件和设备供应商有隶属关系或者其他利害关系；</w:t>
      </w:r>
    </w:p>
    <w:p w14:paraId="4A6FC44A">
      <w:pPr>
        <w:pStyle w:val="90"/>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（10）被依法暂停或者取消投标资格；</w:t>
      </w:r>
    </w:p>
    <w:p w14:paraId="68E70B2D">
      <w:pPr>
        <w:pStyle w:val="90"/>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（11）被责令停产停业、暂扣或者吊销许可证、暂扣或者吊销执照；</w:t>
      </w:r>
    </w:p>
    <w:p w14:paraId="75517A3D">
      <w:pPr>
        <w:pStyle w:val="90"/>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（12）进入清算程序，或被宣告破产，或其他丧失履约能力的情形；</w:t>
      </w:r>
    </w:p>
    <w:p w14:paraId="40C303D7">
      <w:pPr>
        <w:pStyle w:val="90"/>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（13）在最近三年内发生重大监理质量问题（以相关行业主管部门的行政处罚决定或司法机关出具的有关法律文书为准）；</w:t>
      </w:r>
    </w:p>
    <w:p w14:paraId="331A83DA">
      <w:pPr>
        <w:pStyle w:val="90"/>
        <w:keepNext w:val="0"/>
        <w:keepLines w:val="0"/>
        <w:pageBreakBefore w:val="0"/>
        <w:wordWrap w:val="0"/>
        <w:topLinePunct w:val="0"/>
        <w:bidi w:val="0"/>
        <w:adjustRightInd w:val="0"/>
        <w:snapToGrid w:val="0"/>
        <w:spacing w:line="500" w:lineRule="exact"/>
        <w:ind w:firstLine="240" w:firstLineChars="10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lang w:val="en-US" w:eastAsia="zh-CN"/>
        </w:rPr>
        <w:t xml:space="preserve"> </w:t>
      </w:r>
      <w:r>
        <w:rPr>
          <w:rFonts w:hint="eastAsia" w:ascii="宋体" w:hAnsi="宋体" w:cs="宋体"/>
          <w:snapToGrid w:val="0"/>
          <w:color w:val="auto"/>
          <w:kern w:val="0"/>
          <w:sz w:val="24"/>
          <w:highlight w:val="none"/>
        </w:rPr>
        <w:t xml:space="preserve"> （14）</w:t>
      </w:r>
      <w:r>
        <w:rPr>
          <w:rFonts w:hint="eastAsia" w:ascii="宋体" w:hAnsi="宋体" w:cs="宋体"/>
          <w:color w:val="auto"/>
          <w:kern w:val="0"/>
          <w:sz w:val="24"/>
          <w:highlight w:val="none"/>
        </w:rPr>
        <w:t>被“信用中国”网站（https://www.creditchina.gov.cn）发布的《法人和非法人组织公共信用信息报告》列为严重失信主体名单的</w:t>
      </w:r>
      <w:r>
        <w:rPr>
          <w:rFonts w:hint="eastAsia" w:ascii="宋体" w:hAnsi="宋体" w:cs="宋体"/>
          <w:snapToGrid w:val="0"/>
          <w:color w:val="auto"/>
          <w:kern w:val="0"/>
          <w:sz w:val="24"/>
          <w:highlight w:val="none"/>
        </w:rPr>
        <w:t>。</w:t>
      </w:r>
    </w:p>
    <w:p w14:paraId="6D2A9BC1">
      <w:pPr>
        <w:pStyle w:val="90"/>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2.4.2</w:t>
      </w:r>
      <w:r>
        <w:rPr>
          <w:rFonts w:hint="eastAsia" w:ascii="宋体" w:hAnsi="宋体" w:cs="宋体"/>
          <w:snapToGrid w:val="0"/>
          <w:color w:val="auto"/>
          <w:kern w:val="0"/>
          <w:sz w:val="24"/>
          <w:highlight w:val="none"/>
        </w:rPr>
        <w:t xml:space="preserve"> 招标人拒绝以下名单中的单位参加本次投标：</w:t>
      </w:r>
    </w:p>
    <w:tbl>
      <w:tblPr>
        <w:tblStyle w:val="31"/>
        <w:tblW w:w="8205" w:type="dxa"/>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3971"/>
        <w:gridCol w:w="3469"/>
      </w:tblGrid>
      <w:tr w14:paraId="06554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65" w:type="dxa"/>
            <w:noWrap w:val="0"/>
            <w:vAlign w:val="center"/>
          </w:tcPr>
          <w:p w14:paraId="1EF599D5">
            <w:pPr>
              <w:keepNext w:val="0"/>
              <w:keepLines w:val="0"/>
              <w:pageBreakBefore w:val="0"/>
              <w:widowControl w:val="0"/>
              <w:tabs>
                <w:tab w:val="left" w:pos="1890"/>
              </w:tabs>
              <w:kinsoku/>
              <w:wordWrap/>
              <w:overflowPunct/>
              <w:topLinePunct w:val="0"/>
              <w:autoSpaceDE/>
              <w:autoSpaceDN/>
              <w:bidi w:val="0"/>
              <w:adjustRightInd/>
              <w:snapToGrid/>
              <w:spacing w:line="4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序号</w:t>
            </w:r>
          </w:p>
        </w:tc>
        <w:tc>
          <w:tcPr>
            <w:tcW w:w="3971" w:type="dxa"/>
            <w:noWrap w:val="0"/>
            <w:vAlign w:val="center"/>
          </w:tcPr>
          <w:p w14:paraId="6393EFEA">
            <w:pPr>
              <w:keepNext w:val="0"/>
              <w:keepLines w:val="0"/>
              <w:pageBreakBefore w:val="0"/>
              <w:widowControl w:val="0"/>
              <w:tabs>
                <w:tab w:val="left" w:pos="1890"/>
              </w:tabs>
              <w:kinsoku/>
              <w:wordWrap/>
              <w:overflowPunct/>
              <w:topLinePunct w:val="0"/>
              <w:autoSpaceDE/>
              <w:autoSpaceDN/>
              <w:bidi w:val="0"/>
              <w:adjustRightInd/>
              <w:snapToGrid/>
              <w:spacing w:line="4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单位名称</w:t>
            </w:r>
          </w:p>
        </w:tc>
        <w:tc>
          <w:tcPr>
            <w:tcW w:w="3469" w:type="dxa"/>
            <w:noWrap w:val="0"/>
            <w:vAlign w:val="center"/>
          </w:tcPr>
          <w:p w14:paraId="22BCCAF4">
            <w:pPr>
              <w:keepNext w:val="0"/>
              <w:keepLines w:val="0"/>
              <w:pageBreakBefore w:val="0"/>
              <w:widowControl w:val="0"/>
              <w:tabs>
                <w:tab w:val="left" w:pos="1890"/>
              </w:tabs>
              <w:kinsoku/>
              <w:wordWrap/>
              <w:overflowPunct/>
              <w:topLinePunct w:val="0"/>
              <w:autoSpaceDE/>
              <w:autoSpaceDN/>
              <w:bidi w:val="0"/>
              <w:adjustRightInd/>
              <w:snapToGrid/>
              <w:spacing w:line="4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拒绝原因</w:t>
            </w:r>
          </w:p>
        </w:tc>
      </w:tr>
      <w:tr w14:paraId="2B7C0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65" w:type="dxa"/>
            <w:noWrap w:val="0"/>
            <w:vAlign w:val="center"/>
          </w:tcPr>
          <w:p w14:paraId="247CC672">
            <w:pPr>
              <w:pStyle w:val="90"/>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1</w:t>
            </w:r>
          </w:p>
        </w:tc>
        <w:tc>
          <w:tcPr>
            <w:tcW w:w="3971" w:type="dxa"/>
            <w:noWrap w:val="0"/>
            <w:vAlign w:val="center"/>
          </w:tcPr>
          <w:p w14:paraId="48F92AA4">
            <w:pPr>
              <w:pStyle w:val="90"/>
              <w:keepNext w:val="0"/>
              <w:keepLines w:val="0"/>
              <w:pageBreakBefore w:val="0"/>
              <w:widowControl w:val="0"/>
              <w:tabs>
                <w:tab w:val="left" w:pos="1890"/>
              </w:tabs>
              <w:kinsoku/>
              <w:wordWrap w:val="0"/>
              <w:overflowPunct/>
              <w:topLinePunct w:val="0"/>
              <w:autoSpaceDE/>
              <w:autoSpaceDN/>
              <w:bidi w:val="0"/>
              <w:adjustRightInd w:val="0"/>
              <w:snapToGrid w:val="0"/>
              <w:spacing w:line="240" w:lineRule="auto"/>
              <w:jc w:val="center"/>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广东翁源经济开发区管理委员会</w:t>
            </w:r>
          </w:p>
        </w:tc>
        <w:tc>
          <w:tcPr>
            <w:tcW w:w="3469" w:type="dxa"/>
            <w:noWrap w:val="0"/>
            <w:vAlign w:val="center"/>
          </w:tcPr>
          <w:p w14:paraId="1CA7E40F">
            <w:pPr>
              <w:pStyle w:val="90"/>
              <w:keepNext w:val="0"/>
              <w:keepLines w:val="0"/>
              <w:pageBreakBefore w:val="0"/>
              <w:widowControl w:val="0"/>
              <w:tabs>
                <w:tab w:val="left" w:pos="1890"/>
              </w:tabs>
              <w:kinsoku/>
              <w:wordWrap w:val="0"/>
              <w:overflowPunct/>
              <w:topLinePunct w:val="0"/>
              <w:autoSpaceDE/>
              <w:autoSpaceDN/>
              <w:bidi w:val="0"/>
              <w:adjustRightInd w:val="0"/>
              <w:snapToGrid w:val="0"/>
              <w:spacing w:line="240" w:lineRule="auto"/>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为</w:t>
            </w:r>
            <w:r>
              <w:rPr>
                <w:rFonts w:hint="eastAsia" w:ascii="宋体" w:hAnsi="宋体" w:eastAsia="宋体" w:cs="宋体"/>
                <w:color w:val="auto"/>
                <w:kern w:val="2"/>
                <w:sz w:val="24"/>
                <w:szCs w:val="24"/>
                <w:highlight w:val="none"/>
                <w:lang w:val="en-US" w:eastAsia="zh-CN" w:bidi="ar-SA"/>
              </w:rPr>
              <w:t>本项目的</w:t>
            </w:r>
            <w:r>
              <w:rPr>
                <w:rFonts w:hint="eastAsia" w:ascii="宋体" w:hAnsi="宋体" w:eastAsia="宋体" w:cs="宋体"/>
                <w:color w:val="auto"/>
                <w:sz w:val="24"/>
                <w:szCs w:val="24"/>
                <w:highlight w:val="none"/>
              </w:rPr>
              <w:t>招标人</w:t>
            </w:r>
          </w:p>
        </w:tc>
      </w:tr>
      <w:tr w14:paraId="64741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65" w:type="dxa"/>
            <w:noWrap w:val="0"/>
            <w:vAlign w:val="center"/>
          </w:tcPr>
          <w:p w14:paraId="308BACF3">
            <w:pPr>
              <w:pStyle w:val="90"/>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2</w:t>
            </w:r>
          </w:p>
        </w:tc>
        <w:tc>
          <w:tcPr>
            <w:tcW w:w="3971" w:type="dxa"/>
            <w:noWrap w:val="0"/>
            <w:vAlign w:val="center"/>
          </w:tcPr>
          <w:p w14:paraId="2C7FB050">
            <w:pPr>
              <w:pStyle w:val="90"/>
              <w:keepNext w:val="0"/>
              <w:keepLines w:val="0"/>
              <w:pageBreakBefore w:val="0"/>
              <w:widowControl w:val="0"/>
              <w:tabs>
                <w:tab w:val="left" w:pos="1890"/>
              </w:tabs>
              <w:kinsoku/>
              <w:wordWrap w:val="0"/>
              <w:overflowPunct/>
              <w:topLinePunct w:val="0"/>
              <w:autoSpaceDE/>
              <w:autoSpaceDN/>
              <w:bidi w:val="0"/>
              <w:adjustRightInd w:val="0"/>
              <w:snapToGrid w:val="0"/>
              <w:spacing w:line="240" w:lineRule="auto"/>
              <w:jc w:val="center"/>
              <w:textAlignment w:val="auto"/>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汇龙工程咨询有限公司</w:t>
            </w:r>
          </w:p>
        </w:tc>
        <w:tc>
          <w:tcPr>
            <w:tcW w:w="3469" w:type="dxa"/>
            <w:noWrap w:val="0"/>
            <w:vAlign w:val="center"/>
          </w:tcPr>
          <w:p w14:paraId="3659449E">
            <w:pPr>
              <w:pStyle w:val="90"/>
              <w:keepNext w:val="0"/>
              <w:keepLines w:val="0"/>
              <w:pageBreakBefore w:val="0"/>
              <w:widowControl w:val="0"/>
              <w:tabs>
                <w:tab w:val="left" w:pos="1890"/>
              </w:tabs>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为本项目的招标代理机构</w:t>
            </w:r>
          </w:p>
        </w:tc>
      </w:tr>
      <w:tr w14:paraId="26488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65" w:type="dxa"/>
            <w:noWrap w:val="0"/>
            <w:vAlign w:val="center"/>
          </w:tcPr>
          <w:p w14:paraId="00828124">
            <w:pPr>
              <w:pStyle w:val="90"/>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3</w:t>
            </w:r>
          </w:p>
        </w:tc>
        <w:tc>
          <w:tcPr>
            <w:tcW w:w="3971" w:type="dxa"/>
            <w:noWrap w:val="0"/>
            <w:vAlign w:val="center"/>
          </w:tcPr>
          <w:p w14:paraId="76EC56A5">
            <w:pPr>
              <w:pStyle w:val="90"/>
              <w:keepNext w:val="0"/>
              <w:keepLines w:val="0"/>
              <w:pageBreakBefore w:val="0"/>
              <w:widowControl w:val="0"/>
              <w:tabs>
                <w:tab w:val="left" w:pos="1890"/>
              </w:tabs>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福建建盛工程管理有限公司</w:t>
            </w:r>
          </w:p>
        </w:tc>
        <w:tc>
          <w:tcPr>
            <w:tcW w:w="3469" w:type="dxa"/>
            <w:noWrap w:val="0"/>
            <w:vAlign w:val="center"/>
          </w:tcPr>
          <w:p w14:paraId="7789CE8C">
            <w:pPr>
              <w:pStyle w:val="90"/>
              <w:keepNext w:val="0"/>
              <w:keepLines w:val="0"/>
              <w:pageBreakBefore w:val="0"/>
              <w:widowControl w:val="0"/>
              <w:tabs>
                <w:tab w:val="left" w:pos="1890"/>
              </w:tabs>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color w:val="auto"/>
                <w:sz w:val="24"/>
                <w:szCs w:val="24"/>
                <w:highlight w:val="none"/>
              </w:rPr>
              <w:t>为本项目的可研编制单位</w:t>
            </w:r>
          </w:p>
        </w:tc>
      </w:tr>
      <w:tr w14:paraId="358EF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65" w:type="dxa"/>
            <w:noWrap w:val="0"/>
            <w:vAlign w:val="center"/>
          </w:tcPr>
          <w:p w14:paraId="618896A2">
            <w:pPr>
              <w:pStyle w:val="90"/>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default"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4</w:t>
            </w:r>
          </w:p>
        </w:tc>
        <w:tc>
          <w:tcPr>
            <w:tcW w:w="3971" w:type="dxa"/>
            <w:noWrap w:val="0"/>
            <w:vAlign w:val="center"/>
          </w:tcPr>
          <w:p w14:paraId="6D80ECC2">
            <w:pPr>
              <w:pStyle w:val="90"/>
              <w:keepNext w:val="0"/>
              <w:keepLines w:val="0"/>
              <w:pageBreakBefore w:val="0"/>
              <w:widowControl w:val="0"/>
              <w:tabs>
                <w:tab w:val="left" w:pos="1890"/>
              </w:tabs>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国昇设计有限责任公司</w:t>
            </w:r>
          </w:p>
        </w:tc>
        <w:tc>
          <w:tcPr>
            <w:tcW w:w="3469" w:type="dxa"/>
            <w:noWrap w:val="0"/>
            <w:vAlign w:val="center"/>
          </w:tcPr>
          <w:p w14:paraId="0C8722C2">
            <w:pPr>
              <w:pStyle w:val="90"/>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为本项目的设计单位</w:t>
            </w:r>
          </w:p>
        </w:tc>
      </w:tr>
      <w:tr w14:paraId="35F2F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65" w:type="dxa"/>
            <w:shd w:val="clear" w:color="auto" w:fill="auto"/>
            <w:noWrap w:val="0"/>
            <w:vAlign w:val="center"/>
          </w:tcPr>
          <w:p w14:paraId="6C68F077">
            <w:pPr>
              <w:pStyle w:val="90"/>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default" w:ascii="宋体" w:hAnsi="宋体" w:cs="宋体"/>
                <w:snapToGrid w:val="0"/>
                <w:color w:val="auto"/>
                <w:kern w:val="0"/>
                <w:sz w:val="24"/>
                <w:szCs w:val="24"/>
                <w:highlight w:val="none"/>
                <w:lang w:val="en-US" w:eastAsia="zh-CN" w:bidi="ar-SA"/>
              </w:rPr>
            </w:pPr>
            <w:r>
              <w:rPr>
                <w:rFonts w:hint="eastAsia" w:ascii="宋体" w:hAnsi="宋体" w:cs="宋体"/>
                <w:snapToGrid w:val="0"/>
                <w:color w:val="auto"/>
                <w:kern w:val="0"/>
                <w:sz w:val="24"/>
                <w:szCs w:val="24"/>
                <w:highlight w:val="none"/>
                <w:lang w:val="en-US" w:eastAsia="zh-CN" w:bidi="ar-SA"/>
              </w:rPr>
              <w:t>5</w:t>
            </w:r>
          </w:p>
        </w:tc>
        <w:tc>
          <w:tcPr>
            <w:tcW w:w="3971" w:type="dxa"/>
            <w:shd w:val="clear" w:color="auto" w:fill="auto"/>
            <w:noWrap w:val="0"/>
            <w:vAlign w:val="center"/>
          </w:tcPr>
          <w:p w14:paraId="24A48BEE">
            <w:pPr>
              <w:pStyle w:val="28"/>
              <w:keepNext w:val="0"/>
              <w:keepLines w:val="0"/>
              <w:widowControl/>
              <w:suppressLineNumbers w:val="0"/>
              <w:spacing w:before="0" w:beforeAutospacing="0" w:after="0" w:afterAutospacing="0" w:line="240" w:lineRule="auto"/>
              <w:ind w:right="0" w:rightChars="0"/>
              <w:jc w:val="center"/>
              <w:textAlignment w:val="center"/>
              <w:rPr>
                <w:rFonts w:hint="eastAsia" w:ascii="宋体" w:hAnsi="宋体" w:eastAsia="宋体" w:cs="宋体"/>
                <w:snapToGrid w:val="0"/>
                <w:color w:val="auto"/>
                <w:kern w:val="0"/>
                <w:sz w:val="24"/>
                <w:szCs w:val="24"/>
                <w:highlight w:val="none"/>
                <w:lang w:val="en-US" w:eastAsia="zh-CN" w:bidi="ar-SA"/>
              </w:rPr>
            </w:pPr>
            <w:r>
              <w:rPr>
                <w:rFonts w:hint="eastAsia" w:cs="宋体"/>
                <w:snapToGrid w:val="0"/>
                <w:color w:val="auto"/>
                <w:kern w:val="0"/>
                <w:sz w:val="24"/>
                <w:szCs w:val="24"/>
                <w:highlight w:val="none"/>
                <w:lang w:val="en-US" w:eastAsia="zh-CN" w:bidi="ar-SA"/>
              </w:rPr>
              <w:t>韶关市建韶工程造价咨询有限公司</w:t>
            </w:r>
          </w:p>
        </w:tc>
        <w:tc>
          <w:tcPr>
            <w:tcW w:w="3469" w:type="dxa"/>
            <w:shd w:val="clear" w:color="auto" w:fill="auto"/>
            <w:noWrap w:val="0"/>
            <w:vAlign w:val="center"/>
          </w:tcPr>
          <w:p w14:paraId="4F0A6E4D">
            <w:pPr>
              <w:pStyle w:val="90"/>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为本项目的</w:t>
            </w:r>
            <w:r>
              <w:rPr>
                <w:rFonts w:hint="eastAsia" w:ascii="宋体" w:hAnsi="宋体" w:cs="宋体"/>
                <w:snapToGrid w:val="0"/>
                <w:color w:val="auto"/>
                <w:kern w:val="0"/>
                <w:sz w:val="24"/>
                <w:szCs w:val="24"/>
                <w:highlight w:val="none"/>
                <w:lang w:val="en-US" w:eastAsia="zh-CN" w:bidi="ar-SA"/>
              </w:rPr>
              <w:t>概算审核</w:t>
            </w:r>
            <w:r>
              <w:rPr>
                <w:rFonts w:hint="eastAsia" w:ascii="宋体" w:hAnsi="宋体" w:eastAsia="宋体" w:cs="宋体"/>
                <w:snapToGrid w:val="0"/>
                <w:color w:val="auto"/>
                <w:kern w:val="0"/>
                <w:sz w:val="24"/>
                <w:szCs w:val="24"/>
                <w:highlight w:val="none"/>
                <w:lang w:val="en-US" w:eastAsia="zh-CN" w:bidi="ar-SA"/>
              </w:rPr>
              <w:t>单位</w:t>
            </w:r>
          </w:p>
        </w:tc>
      </w:tr>
    </w:tbl>
    <w:p w14:paraId="436A391F">
      <w:pPr>
        <w:pStyle w:val="90"/>
        <w:keepNext w:val="0"/>
        <w:keepLines w:val="0"/>
        <w:pageBreakBefore w:val="0"/>
        <w:wordWrap w:val="0"/>
        <w:topLinePunct w:val="0"/>
        <w:bidi w:val="0"/>
        <w:adjustRightInd w:val="0"/>
        <w:snapToGrid w:val="0"/>
        <w:spacing w:before="120" w:beforeLines="50" w:line="500" w:lineRule="exact"/>
        <w:ind w:firstLine="482" w:firstLineChars="20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2.5</w:t>
      </w:r>
      <w:r>
        <w:rPr>
          <w:rFonts w:hint="eastAsia" w:ascii="宋体" w:hAnsi="宋体" w:cs="宋体"/>
          <w:snapToGrid w:val="0"/>
          <w:color w:val="auto"/>
          <w:kern w:val="0"/>
          <w:sz w:val="24"/>
          <w:highlight w:val="none"/>
        </w:rPr>
        <w:t xml:space="preserve"> 其他要求</w:t>
      </w:r>
    </w:p>
    <w:p w14:paraId="574A12A8">
      <w:pPr>
        <w:pStyle w:val="90"/>
        <w:keepNext w:val="0"/>
        <w:keepLines w:val="0"/>
        <w:pageBreakBefore w:val="0"/>
        <w:wordWrap w:val="0"/>
        <w:topLinePunct w:val="0"/>
        <w:bidi w:val="0"/>
        <w:adjustRightInd w:val="0"/>
        <w:snapToGrid w:val="0"/>
        <w:spacing w:line="500" w:lineRule="exact"/>
        <w:ind w:firstLine="480" w:firstLineChars="20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省外企业及其拟派往本项目管理机构的所有人员均须按照《广东省住房和城乡建设厅关于取消省外建筑企业和人员进粤信息备案有关工作的通知》（粤建市﹝2015﹞52号）规定在“进粤企业和人员诚信信息登记平台”录入相关信息并通过数据规范检查。</w:t>
      </w:r>
    </w:p>
    <w:p w14:paraId="2A30E4C1">
      <w:pPr>
        <w:pStyle w:val="90"/>
        <w:keepNext w:val="0"/>
        <w:keepLines w:val="0"/>
        <w:pageBreakBefore w:val="0"/>
        <w:wordWrap w:val="0"/>
        <w:topLinePunct w:val="0"/>
        <w:bidi w:val="0"/>
        <w:adjustRightInd w:val="0"/>
        <w:snapToGrid w:val="0"/>
        <w:spacing w:before="120" w:beforeLines="50" w:line="500" w:lineRule="exact"/>
        <w:ind w:firstLine="482" w:firstLineChars="200"/>
        <w:jc w:val="left"/>
        <w:textAlignment w:val="auto"/>
        <w:outlineLvl w:val="2"/>
        <w:rPr>
          <w:rFonts w:ascii="宋体" w:hAnsi="宋体" w:cs="宋体"/>
          <w:b/>
          <w:bCs/>
          <w:snapToGrid w:val="0"/>
          <w:color w:val="auto"/>
          <w:kern w:val="0"/>
          <w:sz w:val="24"/>
          <w:highlight w:val="none"/>
        </w:rPr>
      </w:pPr>
      <w:bookmarkStart w:id="20" w:name="_Toc12683"/>
      <w:r>
        <w:rPr>
          <w:rFonts w:hint="eastAsia" w:ascii="宋体" w:hAnsi="宋体" w:cs="宋体"/>
          <w:b/>
          <w:bCs/>
          <w:snapToGrid w:val="0"/>
          <w:color w:val="auto"/>
          <w:kern w:val="0"/>
          <w:sz w:val="24"/>
          <w:highlight w:val="none"/>
        </w:rPr>
        <w:t>3．获取招标文件</w:t>
      </w:r>
      <w:bookmarkEnd w:id="20"/>
    </w:p>
    <w:p w14:paraId="1DF04FBD">
      <w:pPr>
        <w:pStyle w:val="90"/>
        <w:keepNext w:val="0"/>
        <w:keepLines w:val="0"/>
        <w:pageBreakBefore w:val="0"/>
        <w:wordWrap w:val="0"/>
        <w:topLinePunct w:val="0"/>
        <w:bidi w:val="0"/>
        <w:adjustRightInd w:val="0"/>
        <w:snapToGrid w:val="0"/>
        <w:spacing w:line="500" w:lineRule="exact"/>
        <w:ind w:firstLine="480" w:firstLineChars="200"/>
        <w:jc w:val="left"/>
        <w:textAlignment w:val="auto"/>
        <w:rPr>
          <w:rFonts w:ascii="宋体" w:hAnsi="宋体" w:cs="宋体"/>
          <w:color w:val="auto"/>
          <w:sz w:val="24"/>
          <w:highlight w:val="none"/>
          <w:shd w:val="clear" w:color="auto" w:fill="FFFFFF"/>
        </w:rPr>
      </w:pPr>
      <w:r>
        <w:rPr>
          <w:rFonts w:hint="eastAsia" w:ascii="宋体" w:hAnsi="宋体" w:cs="宋体"/>
          <w:snapToGrid w:val="0"/>
          <w:color w:val="auto"/>
          <w:kern w:val="0"/>
          <w:sz w:val="24"/>
          <w:highlight w:val="none"/>
        </w:rPr>
        <w:t xml:space="preserve">3.1 </w:t>
      </w:r>
      <w:r>
        <w:rPr>
          <w:rFonts w:hint="eastAsia" w:ascii="宋体" w:hAnsi="宋体" w:cs="宋体"/>
          <w:color w:val="auto"/>
          <w:sz w:val="24"/>
          <w:highlight w:val="none"/>
          <w:shd w:val="clear" w:color="auto" w:fill="FFFFFF"/>
        </w:rPr>
        <w:t xml:space="preserve">本次招标实行电子投标。本项目招标文件随招标公告一并在全国公共资源交易平台（广东省·韶关市）（https://ygp.gdzwfw.gov.cn/ggzy-portal/#/440200/index）网站发布，招标文件一经在全国公共资源交易平台（广东省·韶关市）发布，视为发送投标人，招标文件及相关附件由投标人自行在全国公共资源交易平台（广东省·韶关市）网站下载。投标人请于招标文件获取期间（见本章第二节“重要事项时间地点一览表”）登录全国公共资源交易平台（广东省·韶关市）（https://ygp.gdzwfw.gov.cn/ggzy-portal/#/440200/index）进行下载招标文件及相关附件，并于电子投标截止时间（见本章第二节“重要事项时间地点一览表”）前完成电子投标。   </w:t>
      </w:r>
    </w:p>
    <w:p w14:paraId="47326E30">
      <w:pPr>
        <w:pStyle w:val="90"/>
        <w:keepNext w:val="0"/>
        <w:keepLines w:val="0"/>
        <w:pageBreakBefore w:val="0"/>
        <w:wordWrap w:val="0"/>
        <w:topLinePunct w:val="0"/>
        <w:bidi w:val="0"/>
        <w:adjustRightInd w:val="0"/>
        <w:snapToGrid w:val="0"/>
        <w:spacing w:line="500" w:lineRule="exact"/>
        <w:ind w:firstLine="480" w:firstLineChars="200"/>
        <w:jc w:val="left"/>
        <w:textAlignment w:val="auto"/>
        <w:rPr>
          <w:rFonts w:ascii="宋体" w:hAnsi="宋体" w:cs="宋体"/>
          <w:snapToGrid w:val="0"/>
          <w:color w:val="auto"/>
          <w:kern w:val="0"/>
          <w:sz w:val="24"/>
          <w:highlight w:val="none"/>
        </w:rPr>
      </w:pPr>
      <w:r>
        <w:rPr>
          <w:rFonts w:hint="eastAsia" w:ascii="宋体" w:hAnsi="宋体" w:cs="宋体"/>
          <w:color w:val="auto"/>
          <w:sz w:val="24"/>
          <w:highlight w:val="none"/>
          <w:shd w:val="clear" w:color="auto" w:fill="FFFFFF"/>
        </w:rPr>
        <w:t>投标人可登录全国公共资源交易平台（广东省·韶关市）（https://ygp.gdzwfw.gov.cn/ggzy-portal/#/440200/index），在【服务指南】栏目中下载《韶关市公共资源建设工程交易系统-投标人操作指南》，了解网上获取招标文件操作流程。技术咨询电话：0751-8379671伍先生，业务咨询电话：0751-8633211、8633071。</w:t>
      </w:r>
    </w:p>
    <w:p w14:paraId="72C76745">
      <w:pPr>
        <w:pStyle w:val="28"/>
        <w:keepNext w:val="0"/>
        <w:keepLines w:val="0"/>
        <w:pageBreakBefore w:val="0"/>
        <w:topLinePunct w:val="0"/>
        <w:bidi w:val="0"/>
        <w:spacing w:before="0" w:beforeAutospacing="0" w:after="0" w:afterAutospacing="0" w:line="500" w:lineRule="exact"/>
        <w:ind w:firstLine="480" w:firstLineChars="200"/>
        <w:textAlignment w:val="auto"/>
        <w:rPr>
          <w:snapToGrid w:val="0"/>
          <w:color w:val="auto"/>
          <w:highlight w:val="none"/>
        </w:rPr>
      </w:pPr>
      <w:r>
        <w:rPr>
          <w:rFonts w:hint="eastAsia"/>
          <w:snapToGrid w:val="0"/>
          <w:color w:val="auto"/>
          <w:highlight w:val="none"/>
        </w:rPr>
        <w:t>3.2 只有申领了数字证书（CA）、“粤企签”或GDCA/SZCA/NETCA等符合法律法规规定的电子印章，并在交易系统中完成企业信息数据入库的投标人，方可使用建设工程交易系统进行招标文件及相关附件的获取和电子投标。首次在韶关市参与建设工程招标投标活动的投标人，必须在平台系统上传企业相关资料办理企业入库事宜。投标人可登录全国公共资源交易平台（广东省·韶关市）（https://ygp.gdzwfw.gov.cn/ggzy-portal/#/440200/index）办理企业入库、数字证书及电子印章事宜，具体请在平台查阅相应的交易指引。已入库企业有关信息（如单位名称、基本账号、资质、人员等）发生变化的，须及时在交易系统进行相应变更。投标人未及时变更信息而造成的损失和后果，由投标人自行承担。</w:t>
      </w:r>
    </w:p>
    <w:p w14:paraId="40ACF0BC">
      <w:pPr>
        <w:pStyle w:val="28"/>
        <w:keepNext w:val="0"/>
        <w:keepLines w:val="0"/>
        <w:pageBreakBefore w:val="0"/>
        <w:topLinePunct w:val="0"/>
        <w:bidi w:val="0"/>
        <w:spacing w:before="0" w:beforeAutospacing="0" w:after="0" w:afterAutospacing="0" w:line="500" w:lineRule="exact"/>
        <w:ind w:firstLine="480" w:firstLineChars="200"/>
        <w:textAlignment w:val="auto"/>
        <w:rPr>
          <w:bCs/>
          <w:color w:val="auto"/>
          <w:highlight w:val="none"/>
        </w:rPr>
      </w:pPr>
      <w:r>
        <w:rPr>
          <w:rFonts w:hint="eastAsia"/>
          <w:snapToGrid w:val="0"/>
          <w:color w:val="auto"/>
          <w:highlight w:val="none"/>
        </w:rPr>
        <w:t>电子印章：是指获得国家工业和信息化部颁发的《电子认证服务许可证》、国家密码管理局颁发的《电子认证服务使用密码许可证》等资质，具备承担因数字证书原因产生纠纷的相关责任的能力，且在广东省内具有数量基础和服务能力的依法设立的电子认证服务机构签发的电子签章认证证书（即CA数字证书）。投标人应当到相关服务机构办理并取得数字证书介质和应用。电子印章包括机构法人电子形式印章，单位法定代表人、被委托人及其他个人的电子形式印章。电子印章与手写签名或者盖章具有同等的法律效力。</w:t>
      </w:r>
      <w:r>
        <w:rPr>
          <w:rFonts w:hint="eastAsia"/>
          <w:bCs/>
          <w:color w:val="auto"/>
          <w:highlight w:val="none"/>
        </w:rPr>
        <w:t xml:space="preserve"> </w:t>
      </w:r>
    </w:p>
    <w:p w14:paraId="3710C648">
      <w:pPr>
        <w:pStyle w:val="90"/>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color w:val="auto"/>
          <w:sz w:val="24"/>
          <w:highlight w:val="none"/>
          <w:shd w:val="clear" w:color="auto" w:fill="FFFFFF"/>
        </w:rPr>
      </w:pPr>
      <w:r>
        <w:rPr>
          <w:rFonts w:hint="eastAsia" w:ascii="宋体" w:hAnsi="宋体" w:cs="宋体"/>
          <w:color w:val="auto"/>
          <w:kern w:val="0"/>
          <w:sz w:val="24"/>
          <w:highlight w:val="none"/>
        </w:rPr>
        <w:t>已入库企业的有关信息（如单位名称、基本账号、资质、人员等）发生变化的，应及时在建设工程交易系统进行相应变更。投标人未及时变更而造成的损失和后果，由投标人自行承担。</w:t>
      </w:r>
    </w:p>
    <w:p w14:paraId="5349E3D5">
      <w:pPr>
        <w:pStyle w:val="90"/>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color w:val="auto"/>
          <w:sz w:val="24"/>
          <w:highlight w:val="none"/>
          <w:shd w:val="clear" w:color="auto" w:fill="FFFFFF"/>
        </w:rPr>
      </w:pPr>
      <w:r>
        <w:rPr>
          <w:rFonts w:hint="eastAsia" w:ascii="宋体" w:hAnsi="宋体" w:cs="宋体"/>
          <w:color w:val="auto"/>
          <w:sz w:val="24"/>
          <w:highlight w:val="none"/>
          <w:shd w:val="clear" w:color="auto" w:fill="FFFFFF"/>
        </w:rPr>
        <w:t>3.3 投标保证</w:t>
      </w:r>
    </w:p>
    <w:p w14:paraId="71FD51AC">
      <w:pPr>
        <w:pStyle w:val="90"/>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color w:val="auto"/>
          <w:sz w:val="24"/>
          <w:highlight w:val="none"/>
          <w:shd w:val="clear" w:color="auto" w:fill="FFFFFF"/>
        </w:rPr>
      </w:pPr>
      <w:r>
        <w:rPr>
          <w:rFonts w:hint="eastAsia" w:ascii="宋体" w:hAnsi="宋体" w:cs="宋体"/>
          <w:color w:val="auto"/>
          <w:sz w:val="24"/>
          <w:highlight w:val="none"/>
          <w:shd w:val="clear" w:color="auto" w:fill="FFFFFF"/>
        </w:rPr>
        <w:t>3.3.1 投标人须缴纳金额为人民币</w:t>
      </w:r>
      <w:r>
        <w:rPr>
          <w:rFonts w:hint="eastAsia" w:ascii="宋体" w:hAnsi="宋体" w:cs="宋体"/>
          <w:color w:val="auto"/>
          <w:sz w:val="24"/>
          <w:highlight w:val="none"/>
          <w:u w:val="single"/>
          <w:shd w:val="clear" w:color="auto" w:fill="FFFFFF"/>
          <w:lang w:val="en-US" w:eastAsia="zh-CN"/>
        </w:rPr>
        <w:t>伍仟</w:t>
      </w:r>
      <w:r>
        <w:rPr>
          <w:rFonts w:hint="eastAsia" w:ascii="宋体" w:hAnsi="宋体" w:cs="宋体"/>
          <w:color w:val="auto"/>
          <w:sz w:val="24"/>
          <w:highlight w:val="none"/>
          <w:shd w:val="clear" w:color="auto" w:fill="FFFFFF"/>
        </w:rPr>
        <w:t xml:space="preserve">元的投标保证。 </w:t>
      </w:r>
    </w:p>
    <w:p w14:paraId="081C9AA3">
      <w:pPr>
        <w:pStyle w:val="90"/>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color w:val="auto"/>
          <w:sz w:val="24"/>
          <w:highlight w:val="none"/>
          <w:shd w:val="clear" w:color="auto" w:fill="FFFFFF"/>
        </w:rPr>
      </w:pPr>
      <w:r>
        <w:rPr>
          <w:rFonts w:hint="eastAsia" w:ascii="宋体" w:hAnsi="宋体" w:cs="宋体"/>
          <w:color w:val="auto"/>
          <w:sz w:val="24"/>
          <w:highlight w:val="none"/>
          <w:shd w:val="clear" w:color="auto" w:fill="FFFFFF"/>
        </w:rPr>
        <w:t>3.3.2 投标保证的形式包括投标保证金、投标保证担保、投标保证保险三种，由投标人自主选择。</w:t>
      </w:r>
    </w:p>
    <w:p w14:paraId="42604924">
      <w:pPr>
        <w:keepNext w:val="0"/>
        <w:keepLines w:val="0"/>
        <w:pageBreakBefore w:val="0"/>
        <w:topLinePunct w:val="0"/>
        <w:bidi w:val="0"/>
        <w:snapToGrid w:val="0"/>
        <w:spacing w:line="500" w:lineRule="exact"/>
        <w:ind w:firstLine="480" w:firstLineChars="200"/>
        <w:textAlignment w:val="auto"/>
        <w:rPr>
          <w:rFonts w:hAnsi="宋体" w:cs="宋体"/>
          <w:color w:val="auto"/>
          <w:highlight w:val="none"/>
        </w:rPr>
      </w:pPr>
      <w:r>
        <w:rPr>
          <w:rFonts w:hint="eastAsia" w:hAnsi="宋体" w:cs="宋体"/>
          <w:color w:val="auto"/>
          <w:highlight w:val="none"/>
        </w:rPr>
        <w:t>（1）采用投标保证金的，投标人在建设工程交易系统获取招标文件完毕后，即可在系统申请缴纳投标保证金，获取本次招标投标保证金缴纳账号。投标人必须于投标保证金到账截止时间（</w:t>
      </w:r>
      <w:r>
        <w:rPr>
          <w:rFonts w:hint="eastAsia" w:hAnsi="宋体" w:cs="宋体"/>
          <w:color w:val="auto"/>
          <w:highlight w:val="none"/>
          <w:lang w:val="en-US" w:eastAsia="zh-CN"/>
        </w:rPr>
        <w:t>见</w:t>
      </w:r>
      <w:r>
        <w:rPr>
          <w:rFonts w:hint="eastAsia" w:hAnsi="宋体" w:cs="宋体"/>
          <w:color w:val="auto"/>
          <w:highlight w:val="none"/>
        </w:rPr>
        <w:t>本章第二节“重要事项时间地点一览表”）前，从其基本账户将投标保证金转账到指定的缴纳账号。逾期到账的、从非投标人基本账户转出的，其投标无效。</w:t>
      </w:r>
    </w:p>
    <w:p w14:paraId="629683DA">
      <w:pPr>
        <w:keepNext w:val="0"/>
        <w:keepLines w:val="0"/>
        <w:pageBreakBefore w:val="0"/>
        <w:topLinePunct w:val="0"/>
        <w:bidi w:val="0"/>
        <w:snapToGrid w:val="0"/>
        <w:spacing w:line="500" w:lineRule="exact"/>
        <w:ind w:firstLine="480" w:firstLineChars="200"/>
        <w:textAlignment w:val="auto"/>
        <w:rPr>
          <w:rFonts w:hAnsi="宋体" w:cs="宋体"/>
          <w:color w:val="auto"/>
          <w:highlight w:val="none"/>
        </w:rPr>
      </w:pPr>
      <w:r>
        <w:rPr>
          <w:rFonts w:hint="eastAsia" w:hAnsi="宋体" w:cs="宋体"/>
          <w:color w:val="auto"/>
          <w:highlight w:val="none"/>
        </w:rPr>
        <w:t>（2）采用投标保证担保的，投标人应提交有效的电子保函，电子保函的有效期不得短于投标有效期。投标人必须在投标保证担保截止时间（见本章第二节“重要事项时间地点一览表”）前，使用工程建设交易系统完成网上办理电子保函。</w:t>
      </w:r>
    </w:p>
    <w:p w14:paraId="63B93C12">
      <w:pPr>
        <w:keepNext w:val="0"/>
        <w:keepLines w:val="0"/>
        <w:pageBreakBefore w:val="0"/>
        <w:topLinePunct w:val="0"/>
        <w:bidi w:val="0"/>
        <w:snapToGrid w:val="0"/>
        <w:spacing w:line="500" w:lineRule="exact"/>
        <w:ind w:firstLine="480" w:firstLineChars="200"/>
        <w:textAlignment w:val="auto"/>
        <w:rPr>
          <w:rFonts w:hAnsi="宋体" w:cs="宋体"/>
          <w:color w:val="auto"/>
          <w:highlight w:val="none"/>
        </w:rPr>
      </w:pPr>
      <w:r>
        <w:rPr>
          <w:rFonts w:hint="eastAsia" w:hAnsi="宋体" w:cs="宋体"/>
          <w:color w:val="auto"/>
          <w:highlight w:val="none"/>
        </w:rPr>
        <w:t>（3）采用投标保证保险的，投标人须在投标保证保险投保截止时间（见本章第二节“重要事项时间地点一览表”）前，使用建设工程交易系统完成网上投保。投标人可在系统选择保险机构、录入投保信息、支付保费、打印电子保单，电子保单的有效期不得短于投标有效期。投标人可登录全国公共资源交易平台（广东省·韶关市）（https://ygp.gdzwfw.gov.cn/ggzy-portal/#/440200/index），在【服务指南】栏目中下载《韶关市公共资源建设工程交易系统-投标人操作指南》，了解网上投保具体操作流程。逾期投保的，其投标无效。</w:t>
      </w:r>
    </w:p>
    <w:p w14:paraId="076D42C8">
      <w:pPr>
        <w:pStyle w:val="90"/>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color w:val="auto"/>
          <w:sz w:val="24"/>
          <w:highlight w:val="none"/>
          <w:shd w:val="clear" w:color="auto" w:fill="FFFFFF"/>
        </w:rPr>
      </w:pPr>
      <w:r>
        <w:rPr>
          <w:rFonts w:hint="eastAsia" w:ascii="宋体" w:hAnsi="宋体" w:cs="宋体"/>
          <w:color w:val="auto"/>
          <w:sz w:val="24"/>
          <w:highlight w:val="none"/>
        </w:rPr>
        <w:t>温馨提醒：投标人采用投标保证担保或投标保证保险的，为避免在评标过程中因有效期发生争议，建议投标人将银行保函或电子保单有效期设置为较招标文件规定的投标有效期</w:t>
      </w:r>
      <w:r>
        <w:rPr>
          <w:rFonts w:hint="eastAsia" w:hAnsi="宋体" w:cs="宋体"/>
          <w:color w:val="auto"/>
          <w:sz w:val="24"/>
          <w:highlight w:val="none"/>
        </w:rPr>
        <w:t>延长</w:t>
      </w:r>
      <w:r>
        <w:rPr>
          <w:rFonts w:hint="eastAsia" w:ascii="宋体" w:hAnsi="宋体" w:cs="宋体"/>
          <w:color w:val="auto"/>
          <w:sz w:val="24"/>
          <w:highlight w:val="none"/>
        </w:rPr>
        <w:t>不少于20个日历天。</w:t>
      </w:r>
    </w:p>
    <w:p w14:paraId="62BC1000">
      <w:pPr>
        <w:keepNext w:val="0"/>
        <w:keepLines w:val="0"/>
        <w:pageBreakBefore w:val="0"/>
        <w:tabs>
          <w:tab w:val="left" w:pos="7020"/>
        </w:tabs>
        <w:wordWrap w:val="0"/>
        <w:topLinePunct w:val="0"/>
        <w:bidi w:val="0"/>
        <w:adjustRightInd w:val="0"/>
        <w:snapToGrid w:val="0"/>
        <w:spacing w:line="500" w:lineRule="exact"/>
        <w:ind w:firstLine="482" w:firstLineChars="200"/>
        <w:textAlignment w:val="auto"/>
        <w:rPr>
          <w:rFonts w:hAnsi="宋体" w:cs="宋体"/>
          <w:snapToGrid w:val="0"/>
          <w:color w:val="auto"/>
          <w:kern w:val="0"/>
          <w:highlight w:val="none"/>
        </w:rPr>
      </w:pPr>
      <w:r>
        <w:rPr>
          <w:rFonts w:hint="eastAsia" w:hAnsi="宋体" w:cs="宋体"/>
          <w:b/>
          <w:bCs/>
          <w:snapToGrid w:val="0"/>
          <w:color w:val="auto"/>
          <w:kern w:val="0"/>
          <w:highlight w:val="none"/>
        </w:rPr>
        <w:t>3.4</w:t>
      </w:r>
      <w:r>
        <w:rPr>
          <w:rFonts w:hint="eastAsia" w:hAnsi="宋体" w:cs="宋体"/>
          <w:snapToGrid w:val="0"/>
          <w:color w:val="auto"/>
          <w:kern w:val="0"/>
          <w:highlight w:val="none"/>
        </w:rPr>
        <w:t xml:space="preserve"> 若投标人因自身原因未能正确完成获取招标文件、电子投标、缴纳投标保证的，其投标无效。</w:t>
      </w:r>
    </w:p>
    <w:p w14:paraId="0034AD8F">
      <w:pPr>
        <w:keepNext w:val="0"/>
        <w:keepLines w:val="0"/>
        <w:pageBreakBefore w:val="0"/>
        <w:tabs>
          <w:tab w:val="left" w:pos="7020"/>
        </w:tabs>
        <w:wordWrap w:val="0"/>
        <w:topLinePunct w:val="0"/>
        <w:bidi w:val="0"/>
        <w:adjustRightInd w:val="0"/>
        <w:snapToGrid w:val="0"/>
        <w:spacing w:line="500" w:lineRule="exact"/>
        <w:ind w:firstLine="482" w:firstLineChars="200"/>
        <w:textAlignment w:val="auto"/>
        <w:outlineLvl w:val="2"/>
        <w:rPr>
          <w:rFonts w:hAnsi="宋体" w:cs="宋体"/>
          <w:snapToGrid w:val="0"/>
          <w:color w:val="auto"/>
          <w:kern w:val="0"/>
          <w:highlight w:val="none"/>
        </w:rPr>
      </w:pPr>
      <w:bookmarkStart w:id="21" w:name="_Toc16883"/>
      <w:r>
        <w:rPr>
          <w:rFonts w:hint="eastAsia" w:hAnsi="宋体" w:cs="宋体"/>
          <w:b/>
          <w:bCs/>
          <w:snapToGrid w:val="0"/>
          <w:color w:val="auto"/>
          <w:kern w:val="0"/>
          <w:highlight w:val="none"/>
        </w:rPr>
        <w:t>4．服务期限</w:t>
      </w:r>
      <w:bookmarkEnd w:id="21"/>
    </w:p>
    <w:p w14:paraId="222B7AA0">
      <w:pPr>
        <w:keepNext w:val="0"/>
        <w:keepLines w:val="0"/>
        <w:pageBreakBefore w:val="0"/>
        <w:tabs>
          <w:tab w:val="left" w:pos="7020"/>
        </w:tabs>
        <w:wordWrap w:val="0"/>
        <w:topLinePunct w:val="0"/>
        <w:bidi w:val="0"/>
        <w:adjustRightInd w:val="0"/>
        <w:snapToGrid w:val="0"/>
        <w:spacing w:line="500" w:lineRule="exact"/>
        <w:ind w:firstLine="482" w:firstLineChars="200"/>
        <w:textAlignment w:val="auto"/>
        <w:rPr>
          <w:rFonts w:hAnsi="宋体" w:cs="宋体"/>
          <w:snapToGrid w:val="0"/>
          <w:color w:val="auto"/>
          <w:kern w:val="0"/>
          <w:highlight w:val="none"/>
        </w:rPr>
      </w:pPr>
      <w:r>
        <w:rPr>
          <w:rFonts w:hint="eastAsia" w:hAnsi="宋体" w:cs="宋体"/>
          <w:b/>
          <w:bCs/>
          <w:snapToGrid w:val="0"/>
          <w:color w:val="auto"/>
          <w:kern w:val="0"/>
          <w:highlight w:val="none"/>
        </w:rPr>
        <w:t>4.1</w:t>
      </w:r>
      <w:r>
        <w:rPr>
          <w:rFonts w:hint="eastAsia" w:hAnsi="宋体" w:cs="宋体"/>
          <w:snapToGrid w:val="0"/>
          <w:color w:val="auto"/>
          <w:kern w:val="0"/>
          <w:highlight w:val="none"/>
        </w:rPr>
        <w:t xml:space="preserve"> 监理：</w:t>
      </w:r>
      <w:r>
        <w:rPr>
          <w:rFonts w:hint="eastAsia" w:hAnsi="宋体" w:cs="宋体"/>
          <w:snapToGrid w:val="0"/>
          <w:color w:val="auto"/>
          <w:kern w:val="0"/>
          <w:szCs w:val="24"/>
          <w:highlight w:val="none"/>
          <w:lang w:val="en-US" w:eastAsia="zh-CN"/>
        </w:rPr>
        <w:t>本项目施工工期是360日历天，</w:t>
      </w:r>
      <w:r>
        <w:rPr>
          <w:rFonts w:hint="eastAsia" w:hAnsi="宋体" w:cs="宋体"/>
          <w:snapToGrid w:val="0"/>
          <w:color w:val="auto"/>
          <w:kern w:val="0"/>
          <w:highlight w:val="none"/>
        </w:rPr>
        <w:t>监理服务期从监理合同签订之日起计，至本工程缺陷责任保修期结束且本工程结算金额经政府主管部门审定且双方的责任义务履行完毕时止。</w:t>
      </w:r>
    </w:p>
    <w:p w14:paraId="4006A3C3">
      <w:pPr>
        <w:pStyle w:val="5"/>
        <w:keepNext w:val="0"/>
        <w:keepLines w:val="0"/>
        <w:pageBreakBefore w:val="0"/>
        <w:wordWrap w:val="0"/>
        <w:topLinePunct w:val="0"/>
        <w:autoSpaceDE/>
        <w:autoSpaceDN/>
        <w:bidi w:val="0"/>
        <w:snapToGrid w:val="0"/>
        <w:spacing w:line="500" w:lineRule="exact"/>
        <w:ind w:firstLine="480"/>
        <w:jc w:val="both"/>
        <w:textAlignment w:val="auto"/>
        <w:outlineLvl w:val="2"/>
        <w:rPr>
          <w:rFonts w:hAnsi="宋体" w:cs="宋体"/>
          <w:b/>
          <w:snapToGrid w:val="0"/>
          <w:color w:val="auto"/>
          <w:highlight w:val="none"/>
        </w:rPr>
      </w:pPr>
      <w:bookmarkStart w:id="22" w:name="_Toc10746"/>
      <w:bookmarkStart w:id="23" w:name="_Toc7476"/>
      <w:r>
        <w:rPr>
          <w:rFonts w:hint="eastAsia" w:hAnsi="宋体" w:cs="宋体"/>
          <w:b/>
          <w:snapToGrid w:val="0"/>
          <w:color w:val="auto"/>
          <w:highlight w:val="none"/>
        </w:rPr>
        <w:t>5．服务标准</w:t>
      </w:r>
      <w:bookmarkEnd w:id="22"/>
      <w:bookmarkEnd w:id="23"/>
    </w:p>
    <w:p w14:paraId="3B444BA7">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highlight w:val="none"/>
        </w:rPr>
      </w:pPr>
      <w:r>
        <w:rPr>
          <w:rFonts w:hint="eastAsia" w:hAnsi="宋体" w:cs="宋体"/>
          <w:b/>
          <w:bCs/>
          <w:snapToGrid w:val="0"/>
          <w:color w:val="auto"/>
          <w:kern w:val="0"/>
          <w:highlight w:val="none"/>
        </w:rPr>
        <w:t>5.1</w:t>
      </w:r>
      <w:r>
        <w:rPr>
          <w:rFonts w:hint="eastAsia" w:hAnsi="宋体" w:cs="宋体"/>
          <w:snapToGrid w:val="0"/>
          <w:color w:val="auto"/>
          <w:kern w:val="0"/>
          <w:highlight w:val="none"/>
        </w:rPr>
        <w:t xml:space="preserve"> 监理：</w:t>
      </w:r>
      <w:r>
        <w:rPr>
          <w:rFonts w:hint="eastAsia" w:hAnsi="宋体" w:cs="宋体"/>
          <w:color w:val="auto"/>
          <w:szCs w:val="24"/>
          <w:highlight w:val="none"/>
        </w:rPr>
        <w:t>工程质量达到合格或以上标准。</w:t>
      </w:r>
      <w:r>
        <w:rPr>
          <w:rFonts w:hint="eastAsia" w:hAnsi="宋体" w:cs="宋体"/>
          <w:snapToGrid w:val="0"/>
          <w:color w:val="auto"/>
          <w:kern w:val="0"/>
          <w:highlight w:val="none"/>
        </w:rPr>
        <w:t xml:space="preserve"> </w:t>
      </w:r>
    </w:p>
    <w:p w14:paraId="4CCCF34C">
      <w:pPr>
        <w:pStyle w:val="5"/>
        <w:keepNext w:val="0"/>
        <w:keepLines w:val="0"/>
        <w:pageBreakBefore w:val="0"/>
        <w:wordWrap w:val="0"/>
        <w:topLinePunct w:val="0"/>
        <w:autoSpaceDE/>
        <w:autoSpaceDN/>
        <w:bidi w:val="0"/>
        <w:snapToGrid w:val="0"/>
        <w:spacing w:line="500" w:lineRule="exact"/>
        <w:ind w:firstLine="482" w:firstLineChars="200"/>
        <w:jc w:val="both"/>
        <w:textAlignment w:val="auto"/>
        <w:outlineLvl w:val="2"/>
        <w:rPr>
          <w:rFonts w:hAnsi="宋体" w:cs="宋体"/>
          <w:b/>
          <w:snapToGrid w:val="0"/>
          <w:color w:val="auto"/>
          <w:highlight w:val="none"/>
        </w:rPr>
      </w:pPr>
      <w:bookmarkStart w:id="24" w:name="_Toc32757"/>
      <w:bookmarkStart w:id="25" w:name="_Toc12596"/>
      <w:r>
        <w:rPr>
          <w:rFonts w:hint="eastAsia" w:hAnsi="宋体" w:cs="宋体"/>
          <w:b/>
          <w:snapToGrid w:val="0"/>
          <w:color w:val="auto"/>
          <w:highlight w:val="none"/>
        </w:rPr>
        <w:t>6．现场踏勘</w:t>
      </w:r>
      <w:bookmarkEnd w:id="24"/>
      <w:bookmarkEnd w:id="25"/>
    </w:p>
    <w:p w14:paraId="1F65B6C3">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highlight w:val="none"/>
        </w:rPr>
      </w:pPr>
      <w:r>
        <w:rPr>
          <w:rFonts w:hint="eastAsia" w:hAnsi="宋体" w:cs="宋体"/>
          <w:b/>
          <w:bCs/>
          <w:snapToGrid w:val="0"/>
          <w:color w:val="auto"/>
          <w:kern w:val="0"/>
          <w:highlight w:val="none"/>
        </w:rPr>
        <w:t>6.1</w:t>
      </w:r>
      <w:r>
        <w:rPr>
          <w:rFonts w:hint="eastAsia" w:hAnsi="宋体" w:cs="宋体"/>
          <w:snapToGrid w:val="0"/>
          <w:color w:val="auto"/>
          <w:kern w:val="0"/>
          <w:highlight w:val="none"/>
        </w:rPr>
        <w:t xml:space="preserve"> 招标人不组织现场踏勘，但会在招标文件及有关设计文件中明确告知招标项目的具体位置和周边环境，并在现场设置足以识别的标识或提供足以表明招标项目具体位置的文字或图片。投标人需要了解现场情况的，可自行进行现场踏勘。</w:t>
      </w:r>
    </w:p>
    <w:p w14:paraId="50B9508E">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highlight w:val="none"/>
        </w:rPr>
      </w:pPr>
      <w:r>
        <w:rPr>
          <w:rFonts w:hint="eastAsia" w:hAnsi="宋体" w:cs="宋体"/>
          <w:b/>
          <w:bCs/>
          <w:snapToGrid w:val="0"/>
          <w:color w:val="auto"/>
          <w:kern w:val="0"/>
          <w:highlight w:val="none"/>
        </w:rPr>
        <w:t>6.2</w:t>
      </w:r>
      <w:r>
        <w:rPr>
          <w:rFonts w:hint="eastAsia" w:hAnsi="宋体" w:cs="宋体"/>
          <w:snapToGrid w:val="0"/>
          <w:color w:val="auto"/>
          <w:kern w:val="0"/>
          <w:highlight w:val="none"/>
        </w:rPr>
        <w:t xml:space="preserve"> 在现场踏勘过程中，投标人应确保自身安全，投标人如果发生人身伤亡、财物或其他损失，法律法规有规定的按有关规定处理，没有规定的由投标人自行负责。</w:t>
      </w:r>
    </w:p>
    <w:p w14:paraId="299F308C">
      <w:pPr>
        <w:keepNext w:val="0"/>
        <w:keepLines w:val="0"/>
        <w:pageBreakBefore w:val="0"/>
        <w:wordWrap w:val="0"/>
        <w:topLinePunct w:val="0"/>
        <w:bidi w:val="0"/>
        <w:adjustRightInd w:val="0"/>
        <w:snapToGrid w:val="0"/>
        <w:spacing w:line="500" w:lineRule="exact"/>
        <w:ind w:firstLine="560"/>
        <w:textAlignment w:val="auto"/>
        <w:rPr>
          <w:rFonts w:hAnsi="宋体" w:cs="宋体"/>
          <w:b/>
          <w:snapToGrid w:val="0"/>
          <w:color w:val="auto"/>
          <w:highlight w:val="none"/>
        </w:rPr>
      </w:pPr>
      <w:r>
        <w:rPr>
          <w:rFonts w:hint="eastAsia" w:hAnsi="宋体" w:cs="宋体"/>
          <w:b/>
          <w:bCs/>
          <w:snapToGrid w:val="0"/>
          <w:color w:val="auto"/>
          <w:kern w:val="0"/>
          <w:highlight w:val="none"/>
        </w:rPr>
        <w:t>6.3</w:t>
      </w:r>
      <w:r>
        <w:rPr>
          <w:rFonts w:hint="eastAsia" w:hAnsi="宋体" w:cs="宋体"/>
          <w:snapToGrid w:val="0"/>
          <w:color w:val="auto"/>
          <w:kern w:val="0"/>
          <w:highlight w:val="none"/>
        </w:rPr>
        <w:t xml:space="preserve"> 现场踏勘期间的交通、食宿由投标人自行安排，费用自理。</w:t>
      </w:r>
    </w:p>
    <w:p w14:paraId="7ACE9C36">
      <w:pPr>
        <w:pStyle w:val="5"/>
        <w:keepNext w:val="0"/>
        <w:keepLines w:val="0"/>
        <w:pageBreakBefore w:val="0"/>
        <w:wordWrap w:val="0"/>
        <w:topLinePunct w:val="0"/>
        <w:autoSpaceDE/>
        <w:autoSpaceDN/>
        <w:bidi w:val="0"/>
        <w:snapToGrid w:val="0"/>
        <w:spacing w:line="500" w:lineRule="exact"/>
        <w:ind w:firstLine="482" w:firstLineChars="200"/>
        <w:jc w:val="both"/>
        <w:textAlignment w:val="auto"/>
        <w:outlineLvl w:val="2"/>
        <w:rPr>
          <w:rFonts w:hAnsi="宋体" w:cs="宋体"/>
          <w:b/>
          <w:snapToGrid w:val="0"/>
          <w:color w:val="auto"/>
          <w:highlight w:val="none"/>
        </w:rPr>
      </w:pPr>
      <w:bookmarkStart w:id="26" w:name="_Toc8198"/>
      <w:bookmarkStart w:id="27" w:name="_Toc25173"/>
      <w:r>
        <w:rPr>
          <w:rFonts w:hint="eastAsia" w:hAnsi="宋体" w:cs="宋体"/>
          <w:b/>
          <w:snapToGrid w:val="0"/>
          <w:color w:val="auto"/>
          <w:highlight w:val="none"/>
        </w:rPr>
        <w:t>7．招标文件的提问和答疑</w:t>
      </w:r>
      <w:bookmarkEnd w:id="26"/>
      <w:bookmarkEnd w:id="27"/>
      <w:bookmarkStart w:id="28" w:name="_Hlt74496410"/>
      <w:bookmarkEnd w:id="28"/>
    </w:p>
    <w:p w14:paraId="1498B168">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szCs w:val="24"/>
          <w:highlight w:val="none"/>
          <w:lang w:bidi="ar"/>
        </w:rPr>
      </w:pPr>
      <w:r>
        <w:rPr>
          <w:rFonts w:hint="eastAsia" w:hAnsi="宋体" w:cs="宋体"/>
          <w:b/>
          <w:bCs/>
          <w:snapToGrid w:val="0"/>
          <w:color w:val="auto"/>
          <w:kern w:val="0"/>
          <w:highlight w:val="none"/>
        </w:rPr>
        <w:t>7.1</w:t>
      </w:r>
      <w:r>
        <w:rPr>
          <w:rFonts w:hint="eastAsia" w:hAnsi="宋体" w:cs="宋体"/>
          <w:snapToGrid w:val="0"/>
          <w:color w:val="auto"/>
          <w:kern w:val="0"/>
          <w:highlight w:val="none"/>
        </w:rPr>
        <w:t xml:space="preserve"> 投标人若对招标文件有疑问，应在提问截止时间（见本章第二节“重要事项时间地点一览表”）前使用建设工程交易系统提出问题。未在指定时间前、未采用指定方式提出的，招标人不予受理</w:t>
      </w:r>
      <w:r>
        <w:rPr>
          <w:rFonts w:hint="eastAsia" w:hAnsi="宋体" w:cs="宋体"/>
          <w:snapToGrid w:val="0"/>
          <w:color w:val="auto"/>
          <w:kern w:val="0"/>
          <w:szCs w:val="24"/>
          <w:highlight w:val="none"/>
          <w:lang w:bidi="ar"/>
        </w:rPr>
        <w:t>。</w:t>
      </w:r>
    </w:p>
    <w:p w14:paraId="45D1F833">
      <w:pPr>
        <w:keepNext w:val="0"/>
        <w:keepLines w:val="0"/>
        <w:pageBreakBefore w:val="0"/>
        <w:wordWrap w:val="0"/>
        <w:topLinePunct w:val="0"/>
        <w:bidi w:val="0"/>
        <w:adjustRightInd w:val="0"/>
        <w:snapToGrid w:val="0"/>
        <w:spacing w:line="500" w:lineRule="exact"/>
        <w:ind w:firstLine="560"/>
        <w:textAlignment w:val="auto"/>
        <w:rPr>
          <w:rFonts w:hAnsi="宋体" w:cs="宋体"/>
          <w:snapToGrid w:val="0"/>
          <w:color w:val="auto"/>
          <w:kern w:val="0"/>
          <w:highlight w:val="none"/>
        </w:rPr>
      </w:pPr>
      <w:r>
        <w:rPr>
          <w:rFonts w:hint="eastAsia" w:hAnsi="宋体" w:cs="宋体"/>
          <w:b/>
          <w:bCs/>
          <w:snapToGrid w:val="0"/>
          <w:color w:val="auto"/>
          <w:kern w:val="0"/>
          <w:highlight w:val="none"/>
        </w:rPr>
        <w:t xml:space="preserve">7.2 </w:t>
      </w:r>
      <w:r>
        <w:rPr>
          <w:rFonts w:hint="eastAsia" w:hAnsi="宋体" w:cs="宋体"/>
          <w:snapToGrid w:val="0"/>
          <w:color w:val="auto"/>
          <w:kern w:val="0"/>
          <w:highlight w:val="none"/>
        </w:rPr>
        <w:t>招标人在提问截止时间（见本章第二节“重要事项时间地点一览表”）后3日内，一次性对收到的所有问题作出答复，并形成答疑（或修改）公告在发布招标公告的媒介上公开发布。答疑（或修改）公告一旦发布，即视所有潜在投标人已经知悉答疑（或修改）内容，投标人未及时关注而造成的损失和后果，由投标人自行承担。</w:t>
      </w:r>
    </w:p>
    <w:p w14:paraId="1BD116F7">
      <w:pPr>
        <w:keepNext w:val="0"/>
        <w:keepLines w:val="0"/>
        <w:pageBreakBefore w:val="0"/>
        <w:wordWrap w:val="0"/>
        <w:topLinePunct w:val="0"/>
        <w:bidi w:val="0"/>
        <w:adjustRightInd w:val="0"/>
        <w:snapToGrid w:val="0"/>
        <w:spacing w:line="500" w:lineRule="exact"/>
        <w:ind w:firstLine="560"/>
        <w:textAlignment w:val="auto"/>
        <w:rPr>
          <w:rFonts w:hAnsi="宋体" w:cs="宋体"/>
          <w:snapToGrid w:val="0"/>
          <w:color w:val="auto"/>
          <w:kern w:val="0"/>
          <w:highlight w:val="none"/>
        </w:rPr>
      </w:pPr>
      <w:r>
        <w:rPr>
          <w:rFonts w:hint="eastAsia" w:hAnsi="宋体" w:cs="宋体"/>
          <w:b/>
          <w:bCs/>
          <w:snapToGrid w:val="0"/>
          <w:color w:val="auto"/>
          <w:kern w:val="0"/>
          <w:highlight w:val="none"/>
        </w:rPr>
        <w:t>7.3</w:t>
      </w:r>
      <w:r>
        <w:rPr>
          <w:rFonts w:hint="eastAsia" w:hAnsi="宋体" w:cs="宋体"/>
          <w:snapToGrid w:val="0"/>
          <w:color w:val="auto"/>
          <w:kern w:val="0"/>
          <w:highlight w:val="none"/>
        </w:rPr>
        <w:t xml:space="preserve"> 招标人对招标文件所作的答疑（或修改）公告，构成招标文件的组成部分。</w:t>
      </w:r>
    </w:p>
    <w:p w14:paraId="3906303B">
      <w:pPr>
        <w:pStyle w:val="5"/>
        <w:keepNext w:val="0"/>
        <w:keepLines w:val="0"/>
        <w:pageBreakBefore w:val="0"/>
        <w:wordWrap w:val="0"/>
        <w:topLinePunct w:val="0"/>
        <w:autoSpaceDE/>
        <w:autoSpaceDN/>
        <w:bidi w:val="0"/>
        <w:snapToGrid w:val="0"/>
        <w:spacing w:line="500" w:lineRule="exact"/>
        <w:ind w:firstLine="480"/>
        <w:jc w:val="both"/>
        <w:textAlignment w:val="auto"/>
        <w:outlineLvl w:val="2"/>
        <w:rPr>
          <w:rFonts w:hAnsi="宋体" w:cs="宋体"/>
          <w:b/>
          <w:snapToGrid w:val="0"/>
          <w:color w:val="auto"/>
          <w:highlight w:val="none"/>
        </w:rPr>
      </w:pPr>
      <w:bookmarkStart w:id="29" w:name="_Hlt92513715"/>
      <w:bookmarkEnd w:id="29"/>
      <w:bookmarkStart w:id="30" w:name="_Hlt69699188"/>
      <w:bookmarkEnd w:id="30"/>
      <w:bookmarkStart w:id="31" w:name="_Hlt92513711"/>
      <w:bookmarkEnd w:id="31"/>
      <w:bookmarkStart w:id="32" w:name="_Toc11326"/>
      <w:bookmarkStart w:id="33" w:name="_Toc23036"/>
      <w:r>
        <w:rPr>
          <w:rFonts w:hint="eastAsia" w:hAnsi="宋体" w:cs="宋体"/>
          <w:b/>
          <w:snapToGrid w:val="0"/>
          <w:color w:val="auto"/>
          <w:highlight w:val="none"/>
        </w:rPr>
        <w:t>8．最高投标限价</w:t>
      </w:r>
      <w:bookmarkEnd w:id="32"/>
      <w:bookmarkEnd w:id="33"/>
    </w:p>
    <w:p w14:paraId="64DE536E">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highlight w:val="none"/>
        </w:rPr>
      </w:pPr>
      <w:r>
        <w:rPr>
          <w:rFonts w:hint="eastAsia" w:hAnsi="宋体" w:cs="宋体"/>
          <w:b/>
          <w:bCs/>
          <w:snapToGrid w:val="0"/>
          <w:color w:val="auto"/>
          <w:kern w:val="0"/>
          <w:highlight w:val="none"/>
        </w:rPr>
        <w:t>8.1</w:t>
      </w:r>
      <w:r>
        <w:rPr>
          <w:rFonts w:hint="eastAsia" w:hAnsi="宋体" w:cs="宋体"/>
          <w:snapToGrid w:val="0"/>
          <w:color w:val="auto"/>
          <w:kern w:val="0"/>
          <w:highlight w:val="none"/>
        </w:rPr>
        <w:t xml:space="preserve"> 本招标项目参考以下依据编制最高投标限价：</w:t>
      </w:r>
    </w:p>
    <w:p w14:paraId="0983EF7F">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（1）项目</w:t>
      </w:r>
      <w:r>
        <w:rPr>
          <w:rFonts w:hint="eastAsia" w:ascii="Times New Roman"/>
          <w:snapToGrid w:val="0"/>
          <w:color w:val="auto"/>
          <w:kern w:val="0"/>
          <w:highlight w:val="none"/>
        </w:rPr>
        <w:t>概算</w:t>
      </w:r>
      <w:r>
        <w:rPr>
          <w:rFonts w:hint="eastAsia" w:hAnsi="宋体" w:cs="宋体"/>
          <w:snapToGrid w:val="0"/>
          <w:color w:val="auto"/>
          <w:kern w:val="0"/>
          <w:highlight w:val="none"/>
        </w:rPr>
        <w:t>投资额；</w:t>
      </w:r>
    </w:p>
    <w:p w14:paraId="1A9F8FD0">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（2）《建设工程监理与相关服务收费标准》；</w:t>
      </w:r>
    </w:p>
    <w:p w14:paraId="32C2B58E">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（3）监理及相关服务内容；</w:t>
      </w:r>
    </w:p>
    <w:p w14:paraId="645C97D6">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（4）施工现场情况、工程特点；</w:t>
      </w:r>
    </w:p>
    <w:p w14:paraId="0439B095">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（5）项目所在地市场价格。</w:t>
      </w:r>
    </w:p>
    <w:p w14:paraId="729BA8FC">
      <w:pPr>
        <w:pStyle w:val="42"/>
        <w:keepNext w:val="0"/>
        <w:keepLines w:val="0"/>
        <w:pageBreakBefore w:val="0"/>
        <w:topLinePunct w:val="0"/>
        <w:bidi w:val="0"/>
        <w:spacing w:line="500" w:lineRule="exact"/>
        <w:jc w:val="left"/>
        <w:textAlignment w:val="auto"/>
        <w:rPr>
          <w:rFonts w:hint="eastAsia" w:ascii="宋体" w:hAnsi="宋体" w:eastAsia="宋体" w:cs="宋体"/>
          <w:b w:val="0"/>
          <w:bCs/>
          <w:color w:val="auto"/>
          <w:sz w:val="24"/>
          <w:highlight w:val="none"/>
          <w:u w:val="none"/>
        </w:rPr>
      </w:pPr>
      <w:r>
        <w:rPr>
          <w:rFonts w:hint="eastAsia" w:ascii="宋体" w:hAnsi="宋体" w:cs="宋体"/>
          <w:bCs/>
          <w:snapToGrid w:val="0"/>
          <w:color w:val="auto"/>
          <w:kern w:val="0"/>
          <w:sz w:val="24"/>
          <w:highlight w:val="none"/>
        </w:rPr>
        <w:t xml:space="preserve">   8.2</w:t>
      </w:r>
      <w:r>
        <w:rPr>
          <w:rFonts w:hint="eastAsia" w:ascii="宋体" w:hAnsi="宋体" w:cs="宋体"/>
          <w:snapToGrid w:val="0"/>
          <w:color w:val="auto"/>
          <w:kern w:val="0"/>
          <w:sz w:val="24"/>
          <w:highlight w:val="none"/>
        </w:rPr>
        <w:t xml:space="preserve"> </w:t>
      </w:r>
      <w:r>
        <w:rPr>
          <w:rFonts w:hint="eastAsia" w:ascii="宋体" w:hAnsi="宋体" w:cs="宋体"/>
          <w:b w:val="0"/>
          <w:bCs/>
          <w:snapToGrid w:val="0"/>
          <w:color w:val="auto"/>
          <w:kern w:val="0"/>
          <w:sz w:val="24"/>
          <w:highlight w:val="none"/>
        </w:rPr>
        <w:t>本次招标最高投标限价为人民币（大写）：</w:t>
      </w:r>
      <w:r>
        <w:rPr>
          <w:rFonts w:hint="eastAsia" w:ascii="宋体" w:hAnsi="宋体" w:cs="宋体"/>
          <w:b w:val="0"/>
          <w:bCs/>
          <w:snapToGrid w:val="0"/>
          <w:color w:val="auto"/>
          <w:kern w:val="0"/>
          <w:sz w:val="24"/>
          <w:highlight w:val="none"/>
          <w:lang w:val="en-US" w:eastAsia="zh-CN"/>
        </w:rPr>
        <w:t>叁拾壹万贰仟贰佰肆拾肆元捌角整</w:t>
      </w:r>
      <w:r>
        <w:rPr>
          <w:rFonts w:hint="eastAsia" w:hAnsi="宋体" w:cs="宋体"/>
          <w:b w:val="0"/>
          <w:bCs/>
          <w:snapToGrid w:val="0"/>
          <w:color w:val="auto"/>
          <w:kern w:val="0"/>
          <w:sz w:val="24"/>
          <w:highlight w:val="none"/>
          <w:u w:val="none"/>
          <w:lang w:val="en-US" w:eastAsia="zh-CN"/>
        </w:rPr>
        <w:t>（小写：</w:t>
      </w:r>
      <w:r>
        <w:rPr>
          <w:rFonts w:hint="eastAsia" w:ascii="宋体" w:hAnsi="宋体" w:eastAsia="宋体" w:cs="宋体"/>
          <w:b w:val="0"/>
          <w:bCs/>
          <w:snapToGrid w:val="0"/>
          <w:color w:val="auto"/>
          <w:kern w:val="0"/>
          <w:sz w:val="24"/>
          <w:highlight w:val="none"/>
          <w:u w:val="none"/>
          <w:lang w:val="en-US" w:eastAsia="zh-CN"/>
        </w:rPr>
        <w:t>￥</w:t>
      </w:r>
      <w:r>
        <w:rPr>
          <w:rFonts w:hint="eastAsia" w:ascii="宋体" w:hAnsi="宋体" w:eastAsia="宋体" w:cs="宋体"/>
          <w:b w:val="0"/>
          <w:bCs/>
          <w:snapToGrid w:val="0"/>
          <w:color w:val="auto"/>
          <w:kern w:val="0"/>
          <w:sz w:val="24"/>
          <w:highlight w:val="none"/>
          <w:u w:val="single"/>
          <w:lang w:val="en-US" w:eastAsia="zh-CN"/>
        </w:rPr>
        <w:t>312244.80</w:t>
      </w:r>
      <w:r>
        <w:rPr>
          <w:rFonts w:hint="eastAsia" w:ascii="宋体" w:hAnsi="宋体" w:eastAsia="宋体" w:cs="宋体"/>
          <w:b w:val="0"/>
          <w:bCs/>
          <w:snapToGrid w:val="0"/>
          <w:color w:val="auto"/>
          <w:kern w:val="0"/>
          <w:sz w:val="24"/>
          <w:highlight w:val="none"/>
          <w:u w:val="none"/>
          <w:lang w:val="en-US" w:eastAsia="zh-CN"/>
        </w:rPr>
        <w:t xml:space="preserve"> 元）</w:t>
      </w:r>
      <w:r>
        <w:rPr>
          <w:rFonts w:hint="eastAsia" w:ascii="宋体" w:hAnsi="宋体" w:eastAsia="宋体" w:cs="宋体"/>
          <w:b w:val="0"/>
          <w:bCs/>
          <w:snapToGrid w:val="0"/>
          <w:color w:val="auto"/>
          <w:kern w:val="0"/>
          <w:sz w:val="24"/>
          <w:highlight w:val="none"/>
          <w:u w:val="none"/>
          <w:lang w:eastAsia="zh-CN"/>
        </w:rPr>
        <w:t>，监理服务费投标取费费率上限为</w:t>
      </w:r>
      <w:r>
        <w:rPr>
          <w:rFonts w:hint="eastAsia" w:ascii="宋体" w:hAnsi="宋体" w:cs="宋体"/>
          <w:b w:val="0"/>
          <w:bCs/>
          <w:snapToGrid w:val="0"/>
          <w:color w:val="auto"/>
          <w:kern w:val="0"/>
          <w:sz w:val="24"/>
          <w:highlight w:val="none"/>
          <w:u w:val="single"/>
          <w:lang w:val="en-US" w:eastAsia="zh-CN"/>
        </w:rPr>
        <w:t>1.200%</w:t>
      </w:r>
      <w:r>
        <w:rPr>
          <w:rFonts w:hint="eastAsia" w:ascii="宋体" w:hAnsi="宋体" w:eastAsia="宋体" w:cs="宋体"/>
          <w:b w:val="0"/>
          <w:bCs/>
          <w:snapToGrid w:val="0"/>
          <w:color w:val="auto"/>
          <w:kern w:val="0"/>
          <w:sz w:val="24"/>
          <w:highlight w:val="none"/>
          <w:u w:val="none"/>
        </w:rPr>
        <w:t>。</w:t>
      </w:r>
    </w:p>
    <w:p w14:paraId="08F85732">
      <w:pPr>
        <w:pStyle w:val="5"/>
        <w:keepNext w:val="0"/>
        <w:keepLines w:val="0"/>
        <w:pageBreakBefore w:val="0"/>
        <w:wordWrap w:val="0"/>
        <w:topLinePunct w:val="0"/>
        <w:autoSpaceDE/>
        <w:autoSpaceDN/>
        <w:bidi w:val="0"/>
        <w:snapToGrid w:val="0"/>
        <w:spacing w:line="500" w:lineRule="exact"/>
        <w:ind w:firstLine="482" w:firstLineChars="200"/>
        <w:jc w:val="both"/>
        <w:textAlignment w:val="auto"/>
        <w:outlineLvl w:val="2"/>
        <w:rPr>
          <w:rFonts w:hAnsi="宋体" w:cs="宋体"/>
          <w:b/>
          <w:snapToGrid w:val="0"/>
          <w:color w:val="auto"/>
          <w:highlight w:val="none"/>
        </w:rPr>
      </w:pPr>
      <w:bookmarkStart w:id="34" w:name="_Toc7437"/>
      <w:bookmarkStart w:id="35" w:name="_Toc2193"/>
      <w:r>
        <w:rPr>
          <w:rFonts w:hint="eastAsia" w:hAnsi="宋体" w:cs="宋体"/>
          <w:b/>
          <w:snapToGrid w:val="0"/>
          <w:color w:val="auto"/>
          <w:highlight w:val="none"/>
        </w:rPr>
        <w:t>9．投标报价</w:t>
      </w:r>
      <w:bookmarkEnd w:id="34"/>
      <w:bookmarkEnd w:id="35"/>
      <w:bookmarkStart w:id="36" w:name="_Hlt74498519"/>
      <w:bookmarkEnd w:id="36"/>
    </w:p>
    <w:p w14:paraId="7BFA7456">
      <w:pPr>
        <w:keepNext w:val="0"/>
        <w:keepLines w:val="0"/>
        <w:pageBreakBefore w:val="0"/>
        <w:widowControl w:val="0"/>
        <w:kinsoku/>
        <w:wordWrap w:val="0"/>
        <w:overflowPunct/>
        <w:topLinePunct w:val="0"/>
        <w:autoSpaceDE/>
        <w:autoSpaceDN/>
        <w:bidi w:val="0"/>
        <w:adjustRightInd w:val="0"/>
        <w:snapToGrid w:val="0"/>
        <w:spacing w:line="500" w:lineRule="exact"/>
        <w:ind w:firstLine="482" w:firstLineChars="200"/>
        <w:textAlignment w:val="auto"/>
        <w:rPr>
          <w:rFonts w:hAnsi="宋体" w:cs="宋体"/>
          <w:snapToGrid w:val="0"/>
          <w:color w:val="auto"/>
          <w:kern w:val="0"/>
          <w:highlight w:val="none"/>
        </w:rPr>
      </w:pPr>
      <w:r>
        <w:rPr>
          <w:rFonts w:hint="eastAsia" w:hAnsi="宋体" w:cs="宋体"/>
          <w:b/>
          <w:bCs/>
          <w:snapToGrid w:val="0"/>
          <w:color w:val="auto"/>
          <w:kern w:val="0"/>
          <w:highlight w:val="none"/>
        </w:rPr>
        <w:t>9.1</w:t>
      </w:r>
      <w:r>
        <w:rPr>
          <w:rFonts w:hint="eastAsia" w:hAnsi="宋体" w:cs="宋体"/>
          <w:snapToGrid w:val="0"/>
          <w:color w:val="auto"/>
          <w:kern w:val="0"/>
          <w:highlight w:val="none"/>
        </w:rPr>
        <w:t xml:space="preserve"> 本次招标采用填报</w:t>
      </w:r>
      <w:r>
        <w:rPr>
          <w:rFonts w:hint="eastAsia" w:hAnsi="宋体" w:cs="宋体"/>
          <w:snapToGrid w:val="0"/>
          <w:color w:val="auto"/>
          <w:kern w:val="0"/>
          <w:highlight w:val="none"/>
          <w:u w:val="single"/>
        </w:rPr>
        <w:t xml:space="preserve"> 投标报价及取费费率 </w:t>
      </w:r>
      <w:r>
        <w:rPr>
          <w:rFonts w:hint="eastAsia" w:hAnsi="宋体" w:cs="宋体"/>
          <w:snapToGrid w:val="0"/>
          <w:color w:val="auto"/>
          <w:kern w:val="0"/>
          <w:highlight w:val="none"/>
        </w:rPr>
        <w:t>的方式进行报价。投标人应在《投标函》（格式二）中进行报价。</w:t>
      </w:r>
    </w:p>
    <w:p w14:paraId="21C89D7E">
      <w:pPr>
        <w:keepNext w:val="0"/>
        <w:keepLines w:val="0"/>
        <w:pageBreakBefore w:val="0"/>
        <w:widowControl w:val="0"/>
        <w:kinsoku/>
        <w:wordWrap w:val="0"/>
        <w:overflowPunct/>
        <w:topLinePunct w:val="0"/>
        <w:autoSpaceDE/>
        <w:autoSpaceDN/>
        <w:bidi w:val="0"/>
        <w:adjustRightInd w:val="0"/>
        <w:snapToGrid w:val="0"/>
        <w:spacing w:line="500" w:lineRule="exact"/>
        <w:ind w:firstLine="482" w:firstLineChars="200"/>
        <w:textAlignment w:val="auto"/>
        <w:rPr>
          <w:rFonts w:hAnsi="宋体" w:cs="宋体"/>
          <w:snapToGrid w:val="0"/>
          <w:color w:val="auto"/>
          <w:kern w:val="0"/>
          <w:highlight w:val="none"/>
        </w:rPr>
      </w:pPr>
      <w:r>
        <w:rPr>
          <w:rFonts w:hint="eastAsia" w:hAnsi="宋体" w:cs="宋体"/>
          <w:b/>
          <w:bCs/>
          <w:snapToGrid w:val="0"/>
          <w:color w:val="auto"/>
          <w:kern w:val="0"/>
          <w:highlight w:val="none"/>
        </w:rPr>
        <w:t>9.2</w:t>
      </w:r>
      <w:r>
        <w:rPr>
          <w:rFonts w:hint="eastAsia" w:hAnsi="宋体" w:cs="宋体"/>
          <w:snapToGrid w:val="0"/>
          <w:color w:val="auto"/>
          <w:kern w:val="0"/>
          <w:highlight w:val="none"/>
        </w:rPr>
        <w:t xml:space="preserve"> 所有报价均以人民币“元”为单位，并保留两位小数。投标取费费率=投标总价÷建安工程费暂定价×100%，并保留</w:t>
      </w:r>
      <w:r>
        <w:rPr>
          <w:rFonts w:hint="eastAsia" w:hAnsi="宋体" w:cs="宋体"/>
          <w:snapToGrid w:val="0"/>
          <w:color w:val="auto"/>
          <w:kern w:val="0"/>
          <w:highlight w:val="none"/>
          <w:lang w:val="en-US" w:eastAsia="zh-CN"/>
        </w:rPr>
        <w:t>三</w:t>
      </w:r>
      <w:r>
        <w:rPr>
          <w:rFonts w:hint="eastAsia" w:hAnsi="宋体" w:cs="宋体"/>
          <w:snapToGrid w:val="0"/>
          <w:color w:val="auto"/>
          <w:kern w:val="0"/>
          <w:highlight w:val="none"/>
        </w:rPr>
        <w:t>位小数。</w:t>
      </w:r>
      <w:r>
        <w:rPr>
          <w:rFonts w:hint="eastAsia" w:hAnsi="宋体" w:cs="宋体"/>
          <w:b w:val="0"/>
          <w:bCs w:val="0"/>
          <w:snapToGrid w:val="0"/>
          <w:color w:val="auto"/>
          <w:kern w:val="0"/>
          <w:highlight w:val="none"/>
        </w:rPr>
        <w:t>本项目的建安工程费暂定价为人民币</w:t>
      </w:r>
      <w:r>
        <w:rPr>
          <w:rFonts w:hint="eastAsia" w:hAnsi="宋体" w:cs="宋体"/>
          <w:b w:val="0"/>
          <w:bCs w:val="0"/>
          <w:snapToGrid w:val="0"/>
          <w:color w:val="auto"/>
          <w:kern w:val="0"/>
          <w:highlight w:val="none"/>
          <w:u w:val="single"/>
          <w:lang w:val="en-US" w:eastAsia="zh-CN"/>
        </w:rPr>
        <w:t>2602.04</w:t>
      </w:r>
      <w:r>
        <w:rPr>
          <w:rFonts w:hint="eastAsia" w:hAnsi="宋体" w:cs="宋体"/>
          <w:b w:val="0"/>
          <w:bCs w:val="0"/>
          <w:snapToGrid w:val="0"/>
          <w:color w:val="auto"/>
          <w:kern w:val="0"/>
          <w:highlight w:val="none"/>
        </w:rPr>
        <w:t>万元。</w:t>
      </w:r>
    </w:p>
    <w:p w14:paraId="1F6DB8B2">
      <w:pPr>
        <w:keepNext w:val="0"/>
        <w:keepLines w:val="0"/>
        <w:pageBreakBefore w:val="0"/>
        <w:widowControl w:val="0"/>
        <w:kinsoku/>
        <w:wordWrap w:val="0"/>
        <w:overflowPunct/>
        <w:topLinePunct w:val="0"/>
        <w:autoSpaceDE/>
        <w:autoSpaceDN/>
        <w:bidi w:val="0"/>
        <w:adjustRightInd w:val="0"/>
        <w:snapToGrid w:val="0"/>
        <w:spacing w:line="500" w:lineRule="exact"/>
        <w:ind w:firstLine="482" w:firstLineChars="200"/>
        <w:textAlignment w:val="auto"/>
        <w:rPr>
          <w:rFonts w:hint="eastAsia" w:hAnsi="宋体" w:cs="宋体"/>
          <w:b w:val="0"/>
          <w:bCs w:val="0"/>
          <w:snapToGrid w:val="0"/>
          <w:color w:val="auto"/>
          <w:kern w:val="0"/>
          <w:highlight w:val="none"/>
        </w:rPr>
      </w:pPr>
      <w:r>
        <w:rPr>
          <w:rFonts w:hint="eastAsia" w:hAnsi="宋体" w:cs="宋体"/>
          <w:b/>
          <w:bCs/>
          <w:snapToGrid w:val="0"/>
          <w:color w:val="auto"/>
          <w:kern w:val="0"/>
          <w:highlight w:val="none"/>
        </w:rPr>
        <w:t xml:space="preserve">9.3 </w:t>
      </w:r>
      <w:r>
        <w:rPr>
          <w:rFonts w:hint="eastAsia" w:hAnsi="宋体" w:cs="宋体"/>
          <w:b w:val="0"/>
          <w:bCs w:val="0"/>
          <w:snapToGrid w:val="0"/>
          <w:color w:val="auto"/>
          <w:kern w:val="0"/>
          <w:highlight w:val="none"/>
        </w:rPr>
        <w:t>监理服务费结算价在项目的合同价范围内按实结算，即：以施工</w:t>
      </w:r>
      <w:r>
        <w:rPr>
          <w:rFonts w:hint="eastAsia" w:hAnsi="宋体" w:cs="宋体"/>
          <w:b w:val="0"/>
          <w:bCs w:val="0"/>
          <w:snapToGrid w:val="0"/>
          <w:color w:val="auto"/>
          <w:kern w:val="0"/>
          <w:highlight w:val="none"/>
          <w:lang w:val="en-US" w:eastAsia="zh-CN"/>
        </w:rPr>
        <w:t>财审预</w:t>
      </w:r>
      <w:r>
        <w:rPr>
          <w:rFonts w:hint="eastAsia" w:hAnsi="宋体" w:cs="宋体"/>
          <w:b w:val="0"/>
          <w:bCs w:val="0"/>
          <w:snapToGrid w:val="0"/>
          <w:color w:val="auto"/>
          <w:kern w:val="0"/>
          <w:highlight w:val="none"/>
        </w:rPr>
        <w:t>算价为基数乘以监理人中标取费费率计算，若监理服务费结算总价超过签约合同价，则按签约合同价包干结算；若监理服务费结算总价未超过签约合同价，则按以施工</w:t>
      </w:r>
      <w:r>
        <w:rPr>
          <w:rFonts w:hint="eastAsia" w:hAnsi="宋体" w:cs="宋体"/>
          <w:b w:val="0"/>
          <w:bCs w:val="0"/>
          <w:snapToGrid w:val="0"/>
          <w:color w:val="auto"/>
          <w:kern w:val="0"/>
          <w:highlight w:val="none"/>
          <w:lang w:val="en-US" w:eastAsia="zh-CN"/>
        </w:rPr>
        <w:t>预</w:t>
      </w:r>
      <w:r>
        <w:rPr>
          <w:rFonts w:hint="eastAsia" w:hAnsi="宋体" w:cs="宋体"/>
          <w:b w:val="0"/>
          <w:bCs w:val="0"/>
          <w:snapToGrid w:val="0"/>
          <w:color w:val="auto"/>
          <w:kern w:val="0"/>
          <w:highlight w:val="none"/>
        </w:rPr>
        <w:t>算价为基数乘以监理人中标取费费率计算的结算价进行结算。</w:t>
      </w:r>
    </w:p>
    <w:p w14:paraId="3F602751">
      <w:pPr>
        <w:keepNext w:val="0"/>
        <w:keepLines w:val="0"/>
        <w:pageBreakBefore w:val="0"/>
        <w:widowControl w:val="0"/>
        <w:kinsoku/>
        <w:wordWrap w:val="0"/>
        <w:overflowPunct/>
        <w:topLinePunct w:val="0"/>
        <w:autoSpaceDE/>
        <w:autoSpaceDN/>
        <w:bidi w:val="0"/>
        <w:adjustRightInd w:val="0"/>
        <w:snapToGrid w:val="0"/>
        <w:spacing w:line="500" w:lineRule="exact"/>
        <w:ind w:firstLine="482" w:firstLineChars="200"/>
        <w:textAlignment w:val="auto"/>
        <w:rPr>
          <w:rFonts w:hAnsi="宋体" w:cs="宋体"/>
          <w:snapToGrid w:val="0"/>
          <w:color w:val="auto"/>
          <w:kern w:val="0"/>
          <w:szCs w:val="24"/>
          <w:highlight w:val="none"/>
        </w:rPr>
      </w:pPr>
      <w:r>
        <w:rPr>
          <w:rFonts w:hint="eastAsia" w:ascii="宋体" w:hAnsi="宋体" w:eastAsia="宋体" w:cs="宋体"/>
          <w:b/>
          <w:bCs/>
          <w:snapToGrid w:val="0"/>
          <w:color w:val="auto"/>
          <w:kern w:val="0"/>
          <w:highlight w:val="none"/>
          <w:lang w:val="en-US" w:eastAsia="zh-CN"/>
        </w:rPr>
        <w:t>9.4</w:t>
      </w:r>
      <w:r>
        <w:rPr>
          <w:rFonts w:hint="eastAsia" w:hAnsi="宋体" w:cs="宋体"/>
          <w:snapToGrid w:val="0"/>
          <w:color w:val="auto"/>
          <w:kern w:val="0"/>
          <w:szCs w:val="24"/>
          <w:highlight w:val="none"/>
          <w:lang w:val="en-US" w:eastAsia="zh-CN"/>
        </w:rPr>
        <w:t xml:space="preserve"> </w:t>
      </w:r>
      <w:r>
        <w:rPr>
          <w:rFonts w:hint="eastAsia" w:hAnsi="宋体" w:cs="宋体"/>
          <w:snapToGrid w:val="0"/>
          <w:color w:val="auto"/>
          <w:kern w:val="0"/>
          <w:szCs w:val="24"/>
          <w:highlight w:val="none"/>
        </w:rPr>
        <w:t>投标人只允许有一个投标总价。投标总价必须同时用大、小写表示，大、小写报价应保持一致，若不一致，以大写报价为准。</w:t>
      </w:r>
    </w:p>
    <w:p w14:paraId="6368BE52">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9.</w:t>
      </w:r>
      <w:r>
        <w:rPr>
          <w:rFonts w:hint="eastAsia" w:hAnsi="宋体" w:cs="宋体"/>
          <w:b/>
          <w:bCs/>
          <w:snapToGrid w:val="0"/>
          <w:color w:val="auto"/>
          <w:kern w:val="0"/>
          <w:szCs w:val="24"/>
          <w:highlight w:val="none"/>
          <w:lang w:val="en-US" w:eastAsia="zh-CN"/>
        </w:rPr>
        <w:t xml:space="preserve">5 </w:t>
      </w:r>
      <w:r>
        <w:rPr>
          <w:rFonts w:hint="eastAsia" w:hAnsi="宋体" w:cs="宋体"/>
          <w:snapToGrid w:val="0"/>
          <w:color w:val="auto"/>
          <w:kern w:val="0"/>
          <w:szCs w:val="24"/>
          <w:highlight w:val="none"/>
        </w:rPr>
        <w:t>投标总价应包括国家规定的增值税税金。本次招标增值税税金按</w:t>
      </w:r>
      <w:r>
        <w:rPr>
          <w:rFonts w:hint="eastAsia" w:hAnsi="宋体" w:cs="宋体"/>
          <w:snapToGrid w:val="0"/>
          <w:color w:val="auto"/>
          <w:kern w:val="0"/>
          <w:szCs w:val="24"/>
          <w:highlight w:val="none"/>
          <w:u w:val="single"/>
        </w:rPr>
        <w:t xml:space="preserve"> 一般 </w:t>
      </w:r>
      <w:r>
        <w:rPr>
          <w:rFonts w:hint="eastAsia" w:hAnsi="宋体" w:cs="宋体"/>
          <w:snapToGrid w:val="0"/>
          <w:color w:val="auto"/>
          <w:kern w:val="0"/>
          <w:szCs w:val="24"/>
          <w:highlight w:val="none"/>
        </w:rPr>
        <w:t>计税方法计算。</w:t>
      </w:r>
    </w:p>
    <w:p w14:paraId="19B4E766">
      <w:pPr>
        <w:keepNext w:val="0"/>
        <w:keepLines w:val="0"/>
        <w:pageBreakBefore w:val="0"/>
        <w:wordWrap w:val="0"/>
        <w:topLinePunct w:val="0"/>
        <w:bidi w:val="0"/>
        <w:adjustRightInd w:val="0"/>
        <w:snapToGrid w:val="0"/>
        <w:spacing w:line="500" w:lineRule="exact"/>
        <w:ind w:firstLine="482" w:firstLineChars="200"/>
        <w:textAlignment w:val="auto"/>
        <w:rPr>
          <w:rFonts w:ascii="Times New Roman"/>
          <w:snapToGrid w:val="0"/>
          <w:color w:val="auto"/>
          <w:kern w:val="0"/>
          <w:highlight w:val="none"/>
        </w:rPr>
      </w:pPr>
      <w:r>
        <w:rPr>
          <w:rFonts w:hint="eastAsia" w:hAnsi="宋体" w:cs="宋体"/>
          <w:b/>
          <w:bCs/>
          <w:snapToGrid w:val="0"/>
          <w:color w:val="auto"/>
          <w:kern w:val="0"/>
          <w:szCs w:val="24"/>
          <w:highlight w:val="none"/>
        </w:rPr>
        <w:t>9.</w:t>
      </w:r>
      <w:r>
        <w:rPr>
          <w:rFonts w:hint="eastAsia" w:hAnsi="宋体" w:cs="宋体"/>
          <w:b/>
          <w:bCs/>
          <w:snapToGrid w:val="0"/>
          <w:color w:val="auto"/>
          <w:kern w:val="0"/>
          <w:szCs w:val="24"/>
          <w:highlight w:val="none"/>
          <w:lang w:val="en-US" w:eastAsia="zh-CN"/>
        </w:rPr>
        <w:t xml:space="preserve">6 </w:t>
      </w:r>
      <w:r>
        <w:rPr>
          <w:rFonts w:hint="eastAsia" w:ascii="Times New Roman"/>
          <w:snapToGrid w:val="0"/>
          <w:color w:val="auto"/>
          <w:kern w:val="0"/>
          <w:highlight w:val="none"/>
        </w:rPr>
        <w:t>投标总价不得高于最高投标限价，也不得低于成本。</w:t>
      </w:r>
    </w:p>
    <w:p w14:paraId="10121C54">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b/>
          <w:snapToGrid w:val="0"/>
          <w:color w:val="auto"/>
          <w:szCs w:val="24"/>
          <w:highlight w:val="none"/>
        </w:rPr>
      </w:pPr>
      <w:r>
        <w:rPr>
          <w:rFonts w:hint="eastAsia" w:hAnsi="宋体" w:cs="宋体"/>
          <w:b/>
          <w:bCs/>
          <w:snapToGrid w:val="0"/>
          <w:color w:val="auto"/>
          <w:kern w:val="0"/>
          <w:szCs w:val="24"/>
          <w:highlight w:val="none"/>
        </w:rPr>
        <w:t>9.</w:t>
      </w:r>
      <w:r>
        <w:rPr>
          <w:rFonts w:hint="eastAsia" w:hAnsi="宋体" w:cs="宋体"/>
          <w:b/>
          <w:bCs/>
          <w:snapToGrid w:val="0"/>
          <w:color w:val="auto"/>
          <w:kern w:val="0"/>
          <w:szCs w:val="24"/>
          <w:highlight w:val="none"/>
          <w:lang w:val="en-US" w:eastAsia="zh-CN"/>
        </w:rPr>
        <w:t xml:space="preserve">7 </w:t>
      </w:r>
      <w:r>
        <w:rPr>
          <w:rFonts w:hint="eastAsia" w:hAnsi="宋体" w:cs="宋体"/>
          <w:snapToGrid w:val="0"/>
          <w:color w:val="auto"/>
          <w:kern w:val="0"/>
          <w:szCs w:val="24"/>
          <w:highlight w:val="none"/>
        </w:rPr>
        <w:t>投标人应充分了解招标项目的总体情况以及影响投标报价的其他要素。</w:t>
      </w:r>
      <w:bookmarkStart w:id="37" w:name="_（十）投标文件的编制、包装、密封"/>
      <w:bookmarkEnd w:id="37"/>
    </w:p>
    <w:p w14:paraId="182D9B17">
      <w:pPr>
        <w:pStyle w:val="5"/>
        <w:keepNext w:val="0"/>
        <w:keepLines w:val="0"/>
        <w:pageBreakBefore w:val="0"/>
        <w:wordWrap w:val="0"/>
        <w:topLinePunct w:val="0"/>
        <w:autoSpaceDE/>
        <w:autoSpaceDN/>
        <w:bidi w:val="0"/>
        <w:snapToGrid w:val="0"/>
        <w:spacing w:line="500" w:lineRule="exact"/>
        <w:ind w:firstLine="480"/>
        <w:jc w:val="both"/>
        <w:textAlignment w:val="auto"/>
        <w:outlineLvl w:val="2"/>
        <w:rPr>
          <w:rFonts w:hAnsi="宋体" w:cs="宋体"/>
          <w:b/>
          <w:strike/>
          <w:snapToGrid w:val="0"/>
          <w:color w:val="auto"/>
          <w:szCs w:val="24"/>
          <w:highlight w:val="none"/>
        </w:rPr>
      </w:pPr>
      <w:bookmarkStart w:id="38" w:name="_Toc684"/>
      <w:bookmarkStart w:id="39" w:name="_Toc4002"/>
      <w:r>
        <w:rPr>
          <w:rFonts w:hint="eastAsia" w:hAnsi="宋体" w:cs="宋体"/>
          <w:b/>
          <w:snapToGrid w:val="0"/>
          <w:color w:val="auto"/>
          <w:szCs w:val="24"/>
          <w:highlight w:val="none"/>
        </w:rPr>
        <w:t>10．投标文件的编制</w:t>
      </w:r>
      <w:bookmarkStart w:id="40" w:name="_Hlt69332370"/>
      <w:bookmarkEnd w:id="40"/>
      <w:bookmarkStart w:id="41" w:name="_Hlt69208262"/>
      <w:bookmarkEnd w:id="41"/>
      <w:r>
        <w:rPr>
          <w:rFonts w:hint="eastAsia" w:hAnsi="宋体" w:cs="宋体"/>
          <w:b/>
          <w:snapToGrid w:val="0"/>
          <w:color w:val="auto"/>
          <w:szCs w:val="24"/>
          <w:highlight w:val="none"/>
        </w:rPr>
        <w:t>要求</w:t>
      </w:r>
      <w:bookmarkEnd w:id="38"/>
      <w:bookmarkEnd w:id="39"/>
      <w:bookmarkStart w:id="42" w:name="_Hlt74497202"/>
      <w:bookmarkEnd w:id="42"/>
      <w:bookmarkStart w:id="43" w:name="_Hlt74495594"/>
      <w:bookmarkEnd w:id="43"/>
      <w:bookmarkStart w:id="44" w:name="_Hlt78768224"/>
      <w:bookmarkEnd w:id="44"/>
    </w:p>
    <w:p w14:paraId="41A66317">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b/>
          <w:snapToGrid w:val="0"/>
          <w:color w:val="auto"/>
          <w:kern w:val="0"/>
          <w:szCs w:val="24"/>
          <w:highlight w:val="none"/>
        </w:rPr>
      </w:pPr>
      <w:r>
        <w:rPr>
          <w:rFonts w:hint="eastAsia" w:hAnsi="宋体" w:cs="宋体"/>
          <w:b/>
          <w:bCs/>
          <w:snapToGrid w:val="0"/>
          <w:color w:val="auto"/>
          <w:kern w:val="0"/>
          <w:szCs w:val="24"/>
          <w:highlight w:val="none"/>
        </w:rPr>
        <w:t>10.1</w:t>
      </w:r>
      <w:r>
        <w:rPr>
          <w:rFonts w:hint="eastAsia" w:hAnsi="宋体" w:cs="宋体"/>
          <w:bCs/>
          <w:snapToGrid w:val="0"/>
          <w:color w:val="auto"/>
          <w:kern w:val="0"/>
          <w:szCs w:val="24"/>
          <w:highlight w:val="none"/>
        </w:rPr>
        <w:t xml:space="preserve"> 一般要求</w:t>
      </w:r>
    </w:p>
    <w:p w14:paraId="35DD415F">
      <w:pPr>
        <w:pStyle w:val="13"/>
        <w:keepNext w:val="0"/>
        <w:keepLines w:val="0"/>
        <w:pageBreakBefore w:val="0"/>
        <w:wordWrap w:val="0"/>
        <w:topLinePunct w:val="0"/>
        <w:bidi w:val="0"/>
        <w:adjustRightInd w:val="0"/>
        <w:snapToGrid w:val="0"/>
        <w:spacing w:line="500" w:lineRule="exact"/>
        <w:ind w:firstLineChars="0"/>
        <w:textAlignment w:val="auto"/>
        <w:rPr>
          <w:rFonts w:hAnsi="宋体" w:cs="宋体"/>
          <w:snapToGrid w:val="0"/>
          <w:color w:val="auto"/>
          <w:kern w:val="0"/>
          <w:szCs w:val="24"/>
          <w:highlight w:val="none"/>
        </w:rPr>
      </w:pPr>
      <w:bookmarkStart w:id="45" w:name="_Hlt74496890"/>
      <w:bookmarkEnd w:id="45"/>
      <w:r>
        <w:rPr>
          <w:rFonts w:hint="eastAsia" w:hAnsi="宋体" w:cs="宋体"/>
          <w:snapToGrid w:val="0"/>
          <w:color w:val="auto"/>
          <w:kern w:val="0"/>
          <w:szCs w:val="24"/>
          <w:highlight w:val="none"/>
        </w:rPr>
        <w:t>投标文件应按第五章 投标文件格式规定的内容，投标人提交的投标文件应当使用招标文件所提供的投标文件全部格式。</w:t>
      </w:r>
    </w:p>
    <w:p w14:paraId="467E50B9">
      <w:pPr>
        <w:pStyle w:val="13"/>
        <w:keepNext w:val="0"/>
        <w:keepLines w:val="0"/>
        <w:pageBreakBefore w:val="0"/>
        <w:wordWrap w:val="0"/>
        <w:topLinePunct w:val="0"/>
        <w:bidi w:val="0"/>
        <w:adjustRightInd w:val="0"/>
        <w:snapToGrid w:val="0"/>
        <w:spacing w:line="500" w:lineRule="exact"/>
        <w:ind w:firstLineChars="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10.1.1</w:t>
      </w:r>
      <w:r>
        <w:rPr>
          <w:rFonts w:hint="eastAsia" w:hAnsi="宋体" w:cs="宋体"/>
          <w:snapToGrid w:val="0"/>
          <w:color w:val="auto"/>
          <w:kern w:val="0"/>
          <w:szCs w:val="24"/>
          <w:highlight w:val="none"/>
        </w:rPr>
        <w:t>投标人必须响应招标文件，并在充分理解招标文件的基础上编制投标文件。因投标文件不符合招标文件的要求而造成的损失和后果，由投标人自行承担。</w:t>
      </w:r>
    </w:p>
    <w:p w14:paraId="59E34259">
      <w:pPr>
        <w:pStyle w:val="13"/>
        <w:keepNext w:val="0"/>
        <w:keepLines w:val="0"/>
        <w:pageBreakBefore w:val="0"/>
        <w:wordWrap w:val="0"/>
        <w:topLinePunct w:val="0"/>
        <w:bidi w:val="0"/>
        <w:adjustRightInd w:val="0"/>
        <w:snapToGrid w:val="0"/>
        <w:spacing w:line="500" w:lineRule="exact"/>
        <w:ind w:firstLineChars="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10.1.2</w:t>
      </w:r>
      <w:r>
        <w:rPr>
          <w:rFonts w:hint="eastAsia" w:hAnsi="宋体" w:cs="宋体"/>
          <w:snapToGrid w:val="0"/>
          <w:color w:val="auto"/>
          <w:kern w:val="0"/>
          <w:szCs w:val="24"/>
          <w:highlight w:val="none"/>
        </w:rPr>
        <w:t xml:space="preserve"> 投标文件包括商务标书、监理大纲两个分册。投标文件全部采用电子文档，投标文件所附证书证件均为原件扫描件，并采用单位数字证书，按招标文件要求在相应位置加盖电子印章。投标文件中需个人签字或盖章的，应加盖个人电子印章或在线下完成后扫描上传。按照交易平台关于全流程电子化项目的相关指南进行操作。详见：《韶关市公共资源建设工程交易系统-投标人操作指南》。</w:t>
      </w:r>
    </w:p>
    <w:p w14:paraId="3D5A4502">
      <w:pPr>
        <w:pStyle w:val="13"/>
        <w:keepNext w:val="0"/>
        <w:keepLines w:val="0"/>
        <w:pageBreakBefore w:val="0"/>
        <w:wordWrap w:val="0"/>
        <w:topLinePunct w:val="0"/>
        <w:bidi w:val="0"/>
        <w:adjustRightInd w:val="0"/>
        <w:snapToGrid w:val="0"/>
        <w:spacing w:line="500" w:lineRule="exact"/>
        <w:ind w:firstLineChars="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10.1.3</w:t>
      </w:r>
      <w:r>
        <w:rPr>
          <w:rFonts w:hint="eastAsia" w:hAnsi="宋体" w:cs="宋体"/>
          <w:snapToGrid w:val="0"/>
          <w:color w:val="auto"/>
          <w:kern w:val="0"/>
          <w:szCs w:val="24"/>
          <w:highlight w:val="none"/>
        </w:rPr>
        <w:t xml:space="preserve"> 投标文件需按以下要求签字、盖章：</w:t>
      </w:r>
    </w:p>
    <w:p w14:paraId="756F2778">
      <w:pPr>
        <w:pStyle w:val="13"/>
        <w:keepNext w:val="0"/>
        <w:keepLines w:val="0"/>
        <w:pageBreakBefore w:val="0"/>
        <w:wordWrap w:val="0"/>
        <w:topLinePunct w:val="0"/>
        <w:bidi w:val="0"/>
        <w:adjustRightInd w:val="0"/>
        <w:snapToGrid w:val="0"/>
        <w:spacing w:line="500" w:lineRule="exact"/>
        <w:ind w:firstLineChars="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10.1.3.1</w:t>
      </w:r>
      <w:r>
        <w:rPr>
          <w:rFonts w:hint="eastAsia" w:hAnsi="宋体" w:cs="宋体"/>
          <w:snapToGrid w:val="0"/>
          <w:color w:val="auto"/>
          <w:kern w:val="0"/>
          <w:szCs w:val="24"/>
          <w:highlight w:val="none"/>
        </w:rPr>
        <w:t xml:space="preserve"> 投标文件封面、组成内容中凡注明“签字”处由要求的人员签字或电子签章；凡注明“签字或盖章”处由要求的人员签字或盖其私章（电子印章）；凡注明“签字并盖执业印章”处由要求的人员签字并盖其执业印章。</w:t>
      </w:r>
    </w:p>
    <w:p w14:paraId="0FB42055">
      <w:pPr>
        <w:pStyle w:val="13"/>
        <w:keepNext w:val="0"/>
        <w:keepLines w:val="0"/>
        <w:pageBreakBefore w:val="0"/>
        <w:wordWrap w:val="0"/>
        <w:topLinePunct w:val="0"/>
        <w:bidi w:val="0"/>
        <w:adjustRightInd w:val="0"/>
        <w:snapToGrid w:val="0"/>
        <w:spacing w:line="500" w:lineRule="exact"/>
        <w:ind w:firstLineChars="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10.1.3.2</w:t>
      </w:r>
      <w:r>
        <w:rPr>
          <w:rFonts w:hint="eastAsia" w:hAnsi="宋体" w:cs="宋体"/>
          <w:snapToGrid w:val="0"/>
          <w:color w:val="auto"/>
          <w:kern w:val="0"/>
          <w:szCs w:val="24"/>
          <w:highlight w:val="none"/>
        </w:rPr>
        <w:t xml:space="preserve"> 投标文件封套、封面、组成内容中凡要求录入投标人名称且注明“盖单位章”处盖单位法人公章（电子印章）。</w:t>
      </w:r>
    </w:p>
    <w:p w14:paraId="02444178">
      <w:pPr>
        <w:pStyle w:val="13"/>
        <w:keepNext w:val="0"/>
        <w:keepLines w:val="0"/>
        <w:pageBreakBefore w:val="0"/>
        <w:wordWrap w:val="0"/>
        <w:topLinePunct w:val="0"/>
        <w:bidi w:val="0"/>
        <w:adjustRightInd w:val="0"/>
        <w:snapToGrid w:val="0"/>
        <w:spacing w:line="500" w:lineRule="exact"/>
        <w:ind w:firstLineChars="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10.1.3.3</w:t>
      </w:r>
      <w:r>
        <w:rPr>
          <w:rFonts w:hint="eastAsia" w:hAnsi="宋体" w:cs="宋体"/>
          <w:snapToGrid w:val="0"/>
          <w:color w:val="auto"/>
          <w:kern w:val="0"/>
          <w:szCs w:val="24"/>
          <w:highlight w:val="none"/>
        </w:rPr>
        <w:t xml:space="preserve"> 投标文件的签字均为签字人本人亲笔署名或签章（电子印章），其余部分的扫描件无须另行签字、盖章。</w:t>
      </w:r>
    </w:p>
    <w:p w14:paraId="1D2984FA">
      <w:pPr>
        <w:keepNext w:val="0"/>
        <w:keepLines w:val="0"/>
        <w:pageBreakBefore w:val="0"/>
        <w:wordWrap w:val="0"/>
        <w:topLinePunct w:val="0"/>
        <w:bidi w:val="0"/>
        <w:adjustRightInd w:val="0"/>
        <w:snapToGrid w:val="0"/>
        <w:spacing w:line="500" w:lineRule="exact"/>
        <w:ind w:firstLine="560"/>
        <w:textAlignment w:val="auto"/>
        <w:rPr>
          <w:rFonts w:hAnsi="宋体" w:cs="宋体"/>
          <w:b/>
          <w:snapToGrid w:val="0"/>
          <w:color w:val="auto"/>
          <w:kern w:val="0"/>
          <w:szCs w:val="24"/>
          <w:highlight w:val="none"/>
        </w:rPr>
      </w:pPr>
      <w:bookmarkStart w:id="46" w:name="_Toc257031159"/>
      <w:bookmarkStart w:id="47" w:name="_Toc274313880"/>
      <w:r>
        <w:rPr>
          <w:rFonts w:hint="eastAsia" w:hAnsi="宋体" w:cs="宋体"/>
          <w:b/>
          <w:bCs/>
          <w:snapToGrid w:val="0"/>
          <w:color w:val="auto"/>
          <w:kern w:val="0"/>
          <w:szCs w:val="24"/>
          <w:highlight w:val="none"/>
        </w:rPr>
        <w:t>10.2</w:t>
      </w:r>
      <w:r>
        <w:rPr>
          <w:rFonts w:hint="eastAsia" w:hAnsi="宋体" w:cs="宋体"/>
          <w:bCs/>
          <w:snapToGrid w:val="0"/>
          <w:color w:val="auto"/>
          <w:kern w:val="0"/>
          <w:szCs w:val="24"/>
          <w:highlight w:val="none"/>
        </w:rPr>
        <w:t xml:space="preserve"> 商务标书的编制要求</w:t>
      </w:r>
      <w:bookmarkEnd w:id="46"/>
      <w:bookmarkEnd w:id="47"/>
    </w:p>
    <w:p w14:paraId="209EADCE">
      <w:pPr>
        <w:keepNext w:val="0"/>
        <w:keepLines w:val="0"/>
        <w:pageBreakBefore w:val="0"/>
        <w:wordWrap w:val="0"/>
        <w:topLinePunct w:val="0"/>
        <w:bidi w:val="0"/>
        <w:adjustRightInd w:val="0"/>
        <w:snapToGrid w:val="0"/>
        <w:spacing w:line="500" w:lineRule="exact"/>
        <w:ind w:firstLine="561"/>
        <w:textAlignment w:val="auto"/>
        <w:rPr>
          <w:rFonts w:hAnsi="宋体" w:cs="宋体"/>
          <w:snapToGrid w:val="0"/>
          <w:color w:val="auto"/>
          <w:kern w:val="0"/>
          <w:szCs w:val="24"/>
          <w:highlight w:val="none"/>
          <w:u w:val="single"/>
        </w:rPr>
      </w:pPr>
      <w:r>
        <w:rPr>
          <w:rFonts w:hint="eastAsia" w:hAnsi="宋体" w:cs="宋体"/>
          <w:b/>
          <w:bCs/>
          <w:snapToGrid w:val="0"/>
          <w:color w:val="auto"/>
          <w:kern w:val="0"/>
          <w:szCs w:val="24"/>
          <w:highlight w:val="none"/>
        </w:rPr>
        <w:t>10.2.1</w:t>
      </w:r>
      <w:r>
        <w:rPr>
          <w:rFonts w:hint="eastAsia" w:hAnsi="宋体" w:cs="宋体"/>
          <w:snapToGrid w:val="0"/>
          <w:color w:val="auto"/>
          <w:kern w:val="0"/>
          <w:szCs w:val="24"/>
          <w:highlight w:val="none"/>
        </w:rPr>
        <w:t xml:space="preserve"> </w:t>
      </w:r>
      <w:r>
        <w:rPr>
          <w:rFonts w:hint="eastAsia" w:hAnsi="宋体" w:cs="宋体"/>
          <w:bCs/>
          <w:snapToGrid w:val="0"/>
          <w:color w:val="auto"/>
          <w:kern w:val="0"/>
          <w:szCs w:val="24"/>
          <w:highlight w:val="none"/>
        </w:rPr>
        <w:t>商务标书</w:t>
      </w:r>
      <w:r>
        <w:rPr>
          <w:rFonts w:hint="eastAsia" w:hAnsi="宋体" w:cs="宋体"/>
          <w:snapToGrid w:val="0"/>
          <w:color w:val="auto"/>
          <w:kern w:val="0"/>
          <w:szCs w:val="24"/>
          <w:highlight w:val="none"/>
        </w:rPr>
        <w:t>包括但不限于以下内容：</w:t>
      </w:r>
    </w:p>
    <w:p w14:paraId="48C459DB">
      <w:pPr>
        <w:keepNext w:val="0"/>
        <w:keepLines w:val="0"/>
        <w:pageBreakBefore w:val="0"/>
        <w:wordWrap w:val="0"/>
        <w:topLinePunct w:val="0"/>
        <w:bidi w:val="0"/>
        <w:adjustRightInd w:val="0"/>
        <w:snapToGrid w:val="0"/>
        <w:spacing w:line="500" w:lineRule="exact"/>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 xml:space="preserve">    （1）封面（格式一）；</w:t>
      </w:r>
    </w:p>
    <w:p w14:paraId="17B55DCC">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（2）目录；</w:t>
      </w:r>
    </w:p>
    <w:p w14:paraId="194BBEEF">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（3）《投标函》（格式二）；</w:t>
      </w:r>
    </w:p>
    <w:p w14:paraId="4D46548A">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（4）《各项承诺一览表》（格式三）；</w:t>
      </w:r>
    </w:p>
    <w:p w14:paraId="5F80BBD9">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（5）《授权委托书》（格式四）；</w:t>
      </w:r>
    </w:p>
    <w:p w14:paraId="48D780FD">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（6）《法定代表人身份证明》（格式五）；</w:t>
      </w:r>
    </w:p>
    <w:p w14:paraId="6AC6B6C5">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7）投标保证缴纳证明（投标人采用投标保证金的，附建设工程交易系统《缴纳投标保证金通知书》页面截图和银行转账单扫描件；采用投标保证担保的，附银行保函扫描件；采用投标保证保险的，附电子保单和《交易平台保证金缴纳信息》页面截图）。</w:t>
      </w:r>
    </w:p>
    <w:p w14:paraId="0EFBD13B">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（8）《投标人基本情况表》（格式六）及所附资料；</w:t>
      </w:r>
    </w:p>
    <w:p w14:paraId="1B42CD28">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（9）《总监理工程师任职声明》（格式七或格式八，由投标人根据拟派总监理工程师任职情况选用）；</w:t>
      </w:r>
    </w:p>
    <w:p w14:paraId="69C941FC">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（10）《总监理工程师任职项目情况表》（格式九）及所附资料；</w:t>
      </w:r>
    </w:p>
    <w:p w14:paraId="1BB1C9C7">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（11）《项目监理机构组成人员汇总表》（格式十）；</w:t>
      </w:r>
    </w:p>
    <w:p w14:paraId="44A9562D">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（12）《总监理工程师简历表》（格式十一）及所附资料；</w:t>
      </w:r>
    </w:p>
    <w:p w14:paraId="18EF2A8B">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（13）《其他拟派人员简历表》（格式十二）及所附资料；</w:t>
      </w:r>
    </w:p>
    <w:p w14:paraId="74B8BCEF">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（14）详细评审阶段要求提供的评审资料（详见本节第</w:t>
      </w:r>
      <w:r>
        <w:rPr>
          <w:rFonts w:hint="eastAsia" w:hAnsi="宋体" w:cs="宋体"/>
          <w:b/>
          <w:bCs/>
          <w:snapToGrid w:val="0"/>
          <w:color w:val="auto"/>
          <w:kern w:val="0"/>
          <w:szCs w:val="24"/>
          <w:highlight w:val="none"/>
        </w:rPr>
        <w:t>15.5.1</w:t>
      </w:r>
      <w:r>
        <w:rPr>
          <w:rFonts w:hint="eastAsia" w:hAnsi="宋体" w:cs="宋体"/>
          <w:snapToGrid w:val="0"/>
          <w:color w:val="auto"/>
          <w:kern w:val="0"/>
          <w:szCs w:val="24"/>
          <w:highlight w:val="none"/>
        </w:rPr>
        <w:t>目）；</w:t>
      </w:r>
    </w:p>
    <w:p w14:paraId="65548FB8">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15）投标人认为有必要补充的其他资料。（例如投标人已经工商变更，但其员工执业资格注册证书上的企业名称未能在投标期间完成变更的书面说明和佐证材料；外省企业所在省、地级市住建部门或其授权的组织（机构）关于企业资质、人员资格有效期自动顺延或延续办理的相关文件等）。</w:t>
      </w:r>
    </w:p>
    <w:p w14:paraId="6FA9E744">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10.2.2</w:t>
      </w:r>
      <w:r>
        <w:rPr>
          <w:rFonts w:hint="eastAsia" w:hAnsi="宋体" w:cs="宋体"/>
          <w:snapToGrid w:val="0"/>
          <w:color w:val="auto"/>
          <w:kern w:val="0"/>
          <w:szCs w:val="24"/>
          <w:highlight w:val="none"/>
        </w:rPr>
        <w:t xml:space="preserve"> 本节第</w:t>
      </w:r>
      <w:r>
        <w:rPr>
          <w:rFonts w:hint="eastAsia" w:hAnsi="宋体" w:cs="宋体"/>
          <w:b/>
          <w:bCs/>
          <w:snapToGrid w:val="0"/>
          <w:color w:val="auto"/>
          <w:kern w:val="0"/>
          <w:szCs w:val="24"/>
          <w:highlight w:val="none"/>
        </w:rPr>
        <w:t>10.2.1</w:t>
      </w:r>
      <w:r>
        <w:rPr>
          <w:rFonts w:hint="eastAsia" w:hAnsi="宋体" w:cs="宋体"/>
          <w:snapToGrid w:val="0"/>
          <w:color w:val="auto"/>
          <w:kern w:val="0"/>
          <w:szCs w:val="24"/>
          <w:highlight w:val="none"/>
        </w:rPr>
        <w:t>目中所列出的商务标书组成内容中，第（1）至第（13）项所有投标人均应提供。</w:t>
      </w:r>
      <w:r>
        <w:rPr>
          <w:rFonts w:hint="eastAsia" w:hAnsi="宋体" w:cs="宋体"/>
          <w:b/>
          <w:bCs/>
          <w:snapToGrid w:val="0"/>
          <w:color w:val="auto"/>
          <w:kern w:val="0"/>
          <w:szCs w:val="24"/>
          <w:highlight w:val="none"/>
        </w:rPr>
        <w:t>但拟派总监理工程师现阶段未担任任何在施建设工程项目总监理工程师的，无需提供第（10）项内容。</w:t>
      </w:r>
    </w:p>
    <w:p w14:paraId="4EA0BD70">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b/>
          <w:bCs/>
          <w:snapToGrid w:val="0"/>
          <w:color w:val="auto"/>
          <w:kern w:val="0"/>
          <w:szCs w:val="24"/>
          <w:highlight w:val="none"/>
        </w:rPr>
      </w:pPr>
      <w:r>
        <w:rPr>
          <w:rFonts w:hint="eastAsia" w:hAnsi="宋体" w:cs="宋体"/>
          <w:b/>
          <w:bCs/>
          <w:snapToGrid w:val="0"/>
          <w:color w:val="auto"/>
          <w:kern w:val="0"/>
          <w:szCs w:val="24"/>
          <w:highlight w:val="none"/>
        </w:rPr>
        <w:t>10.2.3</w:t>
      </w:r>
      <w:r>
        <w:rPr>
          <w:rFonts w:hint="eastAsia" w:hAnsi="宋体" w:cs="宋体"/>
          <w:snapToGrid w:val="0"/>
          <w:color w:val="auto"/>
          <w:kern w:val="0"/>
          <w:szCs w:val="24"/>
          <w:highlight w:val="none"/>
        </w:rPr>
        <w:t xml:space="preserve"> 商务标书的组成内容按本节第</w:t>
      </w:r>
      <w:r>
        <w:rPr>
          <w:rFonts w:hint="eastAsia" w:hAnsi="宋体" w:cs="宋体"/>
          <w:b/>
          <w:bCs/>
          <w:snapToGrid w:val="0"/>
          <w:color w:val="auto"/>
          <w:kern w:val="0"/>
          <w:szCs w:val="24"/>
          <w:highlight w:val="none"/>
        </w:rPr>
        <w:t>10.2.1</w:t>
      </w:r>
      <w:r>
        <w:rPr>
          <w:rFonts w:hint="eastAsia" w:hAnsi="宋体" w:cs="宋体"/>
          <w:snapToGrid w:val="0"/>
          <w:color w:val="auto"/>
          <w:kern w:val="0"/>
          <w:szCs w:val="24"/>
          <w:highlight w:val="none"/>
        </w:rPr>
        <w:t>目规定的顺序整理、编排后，逐页（页码起始从封面开始）连续标记页码。</w:t>
      </w:r>
    </w:p>
    <w:p w14:paraId="5B77C9E7">
      <w:pPr>
        <w:keepNext w:val="0"/>
        <w:keepLines w:val="0"/>
        <w:pageBreakBefore w:val="0"/>
        <w:wordWrap w:val="0"/>
        <w:topLinePunct w:val="0"/>
        <w:bidi w:val="0"/>
        <w:adjustRightInd w:val="0"/>
        <w:snapToGrid w:val="0"/>
        <w:spacing w:line="500" w:lineRule="exact"/>
        <w:ind w:firstLine="480"/>
        <w:textAlignment w:val="auto"/>
        <w:rPr>
          <w:rFonts w:hAnsi="宋体" w:cs="宋体"/>
          <w:bCs/>
          <w:snapToGrid w:val="0"/>
          <w:color w:val="auto"/>
          <w:kern w:val="0"/>
          <w:szCs w:val="24"/>
          <w:highlight w:val="none"/>
        </w:rPr>
      </w:pPr>
      <w:r>
        <w:rPr>
          <w:rFonts w:hint="eastAsia" w:hAnsi="宋体" w:cs="宋体"/>
          <w:b/>
          <w:bCs/>
          <w:snapToGrid w:val="0"/>
          <w:color w:val="auto"/>
          <w:kern w:val="0"/>
          <w:szCs w:val="24"/>
          <w:highlight w:val="none"/>
        </w:rPr>
        <w:t>10.3</w:t>
      </w:r>
      <w:r>
        <w:rPr>
          <w:rFonts w:hint="eastAsia" w:hAnsi="宋体" w:cs="宋体"/>
          <w:bCs/>
          <w:snapToGrid w:val="0"/>
          <w:color w:val="auto"/>
          <w:kern w:val="0"/>
          <w:szCs w:val="24"/>
          <w:highlight w:val="none"/>
        </w:rPr>
        <w:t xml:space="preserve"> 监理大纲的编制要求</w:t>
      </w:r>
    </w:p>
    <w:p w14:paraId="5A965037">
      <w:pPr>
        <w:keepNext w:val="0"/>
        <w:keepLines w:val="0"/>
        <w:pageBreakBefore w:val="0"/>
        <w:wordWrap w:val="0"/>
        <w:topLinePunct w:val="0"/>
        <w:bidi w:val="0"/>
        <w:adjustRightInd w:val="0"/>
        <w:snapToGrid w:val="0"/>
        <w:spacing w:line="500" w:lineRule="exact"/>
        <w:ind w:firstLine="480"/>
        <w:textAlignment w:val="auto"/>
        <w:rPr>
          <w:rFonts w:hAnsi="宋体" w:cs="宋体"/>
          <w:bCs/>
          <w:snapToGrid w:val="0"/>
          <w:color w:val="auto"/>
          <w:kern w:val="0"/>
          <w:szCs w:val="24"/>
          <w:highlight w:val="none"/>
        </w:rPr>
      </w:pPr>
      <w:r>
        <w:rPr>
          <w:rFonts w:hint="eastAsia" w:hAnsi="宋体" w:cs="宋体"/>
          <w:b/>
          <w:snapToGrid w:val="0"/>
          <w:color w:val="auto"/>
          <w:kern w:val="0"/>
          <w:szCs w:val="24"/>
          <w:highlight w:val="none"/>
        </w:rPr>
        <w:t>10.3.1</w:t>
      </w:r>
      <w:r>
        <w:rPr>
          <w:rFonts w:hint="eastAsia" w:hAnsi="宋体" w:cs="宋体"/>
          <w:bCs/>
          <w:snapToGrid w:val="0"/>
          <w:color w:val="auto"/>
          <w:kern w:val="0"/>
          <w:szCs w:val="24"/>
          <w:highlight w:val="none"/>
        </w:rPr>
        <w:t xml:space="preserve"> 监理大纲</w:t>
      </w:r>
      <w:r>
        <w:rPr>
          <w:rFonts w:hint="eastAsia" w:hAnsi="宋体" w:cs="宋体"/>
          <w:snapToGrid w:val="0"/>
          <w:color w:val="auto"/>
          <w:kern w:val="0"/>
          <w:szCs w:val="24"/>
          <w:highlight w:val="none"/>
        </w:rPr>
        <w:t>的编制依据包括且不限于</w:t>
      </w:r>
      <w:r>
        <w:rPr>
          <w:rFonts w:hint="eastAsia" w:hAnsi="宋体" w:cs="宋体"/>
          <w:bCs/>
          <w:snapToGrid w:val="0"/>
          <w:color w:val="auto"/>
          <w:kern w:val="0"/>
          <w:szCs w:val="24"/>
          <w:highlight w:val="none"/>
        </w:rPr>
        <w:t>：</w:t>
      </w:r>
    </w:p>
    <w:p w14:paraId="34E3B350">
      <w:pPr>
        <w:keepNext w:val="0"/>
        <w:keepLines w:val="0"/>
        <w:pageBreakBefore w:val="0"/>
        <w:wordWrap w:val="0"/>
        <w:topLinePunct w:val="0"/>
        <w:bidi w:val="0"/>
        <w:adjustRightInd w:val="0"/>
        <w:snapToGrid w:val="0"/>
        <w:spacing w:line="500" w:lineRule="exact"/>
        <w:ind w:firstLine="480"/>
        <w:textAlignment w:val="auto"/>
        <w:rPr>
          <w:rFonts w:hAnsi="宋体" w:cs="宋体"/>
          <w:bCs/>
          <w:snapToGrid w:val="0"/>
          <w:color w:val="auto"/>
          <w:kern w:val="0"/>
          <w:szCs w:val="24"/>
          <w:highlight w:val="none"/>
        </w:rPr>
      </w:pPr>
      <w:r>
        <w:rPr>
          <w:rFonts w:hint="eastAsia" w:hAnsi="宋体" w:cs="宋体"/>
          <w:bCs/>
          <w:snapToGrid w:val="0"/>
          <w:color w:val="auto"/>
          <w:kern w:val="0"/>
          <w:szCs w:val="24"/>
          <w:highlight w:val="none"/>
        </w:rPr>
        <w:t>（1）招标文件及</w:t>
      </w:r>
      <w:r>
        <w:rPr>
          <w:rFonts w:hint="eastAsia" w:hAnsi="宋体" w:cs="宋体"/>
          <w:snapToGrid w:val="0"/>
          <w:color w:val="auto"/>
          <w:kern w:val="0"/>
          <w:szCs w:val="24"/>
          <w:highlight w:val="none"/>
        </w:rPr>
        <w:t>其答疑（或修改）公告；</w:t>
      </w:r>
    </w:p>
    <w:p w14:paraId="3CC5C04E">
      <w:pPr>
        <w:keepNext w:val="0"/>
        <w:keepLines w:val="0"/>
        <w:pageBreakBefore w:val="0"/>
        <w:wordWrap w:val="0"/>
        <w:topLinePunct w:val="0"/>
        <w:bidi w:val="0"/>
        <w:adjustRightInd w:val="0"/>
        <w:snapToGrid w:val="0"/>
        <w:spacing w:line="500" w:lineRule="exact"/>
        <w:ind w:firstLine="480"/>
        <w:textAlignment w:val="auto"/>
        <w:rPr>
          <w:rFonts w:hAnsi="宋体" w:cs="宋体"/>
          <w:bCs/>
          <w:snapToGrid w:val="0"/>
          <w:color w:val="auto"/>
          <w:kern w:val="0"/>
          <w:szCs w:val="24"/>
          <w:highlight w:val="none"/>
        </w:rPr>
      </w:pPr>
      <w:r>
        <w:rPr>
          <w:rFonts w:hint="eastAsia" w:hAnsi="宋体" w:cs="宋体"/>
          <w:bCs/>
          <w:snapToGrid w:val="0"/>
          <w:color w:val="auto"/>
          <w:kern w:val="0"/>
          <w:szCs w:val="24"/>
          <w:highlight w:val="none"/>
        </w:rPr>
        <w:t>（2）施工现场情况、工程特点；</w:t>
      </w:r>
    </w:p>
    <w:p w14:paraId="0728D743">
      <w:pPr>
        <w:keepNext w:val="0"/>
        <w:keepLines w:val="0"/>
        <w:pageBreakBefore w:val="0"/>
        <w:wordWrap w:val="0"/>
        <w:topLinePunct w:val="0"/>
        <w:bidi w:val="0"/>
        <w:adjustRightInd w:val="0"/>
        <w:snapToGrid w:val="0"/>
        <w:spacing w:line="500" w:lineRule="exact"/>
        <w:ind w:firstLine="480"/>
        <w:textAlignment w:val="auto"/>
        <w:rPr>
          <w:rFonts w:hAnsi="宋体" w:cs="宋体"/>
          <w:bCs/>
          <w:snapToGrid w:val="0"/>
          <w:color w:val="auto"/>
          <w:kern w:val="0"/>
          <w:szCs w:val="24"/>
          <w:highlight w:val="none"/>
        </w:rPr>
      </w:pPr>
      <w:r>
        <w:rPr>
          <w:rFonts w:hint="eastAsia" w:hAnsi="宋体" w:cs="宋体"/>
          <w:bCs/>
          <w:snapToGrid w:val="0"/>
          <w:color w:val="auto"/>
          <w:kern w:val="0"/>
          <w:szCs w:val="24"/>
          <w:highlight w:val="none"/>
        </w:rPr>
        <w:t>（3）相关法律、法规、规定；</w:t>
      </w:r>
    </w:p>
    <w:p w14:paraId="3A40A899">
      <w:pPr>
        <w:keepNext w:val="0"/>
        <w:keepLines w:val="0"/>
        <w:pageBreakBefore w:val="0"/>
        <w:wordWrap w:val="0"/>
        <w:topLinePunct w:val="0"/>
        <w:bidi w:val="0"/>
        <w:adjustRightInd w:val="0"/>
        <w:snapToGrid w:val="0"/>
        <w:spacing w:line="500" w:lineRule="exact"/>
        <w:ind w:firstLine="480"/>
        <w:textAlignment w:val="auto"/>
        <w:rPr>
          <w:rFonts w:hAnsi="宋体" w:cs="宋体"/>
          <w:bCs/>
          <w:snapToGrid w:val="0"/>
          <w:color w:val="auto"/>
          <w:kern w:val="0"/>
          <w:szCs w:val="24"/>
          <w:highlight w:val="none"/>
        </w:rPr>
      </w:pPr>
      <w:r>
        <w:rPr>
          <w:rFonts w:hint="eastAsia" w:hAnsi="宋体" w:cs="宋体"/>
          <w:bCs/>
          <w:snapToGrid w:val="0"/>
          <w:color w:val="auto"/>
          <w:kern w:val="0"/>
          <w:szCs w:val="24"/>
          <w:highlight w:val="none"/>
        </w:rPr>
        <w:t>（4）国家、广东省、韶关市关于施工现场管理、施工工艺、绿色施工、安全防护、文明施工、环境保护等方面的标准、规范、技术资料。如《广东省住房和城乡建设厅绿色施工导则》《广东省建设工程施工扬尘污染防治管理办法（试行）》等；</w:t>
      </w:r>
    </w:p>
    <w:p w14:paraId="4A8CC213">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szCs w:val="24"/>
          <w:highlight w:val="none"/>
        </w:rPr>
      </w:pPr>
      <w:r>
        <w:rPr>
          <w:rFonts w:hint="eastAsia" w:hAnsi="宋体" w:cs="宋体"/>
          <w:b/>
          <w:snapToGrid w:val="0"/>
          <w:color w:val="auto"/>
          <w:kern w:val="0"/>
          <w:szCs w:val="24"/>
          <w:highlight w:val="none"/>
        </w:rPr>
        <w:t>10.3.2</w:t>
      </w:r>
      <w:r>
        <w:rPr>
          <w:rFonts w:hint="eastAsia" w:hAnsi="宋体" w:cs="宋体"/>
          <w:bCs/>
          <w:snapToGrid w:val="0"/>
          <w:color w:val="auto"/>
          <w:kern w:val="0"/>
          <w:szCs w:val="24"/>
          <w:highlight w:val="none"/>
        </w:rPr>
        <w:t xml:space="preserve"> 监理大纲</w:t>
      </w:r>
      <w:r>
        <w:rPr>
          <w:rFonts w:hint="eastAsia" w:hAnsi="宋体" w:cs="宋体"/>
          <w:snapToGrid w:val="0"/>
          <w:color w:val="auto"/>
          <w:kern w:val="0"/>
          <w:szCs w:val="24"/>
          <w:highlight w:val="none"/>
        </w:rPr>
        <w:t>包括但不限于以下内容：</w:t>
      </w:r>
    </w:p>
    <w:p w14:paraId="0EF73540">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（1）封面（格式一）；</w:t>
      </w:r>
    </w:p>
    <w:p w14:paraId="5A40844D">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（2）目录；</w:t>
      </w:r>
    </w:p>
    <w:p w14:paraId="28314E1A">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（3）监理工程概况；</w:t>
      </w:r>
    </w:p>
    <w:p w14:paraId="34DF6C2C">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（4）监理及相关服务的范围、内容；</w:t>
      </w:r>
    </w:p>
    <w:p w14:paraId="669B2125">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（5）监理及相关服务的依据、目标；</w:t>
      </w:r>
    </w:p>
    <w:p w14:paraId="729D7A4D">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（6）项目监理机构设置（框图）、岗位职责；</w:t>
      </w:r>
    </w:p>
    <w:p w14:paraId="7BA86749">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（7）监理及相关服务的工作程序、方法和制度；</w:t>
      </w:r>
    </w:p>
    <w:p w14:paraId="0E2C6BA4">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（8）拟投入的监理及相关服务人员；</w:t>
      </w:r>
    </w:p>
    <w:p w14:paraId="079E62EB">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（9）质量、进度、造价、安全、绿色施工监理措施；</w:t>
      </w:r>
    </w:p>
    <w:p w14:paraId="16B6713B">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（10）合同、信息管理方案；</w:t>
      </w:r>
    </w:p>
    <w:p w14:paraId="02B44370">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（11）组织协调内容及措施；</w:t>
      </w:r>
    </w:p>
    <w:p w14:paraId="1E541A3B">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（12）监理及相关服务的工作重点、难点分析；</w:t>
      </w:r>
    </w:p>
    <w:p w14:paraId="38377DE2">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（13）对本工程监理及相关服务的合理化建议。</w:t>
      </w:r>
    </w:p>
    <w:p w14:paraId="69D5831B">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10.3.3</w:t>
      </w:r>
      <w:r>
        <w:rPr>
          <w:rFonts w:hint="eastAsia" w:hAnsi="宋体" w:cs="宋体"/>
          <w:snapToGrid w:val="0"/>
          <w:color w:val="auto"/>
          <w:kern w:val="0"/>
          <w:szCs w:val="24"/>
          <w:highlight w:val="none"/>
        </w:rPr>
        <w:t xml:space="preserve"> 本节第</w:t>
      </w:r>
      <w:r>
        <w:rPr>
          <w:rFonts w:hint="eastAsia" w:hAnsi="宋体" w:cs="宋体"/>
          <w:b/>
          <w:bCs/>
          <w:snapToGrid w:val="0"/>
          <w:color w:val="auto"/>
          <w:kern w:val="0"/>
          <w:szCs w:val="24"/>
          <w:highlight w:val="none"/>
        </w:rPr>
        <w:t>10.3.2</w:t>
      </w:r>
      <w:r>
        <w:rPr>
          <w:rFonts w:hint="eastAsia" w:hAnsi="宋体" w:cs="宋体"/>
          <w:snapToGrid w:val="0"/>
          <w:color w:val="auto"/>
          <w:kern w:val="0"/>
          <w:szCs w:val="24"/>
          <w:highlight w:val="none"/>
        </w:rPr>
        <w:t>目中所列出的</w:t>
      </w:r>
      <w:r>
        <w:rPr>
          <w:rFonts w:hint="eastAsia" w:hAnsi="宋体" w:cs="宋体"/>
          <w:bCs/>
          <w:snapToGrid w:val="0"/>
          <w:color w:val="auto"/>
          <w:kern w:val="0"/>
          <w:szCs w:val="24"/>
          <w:highlight w:val="none"/>
        </w:rPr>
        <w:t>监理大纲</w:t>
      </w:r>
      <w:r>
        <w:rPr>
          <w:rFonts w:hint="eastAsia" w:hAnsi="宋体" w:cs="宋体"/>
          <w:snapToGrid w:val="0"/>
          <w:color w:val="auto"/>
          <w:kern w:val="0"/>
          <w:szCs w:val="24"/>
          <w:highlight w:val="none"/>
        </w:rPr>
        <w:t>组成内容，所有投标人均应提供。</w:t>
      </w:r>
    </w:p>
    <w:p w14:paraId="5C74C3D5">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10.3.4</w:t>
      </w:r>
      <w:r>
        <w:rPr>
          <w:rFonts w:hint="eastAsia" w:hAnsi="宋体" w:cs="宋体"/>
          <w:snapToGrid w:val="0"/>
          <w:color w:val="auto"/>
          <w:kern w:val="0"/>
          <w:szCs w:val="24"/>
          <w:highlight w:val="none"/>
        </w:rPr>
        <w:t xml:space="preserve"> </w:t>
      </w:r>
      <w:r>
        <w:rPr>
          <w:rFonts w:hint="eastAsia" w:hAnsi="宋体" w:cs="宋体"/>
          <w:bCs/>
          <w:snapToGrid w:val="0"/>
          <w:color w:val="auto"/>
          <w:kern w:val="0"/>
          <w:szCs w:val="24"/>
          <w:highlight w:val="none"/>
        </w:rPr>
        <w:t>监理大纲</w:t>
      </w:r>
      <w:r>
        <w:rPr>
          <w:rFonts w:hint="eastAsia" w:hAnsi="宋体" w:cs="宋体"/>
          <w:snapToGrid w:val="0"/>
          <w:color w:val="auto"/>
          <w:kern w:val="0"/>
          <w:szCs w:val="24"/>
          <w:highlight w:val="none"/>
        </w:rPr>
        <w:t>的组成内容按本节第</w:t>
      </w:r>
      <w:r>
        <w:rPr>
          <w:rFonts w:hint="eastAsia" w:hAnsi="宋体" w:cs="宋体"/>
          <w:b/>
          <w:bCs/>
          <w:snapToGrid w:val="0"/>
          <w:color w:val="auto"/>
          <w:kern w:val="0"/>
          <w:szCs w:val="24"/>
          <w:highlight w:val="none"/>
        </w:rPr>
        <w:t>10.3.2</w:t>
      </w:r>
      <w:r>
        <w:rPr>
          <w:rFonts w:hint="eastAsia" w:hAnsi="宋体" w:cs="宋体"/>
          <w:snapToGrid w:val="0"/>
          <w:color w:val="auto"/>
          <w:kern w:val="0"/>
          <w:szCs w:val="24"/>
          <w:highlight w:val="none"/>
        </w:rPr>
        <w:t>目规定的顺序整理、编排后，逐页（页码起始从封面开始）连续标记页码。</w:t>
      </w:r>
    </w:p>
    <w:p w14:paraId="79A97868">
      <w:pPr>
        <w:pStyle w:val="5"/>
        <w:keepNext w:val="0"/>
        <w:keepLines w:val="0"/>
        <w:pageBreakBefore w:val="0"/>
        <w:wordWrap w:val="0"/>
        <w:topLinePunct w:val="0"/>
        <w:autoSpaceDE/>
        <w:autoSpaceDN/>
        <w:bidi w:val="0"/>
        <w:snapToGrid w:val="0"/>
        <w:spacing w:line="500" w:lineRule="exact"/>
        <w:ind w:firstLine="480"/>
        <w:jc w:val="both"/>
        <w:textAlignment w:val="auto"/>
        <w:outlineLvl w:val="2"/>
        <w:rPr>
          <w:rFonts w:hAnsi="宋体" w:cs="宋体"/>
          <w:b/>
          <w:snapToGrid w:val="0"/>
          <w:color w:val="auto"/>
          <w:szCs w:val="24"/>
          <w:highlight w:val="none"/>
        </w:rPr>
      </w:pPr>
      <w:bookmarkStart w:id="48" w:name="_Toc2864"/>
      <w:bookmarkStart w:id="49" w:name="_Toc1986"/>
      <w:r>
        <w:rPr>
          <w:rFonts w:hint="eastAsia" w:hAnsi="宋体" w:cs="宋体"/>
          <w:b/>
          <w:snapToGrid w:val="0"/>
          <w:color w:val="auto"/>
          <w:szCs w:val="24"/>
          <w:highlight w:val="none"/>
        </w:rPr>
        <w:t>11．</w:t>
      </w:r>
      <w:bookmarkEnd w:id="48"/>
      <w:r>
        <w:rPr>
          <w:rFonts w:hint="eastAsia" w:hAnsi="宋体" w:cs="宋体"/>
          <w:b/>
          <w:snapToGrid w:val="0"/>
          <w:color w:val="auto"/>
          <w:szCs w:val="24"/>
          <w:highlight w:val="none"/>
        </w:rPr>
        <w:t>电子投标</w:t>
      </w:r>
      <w:bookmarkEnd w:id="49"/>
    </w:p>
    <w:p w14:paraId="72F1BB7A">
      <w:pPr>
        <w:pStyle w:val="90"/>
        <w:keepNext w:val="0"/>
        <w:keepLines w:val="0"/>
        <w:pageBreakBefore w:val="0"/>
        <w:wordWrap w:val="0"/>
        <w:topLinePunct w:val="0"/>
        <w:bidi w:val="0"/>
        <w:adjustRightInd w:val="0"/>
        <w:snapToGrid w:val="0"/>
        <w:spacing w:line="500" w:lineRule="exact"/>
        <w:ind w:firstLine="482" w:firstLineChars="200"/>
        <w:jc w:val="left"/>
        <w:textAlignment w:val="auto"/>
        <w:rPr>
          <w:rFonts w:hint="eastAsia" w:ascii="宋体" w:hAnsi="宋体" w:eastAsia="宋体" w:cs="宋体"/>
          <w:snapToGrid w:val="0"/>
          <w:color w:val="auto"/>
          <w:kern w:val="0"/>
          <w:sz w:val="24"/>
          <w:highlight w:val="none"/>
        </w:rPr>
      </w:pPr>
      <w:r>
        <w:rPr>
          <w:rFonts w:hint="eastAsia" w:ascii="宋体" w:hAnsi="宋体" w:cs="宋体"/>
          <w:b/>
          <w:bCs/>
          <w:snapToGrid w:val="0"/>
          <w:color w:val="auto"/>
          <w:kern w:val="0"/>
          <w:sz w:val="24"/>
          <w:highlight w:val="none"/>
        </w:rPr>
        <w:t>11.1</w:t>
      </w:r>
      <w:r>
        <w:rPr>
          <w:rFonts w:hint="eastAsia" w:ascii="宋体" w:hAnsi="宋体" w:cs="宋体"/>
          <w:snapToGrid w:val="0"/>
          <w:color w:val="auto"/>
          <w:kern w:val="0"/>
          <w:sz w:val="24"/>
          <w:highlight w:val="none"/>
        </w:rPr>
        <w:t>在建设工程交易系统上传加盖了电子印章的投标文件、录入相关信息及标书页码信息，（页码起始从封面开始）并提交投标标书，提交标书为已加密投标文件。具体操作参</w:t>
      </w:r>
      <w:r>
        <w:rPr>
          <w:rFonts w:hint="eastAsia" w:ascii="宋体" w:hAnsi="宋体" w:eastAsia="宋体" w:cs="宋体"/>
          <w:snapToGrid w:val="0"/>
          <w:color w:val="auto"/>
          <w:kern w:val="0"/>
          <w:sz w:val="24"/>
          <w:highlight w:val="none"/>
        </w:rPr>
        <w:t>照《韶关市公共资源建设工程交易系统-投标人操作指南（电子评标）》。本项目评标采用全流程电子化进行招标投标（投标人应根据韶关市公共资源建设工程交易系统进行编辑投标相关内容、按招标文件电子投标要求上传已加盖电子印章投标文件，否则将自行承担不利后果）。投标文件完成上传后，投标人应使用 CA 数字证书对投标文件进行文件加密，形成加密的投标文件并提交标书。</w:t>
      </w:r>
    </w:p>
    <w:p w14:paraId="7BED4572">
      <w:pPr>
        <w:pStyle w:val="90"/>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11.2</w:t>
      </w:r>
      <w:r>
        <w:rPr>
          <w:rFonts w:hint="eastAsia" w:ascii="宋体" w:hAnsi="宋体" w:cs="宋体"/>
          <w:snapToGrid w:val="0"/>
          <w:color w:val="auto"/>
          <w:kern w:val="0"/>
          <w:sz w:val="24"/>
          <w:highlight w:val="none"/>
        </w:rPr>
        <w:t>电子投标文件的修改、撤回：在提交投标文件截止时间前，投标人可以修改或撤回未解密的电子投标文件，并于提交投标文件截止时间前将重新上传修改后的电子投标文件至系统，到达投标文件提交截止时间后投标人不得撤回、补充、修改和更换投标文件。</w:t>
      </w:r>
    </w:p>
    <w:p w14:paraId="7EFFAA2A">
      <w:pPr>
        <w:keepNext w:val="0"/>
        <w:keepLines w:val="0"/>
        <w:pageBreakBefore w:val="0"/>
        <w:topLinePunct w:val="0"/>
        <w:bidi w:val="0"/>
        <w:spacing w:line="500" w:lineRule="exact"/>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 xml:space="preserve">11.3 </w:t>
      </w:r>
      <w:r>
        <w:rPr>
          <w:rFonts w:hint="eastAsia" w:hAnsi="宋体" w:cs="宋体"/>
          <w:snapToGrid w:val="0"/>
          <w:color w:val="auto"/>
          <w:kern w:val="0"/>
          <w:szCs w:val="24"/>
          <w:highlight w:val="none"/>
        </w:rPr>
        <w:t>电子投标解密失败及突发情况的补救</w:t>
      </w:r>
    </w:p>
    <w:p w14:paraId="55067ABC">
      <w:pPr>
        <w:pStyle w:val="90"/>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11.3.1</w:t>
      </w:r>
      <w:r>
        <w:rPr>
          <w:rFonts w:hint="eastAsia" w:ascii="宋体" w:hAnsi="宋体" w:cs="宋体"/>
          <w:snapToGrid w:val="0"/>
          <w:color w:val="auto"/>
          <w:kern w:val="0"/>
          <w:sz w:val="24"/>
          <w:highlight w:val="none"/>
        </w:rPr>
        <w:t xml:space="preserve">按照交易平台关于全流程电子化项目的相关指南进行操作。详见：全国公共资源交易平台（广东省·韶关市）（https://ygp.gdzwfw.gov.cn/ggzy-portal/#/440200/index）【服务指南】栏目发布的最新版操作指引。  </w:t>
      </w:r>
    </w:p>
    <w:p w14:paraId="0E3EAC08">
      <w:pPr>
        <w:pStyle w:val="90"/>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11.3.2</w:t>
      </w:r>
      <w:r>
        <w:rPr>
          <w:rFonts w:hint="eastAsia" w:ascii="宋体" w:hAnsi="宋体" w:cs="宋体"/>
          <w:snapToGrid w:val="0"/>
          <w:color w:val="auto"/>
          <w:kern w:val="0"/>
          <w:sz w:val="24"/>
          <w:highlight w:val="none"/>
        </w:rPr>
        <w:t>补救方案：</w:t>
      </w:r>
    </w:p>
    <w:p w14:paraId="0B52C661">
      <w:pPr>
        <w:pStyle w:val="90"/>
        <w:keepNext w:val="0"/>
        <w:keepLines w:val="0"/>
        <w:pageBreakBefore w:val="0"/>
        <w:wordWrap w:val="0"/>
        <w:topLinePunct w:val="0"/>
        <w:bidi w:val="0"/>
        <w:adjustRightInd w:val="0"/>
        <w:snapToGrid w:val="0"/>
        <w:spacing w:line="500" w:lineRule="exact"/>
        <w:ind w:firstLine="480" w:firstLineChars="20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投标文件解密失败的补救方案：在规定时间内，因投标人之外原因(指网络瘫痪、服务器损坏、交易系统故障短期无法恢复)等导致的电子投标文件解密失败，在开标现场解密环节由代理授权后，解密失败投标人可在建设工程交易系统在规定时间（代理机构授权后30分钟内）内重新提交投标文件继续开标程序。</w:t>
      </w:r>
    </w:p>
    <w:p w14:paraId="34D20B3C">
      <w:pPr>
        <w:pStyle w:val="90"/>
        <w:keepNext w:val="0"/>
        <w:keepLines w:val="0"/>
        <w:pageBreakBefore w:val="0"/>
        <w:wordWrap w:val="0"/>
        <w:topLinePunct w:val="0"/>
        <w:bidi w:val="0"/>
        <w:adjustRightInd w:val="0"/>
        <w:snapToGrid w:val="0"/>
        <w:spacing w:line="500" w:lineRule="exact"/>
        <w:ind w:firstLine="480" w:firstLineChars="20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2）评标时突发情况的补救方案：在评标过程中，因主场或副场网络故障、电子设备或者评标系统故障，以及其他原因导致无法继续进行评标时，在4小时以内解除故障的可继续评标，超过4小时无法解除故障的，由招标人确定是否进行评标。如延期评标，招标人及参与评标活动的各方主体及其有关工作人员应当配合主场、副场做好招投标资料的封存和保密工作，另行组建评标委员会重新评标。原评标委员会成员应当对评标情况保密，不得对外透露与评标有关的任何信息与情况。</w:t>
      </w:r>
    </w:p>
    <w:p w14:paraId="28F7F60E">
      <w:pPr>
        <w:pStyle w:val="90"/>
        <w:keepNext w:val="0"/>
        <w:keepLines w:val="0"/>
        <w:pageBreakBefore w:val="0"/>
        <w:wordWrap w:val="0"/>
        <w:topLinePunct w:val="0"/>
        <w:bidi w:val="0"/>
        <w:adjustRightInd w:val="0"/>
        <w:snapToGrid w:val="0"/>
        <w:spacing w:line="500" w:lineRule="exact"/>
        <w:ind w:firstLine="480" w:firstLineChars="20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（3）除发生上述情况外，开标评标均以投标人通过交易平台网上提交的电子投标文件为准。</w:t>
      </w:r>
    </w:p>
    <w:p w14:paraId="07C6E646">
      <w:pPr>
        <w:pStyle w:val="5"/>
        <w:keepNext w:val="0"/>
        <w:keepLines w:val="0"/>
        <w:pageBreakBefore w:val="0"/>
        <w:wordWrap w:val="0"/>
        <w:topLinePunct w:val="0"/>
        <w:autoSpaceDE/>
        <w:autoSpaceDN/>
        <w:bidi w:val="0"/>
        <w:snapToGrid w:val="0"/>
        <w:spacing w:line="500" w:lineRule="exact"/>
        <w:ind w:firstLine="480"/>
        <w:jc w:val="both"/>
        <w:textAlignment w:val="auto"/>
        <w:outlineLvl w:val="2"/>
        <w:rPr>
          <w:rFonts w:hAnsi="宋体" w:cs="宋体"/>
          <w:b/>
          <w:snapToGrid w:val="0"/>
          <w:color w:val="auto"/>
          <w:szCs w:val="24"/>
          <w:highlight w:val="none"/>
        </w:rPr>
      </w:pPr>
      <w:bookmarkStart w:id="50" w:name="_Toc4888"/>
      <w:r>
        <w:rPr>
          <w:rFonts w:hint="eastAsia" w:hAnsi="宋体" w:cs="宋体"/>
          <w:b/>
          <w:snapToGrid w:val="0"/>
          <w:color w:val="auto"/>
          <w:szCs w:val="24"/>
          <w:highlight w:val="none"/>
        </w:rPr>
        <w:t>12. 投标文件的提交</w:t>
      </w:r>
      <w:bookmarkEnd w:id="50"/>
    </w:p>
    <w:p w14:paraId="63A37942">
      <w:pPr>
        <w:pStyle w:val="90"/>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12.1</w:t>
      </w:r>
      <w:r>
        <w:rPr>
          <w:rFonts w:hint="eastAsia" w:ascii="宋体" w:hAnsi="宋体" w:cs="宋体"/>
          <w:snapToGrid w:val="0"/>
          <w:color w:val="auto"/>
          <w:kern w:val="0"/>
          <w:sz w:val="24"/>
          <w:highlight w:val="none"/>
        </w:rPr>
        <w:t>在电子投标截止时间前，投标人通过全国公共资源交易平台（广东省·韶关市）提交已加密投标文件。逾期提交的电子投标文件，全国公共资源交易平台（广东省·韶关市）将予以拒收。</w:t>
      </w:r>
    </w:p>
    <w:p w14:paraId="7CF91D7D">
      <w:pPr>
        <w:pStyle w:val="90"/>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12.2</w:t>
      </w:r>
      <w:r>
        <w:rPr>
          <w:rFonts w:hint="eastAsia" w:ascii="宋体" w:hAnsi="宋体" w:cs="宋体"/>
          <w:snapToGrid w:val="0"/>
          <w:color w:val="auto"/>
          <w:kern w:val="0"/>
          <w:sz w:val="24"/>
          <w:highlight w:val="none"/>
        </w:rPr>
        <w:t>投标文件提交截止时间（同电子投标截止时间）：见本章第二节“重要事项时间地点一览表”。</w:t>
      </w:r>
    </w:p>
    <w:p w14:paraId="348B16E2">
      <w:pPr>
        <w:pStyle w:val="90"/>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b/>
          <w:bCs/>
          <w:snapToGrid w:val="0"/>
          <w:color w:val="auto"/>
          <w:kern w:val="0"/>
          <w:sz w:val="24"/>
          <w:highlight w:val="none"/>
        </w:rPr>
      </w:pPr>
      <w:r>
        <w:rPr>
          <w:rFonts w:hint="eastAsia" w:ascii="宋体" w:hAnsi="宋体" w:cs="宋体"/>
          <w:b/>
          <w:bCs/>
          <w:snapToGrid w:val="0"/>
          <w:color w:val="auto"/>
          <w:kern w:val="0"/>
          <w:sz w:val="24"/>
          <w:highlight w:val="none"/>
        </w:rPr>
        <w:t>12.3</w:t>
      </w:r>
      <w:r>
        <w:rPr>
          <w:rFonts w:hint="eastAsia" w:ascii="宋体" w:hAnsi="宋体" w:cs="宋体"/>
          <w:snapToGrid w:val="0"/>
          <w:color w:val="auto"/>
          <w:kern w:val="0"/>
          <w:sz w:val="24"/>
          <w:highlight w:val="none"/>
        </w:rPr>
        <w:t>代理机构对因不可抗力事件造成的投标文件的损坏、丢失的，不承担责任。</w:t>
      </w:r>
      <w:r>
        <w:rPr>
          <w:rFonts w:hint="eastAsia" w:ascii="宋体" w:hAnsi="宋体" w:cs="宋体"/>
          <w:b/>
          <w:bCs/>
          <w:snapToGrid w:val="0"/>
          <w:color w:val="auto"/>
          <w:kern w:val="0"/>
          <w:sz w:val="24"/>
          <w:highlight w:val="none"/>
        </w:rPr>
        <w:t xml:space="preserve">  </w:t>
      </w:r>
    </w:p>
    <w:p w14:paraId="16456DE3">
      <w:pPr>
        <w:pStyle w:val="90"/>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 xml:space="preserve">12.4 </w:t>
      </w:r>
      <w:r>
        <w:rPr>
          <w:rFonts w:hint="eastAsia" w:ascii="宋体" w:hAnsi="宋体" w:cs="宋体"/>
          <w:snapToGrid w:val="0"/>
          <w:color w:val="auto"/>
          <w:kern w:val="0"/>
          <w:sz w:val="24"/>
          <w:highlight w:val="none"/>
        </w:rPr>
        <w:t>投标人法定代表人或其委托代理人（以下简称“投标人代表”）应在指定的时间和地点递交以下的资料</w:t>
      </w:r>
      <w:r>
        <w:rPr>
          <w:rFonts w:hint="eastAsia" w:ascii="宋体" w:hAnsi="宋体" w:cs="宋体"/>
          <w:b/>
          <w:bCs/>
          <w:snapToGrid w:val="0"/>
          <w:color w:val="auto"/>
          <w:kern w:val="0"/>
          <w:sz w:val="24"/>
          <w:highlight w:val="none"/>
        </w:rPr>
        <w:t>（如有）</w:t>
      </w:r>
      <w:r>
        <w:rPr>
          <w:rFonts w:hint="eastAsia" w:ascii="宋体" w:hAnsi="宋体" w:cs="宋体"/>
          <w:snapToGrid w:val="0"/>
          <w:color w:val="auto"/>
          <w:kern w:val="0"/>
          <w:sz w:val="24"/>
          <w:highlight w:val="none"/>
        </w:rPr>
        <w:t>：招标文件要求提交的用于评审的证书、证件、证明原件（附一式</w:t>
      </w:r>
      <w:r>
        <w:rPr>
          <w:rFonts w:hint="eastAsia" w:ascii="宋体" w:hAnsi="宋体" w:cs="宋体"/>
          <w:snapToGrid w:val="0"/>
          <w:color w:val="auto"/>
          <w:kern w:val="0"/>
          <w:sz w:val="24"/>
          <w:highlight w:val="none"/>
          <w:u w:val="single"/>
        </w:rPr>
        <w:t xml:space="preserve"> 两 </w:t>
      </w:r>
      <w:r>
        <w:rPr>
          <w:rFonts w:hint="eastAsia" w:ascii="宋体" w:hAnsi="宋体" w:cs="宋体"/>
          <w:snapToGrid w:val="0"/>
          <w:color w:val="auto"/>
          <w:kern w:val="0"/>
          <w:sz w:val="24"/>
          <w:highlight w:val="none"/>
        </w:rPr>
        <w:t>份清单）。</w:t>
      </w:r>
    </w:p>
    <w:p w14:paraId="513CE89F">
      <w:pPr>
        <w:pStyle w:val="90"/>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12.5</w:t>
      </w:r>
      <w:r>
        <w:rPr>
          <w:rFonts w:hint="eastAsia" w:ascii="宋体" w:hAnsi="宋体" w:cs="宋体"/>
          <w:snapToGrid w:val="0"/>
          <w:color w:val="auto"/>
          <w:kern w:val="0"/>
          <w:sz w:val="24"/>
          <w:highlight w:val="none"/>
        </w:rPr>
        <w:t>出现下述情形之一，属于未成功提交投标文件，按无效投标处理：</w:t>
      </w:r>
    </w:p>
    <w:p w14:paraId="06E3DFD5">
      <w:pPr>
        <w:pStyle w:val="90"/>
        <w:keepNext w:val="0"/>
        <w:keepLines w:val="0"/>
        <w:pageBreakBefore w:val="0"/>
        <w:wordWrap w:val="0"/>
        <w:topLinePunct w:val="0"/>
        <w:bidi w:val="0"/>
        <w:adjustRightInd w:val="0"/>
        <w:snapToGrid w:val="0"/>
        <w:spacing w:line="500" w:lineRule="exact"/>
        <w:ind w:firstLine="480" w:firstLineChars="200"/>
        <w:jc w:val="left"/>
        <w:textAlignment w:val="auto"/>
        <w:rPr>
          <w:rFonts w:hint="eastAsia" w:ascii="宋体" w:hAnsi="宋体" w:eastAsia="宋体" w:cs="宋体"/>
          <w:snapToGrid w:val="0"/>
          <w:color w:val="auto"/>
          <w:kern w:val="0"/>
          <w:sz w:val="24"/>
          <w:highlight w:val="none"/>
          <w:lang w:eastAsia="zh-CN"/>
        </w:rPr>
      </w:pPr>
      <w:r>
        <w:rPr>
          <w:rFonts w:hint="eastAsia" w:ascii="宋体" w:hAnsi="宋体" w:cs="宋体"/>
          <w:snapToGrid w:val="0"/>
          <w:color w:val="auto"/>
          <w:kern w:val="0"/>
          <w:sz w:val="24"/>
          <w:highlight w:val="none"/>
        </w:rPr>
        <w:t>（1）至电子投标截止时间时，投标文件未完整上传或未提交投标</w:t>
      </w:r>
      <w:r>
        <w:rPr>
          <w:rFonts w:hint="eastAsia" w:ascii="宋体" w:hAnsi="宋体" w:cs="宋体"/>
          <w:snapToGrid w:val="0"/>
          <w:color w:val="auto"/>
          <w:kern w:val="0"/>
          <w:sz w:val="24"/>
          <w:highlight w:val="none"/>
          <w:lang w:eastAsia="zh-CN"/>
        </w:rPr>
        <w:t>；</w:t>
      </w:r>
    </w:p>
    <w:p w14:paraId="393C44A8">
      <w:pPr>
        <w:pStyle w:val="90"/>
        <w:keepNext w:val="0"/>
        <w:keepLines w:val="0"/>
        <w:pageBreakBefore w:val="0"/>
        <w:wordWrap w:val="0"/>
        <w:topLinePunct w:val="0"/>
        <w:bidi w:val="0"/>
        <w:adjustRightInd w:val="0"/>
        <w:snapToGrid w:val="0"/>
        <w:spacing w:line="500" w:lineRule="exact"/>
        <w:ind w:firstLine="480" w:firstLineChars="20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（2）解密失败且在规定时间内未重新提交投标文件的；</w:t>
      </w:r>
    </w:p>
    <w:p w14:paraId="1C2ECEAF">
      <w:pPr>
        <w:pStyle w:val="90"/>
        <w:keepNext w:val="0"/>
        <w:keepLines w:val="0"/>
        <w:pageBreakBefore w:val="0"/>
        <w:wordWrap w:val="0"/>
        <w:topLinePunct w:val="0"/>
        <w:bidi w:val="0"/>
        <w:adjustRightInd w:val="0"/>
        <w:snapToGrid w:val="0"/>
        <w:spacing w:line="500" w:lineRule="exact"/>
        <w:ind w:firstLine="480" w:firstLineChars="20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w:t>
      </w:r>
      <w:r>
        <w:rPr>
          <w:rFonts w:hint="eastAsia" w:ascii="宋体" w:hAnsi="宋体" w:cs="宋体"/>
          <w:snapToGrid w:val="0"/>
          <w:color w:val="auto"/>
          <w:kern w:val="0"/>
          <w:sz w:val="24"/>
          <w:highlight w:val="none"/>
          <w:lang w:val="en-US" w:eastAsia="zh-CN"/>
        </w:rPr>
        <w:t>3</w:t>
      </w:r>
      <w:r>
        <w:rPr>
          <w:rFonts w:hint="eastAsia" w:ascii="宋体" w:hAnsi="宋体" w:cs="宋体"/>
          <w:snapToGrid w:val="0"/>
          <w:color w:val="auto"/>
          <w:kern w:val="0"/>
          <w:sz w:val="24"/>
          <w:highlight w:val="none"/>
        </w:rPr>
        <w:t>）投标文件损坏或格式不正确的。</w:t>
      </w:r>
    </w:p>
    <w:p w14:paraId="3AC0F6D3">
      <w:pPr>
        <w:keepNext w:val="0"/>
        <w:keepLines w:val="0"/>
        <w:pageBreakBefore w:val="0"/>
        <w:wordWrap w:val="0"/>
        <w:topLinePunct w:val="0"/>
        <w:bidi w:val="0"/>
        <w:adjustRightInd w:val="0"/>
        <w:snapToGrid w:val="0"/>
        <w:spacing w:line="500" w:lineRule="exact"/>
        <w:ind w:firstLine="482" w:firstLineChars="200"/>
        <w:textAlignment w:val="auto"/>
        <w:outlineLvl w:val="2"/>
        <w:rPr>
          <w:rFonts w:hAnsi="宋体" w:cs="宋体"/>
          <w:snapToGrid w:val="0"/>
          <w:color w:val="auto"/>
          <w:kern w:val="0"/>
          <w:szCs w:val="24"/>
          <w:highlight w:val="none"/>
        </w:rPr>
      </w:pPr>
      <w:bookmarkStart w:id="51" w:name="_Toc739"/>
      <w:r>
        <w:rPr>
          <w:rFonts w:hint="eastAsia" w:hAnsi="宋体" w:cs="宋体"/>
          <w:b/>
          <w:snapToGrid w:val="0"/>
          <w:color w:val="auto"/>
          <w:kern w:val="0"/>
          <w:szCs w:val="24"/>
          <w:highlight w:val="none"/>
        </w:rPr>
        <w:t>13．投标有效期</w:t>
      </w:r>
      <w:bookmarkEnd w:id="51"/>
    </w:p>
    <w:p w14:paraId="71D92EAD">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本次招标投标有效期为</w:t>
      </w:r>
      <w:r>
        <w:rPr>
          <w:rFonts w:hint="eastAsia" w:hAnsi="宋体" w:cs="宋体"/>
          <w:snapToGrid w:val="0"/>
          <w:color w:val="auto"/>
          <w:kern w:val="0"/>
          <w:szCs w:val="24"/>
          <w:highlight w:val="none"/>
          <w:u w:val="single"/>
        </w:rPr>
        <w:t xml:space="preserve">  90  </w:t>
      </w:r>
      <w:r>
        <w:rPr>
          <w:rFonts w:hint="eastAsia" w:hAnsi="宋体" w:cs="宋体"/>
          <w:snapToGrid w:val="0"/>
          <w:color w:val="auto"/>
          <w:kern w:val="0"/>
          <w:szCs w:val="24"/>
          <w:highlight w:val="none"/>
        </w:rPr>
        <w:t>个日历天，自招标人或其授权的招标代理机构接收投标人递交的投标文件之日起计。在此期间，投标人不得撤销或修改其投标文件，否则其投标保证不予退还。</w:t>
      </w:r>
    </w:p>
    <w:p w14:paraId="21271E1F">
      <w:pPr>
        <w:keepNext w:val="0"/>
        <w:keepLines w:val="0"/>
        <w:pageBreakBefore w:val="0"/>
        <w:wordWrap w:val="0"/>
        <w:topLinePunct w:val="0"/>
        <w:bidi w:val="0"/>
        <w:adjustRightInd w:val="0"/>
        <w:snapToGrid w:val="0"/>
        <w:spacing w:line="500" w:lineRule="exact"/>
        <w:ind w:firstLine="482" w:firstLineChars="200"/>
        <w:textAlignment w:val="auto"/>
        <w:outlineLvl w:val="2"/>
        <w:rPr>
          <w:rFonts w:hAnsi="宋体" w:cs="宋体"/>
          <w:snapToGrid w:val="0"/>
          <w:color w:val="auto"/>
          <w:kern w:val="0"/>
          <w:szCs w:val="24"/>
          <w:highlight w:val="none"/>
        </w:rPr>
      </w:pPr>
      <w:bookmarkStart w:id="52" w:name="_Toc30542"/>
      <w:r>
        <w:rPr>
          <w:rFonts w:hint="eastAsia" w:hAnsi="宋体" w:cs="宋体"/>
          <w:b/>
          <w:snapToGrid w:val="0"/>
          <w:color w:val="auto"/>
          <w:kern w:val="0"/>
          <w:szCs w:val="24"/>
          <w:highlight w:val="none"/>
        </w:rPr>
        <w:t>14．开标</w:t>
      </w:r>
      <w:bookmarkEnd w:id="52"/>
    </w:p>
    <w:p w14:paraId="36A9A778">
      <w:pPr>
        <w:pStyle w:val="90"/>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14.1</w:t>
      </w:r>
      <w:r>
        <w:rPr>
          <w:rFonts w:hint="eastAsia" w:ascii="宋体" w:hAnsi="宋体" w:cs="宋体"/>
          <w:snapToGrid w:val="0"/>
          <w:color w:val="auto"/>
          <w:kern w:val="0"/>
          <w:sz w:val="24"/>
          <w:highlight w:val="none"/>
        </w:rPr>
        <w:t xml:space="preserve"> 招标人邀请所有正确获取招标文件、电子投标、缴纳投标保证的投标人参加开标，投标人可自主决定是否参加。投标人可登录交易平台观看开标实况、提出异议或进行澄清、确认等操作（具体按招标文件和系统操作手册为准）。投标人不参加开标的，视其默认开标结果，以及放弃在开标期间见证、监督、投诉、申辩的权利。</w:t>
      </w:r>
    </w:p>
    <w:p w14:paraId="773191BB">
      <w:pPr>
        <w:pStyle w:val="90"/>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14.1.1</w:t>
      </w:r>
      <w:r>
        <w:rPr>
          <w:rFonts w:hint="eastAsia" w:ascii="宋体" w:hAnsi="宋体" w:cs="宋体"/>
          <w:snapToGrid w:val="0"/>
          <w:color w:val="auto"/>
          <w:kern w:val="0"/>
          <w:sz w:val="24"/>
          <w:highlight w:val="none"/>
        </w:rPr>
        <w:t xml:space="preserve"> 开标时间和地点：见本章第二节“重要事项时间地点一览表”。</w:t>
      </w:r>
    </w:p>
    <w:p w14:paraId="4500A2D1">
      <w:pPr>
        <w:pStyle w:val="90"/>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14.1.2</w:t>
      </w:r>
      <w:r>
        <w:rPr>
          <w:rFonts w:hint="eastAsia" w:ascii="宋体" w:hAnsi="宋体" w:cs="宋体"/>
          <w:snapToGrid w:val="0"/>
          <w:color w:val="auto"/>
          <w:kern w:val="0"/>
          <w:sz w:val="24"/>
          <w:highlight w:val="none"/>
        </w:rPr>
        <w:t xml:space="preserve"> 开标前24小时，若建设工程交易系统显示缴纳投标保证（包括投标保证金、投标保证担保、投标保证保险）的投标人数量不足3个时，招标人将取消原定于次日召开的开标活动。投标人可在投标保证缴纳截止时间（见本章第二节“重要事项时间地点一览表”）至电子投标截止时间（见本章第二节“重要事项时间地点一览表”）期间登录全国公共资源交易平台（广东省·韶关市）（https://ygp.gdzwfw.gov.cn/ggzy-portal/#/440200/index）查询是否发布了取消开标活动的相关信息。</w:t>
      </w:r>
    </w:p>
    <w:p w14:paraId="3DA94E81">
      <w:pPr>
        <w:pStyle w:val="90"/>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14.1.3本项目实行全流程电子化招标投标，投标人在交易平台按要求上传加盖电子印章并经加密的电子投标文件，并在交易平台录入准确的页码信息即可完成在线投标。由于投标人原因导致未按投标截至时限上传完整投标文件、在交易平台中上传的投标文件无法解密、投标文件损坏或格式不正确、投标文件未按招标文件要求加盖电子印章或电子印章不完整、电子投标文件解密失败且未按要求上传备用投标文件等情形导致投标无效的，由投标人自行负责。</w:t>
      </w:r>
    </w:p>
    <w:p w14:paraId="4ED783F2">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14.2</w:t>
      </w:r>
      <w:r>
        <w:rPr>
          <w:rFonts w:hint="eastAsia" w:hAnsi="宋体" w:cs="宋体"/>
          <w:snapToGrid w:val="0"/>
          <w:color w:val="auto"/>
          <w:kern w:val="0"/>
          <w:szCs w:val="24"/>
          <w:highlight w:val="none"/>
        </w:rPr>
        <w:t xml:space="preserve"> 开标程序</w:t>
      </w:r>
    </w:p>
    <w:p w14:paraId="60A7711B">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（1）主持人（招标人代表或招标人授权的招标代理机构人员）宣读开标纪律。</w:t>
      </w:r>
    </w:p>
    <w:p w14:paraId="7D103B3C">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（2）主持人宣布唱标人、记录人、见证人、监督人等有关人员姓名。</w:t>
      </w:r>
    </w:p>
    <w:p w14:paraId="48E3927E">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（3）招标代理机构在交易场所工作人员见证下对投标人的电子投标信息进行解密，建设工程交易系统自动生成《投标保证缴纳情况表》和《开标一览表》。</w:t>
      </w:r>
    </w:p>
    <w:p w14:paraId="1E7E2048">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（4）唱标人检查《投标保证缴纳情况表》中各投标人所缴纳投标保证的金额、有效期是否符合招标文件规定。若不符合规定，该投标人的投标无效。将有关情形在《投标保证缴纳情况表》“备注”栏中注明。</w:t>
      </w:r>
    </w:p>
    <w:p w14:paraId="4DDC415C">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（5）唱标人检查《开标一览表》中各投标人的投标总价、质量标准、工期是否符合招标文件规定。若不符合规定，招标代理机构应将有关情形在《开标一览表》“备注”栏中注明。</w:t>
      </w:r>
    </w:p>
    <w:p w14:paraId="0B68CA22">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（6）投标人代表、招标人代表、唱标人、记录人等有关人员在《投标保证缴纳情况表》以及《开标一览表》上签字确认。</w:t>
      </w:r>
    </w:p>
    <w:p w14:paraId="6B5B1C5D">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（7）主持人宣布有关注意事项后，宣布开标结束。</w:t>
      </w:r>
    </w:p>
    <w:p w14:paraId="7920A604">
      <w:pPr>
        <w:keepNext w:val="0"/>
        <w:keepLines w:val="0"/>
        <w:pageBreakBefore w:val="0"/>
        <w:wordWrap w:val="0"/>
        <w:topLinePunct w:val="0"/>
        <w:bidi w:val="0"/>
        <w:adjustRightInd w:val="0"/>
        <w:snapToGrid w:val="0"/>
        <w:spacing w:line="500" w:lineRule="exact"/>
        <w:ind w:firstLine="482" w:firstLineChars="200"/>
        <w:textAlignment w:val="auto"/>
        <w:rPr>
          <w:rFonts w:ascii="Times New Roman"/>
          <w:snapToGrid w:val="0"/>
          <w:color w:val="auto"/>
          <w:kern w:val="0"/>
          <w:highlight w:val="none"/>
        </w:rPr>
      </w:pPr>
      <w:r>
        <w:rPr>
          <w:rFonts w:hint="eastAsia" w:hAnsi="宋体" w:cs="宋体"/>
          <w:b/>
          <w:bCs/>
          <w:snapToGrid w:val="0"/>
          <w:color w:val="auto"/>
          <w:kern w:val="0"/>
          <w:szCs w:val="24"/>
          <w:highlight w:val="none"/>
        </w:rPr>
        <w:t>备注：因本项目实行全流程电子化招标投标，投标人无须进行现场签到，可登录交易平台观看开标实况、提出异议或进行澄清、确认等操作，对开标事项的异议未在开标期间提出的，招标人不予受理。具体按招标文件和系统操作手册为准。</w:t>
      </w:r>
    </w:p>
    <w:p w14:paraId="0E18E934">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highlight w:val="none"/>
        </w:rPr>
      </w:pPr>
      <w:r>
        <w:rPr>
          <w:rFonts w:hint="eastAsia" w:hAnsi="宋体" w:cs="宋体"/>
          <w:b/>
          <w:bCs/>
          <w:snapToGrid w:val="0"/>
          <w:color w:val="auto"/>
          <w:kern w:val="0"/>
          <w:highlight w:val="none"/>
        </w:rPr>
        <w:t>14.3</w:t>
      </w:r>
      <w:r>
        <w:rPr>
          <w:rFonts w:hint="eastAsia" w:hAnsi="宋体" w:cs="宋体"/>
          <w:snapToGrid w:val="0"/>
          <w:color w:val="auto"/>
          <w:kern w:val="0"/>
          <w:highlight w:val="none"/>
        </w:rPr>
        <w:t xml:space="preserve"> </w:t>
      </w:r>
      <w:r>
        <w:rPr>
          <w:rFonts w:hint="eastAsia" w:hAnsi="宋体" w:cs="宋体"/>
          <w:snapToGrid w:val="0"/>
          <w:color w:val="auto"/>
          <w:kern w:val="0"/>
          <w:szCs w:val="24"/>
          <w:highlight w:val="none"/>
        </w:rPr>
        <w:t>投标人对开标相关事项（如开标程序、投标文件组成和数量、唱标次序和内容等）有异议的，必须在开标期间和开标现场提出，招标人或其授权的招标代理机构应当场作出答复，并记录在案。对开标事项的异议未在开标期间和开标现场提出的，招标人不予受理。</w:t>
      </w:r>
    </w:p>
    <w:p w14:paraId="6D08E7C9">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highlight w:val="none"/>
        </w:rPr>
      </w:pPr>
      <w:r>
        <w:rPr>
          <w:rFonts w:hint="eastAsia" w:hAnsi="宋体" w:cs="宋体"/>
          <w:b/>
          <w:bCs/>
          <w:snapToGrid w:val="0"/>
          <w:color w:val="auto"/>
          <w:kern w:val="0"/>
          <w:highlight w:val="none"/>
        </w:rPr>
        <w:t>14.4</w:t>
      </w:r>
      <w:r>
        <w:rPr>
          <w:rFonts w:hint="eastAsia" w:hAnsi="宋体" w:cs="宋体"/>
          <w:snapToGrid w:val="0"/>
          <w:color w:val="auto"/>
          <w:kern w:val="0"/>
          <w:highlight w:val="none"/>
        </w:rPr>
        <w:t xml:space="preserve"> 招标代理机构将资料原件（如有）、《开标一览表》以及其他有关资料移交评标委员会。</w:t>
      </w:r>
    </w:p>
    <w:p w14:paraId="084023D5">
      <w:pPr>
        <w:keepNext w:val="0"/>
        <w:keepLines w:val="0"/>
        <w:pageBreakBefore w:val="0"/>
        <w:wordWrap w:val="0"/>
        <w:topLinePunct w:val="0"/>
        <w:bidi w:val="0"/>
        <w:adjustRightInd w:val="0"/>
        <w:snapToGrid w:val="0"/>
        <w:spacing w:line="500" w:lineRule="exact"/>
        <w:ind w:firstLine="482" w:firstLineChars="200"/>
        <w:textAlignment w:val="auto"/>
        <w:outlineLvl w:val="2"/>
        <w:rPr>
          <w:rFonts w:hAnsi="宋体" w:cs="宋体"/>
          <w:b/>
          <w:snapToGrid w:val="0"/>
          <w:color w:val="auto"/>
          <w:kern w:val="0"/>
          <w:highlight w:val="none"/>
        </w:rPr>
      </w:pPr>
      <w:bookmarkStart w:id="53" w:name="_Hlt127093805"/>
      <w:bookmarkEnd w:id="53"/>
      <w:bookmarkStart w:id="54" w:name="_Toc8989"/>
      <w:r>
        <w:rPr>
          <w:rFonts w:hint="eastAsia" w:hAnsi="宋体" w:cs="宋体"/>
          <w:b/>
          <w:snapToGrid w:val="0"/>
          <w:color w:val="auto"/>
          <w:kern w:val="0"/>
          <w:highlight w:val="none"/>
        </w:rPr>
        <w:t>15．评标</w:t>
      </w:r>
      <w:bookmarkEnd w:id="54"/>
    </w:p>
    <w:p w14:paraId="6EA31934">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评标分为初步评审和详细评审两个阶段，由评标委员会在有关部门的监督下，严格按照本招标文件指定的评标方法，对投标人的投标文件进行评审。</w:t>
      </w:r>
    </w:p>
    <w:p w14:paraId="57771A4E">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bCs/>
          <w:snapToGrid w:val="0"/>
          <w:color w:val="auto"/>
          <w:kern w:val="0"/>
          <w:highlight w:val="none"/>
        </w:rPr>
      </w:pPr>
      <w:r>
        <w:rPr>
          <w:rFonts w:hint="eastAsia" w:hAnsi="宋体" w:cs="宋体"/>
          <w:b/>
          <w:bCs/>
          <w:snapToGrid w:val="0"/>
          <w:color w:val="auto"/>
          <w:kern w:val="0"/>
          <w:highlight w:val="none"/>
        </w:rPr>
        <w:t>15.1</w:t>
      </w:r>
      <w:r>
        <w:rPr>
          <w:rFonts w:hint="eastAsia" w:hAnsi="宋体" w:cs="宋体"/>
          <w:bCs/>
          <w:snapToGrid w:val="0"/>
          <w:color w:val="auto"/>
          <w:kern w:val="0"/>
          <w:highlight w:val="none"/>
        </w:rPr>
        <w:t xml:space="preserve"> 评标委员会</w:t>
      </w:r>
    </w:p>
    <w:p w14:paraId="5942C79C">
      <w:pPr>
        <w:keepNext w:val="0"/>
        <w:keepLines w:val="0"/>
        <w:pageBreakBefore w:val="0"/>
        <w:wordWrap w:val="0"/>
        <w:topLinePunct w:val="0"/>
        <w:bidi w:val="0"/>
        <w:adjustRightInd w:val="0"/>
        <w:snapToGrid w:val="0"/>
        <w:spacing w:line="500" w:lineRule="exact"/>
        <w:ind w:firstLine="480"/>
        <w:textAlignment w:val="auto"/>
        <w:rPr>
          <w:rFonts w:hAnsi="宋体" w:cs="宋体"/>
          <w:snapToGrid w:val="0"/>
          <w:color w:val="auto"/>
          <w:kern w:val="0"/>
          <w:highlight w:val="none"/>
        </w:rPr>
      </w:pPr>
      <w:r>
        <w:rPr>
          <w:rFonts w:hint="eastAsia" w:hAnsi="宋体" w:cs="宋体"/>
          <w:b/>
          <w:bCs/>
          <w:snapToGrid w:val="0"/>
          <w:color w:val="auto"/>
          <w:kern w:val="0"/>
          <w:highlight w:val="none"/>
        </w:rPr>
        <w:t>15.1.1</w:t>
      </w:r>
      <w:r>
        <w:rPr>
          <w:rFonts w:hint="eastAsia" w:hAnsi="宋体" w:cs="宋体"/>
          <w:snapToGrid w:val="0"/>
          <w:color w:val="auto"/>
          <w:kern w:val="0"/>
          <w:highlight w:val="none"/>
        </w:rPr>
        <w:t xml:space="preserve"> 评标委员会由</w:t>
      </w:r>
      <w:r>
        <w:rPr>
          <w:rFonts w:hint="eastAsia" w:hAnsi="宋体" w:cs="宋体"/>
          <w:snapToGrid w:val="0"/>
          <w:color w:val="auto"/>
          <w:kern w:val="0"/>
          <w:highlight w:val="none"/>
          <w:u w:val="single"/>
        </w:rPr>
        <w:t xml:space="preserve"> 5 </w:t>
      </w:r>
      <w:r>
        <w:rPr>
          <w:rFonts w:hint="eastAsia" w:hAnsi="宋体" w:cs="宋体"/>
          <w:snapToGrid w:val="0"/>
          <w:color w:val="auto"/>
          <w:kern w:val="0"/>
          <w:highlight w:val="none"/>
        </w:rPr>
        <w:t>人组成，其中招标人代表</w:t>
      </w:r>
      <w:r>
        <w:rPr>
          <w:rFonts w:hint="eastAsia" w:hAnsi="宋体" w:cs="宋体"/>
          <w:snapToGrid w:val="0"/>
          <w:color w:val="auto"/>
          <w:kern w:val="0"/>
          <w:highlight w:val="none"/>
          <w:u w:val="single"/>
          <w:lang w:val="en-US" w:eastAsia="zh-CN"/>
        </w:rPr>
        <w:t>0</w:t>
      </w:r>
      <w:r>
        <w:rPr>
          <w:rFonts w:hint="eastAsia" w:hAnsi="宋体" w:cs="宋体"/>
          <w:snapToGrid w:val="0"/>
          <w:color w:val="auto"/>
          <w:kern w:val="0"/>
          <w:highlight w:val="none"/>
        </w:rPr>
        <w:t>人，专家</w:t>
      </w:r>
      <w:r>
        <w:rPr>
          <w:rFonts w:hint="eastAsia" w:hAnsi="宋体" w:cs="宋体"/>
          <w:snapToGrid w:val="0"/>
          <w:color w:val="auto"/>
          <w:kern w:val="0"/>
          <w:highlight w:val="none"/>
          <w:u w:val="single"/>
        </w:rPr>
        <w:t xml:space="preserve"> 5 </w:t>
      </w:r>
      <w:r>
        <w:rPr>
          <w:rFonts w:hint="eastAsia" w:hAnsi="宋体" w:cs="宋体"/>
          <w:snapToGrid w:val="0"/>
          <w:color w:val="auto"/>
          <w:kern w:val="0"/>
          <w:highlight w:val="none"/>
        </w:rPr>
        <w:t>人。专家从广东省综合评标评审专家库</w:t>
      </w:r>
      <w:r>
        <w:rPr>
          <w:rFonts w:hint="eastAsia" w:hAnsi="宋体" w:cs="宋体"/>
          <w:snapToGrid w:val="0"/>
          <w:color w:val="auto"/>
          <w:kern w:val="0"/>
          <w:szCs w:val="24"/>
          <w:highlight w:val="none"/>
          <w:lang w:val="en-US" w:eastAsia="zh-CN"/>
        </w:rPr>
        <w:t>-韶关区域</w:t>
      </w:r>
      <w:r>
        <w:rPr>
          <w:rFonts w:hint="eastAsia" w:hAnsi="宋体" w:cs="宋体"/>
          <w:snapToGrid w:val="0"/>
          <w:color w:val="auto"/>
          <w:kern w:val="0"/>
          <w:highlight w:val="none"/>
        </w:rPr>
        <w:t>中随机抽取，其中技术类专家</w:t>
      </w:r>
      <w:r>
        <w:rPr>
          <w:rFonts w:hint="eastAsia" w:hAnsi="宋体" w:cs="宋体"/>
          <w:snapToGrid w:val="0"/>
          <w:color w:val="auto"/>
          <w:kern w:val="0"/>
          <w:highlight w:val="none"/>
          <w:u w:val="single"/>
        </w:rPr>
        <w:t xml:space="preserve">3 </w:t>
      </w:r>
      <w:r>
        <w:rPr>
          <w:rFonts w:hint="eastAsia" w:hAnsi="宋体" w:cs="宋体"/>
          <w:snapToGrid w:val="0"/>
          <w:color w:val="auto"/>
          <w:kern w:val="0"/>
          <w:highlight w:val="none"/>
        </w:rPr>
        <w:t>人，经济类专家</w:t>
      </w:r>
      <w:r>
        <w:rPr>
          <w:rFonts w:hint="eastAsia" w:hAnsi="宋体" w:cs="宋体"/>
          <w:snapToGrid w:val="0"/>
          <w:color w:val="auto"/>
          <w:kern w:val="0"/>
          <w:highlight w:val="none"/>
          <w:u w:val="single"/>
        </w:rPr>
        <w:t xml:space="preserve"> 2</w:t>
      </w:r>
      <w:r>
        <w:rPr>
          <w:rFonts w:hint="eastAsia" w:hAnsi="宋体" w:cs="宋体"/>
          <w:snapToGrid w:val="0"/>
          <w:color w:val="auto"/>
          <w:kern w:val="0"/>
          <w:highlight w:val="none"/>
        </w:rPr>
        <w:t>人。评标委员会设负责人，由评标委员会成员推举产生。评标委员会负责人与评标委员会的其他成员有同等的表决权。</w:t>
      </w:r>
    </w:p>
    <w:p w14:paraId="67907CE9">
      <w:pPr>
        <w:keepNext w:val="0"/>
        <w:keepLines w:val="0"/>
        <w:pageBreakBefore w:val="0"/>
        <w:widowControl w:val="0"/>
        <w:tabs>
          <w:tab w:val="left" w:pos="1890"/>
        </w:tabs>
        <w:kinsoku/>
        <w:wordWrap w:val="0"/>
        <w:overflowPunct/>
        <w:topLinePunct w:val="0"/>
        <w:autoSpaceDE/>
        <w:autoSpaceDN/>
        <w:bidi w:val="0"/>
        <w:adjustRightInd w:val="0"/>
        <w:snapToGrid w:val="0"/>
        <w:spacing w:line="450" w:lineRule="exact"/>
        <w:ind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highlight w:val="none"/>
        </w:rPr>
        <w:t>15.1.2</w:t>
      </w:r>
      <w:r>
        <w:rPr>
          <w:rFonts w:hint="eastAsia" w:ascii="宋体" w:hAnsi="宋体" w:eastAsia="宋体" w:cs="宋体"/>
          <w:snapToGrid w:val="0"/>
          <w:color w:val="auto"/>
          <w:kern w:val="0"/>
          <w:highlight w:val="none"/>
        </w:rPr>
        <w:t xml:space="preserve"> </w:t>
      </w:r>
      <w:r>
        <w:rPr>
          <w:rFonts w:hint="eastAsia" w:ascii="宋体" w:hAnsi="宋体" w:eastAsia="宋体" w:cs="宋体"/>
          <w:snapToGrid w:val="0"/>
          <w:color w:val="auto"/>
          <w:kern w:val="0"/>
          <w:sz w:val="24"/>
          <w:szCs w:val="24"/>
          <w:highlight w:val="none"/>
        </w:rPr>
        <w:t>评标委员会应认真、公正、诚实、廉洁地履行职责。有下列情形之一的，不得担任评标委员会成员：</w:t>
      </w:r>
    </w:p>
    <w:p w14:paraId="27E80291">
      <w:pPr>
        <w:keepNext w:val="0"/>
        <w:keepLines w:val="0"/>
        <w:pageBreakBefore w:val="0"/>
        <w:widowControl w:val="0"/>
        <w:tabs>
          <w:tab w:val="left" w:pos="1890"/>
        </w:tabs>
        <w:kinsoku/>
        <w:wordWrap w:val="0"/>
        <w:overflowPunct/>
        <w:topLinePunct w:val="0"/>
        <w:autoSpaceDE/>
        <w:autoSpaceDN/>
        <w:bidi w:val="0"/>
        <w:adjustRightInd w:val="0"/>
        <w:snapToGrid w:val="0"/>
        <w:spacing w:line="450" w:lineRule="exact"/>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（1）投标人或投标人主要负责人的近亲属；</w:t>
      </w:r>
    </w:p>
    <w:p w14:paraId="34708A36">
      <w:pPr>
        <w:keepNext w:val="0"/>
        <w:keepLines w:val="0"/>
        <w:pageBreakBefore w:val="0"/>
        <w:widowControl w:val="0"/>
        <w:tabs>
          <w:tab w:val="left" w:pos="1890"/>
        </w:tabs>
        <w:kinsoku/>
        <w:wordWrap w:val="0"/>
        <w:overflowPunct/>
        <w:topLinePunct w:val="0"/>
        <w:autoSpaceDE/>
        <w:autoSpaceDN/>
        <w:bidi w:val="0"/>
        <w:adjustRightInd w:val="0"/>
        <w:snapToGrid w:val="0"/>
        <w:spacing w:line="450" w:lineRule="exact"/>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（2）项目主管部门或者行政监督部门的人员；</w:t>
      </w:r>
    </w:p>
    <w:p w14:paraId="2AE6C8FB">
      <w:pPr>
        <w:keepNext w:val="0"/>
        <w:keepLines w:val="0"/>
        <w:pageBreakBefore w:val="0"/>
        <w:widowControl w:val="0"/>
        <w:tabs>
          <w:tab w:val="left" w:pos="1890"/>
        </w:tabs>
        <w:kinsoku/>
        <w:wordWrap w:val="0"/>
        <w:overflowPunct/>
        <w:topLinePunct w:val="0"/>
        <w:autoSpaceDE/>
        <w:autoSpaceDN/>
        <w:bidi w:val="0"/>
        <w:adjustRightInd w:val="0"/>
        <w:snapToGrid w:val="0"/>
        <w:spacing w:line="450" w:lineRule="exact"/>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（3）与投标人有经济利益关系，可能影响对投标公正评审的；</w:t>
      </w:r>
    </w:p>
    <w:p w14:paraId="508B469C">
      <w:pPr>
        <w:keepNext w:val="0"/>
        <w:keepLines w:val="0"/>
        <w:pageBreakBefore w:val="0"/>
        <w:widowControl w:val="0"/>
        <w:tabs>
          <w:tab w:val="left" w:pos="1890"/>
        </w:tabs>
        <w:kinsoku/>
        <w:wordWrap w:val="0"/>
        <w:overflowPunct/>
        <w:topLinePunct w:val="0"/>
        <w:autoSpaceDE/>
        <w:autoSpaceDN/>
        <w:bidi w:val="0"/>
        <w:adjustRightInd w:val="0"/>
        <w:snapToGrid w:val="0"/>
        <w:spacing w:line="450" w:lineRule="exact"/>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（4）曾因在招标、评标以及其他与招标投标有关活动中从事违法行为而受过行政处罚或刑事处罚的。</w:t>
      </w:r>
    </w:p>
    <w:p w14:paraId="3B95A3BD">
      <w:pPr>
        <w:keepNext w:val="0"/>
        <w:keepLines w:val="0"/>
        <w:pageBreakBefore w:val="0"/>
        <w:widowControl w:val="0"/>
        <w:tabs>
          <w:tab w:val="left" w:pos="1890"/>
        </w:tabs>
        <w:kinsoku/>
        <w:wordWrap w:val="0"/>
        <w:overflowPunct/>
        <w:topLinePunct w:val="0"/>
        <w:autoSpaceDE/>
        <w:autoSpaceDN/>
        <w:bidi w:val="0"/>
        <w:adjustRightInd w:val="0"/>
        <w:snapToGrid w:val="0"/>
        <w:spacing w:line="450" w:lineRule="exact"/>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评标委员会成员有以上情形之一的，应主动提出回避。</w:t>
      </w:r>
    </w:p>
    <w:p w14:paraId="272B304C">
      <w:pPr>
        <w:keepNext w:val="0"/>
        <w:keepLines w:val="0"/>
        <w:pageBreakBefore w:val="0"/>
        <w:widowControl w:val="0"/>
        <w:tabs>
          <w:tab w:val="left" w:pos="1890"/>
        </w:tabs>
        <w:kinsoku/>
        <w:wordWrap w:val="0"/>
        <w:overflowPunct/>
        <w:topLinePunct w:val="0"/>
        <w:autoSpaceDE/>
        <w:autoSpaceDN/>
        <w:bidi w:val="0"/>
        <w:adjustRightInd w:val="0"/>
        <w:snapToGrid w:val="0"/>
        <w:spacing w:line="450" w:lineRule="exact"/>
        <w:ind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w:t>
      </w:r>
      <w:r>
        <w:rPr>
          <w:rFonts w:hint="eastAsia" w:hAnsi="宋体" w:cs="宋体"/>
          <w:b/>
          <w:bCs/>
          <w:snapToGrid w:val="0"/>
          <w:color w:val="auto"/>
          <w:kern w:val="0"/>
          <w:sz w:val="24"/>
          <w:szCs w:val="24"/>
          <w:highlight w:val="none"/>
          <w:lang w:val="en-US" w:eastAsia="zh-CN"/>
        </w:rPr>
        <w:t>5</w:t>
      </w:r>
      <w:r>
        <w:rPr>
          <w:rFonts w:hint="eastAsia" w:ascii="宋体" w:hAnsi="宋体" w:eastAsia="宋体" w:cs="宋体"/>
          <w:b/>
          <w:bCs/>
          <w:snapToGrid w:val="0"/>
          <w:color w:val="auto"/>
          <w:kern w:val="0"/>
          <w:sz w:val="24"/>
          <w:szCs w:val="24"/>
          <w:highlight w:val="none"/>
        </w:rPr>
        <w:t>.1.3</w:t>
      </w:r>
      <w:r>
        <w:rPr>
          <w:rFonts w:hint="eastAsia" w:ascii="宋体" w:hAnsi="宋体" w:eastAsia="宋体" w:cs="宋体"/>
          <w:snapToGrid w:val="0"/>
          <w:color w:val="auto"/>
          <w:kern w:val="0"/>
          <w:sz w:val="24"/>
          <w:szCs w:val="24"/>
          <w:highlight w:val="none"/>
        </w:rPr>
        <w:t xml:space="preserve"> 评标全过程实行封闭式管理，在中标结果公布前，禁止评标委员会成员以任何方式私下接触投标人。</w:t>
      </w:r>
    </w:p>
    <w:p w14:paraId="08BA1F03">
      <w:pPr>
        <w:keepNext w:val="0"/>
        <w:keepLines w:val="0"/>
        <w:pageBreakBefore w:val="0"/>
        <w:widowControl w:val="0"/>
        <w:tabs>
          <w:tab w:val="left" w:pos="1890"/>
        </w:tabs>
        <w:kinsoku/>
        <w:wordWrap w:val="0"/>
        <w:overflowPunct/>
        <w:topLinePunct w:val="0"/>
        <w:autoSpaceDE/>
        <w:autoSpaceDN/>
        <w:bidi w:val="0"/>
        <w:adjustRightInd w:val="0"/>
        <w:snapToGrid w:val="0"/>
        <w:spacing w:line="450" w:lineRule="exact"/>
        <w:ind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w:t>
      </w:r>
      <w:r>
        <w:rPr>
          <w:rFonts w:hint="eastAsia" w:hAnsi="宋体" w:cs="宋体"/>
          <w:b/>
          <w:bCs/>
          <w:snapToGrid w:val="0"/>
          <w:color w:val="auto"/>
          <w:kern w:val="0"/>
          <w:sz w:val="24"/>
          <w:szCs w:val="24"/>
          <w:highlight w:val="none"/>
          <w:lang w:val="en-US" w:eastAsia="zh-CN"/>
        </w:rPr>
        <w:t>5</w:t>
      </w:r>
      <w:r>
        <w:rPr>
          <w:rFonts w:hint="eastAsia" w:ascii="宋体" w:hAnsi="宋体" w:eastAsia="宋体" w:cs="宋体"/>
          <w:b/>
          <w:bCs/>
          <w:snapToGrid w:val="0"/>
          <w:color w:val="auto"/>
          <w:kern w:val="0"/>
          <w:sz w:val="24"/>
          <w:szCs w:val="24"/>
          <w:highlight w:val="none"/>
        </w:rPr>
        <w:t>.1.4</w:t>
      </w:r>
      <w:r>
        <w:rPr>
          <w:rFonts w:hint="eastAsia" w:ascii="宋体" w:hAnsi="宋体" w:eastAsia="宋体" w:cs="宋体"/>
          <w:snapToGrid w:val="0"/>
          <w:color w:val="auto"/>
          <w:kern w:val="0"/>
          <w:sz w:val="24"/>
          <w:szCs w:val="24"/>
          <w:highlight w:val="none"/>
        </w:rPr>
        <w:t xml:space="preserve"> 在评标过程中，评标委员会可以书面形式要求投标人对所提交的投标文件中不明确的内容进行书面澄清或说明，但不接受投标人主动提出的澄清或说明。投标人的书面澄清或说明不得改变投标文件的实质性内容，并作为投标文件的组成部分。</w:t>
      </w:r>
    </w:p>
    <w:p w14:paraId="3E2AB94B">
      <w:pPr>
        <w:keepNext w:val="0"/>
        <w:keepLines w:val="0"/>
        <w:pageBreakBefore w:val="0"/>
        <w:widowControl w:val="0"/>
        <w:tabs>
          <w:tab w:val="left" w:pos="1890"/>
        </w:tabs>
        <w:kinsoku/>
        <w:wordWrap w:val="0"/>
        <w:overflowPunct/>
        <w:topLinePunct w:val="0"/>
        <w:autoSpaceDE/>
        <w:autoSpaceDN/>
        <w:bidi w:val="0"/>
        <w:adjustRightInd w:val="0"/>
        <w:snapToGrid w:val="0"/>
        <w:spacing w:line="450" w:lineRule="exact"/>
        <w:ind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w:t>
      </w:r>
      <w:r>
        <w:rPr>
          <w:rFonts w:hint="eastAsia" w:hAnsi="宋体" w:cs="宋体"/>
          <w:b/>
          <w:bCs/>
          <w:snapToGrid w:val="0"/>
          <w:color w:val="auto"/>
          <w:kern w:val="0"/>
          <w:sz w:val="24"/>
          <w:szCs w:val="24"/>
          <w:highlight w:val="none"/>
          <w:lang w:val="en-US" w:eastAsia="zh-CN"/>
        </w:rPr>
        <w:t>5</w:t>
      </w:r>
      <w:r>
        <w:rPr>
          <w:rFonts w:hint="eastAsia" w:ascii="宋体" w:hAnsi="宋体" w:eastAsia="宋体" w:cs="宋体"/>
          <w:b/>
          <w:bCs/>
          <w:snapToGrid w:val="0"/>
          <w:color w:val="auto"/>
          <w:kern w:val="0"/>
          <w:sz w:val="24"/>
          <w:szCs w:val="24"/>
          <w:highlight w:val="none"/>
        </w:rPr>
        <w:t>.1.5</w:t>
      </w:r>
      <w:r>
        <w:rPr>
          <w:rFonts w:hint="eastAsia" w:ascii="宋体" w:hAnsi="宋体" w:eastAsia="宋体" w:cs="宋体"/>
          <w:snapToGrid w:val="0"/>
          <w:color w:val="auto"/>
          <w:kern w:val="0"/>
          <w:sz w:val="24"/>
          <w:szCs w:val="24"/>
          <w:highlight w:val="none"/>
        </w:rPr>
        <w:t xml:space="preserve"> 在任何评标环节中，当评标委员会就某项定性的评审结论不统一、需要做出表决时，由评标委员会全体成员按照少数服从多数的原则，以记名投票方式表决。评标委员会全体成员应共同遵守和执行表决结果，严禁评标委员会任何成员将个人意见强加给他人、影响评标正常秩序和妨碍评审结论的公正性。</w:t>
      </w:r>
    </w:p>
    <w:p w14:paraId="423CFD1F">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bCs/>
          <w:snapToGrid w:val="0"/>
          <w:color w:val="auto"/>
          <w:kern w:val="0"/>
          <w:highlight w:val="none"/>
        </w:rPr>
      </w:pPr>
      <w:r>
        <w:rPr>
          <w:rFonts w:hint="eastAsia" w:hAnsi="宋体" w:cs="宋体"/>
          <w:b/>
          <w:bCs/>
          <w:snapToGrid w:val="0"/>
          <w:color w:val="auto"/>
          <w:kern w:val="0"/>
          <w:highlight w:val="none"/>
        </w:rPr>
        <w:t>15.</w:t>
      </w:r>
      <w:r>
        <w:rPr>
          <w:rFonts w:hint="eastAsia" w:hAnsi="宋体" w:cs="宋体"/>
          <w:b/>
          <w:bCs/>
          <w:snapToGrid w:val="0"/>
          <w:color w:val="auto"/>
          <w:kern w:val="0"/>
          <w:highlight w:val="none"/>
          <w:lang w:val="en-US" w:eastAsia="zh-CN"/>
        </w:rPr>
        <w:t>2</w:t>
      </w:r>
      <w:r>
        <w:rPr>
          <w:rFonts w:hint="eastAsia" w:hAnsi="宋体" w:cs="宋体"/>
          <w:bCs/>
          <w:snapToGrid w:val="0"/>
          <w:color w:val="auto"/>
          <w:kern w:val="0"/>
          <w:szCs w:val="22"/>
          <w:highlight w:val="none"/>
        </w:rPr>
        <w:t xml:space="preserve"> 评标方法</w:t>
      </w:r>
    </w:p>
    <w:p w14:paraId="41C6F5C9">
      <w:pPr>
        <w:keepNext w:val="0"/>
        <w:keepLines w:val="0"/>
        <w:pageBreakBefore w:val="0"/>
        <w:wordWrap w:val="0"/>
        <w:topLinePunct w:val="0"/>
        <w:bidi w:val="0"/>
        <w:adjustRightInd w:val="0"/>
        <w:snapToGrid w:val="0"/>
        <w:spacing w:line="500" w:lineRule="exact"/>
        <w:ind w:firstLine="562"/>
        <w:textAlignment w:val="auto"/>
        <w:rPr>
          <w:rFonts w:hAnsi="宋体" w:cs="宋体"/>
          <w:i/>
          <w:iCs/>
          <w:snapToGrid w:val="0"/>
          <w:color w:val="auto"/>
          <w:kern w:val="0"/>
          <w:highlight w:val="none"/>
        </w:rPr>
      </w:pPr>
      <w:r>
        <w:rPr>
          <w:rFonts w:hint="eastAsia" w:hAnsi="宋体" w:cs="宋体"/>
          <w:snapToGrid w:val="0"/>
          <w:color w:val="auto"/>
          <w:kern w:val="0"/>
          <w:highlight w:val="none"/>
        </w:rPr>
        <w:t>根据有关法律、法规的相关规定，结合本招标项目资金来源和规模特点，本次招标采用“综合评估法”进行评标。</w:t>
      </w:r>
    </w:p>
    <w:p w14:paraId="284DAF78">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highlight w:val="none"/>
        </w:rPr>
      </w:pPr>
      <w:r>
        <w:rPr>
          <w:rFonts w:hint="eastAsia" w:hAnsi="宋体" w:cs="宋体"/>
          <w:b/>
          <w:bCs/>
          <w:snapToGrid w:val="0"/>
          <w:color w:val="auto"/>
          <w:kern w:val="0"/>
          <w:highlight w:val="none"/>
        </w:rPr>
        <w:t>15.</w:t>
      </w:r>
      <w:r>
        <w:rPr>
          <w:rFonts w:hint="eastAsia" w:hAnsi="宋体" w:cs="宋体"/>
          <w:b/>
          <w:bCs/>
          <w:snapToGrid w:val="0"/>
          <w:color w:val="auto"/>
          <w:kern w:val="0"/>
          <w:highlight w:val="none"/>
          <w:lang w:val="en-US" w:eastAsia="zh-CN"/>
        </w:rPr>
        <w:t>3</w:t>
      </w:r>
      <w:r>
        <w:rPr>
          <w:rFonts w:hint="eastAsia" w:hAnsi="宋体" w:cs="宋体"/>
          <w:bCs/>
          <w:snapToGrid w:val="0"/>
          <w:color w:val="auto"/>
          <w:kern w:val="0"/>
          <w:szCs w:val="22"/>
          <w:highlight w:val="none"/>
        </w:rPr>
        <w:t xml:space="preserve"> 评审范围：</w:t>
      </w:r>
      <w:r>
        <w:rPr>
          <w:rFonts w:hint="eastAsia" w:hAnsi="宋体" w:cs="宋体"/>
          <w:snapToGrid w:val="0"/>
          <w:color w:val="auto"/>
          <w:kern w:val="0"/>
          <w:highlight w:val="none"/>
        </w:rPr>
        <w:t>评标委员会应对所有进入评标投标人的投标文件进行评审。</w:t>
      </w:r>
    </w:p>
    <w:p w14:paraId="628310C2">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highlight w:val="none"/>
        </w:rPr>
      </w:pPr>
      <w:r>
        <w:rPr>
          <w:rFonts w:hint="eastAsia" w:hAnsi="宋体" w:cs="宋体"/>
          <w:b/>
          <w:bCs/>
          <w:snapToGrid w:val="0"/>
          <w:color w:val="auto"/>
          <w:kern w:val="0"/>
          <w:highlight w:val="none"/>
        </w:rPr>
        <w:t>15.</w:t>
      </w:r>
      <w:r>
        <w:rPr>
          <w:rFonts w:hint="eastAsia" w:hAnsi="宋体" w:cs="宋体"/>
          <w:b/>
          <w:bCs/>
          <w:snapToGrid w:val="0"/>
          <w:color w:val="auto"/>
          <w:kern w:val="0"/>
          <w:highlight w:val="none"/>
          <w:lang w:val="en-US" w:eastAsia="zh-CN"/>
        </w:rPr>
        <w:t>4</w:t>
      </w:r>
      <w:r>
        <w:rPr>
          <w:rFonts w:hint="eastAsia" w:hAnsi="宋体" w:cs="宋体"/>
          <w:snapToGrid w:val="0"/>
          <w:color w:val="auto"/>
          <w:kern w:val="0"/>
          <w:highlight w:val="none"/>
        </w:rPr>
        <w:t xml:space="preserve"> 初步评审阶段</w:t>
      </w:r>
    </w:p>
    <w:p w14:paraId="64754F08">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初步评审阶段分为资格评审、形式评审和响应性评审三个环节。</w:t>
      </w:r>
    </w:p>
    <w:p w14:paraId="24716141">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highlight w:val="none"/>
        </w:rPr>
      </w:pPr>
      <w:r>
        <w:rPr>
          <w:rFonts w:hint="eastAsia" w:hAnsi="宋体" w:cs="宋体"/>
          <w:b/>
          <w:bCs/>
          <w:snapToGrid w:val="0"/>
          <w:color w:val="auto"/>
          <w:kern w:val="0"/>
          <w:highlight w:val="none"/>
        </w:rPr>
        <w:t>15.</w:t>
      </w:r>
      <w:r>
        <w:rPr>
          <w:rFonts w:hint="eastAsia" w:hAnsi="宋体" w:cs="宋体"/>
          <w:b/>
          <w:bCs/>
          <w:snapToGrid w:val="0"/>
          <w:color w:val="auto"/>
          <w:kern w:val="0"/>
          <w:highlight w:val="none"/>
          <w:lang w:val="en-US" w:eastAsia="zh-CN"/>
        </w:rPr>
        <w:t>4</w:t>
      </w:r>
      <w:r>
        <w:rPr>
          <w:rFonts w:hint="eastAsia" w:hAnsi="宋体" w:cs="宋体"/>
          <w:b/>
          <w:bCs/>
          <w:snapToGrid w:val="0"/>
          <w:color w:val="auto"/>
          <w:kern w:val="0"/>
          <w:highlight w:val="none"/>
        </w:rPr>
        <w:t>.1</w:t>
      </w:r>
      <w:r>
        <w:rPr>
          <w:rFonts w:hint="eastAsia" w:hAnsi="宋体" w:cs="宋体"/>
          <w:snapToGrid w:val="0"/>
          <w:color w:val="auto"/>
          <w:kern w:val="0"/>
          <w:highlight w:val="none"/>
        </w:rPr>
        <w:t xml:space="preserve"> 资格评审环节</w:t>
      </w:r>
    </w:p>
    <w:p w14:paraId="025EF35F">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资格评审事项包括：</w:t>
      </w:r>
    </w:p>
    <w:p w14:paraId="5001DD5C">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（1）</w:t>
      </w:r>
      <w:r>
        <w:rPr>
          <w:rFonts w:hint="eastAsia" w:ascii="宋体" w:hAnsi="宋体" w:eastAsia="宋体" w:cs="宋体"/>
          <w:snapToGrid w:val="0"/>
          <w:color w:val="auto"/>
          <w:kern w:val="0"/>
          <w:sz w:val="24"/>
          <w:szCs w:val="24"/>
          <w:highlight w:val="none"/>
        </w:rPr>
        <w:t>投标人是否符合本章第三节第</w:t>
      </w:r>
      <w:r>
        <w:rPr>
          <w:rFonts w:hint="eastAsia" w:hAnsi="宋体" w:cs="宋体"/>
          <w:snapToGrid w:val="0"/>
          <w:color w:val="auto"/>
          <w:kern w:val="0"/>
          <w:sz w:val="24"/>
          <w:szCs w:val="24"/>
          <w:highlight w:val="none"/>
          <w:lang w:val="en-US" w:eastAsia="zh-CN"/>
        </w:rPr>
        <w:t>2</w:t>
      </w:r>
      <w:r>
        <w:rPr>
          <w:rFonts w:hint="eastAsia" w:ascii="宋体" w:hAnsi="宋体" w:eastAsia="宋体" w:cs="宋体"/>
          <w:snapToGrid w:val="0"/>
          <w:color w:val="auto"/>
          <w:kern w:val="0"/>
          <w:sz w:val="24"/>
          <w:szCs w:val="24"/>
          <w:highlight w:val="none"/>
        </w:rPr>
        <w:t>.4条“禁止投标条款”规定。如果“禁止投标条款”包括失信惩戒的，投标人信用信息的获取采用现场实时查询的方式实施。由评标委员会成员登录信用中国网站（https://www.creditchina.gov.cn）进行查询。</w:t>
      </w:r>
    </w:p>
    <w:p w14:paraId="25C22F3A">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（2）投标人名称是否与营业执照、资质证书一致。</w:t>
      </w:r>
    </w:p>
    <w:p w14:paraId="1F66C279">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（3）投标人的资质是否符合招标文件规定；其营业执照、资质证书是否合法、有效。</w:t>
      </w:r>
    </w:p>
    <w:p w14:paraId="259451E9">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4）投标文件中拟派总监理工程师是否与《开标一览表》一致；拟派总监理工程师的条件是否符合招标文件规定；是否擅自修改、遗漏《总监理工程师任职声明》的实质性内容；拟派总监理工程师现阶段有担任其他在施建设工程项目总监理工程师职务的，任职项目建设单位是否在《</w:t>
      </w:r>
      <w:r>
        <w:rPr>
          <w:rFonts w:hint="eastAsia" w:hAnsi="宋体" w:cs="宋体"/>
          <w:snapToGrid w:val="0"/>
          <w:color w:val="auto"/>
          <w:kern w:val="0"/>
          <w:szCs w:val="18"/>
          <w:highlight w:val="none"/>
        </w:rPr>
        <w:t>总监理工程师任职项目情况表</w:t>
      </w:r>
      <w:r>
        <w:rPr>
          <w:rFonts w:hint="eastAsia" w:hAnsi="宋体" w:cs="宋体"/>
          <w:snapToGrid w:val="0"/>
          <w:color w:val="auto"/>
          <w:kern w:val="0"/>
          <w:highlight w:val="none"/>
        </w:rPr>
        <w:t xml:space="preserve">》内盖章同意或另行出具了书面同意意见。 </w:t>
      </w:r>
    </w:p>
    <w:p w14:paraId="40D47863">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w:t>
      </w:r>
      <w:r>
        <w:rPr>
          <w:rFonts w:hint="eastAsia" w:hAnsi="宋体" w:cs="宋体"/>
          <w:snapToGrid w:val="0"/>
          <w:color w:val="auto"/>
          <w:kern w:val="0"/>
          <w:highlight w:val="none"/>
          <w:lang w:val="en-US" w:eastAsia="zh-CN"/>
        </w:rPr>
        <w:t>5</w:t>
      </w:r>
      <w:r>
        <w:rPr>
          <w:rFonts w:hint="eastAsia" w:hAnsi="宋体" w:cs="宋体"/>
          <w:snapToGrid w:val="0"/>
          <w:color w:val="auto"/>
          <w:kern w:val="0"/>
          <w:highlight w:val="none"/>
        </w:rPr>
        <w:t>）投标人为外省建筑企业的，是否按规定在“进粤企业和人员诚信信息登记平台”录入企业及其拟派往人员相关信息并通过数据规范检查。</w:t>
      </w:r>
    </w:p>
    <w:p w14:paraId="3880F61D">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highlight w:val="none"/>
        </w:rPr>
      </w:pPr>
      <w:r>
        <w:rPr>
          <w:rFonts w:hint="eastAsia" w:hAnsi="宋体" w:cs="宋体"/>
          <w:b/>
          <w:bCs/>
          <w:snapToGrid w:val="0"/>
          <w:color w:val="auto"/>
          <w:kern w:val="0"/>
          <w:highlight w:val="none"/>
        </w:rPr>
        <w:t>15.</w:t>
      </w:r>
      <w:r>
        <w:rPr>
          <w:rFonts w:hint="eastAsia" w:hAnsi="宋体" w:cs="宋体"/>
          <w:b/>
          <w:bCs/>
          <w:snapToGrid w:val="0"/>
          <w:color w:val="auto"/>
          <w:kern w:val="0"/>
          <w:highlight w:val="none"/>
          <w:lang w:val="en-US" w:eastAsia="zh-CN"/>
        </w:rPr>
        <w:t>4</w:t>
      </w:r>
      <w:r>
        <w:rPr>
          <w:rFonts w:hint="eastAsia" w:hAnsi="宋体" w:cs="宋体"/>
          <w:b/>
          <w:bCs/>
          <w:snapToGrid w:val="0"/>
          <w:color w:val="auto"/>
          <w:kern w:val="0"/>
          <w:highlight w:val="none"/>
        </w:rPr>
        <w:t>.2</w:t>
      </w:r>
      <w:r>
        <w:rPr>
          <w:rFonts w:hint="eastAsia" w:hAnsi="宋体" w:cs="宋体"/>
          <w:snapToGrid w:val="0"/>
          <w:color w:val="auto"/>
          <w:kern w:val="0"/>
          <w:highlight w:val="none"/>
        </w:rPr>
        <w:t xml:space="preserve"> 形式评审环节</w:t>
      </w:r>
    </w:p>
    <w:p w14:paraId="31C3FB62">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形式评审事项包括：</w:t>
      </w:r>
    </w:p>
    <w:p w14:paraId="34BAB71F">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（1）各分册是否按招标文件规定加盖电子印章。</w:t>
      </w:r>
    </w:p>
    <w:p w14:paraId="34D06385">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（2）本节第</w:t>
      </w:r>
      <w:r>
        <w:rPr>
          <w:rFonts w:hint="eastAsia" w:hAnsi="宋体" w:cs="宋体"/>
          <w:b/>
          <w:bCs/>
          <w:snapToGrid w:val="0"/>
          <w:color w:val="auto"/>
          <w:kern w:val="0"/>
          <w:szCs w:val="18"/>
          <w:highlight w:val="none"/>
        </w:rPr>
        <w:t>10.2.2</w:t>
      </w:r>
      <w:r>
        <w:rPr>
          <w:rFonts w:hint="eastAsia" w:hAnsi="宋体" w:cs="宋体"/>
          <w:snapToGrid w:val="0"/>
          <w:color w:val="auto"/>
          <w:kern w:val="0"/>
          <w:szCs w:val="18"/>
          <w:highlight w:val="none"/>
        </w:rPr>
        <w:t>目、</w:t>
      </w:r>
      <w:r>
        <w:rPr>
          <w:rFonts w:hint="eastAsia" w:hAnsi="宋体" w:cs="宋体"/>
          <w:snapToGrid w:val="0"/>
          <w:color w:val="auto"/>
          <w:kern w:val="0"/>
          <w:highlight w:val="none"/>
        </w:rPr>
        <w:t>第</w:t>
      </w:r>
      <w:r>
        <w:rPr>
          <w:rFonts w:hint="eastAsia" w:hAnsi="宋体" w:cs="宋体"/>
          <w:b/>
          <w:bCs/>
          <w:snapToGrid w:val="0"/>
          <w:color w:val="auto"/>
          <w:kern w:val="0"/>
          <w:szCs w:val="18"/>
          <w:highlight w:val="none"/>
        </w:rPr>
        <w:t>10.3.3</w:t>
      </w:r>
      <w:r>
        <w:rPr>
          <w:rFonts w:hint="eastAsia" w:hAnsi="宋体" w:cs="宋体"/>
          <w:snapToGrid w:val="0"/>
          <w:color w:val="auto"/>
          <w:kern w:val="0"/>
          <w:szCs w:val="18"/>
          <w:highlight w:val="none"/>
        </w:rPr>
        <w:t>目</w:t>
      </w:r>
      <w:r>
        <w:rPr>
          <w:rFonts w:hint="eastAsia" w:hAnsi="宋体" w:cs="宋体"/>
          <w:snapToGrid w:val="0"/>
          <w:color w:val="auto"/>
          <w:kern w:val="0"/>
          <w:highlight w:val="none"/>
        </w:rPr>
        <w:t>中规定的“</w:t>
      </w:r>
      <w:r>
        <w:rPr>
          <w:rFonts w:hint="eastAsia" w:hAnsi="宋体" w:cs="宋体"/>
          <w:snapToGrid w:val="0"/>
          <w:color w:val="auto"/>
          <w:kern w:val="0"/>
          <w:szCs w:val="18"/>
          <w:highlight w:val="none"/>
        </w:rPr>
        <w:t>所有投标人均应提供</w:t>
      </w:r>
      <w:r>
        <w:rPr>
          <w:rFonts w:hint="eastAsia" w:hAnsi="宋体" w:cs="宋体"/>
          <w:snapToGrid w:val="0"/>
          <w:color w:val="auto"/>
          <w:kern w:val="0"/>
          <w:highlight w:val="none"/>
        </w:rPr>
        <w:t>”的组成内容（包括该组成内容的所附资料）是否完整、齐全。</w:t>
      </w:r>
    </w:p>
    <w:p w14:paraId="52F49B4C">
      <w:pPr>
        <w:keepNext w:val="0"/>
        <w:keepLines w:val="0"/>
        <w:pageBreakBefore w:val="0"/>
        <w:wordWrap w:val="0"/>
        <w:topLinePunct w:val="0"/>
        <w:bidi w:val="0"/>
        <w:adjustRightInd w:val="0"/>
        <w:snapToGrid w:val="0"/>
        <w:spacing w:line="500" w:lineRule="exact"/>
        <w:ind w:firstLine="562"/>
        <w:textAlignment w:val="auto"/>
        <w:rPr>
          <w:rFonts w:hAnsi="宋体" w:cs="宋体"/>
          <w:snapToGrid w:val="0"/>
          <w:color w:val="auto"/>
          <w:kern w:val="0"/>
          <w:highlight w:val="none"/>
        </w:rPr>
      </w:pPr>
      <w:r>
        <w:rPr>
          <w:rFonts w:hint="eastAsia" w:hAnsi="宋体" w:cs="宋体"/>
          <w:b/>
          <w:bCs/>
          <w:snapToGrid w:val="0"/>
          <w:color w:val="auto"/>
          <w:kern w:val="0"/>
          <w:highlight w:val="none"/>
        </w:rPr>
        <w:t>15.</w:t>
      </w:r>
      <w:r>
        <w:rPr>
          <w:rFonts w:hint="eastAsia" w:hAnsi="宋体" w:cs="宋体"/>
          <w:b/>
          <w:bCs/>
          <w:snapToGrid w:val="0"/>
          <w:color w:val="auto"/>
          <w:kern w:val="0"/>
          <w:highlight w:val="none"/>
          <w:lang w:val="en-US" w:eastAsia="zh-CN"/>
        </w:rPr>
        <w:t>4</w:t>
      </w:r>
      <w:r>
        <w:rPr>
          <w:rFonts w:hint="eastAsia" w:hAnsi="宋体" w:cs="宋体"/>
          <w:b/>
          <w:bCs/>
          <w:snapToGrid w:val="0"/>
          <w:color w:val="auto"/>
          <w:kern w:val="0"/>
          <w:highlight w:val="none"/>
        </w:rPr>
        <w:t>.3</w:t>
      </w:r>
      <w:r>
        <w:rPr>
          <w:rFonts w:hint="eastAsia" w:hAnsi="宋体" w:cs="宋体"/>
          <w:snapToGrid w:val="0"/>
          <w:color w:val="auto"/>
          <w:kern w:val="0"/>
          <w:highlight w:val="none"/>
        </w:rPr>
        <w:t xml:space="preserve"> 响应性评审环节</w:t>
      </w:r>
    </w:p>
    <w:p w14:paraId="6152F2A0">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响应性评审事项包括：</w:t>
      </w:r>
    </w:p>
    <w:p w14:paraId="3B18108A">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（1）投标有效期、监理及相关服务期限等是否响应招标文件实质性要求；是否擅自修改、遗漏《投标函》《各项承诺一览表》的实质性内容。</w:t>
      </w:r>
    </w:p>
    <w:p w14:paraId="20F6D749">
      <w:pPr>
        <w:keepNext w:val="0"/>
        <w:keepLines w:val="0"/>
        <w:pageBreakBefore w:val="0"/>
        <w:wordWrap w:val="0"/>
        <w:topLinePunct w:val="0"/>
        <w:bidi w:val="0"/>
        <w:adjustRightInd w:val="0"/>
        <w:snapToGrid w:val="0"/>
        <w:spacing w:line="500" w:lineRule="exact"/>
        <w:ind w:firstLine="562"/>
        <w:textAlignment w:val="auto"/>
        <w:rPr>
          <w:rFonts w:hAnsi="宋体" w:cs="宋体"/>
          <w:snapToGrid w:val="0"/>
          <w:color w:val="auto"/>
          <w:kern w:val="0"/>
          <w:highlight w:val="none"/>
        </w:rPr>
      </w:pPr>
      <w:r>
        <w:rPr>
          <w:rFonts w:hint="eastAsia" w:hAnsi="宋体" w:cs="宋体"/>
          <w:snapToGrid w:val="0"/>
          <w:color w:val="auto"/>
          <w:kern w:val="0"/>
          <w:highlight w:val="none"/>
        </w:rPr>
        <w:t>（2）投标总价是否唯一；投标总价是否超出最高投标限价。</w:t>
      </w:r>
    </w:p>
    <w:p w14:paraId="6D8D3B02">
      <w:pPr>
        <w:keepNext w:val="0"/>
        <w:keepLines w:val="0"/>
        <w:pageBreakBefore w:val="0"/>
        <w:wordWrap w:val="0"/>
        <w:topLinePunct w:val="0"/>
        <w:bidi w:val="0"/>
        <w:adjustRightInd w:val="0"/>
        <w:snapToGrid w:val="0"/>
        <w:spacing w:line="500" w:lineRule="exact"/>
        <w:ind w:firstLine="562"/>
        <w:textAlignment w:val="auto"/>
        <w:rPr>
          <w:rFonts w:hAnsi="宋体" w:cs="宋体"/>
          <w:snapToGrid w:val="0"/>
          <w:color w:val="auto"/>
          <w:kern w:val="0"/>
          <w:highlight w:val="none"/>
        </w:rPr>
      </w:pPr>
      <w:r>
        <w:rPr>
          <w:rFonts w:hint="eastAsia" w:hAnsi="宋体" w:cs="宋体"/>
          <w:snapToGrid w:val="0"/>
          <w:color w:val="auto"/>
          <w:kern w:val="0"/>
          <w:highlight w:val="none"/>
        </w:rPr>
        <w:t>（3）监理大纲中的监理及相关服务的范围、内容、目标是否符合招标文件规定。</w:t>
      </w:r>
    </w:p>
    <w:p w14:paraId="0D7CB7D7">
      <w:pPr>
        <w:keepNext w:val="0"/>
        <w:keepLines w:val="0"/>
        <w:pageBreakBefore w:val="0"/>
        <w:wordWrap w:val="0"/>
        <w:topLinePunct w:val="0"/>
        <w:bidi w:val="0"/>
        <w:adjustRightInd w:val="0"/>
        <w:snapToGrid w:val="0"/>
        <w:spacing w:line="500" w:lineRule="exact"/>
        <w:ind w:firstLine="562"/>
        <w:textAlignment w:val="auto"/>
        <w:rPr>
          <w:rFonts w:hAnsi="宋体" w:cs="宋体"/>
          <w:snapToGrid w:val="0"/>
          <w:color w:val="auto"/>
          <w:kern w:val="0"/>
          <w:highlight w:val="none"/>
        </w:rPr>
      </w:pPr>
      <w:r>
        <w:rPr>
          <w:rFonts w:hint="eastAsia" w:hAnsi="宋体" w:cs="宋体"/>
          <w:b/>
          <w:bCs/>
          <w:snapToGrid w:val="0"/>
          <w:color w:val="auto"/>
          <w:kern w:val="0"/>
          <w:highlight w:val="none"/>
        </w:rPr>
        <w:t>15.</w:t>
      </w:r>
      <w:r>
        <w:rPr>
          <w:rFonts w:hint="eastAsia" w:hAnsi="宋体" w:cs="宋体"/>
          <w:b/>
          <w:bCs/>
          <w:snapToGrid w:val="0"/>
          <w:color w:val="auto"/>
          <w:kern w:val="0"/>
          <w:highlight w:val="none"/>
          <w:lang w:val="en-US" w:eastAsia="zh-CN"/>
        </w:rPr>
        <w:t>4</w:t>
      </w:r>
      <w:r>
        <w:rPr>
          <w:rFonts w:hint="eastAsia" w:hAnsi="宋体" w:cs="宋体"/>
          <w:b/>
          <w:bCs/>
          <w:snapToGrid w:val="0"/>
          <w:color w:val="auto"/>
          <w:kern w:val="0"/>
          <w:highlight w:val="none"/>
        </w:rPr>
        <w:t>.4</w:t>
      </w:r>
      <w:r>
        <w:rPr>
          <w:rFonts w:hint="eastAsia" w:hAnsi="宋体" w:cs="宋体"/>
          <w:snapToGrid w:val="0"/>
          <w:color w:val="auto"/>
          <w:kern w:val="0"/>
          <w:highlight w:val="none"/>
        </w:rPr>
        <w:t xml:space="preserve"> 否决投标说明</w:t>
      </w:r>
    </w:p>
    <w:p w14:paraId="717AAFB5">
      <w:pPr>
        <w:keepNext w:val="0"/>
        <w:keepLines w:val="0"/>
        <w:pageBreakBefore w:val="0"/>
        <w:wordWrap w:val="0"/>
        <w:topLinePunct w:val="0"/>
        <w:bidi w:val="0"/>
        <w:adjustRightInd w:val="0"/>
        <w:snapToGrid w:val="0"/>
        <w:spacing w:line="500" w:lineRule="exact"/>
        <w:ind w:firstLine="562"/>
        <w:textAlignment w:val="auto"/>
        <w:rPr>
          <w:rFonts w:hAnsi="宋体" w:cs="宋体"/>
          <w:snapToGrid w:val="0"/>
          <w:color w:val="auto"/>
          <w:kern w:val="0"/>
          <w:highlight w:val="none"/>
        </w:rPr>
      </w:pPr>
      <w:r>
        <w:rPr>
          <w:rFonts w:hint="eastAsia" w:hAnsi="宋体" w:cs="宋体"/>
          <w:snapToGrid w:val="0"/>
          <w:color w:val="auto"/>
          <w:kern w:val="0"/>
          <w:highlight w:val="none"/>
        </w:rPr>
        <w:t>初步评审阶段各个环节否决投标的全部条件，在本章第四节“否决投标条件”第</w:t>
      </w:r>
      <w:r>
        <w:rPr>
          <w:rFonts w:hint="eastAsia" w:hAnsi="宋体" w:cs="宋体"/>
          <w:b/>
          <w:bCs/>
          <w:snapToGrid w:val="0"/>
          <w:color w:val="auto"/>
          <w:kern w:val="0"/>
          <w:highlight w:val="none"/>
        </w:rPr>
        <w:t>1</w:t>
      </w:r>
      <w:r>
        <w:rPr>
          <w:rFonts w:hint="eastAsia" w:hAnsi="宋体" w:cs="宋体"/>
          <w:snapToGrid w:val="0"/>
          <w:color w:val="auto"/>
          <w:kern w:val="0"/>
          <w:highlight w:val="none"/>
        </w:rPr>
        <w:t>条至第</w:t>
      </w:r>
      <w:r>
        <w:rPr>
          <w:rFonts w:hint="eastAsia" w:hAnsi="宋体" w:cs="宋体"/>
          <w:b/>
          <w:bCs/>
          <w:snapToGrid w:val="0"/>
          <w:color w:val="auto"/>
          <w:kern w:val="0"/>
          <w:highlight w:val="none"/>
        </w:rPr>
        <w:t>4</w:t>
      </w:r>
      <w:r>
        <w:rPr>
          <w:rFonts w:hint="eastAsia" w:hAnsi="宋体" w:cs="宋体"/>
          <w:snapToGrid w:val="0"/>
          <w:color w:val="auto"/>
          <w:kern w:val="0"/>
          <w:highlight w:val="none"/>
        </w:rPr>
        <w:t>条中集中列示。投标人有其中所列任何一种情形的，由评标委员会否决其投标。在初步评审阶段任何环节被否决的投标，不进入下一环节（或阶段）评审。经初步评审后，若所有投标均被否决，招标人应当依法重新招标。</w:t>
      </w:r>
    </w:p>
    <w:p w14:paraId="4F691C7F">
      <w:pPr>
        <w:keepNext w:val="0"/>
        <w:keepLines w:val="0"/>
        <w:pageBreakBefore w:val="0"/>
        <w:wordWrap w:val="0"/>
        <w:topLinePunct w:val="0"/>
        <w:bidi w:val="0"/>
        <w:adjustRightInd w:val="0"/>
        <w:snapToGrid w:val="0"/>
        <w:spacing w:line="500" w:lineRule="exact"/>
        <w:textAlignment w:val="auto"/>
        <w:rPr>
          <w:rFonts w:hAnsi="宋体" w:cs="宋体"/>
          <w:snapToGrid w:val="0"/>
          <w:color w:val="auto"/>
          <w:kern w:val="0"/>
          <w:highlight w:val="none"/>
        </w:rPr>
      </w:pPr>
      <w:r>
        <w:rPr>
          <w:rFonts w:hint="eastAsia" w:hAnsi="宋体" w:cs="宋体"/>
          <w:b/>
          <w:bCs/>
          <w:snapToGrid w:val="0"/>
          <w:color w:val="auto"/>
          <w:kern w:val="0"/>
          <w:highlight w:val="none"/>
        </w:rPr>
        <w:t xml:space="preserve">    15.</w:t>
      </w:r>
      <w:r>
        <w:rPr>
          <w:rFonts w:hint="eastAsia" w:hAnsi="宋体" w:cs="宋体"/>
          <w:b/>
          <w:bCs/>
          <w:snapToGrid w:val="0"/>
          <w:color w:val="auto"/>
          <w:kern w:val="0"/>
          <w:highlight w:val="none"/>
          <w:lang w:val="en-US" w:eastAsia="zh-CN"/>
        </w:rPr>
        <w:t>5</w:t>
      </w:r>
      <w:r>
        <w:rPr>
          <w:rFonts w:hint="eastAsia" w:hAnsi="宋体" w:cs="宋体"/>
          <w:snapToGrid w:val="0"/>
          <w:color w:val="auto"/>
          <w:kern w:val="0"/>
          <w:highlight w:val="none"/>
        </w:rPr>
        <w:t xml:space="preserve"> 详细评审</w:t>
      </w:r>
      <w:bookmarkStart w:id="55" w:name="_Hlt121629839"/>
      <w:r>
        <w:rPr>
          <w:rFonts w:hint="eastAsia" w:hAnsi="宋体" w:cs="宋体"/>
          <w:snapToGrid w:val="0"/>
          <w:color w:val="auto"/>
          <w:kern w:val="0"/>
          <w:highlight w:val="none"/>
        </w:rPr>
        <w:t>阶段</w:t>
      </w:r>
    </w:p>
    <w:p w14:paraId="7AA415AA">
      <w:pPr>
        <w:keepNext w:val="0"/>
        <w:keepLines w:val="0"/>
        <w:pageBreakBefore w:val="0"/>
        <w:wordWrap w:val="0"/>
        <w:topLinePunct w:val="0"/>
        <w:bidi w:val="0"/>
        <w:adjustRightInd w:val="0"/>
        <w:snapToGrid w:val="0"/>
        <w:spacing w:line="500" w:lineRule="exact"/>
        <w:textAlignment w:val="auto"/>
        <w:rPr>
          <w:rFonts w:hAnsi="宋体" w:cs="宋体"/>
          <w:snapToGrid w:val="0"/>
          <w:color w:val="auto"/>
          <w:kern w:val="0"/>
          <w:highlight w:val="none"/>
        </w:rPr>
      </w:pPr>
      <w:r>
        <w:rPr>
          <w:rFonts w:hint="eastAsia" w:hAnsi="宋体" w:cs="宋体"/>
          <w:b/>
          <w:bCs/>
          <w:snapToGrid w:val="0"/>
          <w:color w:val="auto"/>
          <w:kern w:val="0"/>
          <w:highlight w:val="none"/>
        </w:rPr>
        <w:t xml:space="preserve">    15.</w:t>
      </w:r>
      <w:r>
        <w:rPr>
          <w:rFonts w:hint="eastAsia" w:hAnsi="宋体" w:cs="宋体"/>
          <w:b/>
          <w:bCs/>
          <w:snapToGrid w:val="0"/>
          <w:color w:val="auto"/>
          <w:kern w:val="0"/>
          <w:highlight w:val="none"/>
          <w:lang w:val="en-US" w:eastAsia="zh-CN"/>
        </w:rPr>
        <w:t>4</w:t>
      </w:r>
      <w:r>
        <w:rPr>
          <w:rFonts w:hint="eastAsia" w:hAnsi="宋体" w:cs="宋体"/>
          <w:b/>
          <w:bCs/>
          <w:snapToGrid w:val="0"/>
          <w:color w:val="auto"/>
          <w:kern w:val="0"/>
          <w:highlight w:val="none"/>
        </w:rPr>
        <w:t>.1</w:t>
      </w:r>
      <w:r>
        <w:rPr>
          <w:rFonts w:hint="eastAsia" w:hAnsi="宋体" w:cs="宋体"/>
          <w:bCs/>
          <w:snapToGrid w:val="0"/>
          <w:color w:val="auto"/>
          <w:kern w:val="0"/>
          <w:highlight w:val="none"/>
        </w:rPr>
        <w:t xml:space="preserve"> “综合评估法”评审程序</w:t>
      </w:r>
    </w:p>
    <w:p w14:paraId="74C9E745">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评审内容分为商务、技术和投标报价三大部分，综合得分满分为100分。其中，商务满分为</w:t>
      </w:r>
      <w:r>
        <w:rPr>
          <w:rFonts w:hint="eastAsia" w:hAnsi="宋体" w:cs="宋体"/>
          <w:snapToGrid w:val="0"/>
          <w:color w:val="auto"/>
          <w:kern w:val="0"/>
          <w:highlight w:val="none"/>
          <w:u w:val="single"/>
        </w:rPr>
        <w:t xml:space="preserve"> </w:t>
      </w:r>
      <w:r>
        <w:rPr>
          <w:rFonts w:hint="eastAsia" w:hAnsi="宋体" w:cs="宋体"/>
          <w:snapToGrid w:val="0"/>
          <w:color w:val="auto"/>
          <w:kern w:val="0"/>
          <w:highlight w:val="none"/>
          <w:u w:val="single"/>
          <w:lang w:val="en-US" w:eastAsia="zh-CN"/>
        </w:rPr>
        <w:t>50</w:t>
      </w:r>
      <w:r>
        <w:rPr>
          <w:rFonts w:hint="eastAsia" w:hAnsi="宋体" w:cs="宋体"/>
          <w:snapToGrid w:val="0"/>
          <w:color w:val="auto"/>
          <w:kern w:val="0"/>
          <w:highlight w:val="none"/>
          <w:u w:val="single"/>
        </w:rPr>
        <w:t xml:space="preserve"> </w:t>
      </w:r>
      <w:r>
        <w:rPr>
          <w:rFonts w:hint="eastAsia" w:hAnsi="宋体" w:cs="宋体"/>
          <w:snapToGrid w:val="0"/>
          <w:color w:val="auto"/>
          <w:kern w:val="0"/>
          <w:highlight w:val="none"/>
        </w:rPr>
        <w:t>分，技术满分为</w:t>
      </w:r>
      <w:r>
        <w:rPr>
          <w:rFonts w:hint="eastAsia" w:hAnsi="宋体" w:cs="宋体"/>
          <w:snapToGrid w:val="0"/>
          <w:color w:val="auto"/>
          <w:kern w:val="0"/>
          <w:highlight w:val="none"/>
          <w:u w:val="single"/>
        </w:rPr>
        <w:t xml:space="preserve"> </w:t>
      </w:r>
      <w:r>
        <w:rPr>
          <w:rFonts w:hint="eastAsia" w:hAnsi="宋体" w:cs="宋体"/>
          <w:snapToGrid w:val="0"/>
          <w:color w:val="auto"/>
          <w:kern w:val="0"/>
          <w:highlight w:val="none"/>
          <w:u w:val="single"/>
          <w:lang w:val="en-US" w:eastAsia="zh-CN"/>
        </w:rPr>
        <w:t>30</w:t>
      </w:r>
      <w:r>
        <w:rPr>
          <w:rFonts w:hint="eastAsia" w:hAnsi="宋体" w:cs="宋体"/>
          <w:snapToGrid w:val="0"/>
          <w:color w:val="auto"/>
          <w:kern w:val="0"/>
          <w:highlight w:val="none"/>
          <w:u w:val="single"/>
        </w:rPr>
        <w:t xml:space="preserve"> </w:t>
      </w:r>
      <w:r>
        <w:rPr>
          <w:rFonts w:hint="eastAsia" w:hAnsi="宋体" w:cs="宋体"/>
          <w:snapToGrid w:val="0"/>
          <w:color w:val="auto"/>
          <w:kern w:val="0"/>
          <w:highlight w:val="none"/>
        </w:rPr>
        <w:t>分，投标报价部分满分为</w:t>
      </w:r>
      <w:r>
        <w:rPr>
          <w:rFonts w:hint="eastAsia" w:hAnsi="宋体" w:cs="宋体"/>
          <w:snapToGrid w:val="0"/>
          <w:color w:val="auto"/>
          <w:kern w:val="0"/>
          <w:highlight w:val="none"/>
          <w:u w:val="single"/>
        </w:rPr>
        <w:t xml:space="preserve"> </w:t>
      </w:r>
      <w:r>
        <w:rPr>
          <w:rFonts w:hint="eastAsia" w:hAnsi="宋体" w:cs="宋体"/>
          <w:snapToGrid w:val="0"/>
          <w:color w:val="auto"/>
          <w:kern w:val="0"/>
          <w:highlight w:val="none"/>
          <w:u w:val="single"/>
          <w:lang w:val="en-US" w:eastAsia="zh-CN"/>
        </w:rPr>
        <w:t>2</w:t>
      </w:r>
      <w:r>
        <w:rPr>
          <w:rFonts w:hint="eastAsia" w:hAnsi="宋体" w:cs="宋体"/>
          <w:snapToGrid w:val="0"/>
          <w:color w:val="auto"/>
          <w:kern w:val="0"/>
          <w:highlight w:val="none"/>
          <w:u w:val="single"/>
        </w:rPr>
        <w:t xml:space="preserve">0 </w:t>
      </w:r>
      <w:r>
        <w:rPr>
          <w:rFonts w:hint="eastAsia" w:hAnsi="宋体" w:cs="宋体"/>
          <w:snapToGrid w:val="0"/>
          <w:color w:val="auto"/>
          <w:kern w:val="0"/>
          <w:highlight w:val="none"/>
        </w:rPr>
        <w:t>分。</w:t>
      </w:r>
    </w:p>
    <w:p w14:paraId="49097322">
      <w:pPr>
        <w:keepNext w:val="0"/>
        <w:keepLines w:val="0"/>
        <w:pageBreakBefore w:val="0"/>
        <w:wordWrap w:val="0"/>
        <w:topLinePunct w:val="0"/>
        <w:bidi w:val="0"/>
        <w:adjustRightInd w:val="0"/>
        <w:snapToGrid w:val="0"/>
        <w:spacing w:line="500" w:lineRule="exact"/>
        <w:ind w:firstLine="480"/>
        <w:textAlignment w:val="auto"/>
        <w:rPr>
          <w:rFonts w:hAnsi="宋体" w:cs="宋体"/>
          <w:snapToGrid w:val="0"/>
          <w:color w:val="auto"/>
          <w:kern w:val="0"/>
          <w:highlight w:val="none"/>
        </w:rPr>
      </w:pPr>
      <w:r>
        <w:rPr>
          <w:rFonts w:hint="eastAsia" w:hAnsi="宋体" w:cs="宋体"/>
          <w:snapToGrid w:val="0"/>
          <w:color w:val="auto"/>
          <w:kern w:val="0"/>
          <w:highlight w:val="none"/>
        </w:rPr>
        <w:t>除特别注明外，综合得分以及商务、技术、投标报价得分的中间过程计算值和最终值，均按“四舍五入”原则精确到两位小数。</w:t>
      </w:r>
    </w:p>
    <w:p w14:paraId="5D5F80A8">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（1）商务得分M</w:t>
      </w:r>
      <w:r>
        <w:rPr>
          <w:rFonts w:hint="eastAsia" w:hAnsi="宋体" w:cs="宋体"/>
          <w:snapToGrid w:val="0"/>
          <w:color w:val="auto"/>
          <w:kern w:val="0"/>
          <w:highlight w:val="none"/>
          <w:vertAlign w:val="subscript"/>
        </w:rPr>
        <w:t>1</w:t>
      </w:r>
    </w:p>
    <w:p w14:paraId="7D776785">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评标委员会按照《综合评分表》商务部分指定的评分标准对各评分因素进行打分。各评分因素得分之和即为某投标人的商务得分M</w:t>
      </w:r>
      <w:r>
        <w:rPr>
          <w:rFonts w:hint="eastAsia" w:hAnsi="宋体" w:cs="宋体"/>
          <w:snapToGrid w:val="0"/>
          <w:color w:val="auto"/>
          <w:kern w:val="0"/>
          <w:highlight w:val="none"/>
          <w:vertAlign w:val="subscript"/>
        </w:rPr>
        <w:t>1</w:t>
      </w:r>
      <w:r>
        <w:rPr>
          <w:rFonts w:hint="eastAsia" w:hAnsi="宋体" w:cs="宋体"/>
          <w:snapToGrid w:val="0"/>
          <w:color w:val="auto"/>
          <w:kern w:val="0"/>
          <w:highlight w:val="none"/>
        </w:rPr>
        <w:t>。</w:t>
      </w:r>
    </w:p>
    <w:p w14:paraId="23498F90">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（2）技术得分M</w:t>
      </w:r>
      <w:r>
        <w:rPr>
          <w:rFonts w:hint="eastAsia" w:hAnsi="宋体" w:cs="宋体"/>
          <w:snapToGrid w:val="0"/>
          <w:color w:val="auto"/>
          <w:kern w:val="0"/>
          <w:highlight w:val="none"/>
          <w:vertAlign w:val="subscript"/>
        </w:rPr>
        <w:t>2</w:t>
      </w:r>
    </w:p>
    <w:p w14:paraId="47A40284">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评标委员会各成员独立按照《综合评分表》技术部分（监理大纲）指定的评分标准对各评分因素进行打分，累加后得出技术评分。将评标委员会所有成员的技术评分去掉一个最高分和一个最低分后，取算术平均值，即为某投标人的技术得分M</w:t>
      </w:r>
      <w:r>
        <w:rPr>
          <w:rFonts w:hint="eastAsia" w:hAnsi="宋体" w:cs="宋体"/>
          <w:snapToGrid w:val="0"/>
          <w:color w:val="auto"/>
          <w:kern w:val="0"/>
          <w:highlight w:val="none"/>
          <w:vertAlign w:val="subscript"/>
        </w:rPr>
        <w:t>2</w:t>
      </w:r>
      <w:r>
        <w:rPr>
          <w:rFonts w:hint="eastAsia" w:hAnsi="宋体" w:cs="宋体"/>
          <w:snapToGrid w:val="0"/>
          <w:color w:val="auto"/>
          <w:kern w:val="0"/>
          <w:highlight w:val="none"/>
        </w:rPr>
        <w:t>。</w:t>
      </w:r>
    </w:p>
    <w:p w14:paraId="13AF2206">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（3）投标报价得分M</w:t>
      </w:r>
      <w:r>
        <w:rPr>
          <w:rFonts w:hint="eastAsia" w:hAnsi="宋体" w:cs="宋体"/>
          <w:snapToGrid w:val="0"/>
          <w:color w:val="auto"/>
          <w:kern w:val="0"/>
          <w:highlight w:val="none"/>
          <w:vertAlign w:val="subscript"/>
        </w:rPr>
        <w:t>3</w:t>
      </w:r>
    </w:p>
    <w:p w14:paraId="5274240F">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a．评标委员会按照《综合评分表》投标报价部分指定的方法计算评标基准价D。</w:t>
      </w:r>
    </w:p>
    <w:p w14:paraId="00B3E847">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b．采用内插法计算某投标人的投标报价得分M</w:t>
      </w:r>
      <w:r>
        <w:rPr>
          <w:rFonts w:hint="eastAsia" w:hAnsi="宋体" w:cs="宋体"/>
          <w:snapToGrid w:val="0"/>
          <w:color w:val="auto"/>
          <w:kern w:val="0"/>
          <w:highlight w:val="none"/>
          <w:vertAlign w:val="subscript"/>
        </w:rPr>
        <w:t>3</w:t>
      </w:r>
      <w:r>
        <w:rPr>
          <w:rFonts w:hint="eastAsia" w:hAnsi="宋体" w:cs="宋体"/>
          <w:snapToGrid w:val="0"/>
          <w:color w:val="auto"/>
          <w:kern w:val="0"/>
          <w:highlight w:val="none"/>
        </w:rPr>
        <w:t>，即当投标人的投标总价等于评标基准价时得满分，每高于评标基准价一个百分点扣</w:t>
      </w:r>
      <w:r>
        <w:rPr>
          <w:rFonts w:hint="eastAsia" w:hAnsi="宋体" w:cs="宋体"/>
          <w:snapToGrid w:val="0"/>
          <w:color w:val="auto"/>
          <w:kern w:val="0"/>
          <w:highlight w:val="none"/>
          <w:lang w:val="en-US" w:eastAsia="zh-CN"/>
        </w:rPr>
        <w:t>0.2</w:t>
      </w:r>
      <w:r>
        <w:rPr>
          <w:rFonts w:hint="eastAsia" w:hAnsi="宋体" w:cs="宋体"/>
          <w:snapToGrid w:val="0"/>
          <w:color w:val="auto"/>
          <w:kern w:val="0"/>
          <w:highlight w:val="none"/>
        </w:rPr>
        <w:t>分, 每低于评标基准价一个百分点扣0.</w:t>
      </w:r>
      <w:r>
        <w:rPr>
          <w:rFonts w:hint="eastAsia" w:hAnsi="宋体" w:cs="宋体"/>
          <w:snapToGrid w:val="0"/>
          <w:color w:val="auto"/>
          <w:kern w:val="0"/>
          <w:highlight w:val="none"/>
          <w:lang w:val="en-US" w:eastAsia="zh-CN"/>
        </w:rPr>
        <w:t>1</w:t>
      </w:r>
      <w:r>
        <w:rPr>
          <w:rFonts w:hint="eastAsia" w:hAnsi="宋体" w:cs="宋体"/>
          <w:snapToGrid w:val="0"/>
          <w:color w:val="auto"/>
          <w:kern w:val="0"/>
          <w:highlight w:val="none"/>
        </w:rPr>
        <w:t>分，扣完为止。公式如下：</w:t>
      </w:r>
    </w:p>
    <w:p w14:paraId="3641A7FA">
      <w:pPr>
        <w:keepNext w:val="0"/>
        <w:keepLines w:val="0"/>
        <w:pageBreakBefore w:val="0"/>
        <w:wordWrap w:val="0"/>
        <w:topLinePunct w:val="0"/>
        <w:bidi w:val="0"/>
        <w:adjustRightInd w:val="0"/>
        <w:snapToGrid w:val="0"/>
        <w:spacing w:line="500" w:lineRule="exact"/>
        <w:ind w:firstLine="480" w:firstLineChars="200"/>
        <w:jc w:val="center"/>
        <w:textAlignment w:val="auto"/>
        <w:rPr>
          <w:rFonts w:hAnsi="宋体" w:cs="宋体"/>
          <w:snapToGrid w:val="0"/>
          <w:color w:val="auto"/>
          <w:kern w:val="0"/>
          <w:highlight w:val="none"/>
        </w:rPr>
      </w:pPr>
      <w:r>
        <w:rPr>
          <w:rFonts w:hint="eastAsia" w:hAnsi="宋体" w:cs="宋体"/>
          <w:snapToGrid w:val="0"/>
          <w:color w:val="auto"/>
          <w:kern w:val="0"/>
          <w:highlight w:val="none"/>
        </w:rPr>
        <w:t>M</w:t>
      </w:r>
      <w:r>
        <w:rPr>
          <w:rFonts w:hint="eastAsia" w:hAnsi="宋体" w:cs="宋体"/>
          <w:snapToGrid w:val="0"/>
          <w:color w:val="auto"/>
          <w:kern w:val="0"/>
          <w:highlight w:val="none"/>
          <w:vertAlign w:val="subscript"/>
        </w:rPr>
        <w:t>3</w:t>
      </w:r>
      <w:r>
        <w:rPr>
          <w:rFonts w:hint="eastAsia" w:hAnsi="宋体" w:cs="宋体"/>
          <w:snapToGrid w:val="0"/>
          <w:color w:val="auto"/>
          <w:kern w:val="0"/>
          <w:highlight w:val="none"/>
        </w:rPr>
        <w:t>＝投标报价满分－（|Di－D|÷D）×100×E</w:t>
      </w:r>
    </w:p>
    <w:p w14:paraId="7D5BE617">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式中：D为评标基准价，Di为某投标人的投标总价；</w:t>
      </w:r>
    </w:p>
    <w:p w14:paraId="4D67AE7A">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E为扣分因子。当Di＞D时，E＝</w:t>
      </w:r>
      <w:r>
        <w:rPr>
          <w:rFonts w:hint="eastAsia" w:hAnsi="宋体" w:cs="宋体"/>
          <w:snapToGrid w:val="0"/>
          <w:color w:val="auto"/>
          <w:kern w:val="0"/>
          <w:highlight w:val="none"/>
          <w:lang w:val="en-US" w:eastAsia="zh-CN"/>
        </w:rPr>
        <w:t>0.2</w:t>
      </w:r>
      <w:r>
        <w:rPr>
          <w:rFonts w:hint="eastAsia" w:hAnsi="宋体" w:cs="宋体"/>
          <w:snapToGrid w:val="0"/>
          <w:color w:val="auto"/>
          <w:kern w:val="0"/>
          <w:highlight w:val="none"/>
        </w:rPr>
        <w:t>；当Di＜D时，E＝</w:t>
      </w:r>
      <w:r>
        <w:rPr>
          <w:rFonts w:hint="eastAsia" w:hAnsi="宋体" w:cs="宋体"/>
          <w:snapToGrid w:val="0"/>
          <w:color w:val="auto"/>
          <w:kern w:val="0"/>
          <w:highlight w:val="none"/>
          <w:lang w:val="en-US" w:eastAsia="zh-CN"/>
        </w:rPr>
        <w:t>0.1</w:t>
      </w:r>
      <w:r>
        <w:rPr>
          <w:rFonts w:hint="eastAsia" w:hAnsi="宋体" w:cs="宋体"/>
          <w:snapToGrid w:val="0"/>
          <w:color w:val="auto"/>
          <w:kern w:val="0"/>
          <w:highlight w:val="none"/>
        </w:rPr>
        <w:t>。</w:t>
      </w:r>
    </w:p>
    <w:p w14:paraId="0EFE1443">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（4）综合得分M</w:t>
      </w:r>
    </w:p>
    <w:p w14:paraId="245E1952">
      <w:pPr>
        <w:keepNext w:val="0"/>
        <w:keepLines w:val="0"/>
        <w:pageBreakBefore w:val="0"/>
        <w:wordWrap w:val="0"/>
        <w:topLinePunct w:val="0"/>
        <w:bidi w:val="0"/>
        <w:adjustRightInd w:val="0"/>
        <w:snapToGrid w:val="0"/>
        <w:spacing w:line="500" w:lineRule="exact"/>
        <w:jc w:val="center"/>
        <w:textAlignment w:val="auto"/>
        <w:rPr>
          <w:rFonts w:hAnsi="宋体" w:cs="宋体"/>
          <w:snapToGrid w:val="0"/>
          <w:color w:val="auto"/>
          <w:kern w:val="0"/>
          <w:highlight w:val="none"/>
        </w:rPr>
      </w:pPr>
      <w:r>
        <w:rPr>
          <w:rFonts w:hint="eastAsia" w:hAnsi="宋体" w:cs="宋体"/>
          <w:snapToGrid w:val="0"/>
          <w:color w:val="auto"/>
          <w:kern w:val="0"/>
          <w:highlight w:val="none"/>
        </w:rPr>
        <w:t>M＝M</w:t>
      </w:r>
      <w:r>
        <w:rPr>
          <w:rFonts w:hint="eastAsia" w:hAnsi="宋体" w:cs="宋体"/>
          <w:snapToGrid w:val="0"/>
          <w:color w:val="auto"/>
          <w:kern w:val="0"/>
          <w:highlight w:val="none"/>
          <w:vertAlign w:val="subscript"/>
        </w:rPr>
        <w:t>1</w:t>
      </w:r>
      <w:r>
        <w:rPr>
          <w:rFonts w:hint="eastAsia" w:hAnsi="宋体" w:cs="宋体"/>
          <w:snapToGrid w:val="0"/>
          <w:color w:val="auto"/>
          <w:kern w:val="0"/>
          <w:highlight w:val="none"/>
        </w:rPr>
        <w:t>＋M</w:t>
      </w:r>
      <w:r>
        <w:rPr>
          <w:rFonts w:hint="eastAsia" w:hAnsi="宋体" w:cs="宋体"/>
          <w:snapToGrid w:val="0"/>
          <w:color w:val="auto"/>
          <w:kern w:val="0"/>
          <w:highlight w:val="none"/>
          <w:vertAlign w:val="subscript"/>
        </w:rPr>
        <w:t>2</w:t>
      </w:r>
      <w:r>
        <w:rPr>
          <w:rFonts w:hint="eastAsia" w:hAnsi="宋体" w:cs="宋体"/>
          <w:snapToGrid w:val="0"/>
          <w:color w:val="auto"/>
          <w:kern w:val="0"/>
          <w:highlight w:val="none"/>
        </w:rPr>
        <w:t>＋M</w:t>
      </w:r>
      <w:r>
        <w:rPr>
          <w:rFonts w:hint="eastAsia" w:hAnsi="宋体" w:cs="宋体"/>
          <w:snapToGrid w:val="0"/>
          <w:color w:val="auto"/>
          <w:kern w:val="0"/>
          <w:highlight w:val="none"/>
          <w:vertAlign w:val="subscript"/>
        </w:rPr>
        <w:t>3</w:t>
      </w:r>
    </w:p>
    <w:p w14:paraId="015B4829">
      <w:pPr>
        <w:keepNext w:val="0"/>
        <w:keepLines w:val="0"/>
        <w:pageBreakBefore w:val="0"/>
        <w:wordWrap w:val="0"/>
        <w:topLinePunct w:val="0"/>
        <w:bidi w:val="0"/>
        <w:adjustRightInd w:val="0"/>
        <w:snapToGrid w:val="0"/>
        <w:spacing w:line="500" w:lineRule="exact"/>
        <w:ind w:firstLine="480" w:firstLineChars="200"/>
        <w:textAlignment w:val="auto"/>
        <w:rPr>
          <w:rFonts w:ascii="Times New Roman"/>
          <w:snapToGrid w:val="0"/>
          <w:color w:val="auto"/>
          <w:kern w:val="0"/>
          <w:highlight w:val="none"/>
        </w:rPr>
      </w:pPr>
      <w:r>
        <w:rPr>
          <w:rFonts w:hint="eastAsia" w:hAnsi="宋体" w:cs="宋体"/>
          <w:snapToGrid w:val="0"/>
          <w:color w:val="auto"/>
          <w:kern w:val="0"/>
          <w:highlight w:val="none"/>
        </w:rPr>
        <w:t>式中：M为综合得分，M</w:t>
      </w:r>
      <w:r>
        <w:rPr>
          <w:rFonts w:hint="eastAsia" w:hAnsi="宋体" w:cs="宋体"/>
          <w:snapToGrid w:val="0"/>
          <w:color w:val="auto"/>
          <w:kern w:val="0"/>
          <w:highlight w:val="none"/>
          <w:vertAlign w:val="subscript"/>
        </w:rPr>
        <w:t>1</w:t>
      </w:r>
      <w:r>
        <w:rPr>
          <w:rFonts w:hint="eastAsia" w:hAnsi="宋体" w:cs="宋体"/>
          <w:snapToGrid w:val="0"/>
          <w:color w:val="auto"/>
          <w:kern w:val="0"/>
          <w:highlight w:val="none"/>
        </w:rPr>
        <w:t>为商务得分，M</w:t>
      </w:r>
      <w:r>
        <w:rPr>
          <w:rFonts w:hint="eastAsia" w:hAnsi="宋体" w:cs="宋体"/>
          <w:snapToGrid w:val="0"/>
          <w:color w:val="auto"/>
          <w:kern w:val="0"/>
          <w:highlight w:val="none"/>
          <w:vertAlign w:val="subscript"/>
        </w:rPr>
        <w:t>2</w:t>
      </w:r>
      <w:r>
        <w:rPr>
          <w:rFonts w:hint="eastAsia" w:hAnsi="宋体" w:cs="宋体"/>
          <w:snapToGrid w:val="0"/>
          <w:color w:val="auto"/>
          <w:kern w:val="0"/>
          <w:highlight w:val="none"/>
        </w:rPr>
        <w:t>为技术得分，M</w:t>
      </w:r>
      <w:r>
        <w:rPr>
          <w:rFonts w:hint="eastAsia" w:hAnsi="宋体" w:cs="宋体"/>
          <w:snapToGrid w:val="0"/>
          <w:color w:val="auto"/>
          <w:kern w:val="0"/>
          <w:highlight w:val="none"/>
          <w:vertAlign w:val="subscript"/>
        </w:rPr>
        <w:t>3</w:t>
      </w:r>
      <w:r>
        <w:rPr>
          <w:rFonts w:hint="eastAsia" w:ascii="Times New Roman"/>
          <w:snapToGrid w:val="0"/>
          <w:color w:val="auto"/>
          <w:kern w:val="0"/>
          <w:highlight w:val="none"/>
        </w:rPr>
        <w:t>为投标报价得分。</w:t>
      </w:r>
    </w:p>
    <w:p w14:paraId="54DFCA09">
      <w:pPr>
        <w:bidi w:val="0"/>
        <w:rPr>
          <w:rFonts w:hint="eastAsia"/>
          <w:color w:val="auto"/>
          <w:highlight w:val="none"/>
          <w:lang w:val="en-US" w:eastAsia="zh-CN"/>
        </w:rPr>
      </w:pPr>
      <w:bookmarkStart w:id="56" w:name="_Toc31548"/>
      <w:bookmarkStart w:id="57" w:name="_Toc6276"/>
    </w:p>
    <w:p w14:paraId="17C17EA4">
      <w:pPr>
        <w:bidi w:val="0"/>
        <w:rPr>
          <w:rFonts w:hint="eastAsia"/>
          <w:color w:val="auto"/>
          <w:highlight w:val="none"/>
          <w:lang w:val="en-US" w:eastAsia="zh-CN"/>
        </w:rPr>
      </w:pPr>
    </w:p>
    <w:p w14:paraId="427AFC8D">
      <w:pPr>
        <w:pStyle w:val="2"/>
        <w:rPr>
          <w:rFonts w:hint="eastAsia"/>
          <w:color w:val="auto"/>
          <w:highlight w:val="none"/>
          <w:lang w:val="en-US" w:eastAsia="zh-CN"/>
        </w:rPr>
      </w:pPr>
    </w:p>
    <w:p w14:paraId="54D8FB5C">
      <w:pPr>
        <w:pStyle w:val="2"/>
        <w:rPr>
          <w:rFonts w:hint="eastAsia"/>
          <w:color w:val="auto"/>
          <w:highlight w:val="none"/>
          <w:lang w:val="en-US" w:eastAsia="zh-CN"/>
        </w:rPr>
      </w:pPr>
    </w:p>
    <w:p w14:paraId="1BACE770">
      <w:pPr>
        <w:pStyle w:val="2"/>
        <w:rPr>
          <w:rFonts w:hint="eastAsia"/>
          <w:color w:val="auto"/>
          <w:highlight w:val="none"/>
          <w:lang w:val="en-US" w:eastAsia="zh-CN"/>
        </w:rPr>
      </w:pPr>
    </w:p>
    <w:p w14:paraId="2D341B2A">
      <w:pPr>
        <w:pStyle w:val="2"/>
        <w:rPr>
          <w:rFonts w:hint="eastAsia"/>
          <w:color w:val="auto"/>
          <w:highlight w:val="none"/>
          <w:lang w:val="en-US" w:eastAsia="zh-CN"/>
        </w:rPr>
      </w:pPr>
    </w:p>
    <w:p w14:paraId="2A926E05">
      <w:pPr>
        <w:pStyle w:val="2"/>
        <w:rPr>
          <w:rFonts w:hint="eastAsia"/>
          <w:color w:val="auto"/>
          <w:highlight w:val="none"/>
          <w:lang w:val="en-US" w:eastAsia="zh-CN"/>
        </w:rPr>
      </w:pPr>
    </w:p>
    <w:p w14:paraId="3EE47724">
      <w:pPr>
        <w:pStyle w:val="2"/>
        <w:rPr>
          <w:rFonts w:hint="eastAsia"/>
          <w:color w:val="auto"/>
          <w:highlight w:val="none"/>
          <w:lang w:val="en-US" w:eastAsia="zh-CN"/>
        </w:rPr>
      </w:pPr>
    </w:p>
    <w:p w14:paraId="31B39A5A">
      <w:pPr>
        <w:pStyle w:val="2"/>
        <w:rPr>
          <w:rFonts w:hint="eastAsia"/>
          <w:color w:val="auto"/>
          <w:highlight w:val="none"/>
          <w:lang w:val="en-US" w:eastAsia="zh-CN"/>
        </w:rPr>
      </w:pPr>
    </w:p>
    <w:p w14:paraId="35B0C4BF">
      <w:pPr>
        <w:pStyle w:val="2"/>
        <w:rPr>
          <w:rFonts w:hint="eastAsia"/>
          <w:color w:val="auto"/>
          <w:highlight w:val="none"/>
          <w:lang w:val="en-US" w:eastAsia="zh-CN"/>
        </w:rPr>
      </w:pPr>
    </w:p>
    <w:p w14:paraId="1EA72311">
      <w:pPr>
        <w:pStyle w:val="2"/>
        <w:rPr>
          <w:rFonts w:hint="eastAsia"/>
          <w:color w:val="auto"/>
          <w:highlight w:val="none"/>
          <w:lang w:val="en-US" w:eastAsia="zh-CN"/>
        </w:rPr>
      </w:pPr>
    </w:p>
    <w:p w14:paraId="50AF885B">
      <w:pPr>
        <w:pStyle w:val="2"/>
        <w:rPr>
          <w:rFonts w:hint="eastAsia"/>
          <w:color w:val="auto"/>
          <w:highlight w:val="none"/>
          <w:lang w:val="en-US" w:eastAsia="zh-CN"/>
        </w:rPr>
      </w:pPr>
    </w:p>
    <w:p w14:paraId="7314E11C">
      <w:pPr>
        <w:pStyle w:val="2"/>
        <w:rPr>
          <w:rFonts w:hint="eastAsia"/>
          <w:color w:val="auto"/>
          <w:highlight w:val="none"/>
          <w:lang w:val="en-US" w:eastAsia="zh-CN"/>
        </w:rPr>
      </w:pPr>
    </w:p>
    <w:p w14:paraId="7F0B3434">
      <w:pPr>
        <w:pStyle w:val="2"/>
        <w:rPr>
          <w:rFonts w:hint="eastAsia"/>
          <w:color w:val="auto"/>
          <w:highlight w:val="none"/>
          <w:lang w:val="en-US" w:eastAsia="zh-CN"/>
        </w:rPr>
      </w:pPr>
    </w:p>
    <w:p w14:paraId="3AB2D6D2">
      <w:pPr>
        <w:pStyle w:val="2"/>
        <w:rPr>
          <w:rFonts w:hint="eastAsia"/>
          <w:color w:val="auto"/>
          <w:highlight w:val="none"/>
          <w:lang w:val="en-US" w:eastAsia="zh-CN"/>
        </w:rPr>
      </w:pPr>
    </w:p>
    <w:p w14:paraId="62789936">
      <w:pPr>
        <w:pStyle w:val="2"/>
        <w:rPr>
          <w:rFonts w:hint="eastAsia"/>
          <w:color w:val="auto"/>
          <w:highlight w:val="none"/>
          <w:lang w:val="en-US" w:eastAsia="zh-CN"/>
        </w:rPr>
      </w:pPr>
    </w:p>
    <w:p w14:paraId="76829804">
      <w:pPr>
        <w:pStyle w:val="2"/>
        <w:rPr>
          <w:rFonts w:hint="eastAsia"/>
          <w:color w:val="auto"/>
          <w:highlight w:val="none"/>
          <w:lang w:val="en-US" w:eastAsia="zh-CN"/>
        </w:rPr>
      </w:pPr>
    </w:p>
    <w:p w14:paraId="442A2ABB">
      <w:pPr>
        <w:pStyle w:val="2"/>
        <w:rPr>
          <w:rFonts w:hint="eastAsia"/>
          <w:color w:val="auto"/>
          <w:highlight w:val="none"/>
          <w:lang w:val="en-US" w:eastAsia="zh-CN"/>
        </w:rPr>
      </w:pPr>
    </w:p>
    <w:p w14:paraId="0096D610">
      <w:pPr>
        <w:bidi w:val="0"/>
        <w:rPr>
          <w:rFonts w:hint="eastAsia"/>
          <w:color w:val="auto"/>
          <w:highlight w:val="none"/>
          <w:lang w:val="en-US" w:eastAsia="zh-CN"/>
        </w:rPr>
      </w:pPr>
    </w:p>
    <w:p w14:paraId="36C78AF5">
      <w:pPr>
        <w:bidi w:val="0"/>
        <w:rPr>
          <w:rFonts w:hint="eastAsia"/>
          <w:color w:val="auto"/>
          <w:highlight w:val="none"/>
          <w:lang w:val="en-US" w:eastAsia="zh-CN"/>
        </w:rPr>
      </w:pPr>
    </w:p>
    <w:p w14:paraId="7F15CD77">
      <w:pPr>
        <w:pStyle w:val="2"/>
        <w:rPr>
          <w:rFonts w:hint="eastAsia"/>
          <w:color w:val="auto"/>
          <w:highlight w:val="none"/>
          <w:lang w:val="en-US" w:eastAsia="zh-CN"/>
        </w:rPr>
      </w:pPr>
    </w:p>
    <w:p w14:paraId="65DF1DB6">
      <w:pPr>
        <w:pStyle w:val="5"/>
        <w:rPr>
          <w:rFonts w:hint="eastAsia" w:ascii="宋体" w:hAnsi="宋体" w:eastAsia="宋体" w:cs="宋体"/>
          <w:b/>
          <w:bCs/>
          <w:color w:val="auto"/>
          <w:sz w:val="32"/>
          <w:szCs w:val="22"/>
          <w:highlight w:val="none"/>
        </w:rPr>
      </w:pPr>
      <w:bookmarkStart w:id="58" w:name="_Toc29993"/>
      <w:bookmarkStart w:id="59" w:name="_Toc18221"/>
      <w:bookmarkStart w:id="60" w:name="_Toc31720"/>
      <w:bookmarkStart w:id="61" w:name="_Toc30952"/>
      <w:r>
        <w:rPr>
          <w:rFonts w:hint="eastAsia" w:ascii="宋体" w:hAnsi="宋体" w:eastAsia="宋体" w:cs="宋体"/>
          <w:b/>
          <w:bCs/>
          <w:color w:val="auto"/>
          <w:sz w:val="32"/>
          <w:szCs w:val="22"/>
          <w:highlight w:val="none"/>
        </w:rPr>
        <w:t>表1 综合评分表</w:t>
      </w:r>
      <w:bookmarkEnd w:id="56"/>
      <w:bookmarkEnd w:id="57"/>
      <w:bookmarkEnd w:id="58"/>
      <w:bookmarkEnd w:id="59"/>
      <w:bookmarkEnd w:id="60"/>
      <w:bookmarkEnd w:id="61"/>
    </w:p>
    <w:p w14:paraId="086905B1">
      <w:pPr>
        <w:pStyle w:val="42"/>
        <w:jc w:val="both"/>
        <w:rPr>
          <w:rFonts w:ascii="宋体" w:hAnsi="宋体" w:cs="宋体"/>
          <w:color w:val="auto"/>
          <w:sz w:val="24"/>
          <w:highlight w:val="none"/>
        </w:rPr>
      </w:pPr>
    </w:p>
    <w:tbl>
      <w:tblPr>
        <w:tblStyle w:val="31"/>
        <w:tblW w:w="9362" w:type="dxa"/>
        <w:jc w:val="center"/>
        <w:tblLayout w:type="fixed"/>
        <w:tblCellMar>
          <w:top w:w="0" w:type="dxa"/>
          <w:left w:w="108" w:type="dxa"/>
          <w:bottom w:w="0" w:type="dxa"/>
          <w:right w:w="108" w:type="dxa"/>
        </w:tblCellMar>
      </w:tblPr>
      <w:tblGrid>
        <w:gridCol w:w="1404"/>
        <w:gridCol w:w="4480"/>
        <w:gridCol w:w="3478"/>
      </w:tblGrid>
      <w:tr w14:paraId="59C516CC">
        <w:tblPrEx>
          <w:tblCellMar>
            <w:top w:w="0" w:type="dxa"/>
            <w:left w:w="108" w:type="dxa"/>
            <w:bottom w:w="0" w:type="dxa"/>
            <w:right w:w="108" w:type="dxa"/>
          </w:tblCellMar>
        </w:tblPrEx>
        <w:trPr>
          <w:trHeight w:val="624" w:hRule="exact"/>
          <w:jc w:val="center"/>
        </w:trPr>
        <w:tc>
          <w:tcPr>
            <w:tcW w:w="9362" w:type="dxa"/>
            <w:gridSpan w:val="3"/>
            <w:tcBorders>
              <w:top w:val="single" w:color="auto" w:sz="4" w:space="0"/>
              <w:left w:val="single" w:color="auto" w:sz="4" w:space="0"/>
              <w:bottom w:val="single" w:color="auto" w:sz="4" w:space="0"/>
              <w:right w:val="single" w:color="auto" w:sz="4" w:space="0"/>
            </w:tcBorders>
            <w:shd w:val="clear" w:color="auto" w:fill="D7D7D7"/>
            <w:noWrap w:val="0"/>
            <w:vAlign w:val="center"/>
          </w:tcPr>
          <w:p w14:paraId="6A279D21">
            <w:pPr>
              <w:pStyle w:val="12"/>
              <w:tabs>
                <w:tab w:val="left" w:pos="1354"/>
                <w:tab w:val="left" w:pos="1459"/>
                <w:tab w:val="center" w:pos="3902"/>
                <w:tab w:val="right" w:pos="7805"/>
              </w:tabs>
              <w:adjustRightInd w:val="0"/>
              <w:snapToGrid w:val="0"/>
              <w:spacing w:after="0" w:line="360" w:lineRule="exact"/>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商务部分，满分：</w:t>
            </w:r>
            <w:r>
              <w:rPr>
                <w:rFonts w:hint="eastAsia" w:asciiTheme="minorEastAsia" w:hAnsiTheme="minorEastAsia" w:eastAsiaTheme="minorEastAsia" w:cstheme="minorEastAsia"/>
                <w:snapToGrid w:val="0"/>
                <w:color w:val="auto"/>
                <w:kern w:val="0"/>
                <w:sz w:val="24"/>
                <w:szCs w:val="24"/>
                <w:highlight w:val="none"/>
                <w:u w:val="single"/>
              </w:rPr>
              <w:t>50</w:t>
            </w:r>
            <w:r>
              <w:rPr>
                <w:rFonts w:hint="eastAsia" w:asciiTheme="minorEastAsia" w:hAnsiTheme="minorEastAsia" w:eastAsiaTheme="minorEastAsia" w:cstheme="minorEastAsia"/>
                <w:snapToGrid w:val="0"/>
                <w:color w:val="auto"/>
                <w:kern w:val="0"/>
                <w:sz w:val="24"/>
                <w:szCs w:val="24"/>
                <w:highlight w:val="none"/>
              </w:rPr>
              <w:t>分。</w:t>
            </w:r>
          </w:p>
        </w:tc>
      </w:tr>
      <w:tr w14:paraId="76A2A3EF">
        <w:tblPrEx>
          <w:tblCellMar>
            <w:top w:w="0" w:type="dxa"/>
            <w:left w:w="108" w:type="dxa"/>
            <w:bottom w:w="0" w:type="dxa"/>
            <w:right w:w="108" w:type="dxa"/>
          </w:tblCellMar>
        </w:tblPrEx>
        <w:trPr>
          <w:trHeight w:val="624" w:hRule="exact"/>
          <w:jc w:val="center"/>
        </w:trPr>
        <w:tc>
          <w:tcPr>
            <w:tcW w:w="1404" w:type="dxa"/>
            <w:tcBorders>
              <w:top w:val="single" w:color="auto" w:sz="4" w:space="0"/>
              <w:left w:val="single" w:color="auto" w:sz="4" w:space="0"/>
              <w:bottom w:val="single" w:color="auto" w:sz="4" w:space="0"/>
              <w:right w:val="single" w:color="auto" w:sz="4" w:space="0"/>
            </w:tcBorders>
            <w:noWrap w:val="0"/>
            <w:vAlign w:val="center"/>
          </w:tcPr>
          <w:p w14:paraId="320DC6AE">
            <w:pPr>
              <w:pStyle w:val="12"/>
              <w:tabs>
                <w:tab w:val="left" w:pos="1354"/>
                <w:tab w:val="left" w:pos="1459"/>
                <w:tab w:val="center" w:pos="3902"/>
                <w:tab w:val="right" w:pos="7805"/>
              </w:tabs>
              <w:adjustRightInd w:val="0"/>
              <w:snapToGrid w:val="0"/>
              <w:spacing w:after="0" w:line="36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评分因素</w:t>
            </w:r>
          </w:p>
        </w:tc>
        <w:tc>
          <w:tcPr>
            <w:tcW w:w="4480" w:type="dxa"/>
            <w:tcBorders>
              <w:top w:val="single" w:color="auto" w:sz="4" w:space="0"/>
              <w:left w:val="single" w:color="auto" w:sz="4" w:space="0"/>
              <w:bottom w:val="single" w:color="auto" w:sz="4" w:space="0"/>
              <w:right w:val="single" w:color="auto" w:sz="4" w:space="0"/>
            </w:tcBorders>
            <w:noWrap w:val="0"/>
            <w:vAlign w:val="center"/>
          </w:tcPr>
          <w:p w14:paraId="56243B13">
            <w:pPr>
              <w:pStyle w:val="12"/>
              <w:tabs>
                <w:tab w:val="left" w:pos="1354"/>
                <w:tab w:val="left" w:pos="1459"/>
                <w:tab w:val="center" w:pos="3902"/>
                <w:tab w:val="right" w:pos="7805"/>
              </w:tabs>
              <w:adjustRightInd w:val="0"/>
              <w:snapToGrid w:val="0"/>
              <w:spacing w:after="0" w:line="36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评分标准</w:t>
            </w:r>
          </w:p>
        </w:tc>
        <w:tc>
          <w:tcPr>
            <w:tcW w:w="3478" w:type="dxa"/>
            <w:tcBorders>
              <w:top w:val="single" w:color="auto" w:sz="4" w:space="0"/>
              <w:left w:val="single" w:color="auto" w:sz="4" w:space="0"/>
              <w:bottom w:val="single" w:color="auto" w:sz="4" w:space="0"/>
              <w:right w:val="single" w:color="auto" w:sz="4" w:space="0"/>
            </w:tcBorders>
            <w:noWrap w:val="0"/>
            <w:vAlign w:val="center"/>
          </w:tcPr>
          <w:p w14:paraId="0DBA6E2D">
            <w:pPr>
              <w:pStyle w:val="12"/>
              <w:tabs>
                <w:tab w:val="left" w:pos="1354"/>
                <w:tab w:val="left" w:pos="1459"/>
                <w:tab w:val="center" w:pos="3902"/>
                <w:tab w:val="right" w:pos="7805"/>
              </w:tabs>
              <w:adjustRightInd w:val="0"/>
              <w:snapToGrid w:val="0"/>
              <w:spacing w:after="0" w:line="36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备注</w:t>
            </w:r>
          </w:p>
        </w:tc>
      </w:tr>
      <w:tr w14:paraId="0274EF36">
        <w:tblPrEx>
          <w:tblCellMar>
            <w:top w:w="0" w:type="dxa"/>
            <w:left w:w="108" w:type="dxa"/>
            <w:bottom w:w="0" w:type="dxa"/>
            <w:right w:w="108" w:type="dxa"/>
          </w:tblCellMar>
        </w:tblPrEx>
        <w:trPr>
          <w:trHeight w:val="3200" w:hRule="atLeast"/>
          <w:jc w:val="center"/>
        </w:trPr>
        <w:tc>
          <w:tcPr>
            <w:tcW w:w="1404" w:type="dxa"/>
            <w:tcBorders>
              <w:top w:val="single" w:color="auto" w:sz="4" w:space="0"/>
              <w:left w:val="single" w:color="auto" w:sz="4" w:space="0"/>
              <w:bottom w:val="single" w:color="auto" w:sz="4" w:space="0"/>
              <w:right w:val="single" w:color="auto" w:sz="4" w:space="0"/>
            </w:tcBorders>
            <w:noWrap w:val="0"/>
            <w:vAlign w:val="center"/>
          </w:tcPr>
          <w:p w14:paraId="6A03F7CB">
            <w:pPr>
              <w:pStyle w:val="12"/>
              <w:adjustRightInd w:val="0"/>
              <w:snapToGrid w:val="0"/>
              <w:spacing w:after="0" w:line="360" w:lineRule="exact"/>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监理业绩</w:t>
            </w:r>
          </w:p>
          <w:p w14:paraId="4CD55858">
            <w:pPr>
              <w:pStyle w:val="12"/>
              <w:adjustRightInd w:val="0"/>
              <w:snapToGrid w:val="0"/>
              <w:spacing w:after="0" w:line="36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color w:val="auto"/>
                <w:sz w:val="24"/>
                <w:szCs w:val="24"/>
                <w:highlight w:val="none"/>
              </w:rPr>
              <w:t>（15分）</w:t>
            </w:r>
          </w:p>
        </w:tc>
        <w:tc>
          <w:tcPr>
            <w:tcW w:w="4480" w:type="dxa"/>
            <w:tcBorders>
              <w:top w:val="single" w:color="auto" w:sz="4" w:space="0"/>
              <w:left w:val="single" w:color="auto" w:sz="4" w:space="0"/>
              <w:bottom w:val="single" w:color="auto" w:sz="4" w:space="0"/>
              <w:right w:val="single" w:color="auto" w:sz="4" w:space="0"/>
            </w:tcBorders>
            <w:noWrap w:val="0"/>
            <w:vAlign w:val="center"/>
          </w:tcPr>
          <w:p w14:paraId="5D917C63">
            <w:pPr>
              <w:spacing w:line="3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1、投标人202</w:t>
            </w:r>
            <w:r>
              <w:rPr>
                <w:rFonts w:hint="eastAsia" w:asciiTheme="minorEastAsia" w:hAnsiTheme="minorEastAsia" w:eastAsiaTheme="minorEastAsia" w:cstheme="minorEastAsia"/>
                <w:color w:val="auto"/>
                <w:sz w:val="24"/>
                <w:szCs w:val="24"/>
                <w:highlight w:val="none"/>
                <w:lang w:val="en-US" w:eastAsia="zh-CN"/>
              </w:rPr>
              <w:t>2</w:t>
            </w:r>
            <w:r>
              <w:rPr>
                <w:rFonts w:hint="eastAsia" w:asciiTheme="minorEastAsia" w:hAnsiTheme="minorEastAsia" w:eastAsiaTheme="minorEastAsia" w:cstheme="minorEastAsia"/>
                <w:color w:val="auto"/>
                <w:sz w:val="24"/>
                <w:szCs w:val="24"/>
                <w:highlight w:val="none"/>
              </w:rPr>
              <w:t>年1月1日至今</w:t>
            </w:r>
            <w:r>
              <w:rPr>
                <w:rFonts w:hint="eastAsia" w:asciiTheme="minorEastAsia" w:hAnsiTheme="minorEastAsia" w:eastAsiaTheme="minorEastAsia" w:cstheme="minorEastAsia"/>
                <w:color w:val="auto"/>
                <w:sz w:val="24"/>
                <w:szCs w:val="24"/>
                <w:highlight w:val="none"/>
                <w:lang w:val="en-US" w:eastAsia="zh-CN"/>
              </w:rPr>
              <w:t>承担</w:t>
            </w:r>
            <w:r>
              <w:rPr>
                <w:rFonts w:hint="eastAsia" w:asciiTheme="minorEastAsia" w:hAnsiTheme="minorEastAsia" w:eastAsiaTheme="minorEastAsia" w:cstheme="minorEastAsia"/>
                <w:color w:val="auto"/>
                <w:sz w:val="24"/>
                <w:szCs w:val="24"/>
                <w:highlight w:val="none"/>
              </w:rPr>
              <w:t>过总投资</w:t>
            </w:r>
            <w:r>
              <w:rPr>
                <w:rFonts w:hint="eastAsia" w:asciiTheme="minorEastAsia" w:hAnsiTheme="minorEastAsia" w:eastAsiaTheme="minorEastAsia" w:cstheme="minorEastAsia"/>
                <w:color w:val="auto"/>
                <w:sz w:val="24"/>
                <w:szCs w:val="24"/>
                <w:highlight w:val="none"/>
                <w:lang w:val="en-US" w:eastAsia="zh-CN"/>
              </w:rPr>
              <w:t>30</w:t>
            </w:r>
            <w:r>
              <w:rPr>
                <w:rFonts w:hint="eastAsia" w:asciiTheme="minorEastAsia" w:hAnsiTheme="minorEastAsia" w:eastAsiaTheme="minorEastAsia" w:cstheme="minorEastAsia"/>
                <w:color w:val="auto"/>
                <w:sz w:val="24"/>
                <w:szCs w:val="24"/>
                <w:highlight w:val="none"/>
              </w:rPr>
              <w:t>00万元及以上质量合格的</w:t>
            </w:r>
            <w:r>
              <w:rPr>
                <w:rFonts w:hint="eastAsia" w:asciiTheme="minorEastAsia" w:hAnsiTheme="minorEastAsia" w:eastAsiaTheme="minorEastAsia" w:cstheme="minorEastAsia"/>
                <w:color w:val="auto"/>
                <w:sz w:val="24"/>
                <w:szCs w:val="24"/>
                <w:highlight w:val="none"/>
                <w:lang w:val="en-US" w:eastAsia="zh-CN"/>
              </w:rPr>
              <w:t>房屋建筑</w:t>
            </w:r>
            <w:r>
              <w:rPr>
                <w:rFonts w:hint="eastAsia" w:asciiTheme="minorEastAsia" w:hAnsiTheme="minorEastAsia" w:eastAsiaTheme="minorEastAsia" w:cstheme="minorEastAsia"/>
                <w:color w:val="auto"/>
                <w:sz w:val="24"/>
                <w:szCs w:val="24"/>
                <w:highlight w:val="none"/>
              </w:rPr>
              <w:t>工程监理项目的，每个得5分，本项最高得15分。</w:t>
            </w:r>
          </w:p>
          <w:p w14:paraId="7CBDF593">
            <w:pPr>
              <w:spacing w:line="3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2、其他情形的，不予计分。</w:t>
            </w:r>
          </w:p>
          <w:p w14:paraId="2FDC9F29">
            <w:pPr>
              <w:pStyle w:val="30"/>
              <w:spacing w:line="360" w:lineRule="exact"/>
              <w:ind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说明：本项最高得15分。</w:t>
            </w:r>
          </w:p>
        </w:tc>
        <w:tc>
          <w:tcPr>
            <w:tcW w:w="3478" w:type="dxa"/>
            <w:tcBorders>
              <w:top w:val="single" w:color="auto" w:sz="4" w:space="0"/>
              <w:left w:val="single" w:color="auto" w:sz="4" w:space="0"/>
              <w:bottom w:val="single" w:color="auto" w:sz="4" w:space="0"/>
              <w:right w:val="single" w:color="auto" w:sz="4" w:space="0"/>
            </w:tcBorders>
            <w:noWrap w:val="0"/>
            <w:vAlign w:val="center"/>
          </w:tcPr>
          <w:p w14:paraId="2ED2E967">
            <w:pPr>
              <w:spacing w:line="360" w:lineRule="exact"/>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1.须提供中标通知书、监理合同</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lang w:val="en-US" w:eastAsia="zh-CN"/>
              </w:rPr>
              <w:t>竣工验收报告</w:t>
            </w:r>
            <w:r>
              <w:rPr>
                <w:rFonts w:hint="eastAsia" w:asciiTheme="minorEastAsia" w:hAnsiTheme="minorEastAsia" w:eastAsiaTheme="minorEastAsia" w:cstheme="minorEastAsia"/>
                <w:color w:val="auto"/>
                <w:sz w:val="24"/>
                <w:szCs w:val="24"/>
                <w:highlight w:val="none"/>
              </w:rPr>
              <w:t>彩色扫描件并加盖单位公章。</w:t>
            </w:r>
          </w:p>
          <w:p w14:paraId="1A6D54B5">
            <w:pPr>
              <w:spacing w:line="360" w:lineRule="exact"/>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2.项目业绩认定时间以</w:t>
            </w:r>
            <w:r>
              <w:rPr>
                <w:rFonts w:hint="eastAsia" w:asciiTheme="minorEastAsia" w:hAnsiTheme="minorEastAsia" w:eastAsiaTheme="minorEastAsia" w:cstheme="minorEastAsia"/>
                <w:color w:val="auto"/>
                <w:sz w:val="24"/>
                <w:szCs w:val="24"/>
                <w:highlight w:val="none"/>
                <w:lang w:val="en-US" w:eastAsia="zh-CN"/>
              </w:rPr>
              <w:t>合同签订</w:t>
            </w:r>
            <w:r>
              <w:rPr>
                <w:rFonts w:hint="eastAsia" w:asciiTheme="minorEastAsia" w:hAnsiTheme="minorEastAsia" w:eastAsiaTheme="minorEastAsia" w:cstheme="minorEastAsia"/>
                <w:color w:val="auto"/>
                <w:sz w:val="24"/>
                <w:szCs w:val="24"/>
                <w:highlight w:val="none"/>
              </w:rPr>
              <w:t>时间为准。</w:t>
            </w:r>
          </w:p>
          <w:p w14:paraId="6593A7D8">
            <w:pPr>
              <w:spacing w:line="360" w:lineRule="exact"/>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3.未提供证明材料或材料不齐全，业绩不符合评分标准和备注规定的，不予计分。</w:t>
            </w:r>
          </w:p>
        </w:tc>
      </w:tr>
      <w:tr w14:paraId="0B3AB31E">
        <w:tblPrEx>
          <w:tblCellMar>
            <w:top w:w="0" w:type="dxa"/>
            <w:left w:w="108" w:type="dxa"/>
            <w:bottom w:w="0" w:type="dxa"/>
            <w:right w:w="108" w:type="dxa"/>
          </w:tblCellMar>
        </w:tblPrEx>
        <w:trPr>
          <w:trHeight w:val="847" w:hRule="atLeast"/>
          <w:jc w:val="center"/>
        </w:trPr>
        <w:tc>
          <w:tcPr>
            <w:tcW w:w="1404" w:type="dxa"/>
            <w:tcBorders>
              <w:top w:val="single" w:color="auto" w:sz="4" w:space="0"/>
              <w:left w:val="single" w:color="auto" w:sz="4" w:space="0"/>
              <w:right w:val="single" w:color="auto" w:sz="4" w:space="0"/>
            </w:tcBorders>
            <w:noWrap w:val="0"/>
            <w:vAlign w:val="center"/>
          </w:tcPr>
          <w:p w14:paraId="2785AAA0">
            <w:pPr>
              <w:spacing w:line="360" w:lineRule="exact"/>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其他监理</w:t>
            </w:r>
          </w:p>
          <w:p w14:paraId="759955B9">
            <w:pPr>
              <w:spacing w:line="360" w:lineRule="exact"/>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人员配备</w:t>
            </w:r>
          </w:p>
          <w:p w14:paraId="06C82BA5">
            <w:pPr>
              <w:spacing w:line="360" w:lineRule="exact"/>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20</w:t>
            </w:r>
            <w:r>
              <w:rPr>
                <w:rFonts w:hint="eastAsia" w:asciiTheme="minorEastAsia" w:hAnsiTheme="minorEastAsia" w:eastAsiaTheme="minorEastAsia" w:cstheme="minorEastAsia"/>
                <w:color w:val="auto"/>
                <w:sz w:val="24"/>
                <w:szCs w:val="24"/>
                <w:highlight w:val="none"/>
              </w:rPr>
              <w:t>分）</w:t>
            </w:r>
          </w:p>
        </w:tc>
        <w:tc>
          <w:tcPr>
            <w:tcW w:w="4480" w:type="dxa"/>
            <w:tcBorders>
              <w:top w:val="single" w:color="auto" w:sz="4" w:space="0"/>
              <w:left w:val="single" w:color="auto" w:sz="4" w:space="0"/>
              <w:bottom w:val="single" w:color="auto" w:sz="4" w:space="0"/>
              <w:right w:val="single" w:color="auto" w:sz="4" w:space="0"/>
            </w:tcBorders>
            <w:noWrap w:val="0"/>
            <w:vAlign w:val="center"/>
          </w:tcPr>
          <w:p w14:paraId="1A3881CC">
            <w:pPr>
              <w:spacing w:line="3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1、房建</w:t>
            </w:r>
            <w:r>
              <w:rPr>
                <w:rFonts w:hint="eastAsia" w:asciiTheme="minorEastAsia" w:hAnsiTheme="minorEastAsia" w:eastAsiaTheme="minorEastAsia" w:cstheme="minorEastAsia"/>
                <w:color w:val="auto"/>
                <w:sz w:val="24"/>
                <w:szCs w:val="24"/>
                <w:highlight w:val="none"/>
              </w:rPr>
              <w:t>专业监理工程师：具有全国注册监理工程师（</w:t>
            </w:r>
            <w:r>
              <w:rPr>
                <w:rFonts w:hint="eastAsia" w:asciiTheme="minorEastAsia" w:hAnsiTheme="minorEastAsia" w:eastAsiaTheme="minorEastAsia" w:cstheme="minorEastAsia"/>
                <w:color w:val="auto"/>
                <w:sz w:val="24"/>
                <w:szCs w:val="24"/>
                <w:highlight w:val="none"/>
                <w:lang w:val="en-US" w:eastAsia="zh-CN"/>
              </w:rPr>
              <w:t>房屋建筑</w:t>
            </w:r>
            <w:r>
              <w:rPr>
                <w:rFonts w:hint="eastAsia" w:asciiTheme="minorEastAsia" w:hAnsiTheme="minorEastAsia" w:eastAsiaTheme="minorEastAsia" w:cstheme="minorEastAsia"/>
                <w:color w:val="auto"/>
                <w:sz w:val="24"/>
                <w:szCs w:val="24"/>
                <w:highlight w:val="none"/>
              </w:rPr>
              <w:t xml:space="preserve">工程）得 </w:t>
            </w:r>
            <w:r>
              <w:rPr>
                <w:rFonts w:hint="eastAsia" w:asciiTheme="minorEastAsia" w:hAnsiTheme="minorEastAsia" w:eastAsiaTheme="minorEastAsia" w:cstheme="minorEastAsia"/>
                <w:color w:val="auto"/>
                <w:sz w:val="24"/>
                <w:szCs w:val="24"/>
                <w:highlight w:val="none"/>
                <w:lang w:val="en-US" w:eastAsia="zh-CN"/>
              </w:rPr>
              <w:t>2</w:t>
            </w:r>
            <w:r>
              <w:rPr>
                <w:rFonts w:hint="eastAsia" w:asciiTheme="minorEastAsia" w:hAnsiTheme="minorEastAsia" w:eastAsiaTheme="minorEastAsia" w:cstheme="minorEastAsia"/>
                <w:color w:val="auto"/>
                <w:sz w:val="24"/>
                <w:szCs w:val="24"/>
                <w:highlight w:val="none"/>
              </w:rPr>
              <w:t xml:space="preserve"> 分；</w:t>
            </w:r>
            <w:r>
              <w:rPr>
                <w:rFonts w:hint="eastAsia" w:asciiTheme="minorEastAsia" w:hAnsiTheme="minorEastAsia" w:eastAsiaTheme="minorEastAsia" w:cstheme="minorEastAsia"/>
                <w:color w:val="auto"/>
                <w:sz w:val="24"/>
                <w:szCs w:val="24"/>
                <w:highlight w:val="none"/>
                <w:lang w:val="en-US" w:eastAsia="zh-CN"/>
              </w:rPr>
              <w:t>房建类高级及以上职称加2分</w:t>
            </w:r>
            <w:r>
              <w:rPr>
                <w:rFonts w:hint="eastAsia" w:asciiTheme="minorEastAsia" w:hAnsiTheme="minorEastAsia" w:eastAsiaTheme="minorEastAsia" w:cstheme="minorEastAsia"/>
                <w:color w:val="auto"/>
                <w:sz w:val="24"/>
                <w:szCs w:val="24"/>
                <w:highlight w:val="none"/>
              </w:rPr>
              <w:t xml:space="preserve">。本项最高得 </w:t>
            </w:r>
            <w:r>
              <w:rPr>
                <w:rFonts w:hint="eastAsia" w:asciiTheme="minorEastAsia" w:hAnsiTheme="minorEastAsia" w:eastAsiaTheme="minorEastAsia" w:cstheme="minorEastAsia"/>
                <w:color w:val="auto"/>
                <w:sz w:val="24"/>
                <w:szCs w:val="24"/>
                <w:highlight w:val="none"/>
                <w:lang w:val="en-US" w:eastAsia="zh-CN"/>
              </w:rPr>
              <w:t>4</w:t>
            </w:r>
            <w:r>
              <w:rPr>
                <w:rFonts w:hint="eastAsia" w:asciiTheme="minorEastAsia" w:hAnsiTheme="minorEastAsia" w:eastAsiaTheme="minorEastAsia" w:cstheme="minorEastAsia"/>
                <w:color w:val="auto"/>
                <w:sz w:val="24"/>
                <w:szCs w:val="24"/>
                <w:highlight w:val="none"/>
              </w:rPr>
              <w:t>分。</w:t>
            </w:r>
          </w:p>
          <w:p w14:paraId="65CD39DE">
            <w:pPr>
              <w:spacing w:line="3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3、安装专</w:t>
            </w:r>
            <w:r>
              <w:rPr>
                <w:rFonts w:hint="eastAsia" w:asciiTheme="minorEastAsia" w:hAnsiTheme="minorEastAsia" w:eastAsiaTheme="minorEastAsia" w:cstheme="minorEastAsia"/>
                <w:color w:val="auto"/>
                <w:sz w:val="24"/>
                <w:szCs w:val="24"/>
                <w:highlight w:val="none"/>
              </w:rPr>
              <w:t>业监理工程师：具有全国注册监理工程师（</w:t>
            </w:r>
            <w:r>
              <w:rPr>
                <w:rFonts w:hint="eastAsia" w:asciiTheme="minorEastAsia" w:hAnsiTheme="minorEastAsia" w:eastAsiaTheme="minorEastAsia" w:cstheme="minorEastAsia"/>
                <w:color w:val="auto"/>
                <w:sz w:val="24"/>
                <w:szCs w:val="24"/>
                <w:highlight w:val="none"/>
                <w:lang w:val="en-US" w:eastAsia="zh-CN"/>
              </w:rPr>
              <w:t>机电安装</w:t>
            </w:r>
            <w:r>
              <w:rPr>
                <w:rFonts w:hint="eastAsia" w:asciiTheme="minorEastAsia" w:hAnsiTheme="minorEastAsia" w:eastAsiaTheme="minorEastAsia" w:cstheme="minorEastAsia"/>
                <w:color w:val="auto"/>
                <w:sz w:val="24"/>
                <w:szCs w:val="24"/>
                <w:highlight w:val="none"/>
              </w:rPr>
              <w:t>工程</w:t>
            </w:r>
            <w:r>
              <w:rPr>
                <w:rFonts w:hint="eastAsia" w:asciiTheme="minorEastAsia" w:hAnsiTheme="minorEastAsia" w:eastAsiaTheme="minorEastAsia" w:cstheme="minorEastAsia"/>
                <w:color w:val="auto"/>
                <w:sz w:val="24"/>
                <w:szCs w:val="24"/>
                <w:highlight w:val="none"/>
                <w:lang w:val="en-US" w:eastAsia="zh-CN"/>
              </w:rPr>
              <w:t>专业</w:t>
            </w:r>
            <w:r>
              <w:rPr>
                <w:rFonts w:hint="eastAsia" w:asciiTheme="minorEastAsia" w:hAnsiTheme="minorEastAsia" w:eastAsiaTheme="minorEastAsia" w:cstheme="minorEastAsia"/>
                <w:color w:val="auto"/>
                <w:sz w:val="24"/>
                <w:szCs w:val="24"/>
                <w:highlight w:val="none"/>
              </w:rPr>
              <w:t xml:space="preserve">）得 </w:t>
            </w:r>
            <w:r>
              <w:rPr>
                <w:rFonts w:hint="eastAsia" w:asciiTheme="minorEastAsia" w:hAnsiTheme="minorEastAsia" w:eastAsiaTheme="minorEastAsia" w:cstheme="minorEastAsia"/>
                <w:color w:val="auto"/>
                <w:sz w:val="24"/>
                <w:szCs w:val="24"/>
                <w:highlight w:val="none"/>
                <w:lang w:val="en-US" w:eastAsia="zh-CN"/>
              </w:rPr>
              <w:t>2</w:t>
            </w:r>
            <w:r>
              <w:rPr>
                <w:rFonts w:hint="eastAsia" w:asciiTheme="minorEastAsia" w:hAnsiTheme="minorEastAsia" w:eastAsiaTheme="minorEastAsia" w:cstheme="minorEastAsia"/>
                <w:color w:val="auto"/>
                <w:sz w:val="24"/>
                <w:szCs w:val="24"/>
                <w:highlight w:val="none"/>
              </w:rPr>
              <w:t xml:space="preserve"> 分；</w:t>
            </w:r>
            <w:r>
              <w:rPr>
                <w:rFonts w:hint="eastAsia" w:asciiTheme="minorEastAsia" w:hAnsiTheme="minorEastAsia" w:eastAsiaTheme="minorEastAsia" w:cstheme="minorEastAsia"/>
                <w:color w:val="auto"/>
                <w:sz w:val="24"/>
                <w:szCs w:val="24"/>
                <w:highlight w:val="none"/>
                <w:lang w:val="en-US" w:eastAsia="zh-CN"/>
              </w:rPr>
              <w:t>机电工程专业高级及以上职称加2分</w:t>
            </w:r>
            <w:r>
              <w:rPr>
                <w:rFonts w:hint="eastAsia" w:asciiTheme="minorEastAsia" w:hAnsiTheme="minorEastAsia" w:eastAsiaTheme="minorEastAsia" w:cstheme="minorEastAsia"/>
                <w:color w:val="auto"/>
                <w:sz w:val="24"/>
                <w:szCs w:val="24"/>
                <w:highlight w:val="none"/>
              </w:rPr>
              <w:t>。本项最高得</w:t>
            </w:r>
            <w:r>
              <w:rPr>
                <w:rFonts w:hint="eastAsia" w:asciiTheme="minorEastAsia" w:hAnsiTheme="minorEastAsia" w:eastAsiaTheme="minorEastAsia" w:cstheme="minorEastAsia"/>
                <w:color w:val="auto"/>
                <w:sz w:val="24"/>
                <w:szCs w:val="24"/>
                <w:highlight w:val="none"/>
                <w:lang w:val="en-US" w:eastAsia="zh-CN"/>
              </w:rPr>
              <w:t>4</w:t>
            </w:r>
            <w:r>
              <w:rPr>
                <w:rFonts w:hint="eastAsia" w:asciiTheme="minorEastAsia" w:hAnsiTheme="minorEastAsia" w:eastAsiaTheme="minorEastAsia" w:cstheme="minorEastAsia"/>
                <w:color w:val="auto"/>
                <w:sz w:val="24"/>
                <w:szCs w:val="24"/>
                <w:highlight w:val="none"/>
              </w:rPr>
              <w:t>分。</w:t>
            </w:r>
          </w:p>
          <w:p w14:paraId="6BD880D2">
            <w:pPr>
              <w:spacing w:line="3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4、</w:t>
            </w:r>
            <w:r>
              <w:rPr>
                <w:rFonts w:hint="eastAsia" w:asciiTheme="minorEastAsia" w:hAnsiTheme="minorEastAsia" w:eastAsiaTheme="minorEastAsia" w:cstheme="minorEastAsia"/>
                <w:color w:val="auto"/>
                <w:sz w:val="24"/>
                <w:szCs w:val="24"/>
                <w:highlight w:val="none"/>
              </w:rPr>
              <w:t>安全专业监理工程师：具有全国注册监理工程师（</w:t>
            </w:r>
            <w:r>
              <w:rPr>
                <w:rFonts w:hint="eastAsia" w:asciiTheme="minorEastAsia" w:hAnsiTheme="minorEastAsia" w:eastAsiaTheme="minorEastAsia" w:cstheme="minorEastAsia"/>
                <w:color w:val="auto"/>
                <w:sz w:val="24"/>
                <w:szCs w:val="24"/>
                <w:highlight w:val="none"/>
                <w:lang w:val="en-US" w:eastAsia="zh-CN"/>
              </w:rPr>
              <w:t>房屋建筑</w:t>
            </w:r>
            <w:r>
              <w:rPr>
                <w:rFonts w:hint="eastAsia" w:asciiTheme="minorEastAsia" w:hAnsiTheme="minorEastAsia" w:eastAsiaTheme="minorEastAsia" w:cstheme="minorEastAsia"/>
                <w:color w:val="auto"/>
                <w:sz w:val="24"/>
                <w:szCs w:val="24"/>
                <w:highlight w:val="none"/>
              </w:rPr>
              <w:t>工程</w:t>
            </w:r>
            <w:r>
              <w:rPr>
                <w:rFonts w:hint="eastAsia" w:asciiTheme="minorEastAsia" w:hAnsiTheme="minorEastAsia" w:eastAsiaTheme="minorEastAsia" w:cstheme="minorEastAsia"/>
                <w:color w:val="auto"/>
                <w:sz w:val="24"/>
                <w:szCs w:val="24"/>
                <w:highlight w:val="none"/>
                <w:lang w:val="en-US" w:eastAsia="zh-CN"/>
              </w:rPr>
              <w:t>专业</w:t>
            </w:r>
            <w:r>
              <w:rPr>
                <w:rFonts w:hint="eastAsia" w:asciiTheme="minorEastAsia" w:hAnsiTheme="minorEastAsia" w:eastAsiaTheme="minorEastAsia" w:cstheme="minorEastAsia"/>
                <w:color w:val="auto"/>
                <w:sz w:val="24"/>
                <w:szCs w:val="24"/>
                <w:highlight w:val="none"/>
              </w:rPr>
              <w:t xml:space="preserve">）加 </w:t>
            </w:r>
            <w:r>
              <w:rPr>
                <w:rFonts w:hint="eastAsia" w:asciiTheme="minorEastAsia" w:hAnsiTheme="minorEastAsia" w:eastAsiaTheme="minorEastAsia" w:cstheme="minorEastAsia"/>
                <w:color w:val="auto"/>
                <w:sz w:val="24"/>
                <w:szCs w:val="24"/>
                <w:highlight w:val="none"/>
                <w:lang w:val="en-US" w:eastAsia="zh-CN"/>
              </w:rPr>
              <w:t>3</w:t>
            </w:r>
            <w:r>
              <w:rPr>
                <w:rFonts w:hint="eastAsia" w:asciiTheme="minorEastAsia" w:hAnsiTheme="minorEastAsia" w:eastAsiaTheme="minorEastAsia" w:cstheme="minorEastAsia"/>
                <w:color w:val="auto"/>
                <w:sz w:val="24"/>
                <w:szCs w:val="24"/>
                <w:highlight w:val="none"/>
              </w:rPr>
              <w:t xml:space="preserve"> 分，</w:t>
            </w:r>
            <w:r>
              <w:rPr>
                <w:rFonts w:hint="eastAsia" w:asciiTheme="minorEastAsia" w:hAnsiTheme="minorEastAsia" w:eastAsiaTheme="minorEastAsia" w:cstheme="minorEastAsia"/>
                <w:color w:val="auto"/>
                <w:sz w:val="24"/>
                <w:szCs w:val="24"/>
                <w:highlight w:val="none"/>
                <w:lang w:val="en-US" w:eastAsia="zh-CN"/>
              </w:rPr>
              <w:t>具有房建类高级及以上职称加3分</w:t>
            </w:r>
            <w:r>
              <w:rPr>
                <w:rFonts w:hint="eastAsia" w:asciiTheme="minorEastAsia" w:hAnsiTheme="minorEastAsia" w:eastAsiaTheme="minorEastAsia" w:cstheme="minorEastAsia"/>
                <w:color w:val="auto"/>
                <w:sz w:val="24"/>
                <w:szCs w:val="24"/>
                <w:highlight w:val="none"/>
              </w:rPr>
              <w:t xml:space="preserve">。本项最高得 </w:t>
            </w:r>
            <w:r>
              <w:rPr>
                <w:rFonts w:hint="eastAsia" w:asciiTheme="minorEastAsia" w:hAnsiTheme="minorEastAsia" w:eastAsiaTheme="minorEastAsia" w:cstheme="minorEastAsia"/>
                <w:color w:val="auto"/>
                <w:sz w:val="24"/>
                <w:szCs w:val="24"/>
                <w:highlight w:val="none"/>
                <w:lang w:val="en-US" w:eastAsia="zh-CN"/>
              </w:rPr>
              <w:t>6</w:t>
            </w:r>
            <w:r>
              <w:rPr>
                <w:rFonts w:hint="eastAsia" w:asciiTheme="minorEastAsia" w:hAnsiTheme="minorEastAsia" w:eastAsiaTheme="minorEastAsia" w:cstheme="minorEastAsia"/>
                <w:color w:val="auto"/>
                <w:sz w:val="24"/>
                <w:szCs w:val="24"/>
                <w:highlight w:val="none"/>
              </w:rPr>
              <w:t>分。</w:t>
            </w:r>
          </w:p>
          <w:p w14:paraId="66736A84">
            <w:pPr>
              <w:spacing w:line="3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5、造价</w:t>
            </w:r>
            <w:r>
              <w:rPr>
                <w:rFonts w:hint="eastAsia" w:asciiTheme="minorEastAsia" w:hAnsiTheme="minorEastAsia" w:eastAsiaTheme="minorEastAsia" w:cstheme="minorEastAsia"/>
                <w:color w:val="auto"/>
                <w:sz w:val="24"/>
                <w:szCs w:val="24"/>
                <w:highlight w:val="none"/>
              </w:rPr>
              <w:t>专业监理工程师：具有一名全国注册造价工程师或一级注册造价工程师</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lang w:val="en-US" w:eastAsia="zh-CN"/>
              </w:rPr>
              <w:t>土建或土木建筑工程专业</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 xml:space="preserve">得 </w:t>
            </w:r>
            <w:r>
              <w:rPr>
                <w:rFonts w:hint="eastAsia" w:asciiTheme="minorEastAsia" w:hAnsiTheme="minorEastAsia" w:eastAsiaTheme="minorEastAsia" w:cstheme="minorEastAsia"/>
                <w:color w:val="auto"/>
                <w:sz w:val="24"/>
                <w:szCs w:val="24"/>
                <w:highlight w:val="none"/>
                <w:lang w:val="en-US" w:eastAsia="zh-CN"/>
              </w:rPr>
              <w:t>2</w:t>
            </w:r>
            <w:r>
              <w:rPr>
                <w:rFonts w:hint="eastAsia" w:asciiTheme="minorEastAsia" w:hAnsiTheme="minorEastAsia" w:eastAsiaTheme="minorEastAsia" w:cstheme="minorEastAsia"/>
                <w:color w:val="auto"/>
                <w:sz w:val="24"/>
                <w:szCs w:val="24"/>
                <w:highlight w:val="none"/>
              </w:rPr>
              <w:t xml:space="preserve"> 分，同时具有全国注册监理工程师（</w:t>
            </w:r>
            <w:r>
              <w:rPr>
                <w:rFonts w:hint="eastAsia" w:asciiTheme="minorEastAsia" w:hAnsiTheme="minorEastAsia" w:eastAsiaTheme="minorEastAsia" w:cstheme="minorEastAsia"/>
                <w:color w:val="auto"/>
                <w:sz w:val="24"/>
                <w:szCs w:val="24"/>
                <w:highlight w:val="none"/>
                <w:lang w:val="en-US" w:eastAsia="zh-CN"/>
              </w:rPr>
              <w:t>房屋建筑</w:t>
            </w:r>
            <w:r>
              <w:rPr>
                <w:rFonts w:hint="eastAsia" w:asciiTheme="minorEastAsia" w:hAnsiTheme="minorEastAsia" w:eastAsiaTheme="minorEastAsia" w:cstheme="minorEastAsia"/>
                <w:color w:val="auto"/>
                <w:sz w:val="24"/>
                <w:szCs w:val="24"/>
                <w:highlight w:val="none"/>
              </w:rPr>
              <w:t>工程</w:t>
            </w:r>
            <w:r>
              <w:rPr>
                <w:rFonts w:hint="eastAsia" w:asciiTheme="minorEastAsia" w:hAnsiTheme="minorEastAsia" w:eastAsiaTheme="minorEastAsia" w:cstheme="minorEastAsia"/>
                <w:color w:val="auto"/>
                <w:sz w:val="24"/>
                <w:szCs w:val="24"/>
                <w:highlight w:val="none"/>
                <w:lang w:val="en-US" w:eastAsia="zh-CN"/>
              </w:rPr>
              <w:t>专业</w:t>
            </w:r>
            <w:r>
              <w:rPr>
                <w:rFonts w:hint="eastAsia" w:asciiTheme="minorEastAsia" w:hAnsiTheme="minorEastAsia" w:eastAsiaTheme="minorEastAsia" w:cstheme="minorEastAsia"/>
                <w:color w:val="auto"/>
                <w:sz w:val="24"/>
                <w:szCs w:val="24"/>
                <w:highlight w:val="none"/>
              </w:rPr>
              <w:t xml:space="preserve">）加 </w:t>
            </w:r>
            <w:r>
              <w:rPr>
                <w:rFonts w:hint="eastAsia" w:asciiTheme="minorEastAsia" w:hAnsiTheme="minorEastAsia" w:eastAsiaTheme="minorEastAsia" w:cstheme="minorEastAsia"/>
                <w:color w:val="auto"/>
                <w:sz w:val="24"/>
                <w:szCs w:val="24"/>
                <w:highlight w:val="none"/>
                <w:lang w:val="en-US" w:eastAsia="zh-CN"/>
              </w:rPr>
              <w:t>2</w:t>
            </w:r>
            <w:r>
              <w:rPr>
                <w:rFonts w:hint="eastAsia" w:asciiTheme="minorEastAsia" w:hAnsiTheme="minorEastAsia" w:eastAsiaTheme="minorEastAsia" w:cstheme="minorEastAsia"/>
                <w:color w:val="auto"/>
                <w:sz w:val="24"/>
                <w:szCs w:val="24"/>
                <w:highlight w:val="none"/>
              </w:rPr>
              <w:t xml:space="preserve"> 分；</w:t>
            </w:r>
            <w:r>
              <w:rPr>
                <w:rFonts w:hint="eastAsia" w:asciiTheme="minorEastAsia" w:hAnsiTheme="minorEastAsia" w:eastAsiaTheme="minorEastAsia" w:cstheme="minorEastAsia"/>
                <w:color w:val="auto"/>
                <w:sz w:val="24"/>
                <w:szCs w:val="24"/>
                <w:highlight w:val="none"/>
                <w:lang w:val="en-US" w:eastAsia="zh-CN"/>
              </w:rPr>
              <w:t>造价类或经济类高级及以上职称加2分</w:t>
            </w:r>
            <w:r>
              <w:rPr>
                <w:rFonts w:hint="eastAsia" w:asciiTheme="minorEastAsia" w:hAnsiTheme="minorEastAsia" w:eastAsiaTheme="minorEastAsia" w:cstheme="minorEastAsia"/>
                <w:color w:val="auto"/>
                <w:sz w:val="24"/>
                <w:szCs w:val="24"/>
                <w:highlight w:val="none"/>
              </w:rPr>
              <w:t xml:space="preserve">。本项最高得 </w:t>
            </w:r>
            <w:r>
              <w:rPr>
                <w:rFonts w:hint="eastAsia" w:asciiTheme="minorEastAsia" w:hAnsiTheme="minorEastAsia" w:eastAsiaTheme="minorEastAsia" w:cstheme="minorEastAsia"/>
                <w:color w:val="auto"/>
                <w:sz w:val="24"/>
                <w:szCs w:val="24"/>
                <w:highlight w:val="none"/>
                <w:lang w:val="en-US" w:eastAsia="zh-CN"/>
              </w:rPr>
              <w:t>6</w:t>
            </w:r>
            <w:r>
              <w:rPr>
                <w:rFonts w:hint="eastAsia" w:asciiTheme="minorEastAsia" w:hAnsiTheme="minorEastAsia" w:eastAsiaTheme="minorEastAsia" w:cstheme="minorEastAsia"/>
                <w:color w:val="auto"/>
                <w:sz w:val="24"/>
                <w:szCs w:val="24"/>
                <w:highlight w:val="none"/>
              </w:rPr>
              <w:t xml:space="preserve"> 分。</w:t>
            </w:r>
          </w:p>
          <w:p w14:paraId="11FF59FA">
            <w:pPr>
              <w:spacing w:line="3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6</w:t>
            </w:r>
            <w:r>
              <w:rPr>
                <w:rFonts w:hint="eastAsia" w:asciiTheme="minorEastAsia" w:hAnsiTheme="minorEastAsia" w:eastAsiaTheme="minorEastAsia" w:cstheme="minorEastAsia"/>
                <w:color w:val="auto"/>
                <w:sz w:val="24"/>
                <w:szCs w:val="24"/>
                <w:highlight w:val="none"/>
              </w:rPr>
              <w:t>、以上配备人员，不可重复得分。</w:t>
            </w:r>
          </w:p>
          <w:p w14:paraId="1EB484EB">
            <w:pPr>
              <w:spacing w:line="3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7</w:t>
            </w:r>
            <w:r>
              <w:rPr>
                <w:rFonts w:hint="eastAsia" w:asciiTheme="minorEastAsia" w:hAnsiTheme="minorEastAsia" w:eastAsiaTheme="minorEastAsia" w:cstheme="minorEastAsia"/>
                <w:color w:val="auto"/>
                <w:sz w:val="24"/>
                <w:szCs w:val="24"/>
                <w:highlight w:val="none"/>
              </w:rPr>
              <w:t>、其他情形的，不予计分。</w:t>
            </w:r>
          </w:p>
          <w:p w14:paraId="75A46BA3">
            <w:pPr>
              <w:spacing w:line="3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说明：本项最高得</w:t>
            </w:r>
            <w:r>
              <w:rPr>
                <w:rFonts w:hint="eastAsia" w:asciiTheme="minorEastAsia" w:hAnsiTheme="minorEastAsia" w:eastAsiaTheme="minorEastAsia" w:cstheme="minorEastAsia"/>
                <w:color w:val="auto"/>
                <w:sz w:val="24"/>
                <w:szCs w:val="24"/>
                <w:highlight w:val="none"/>
                <w:lang w:val="en-US" w:eastAsia="zh-CN"/>
              </w:rPr>
              <w:t>20</w:t>
            </w:r>
            <w:r>
              <w:rPr>
                <w:rFonts w:hint="eastAsia" w:asciiTheme="minorEastAsia" w:hAnsiTheme="minorEastAsia" w:eastAsiaTheme="minorEastAsia" w:cstheme="minorEastAsia"/>
                <w:color w:val="auto"/>
                <w:sz w:val="24"/>
                <w:szCs w:val="24"/>
                <w:highlight w:val="none"/>
              </w:rPr>
              <w:t>分。</w:t>
            </w:r>
          </w:p>
        </w:tc>
        <w:tc>
          <w:tcPr>
            <w:tcW w:w="3478" w:type="dxa"/>
            <w:tcBorders>
              <w:top w:val="single" w:color="auto" w:sz="4" w:space="0"/>
              <w:left w:val="single" w:color="auto" w:sz="4" w:space="0"/>
              <w:bottom w:val="single" w:color="auto" w:sz="4" w:space="0"/>
              <w:right w:val="single" w:color="auto" w:sz="4" w:space="0"/>
            </w:tcBorders>
            <w:noWrap w:val="0"/>
            <w:vAlign w:val="center"/>
          </w:tcPr>
          <w:p w14:paraId="194EC690">
            <w:pPr>
              <w:spacing w:line="360" w:lineRule="exact"/>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1.须提供相关证书彩色扫描件并加盖单位公章。</w:t>
            </w:r>
          </w:p>
          <w:p w14:paraId="4EED9F95">
            <w:pPr>
              <w:spacing w:line="360" w:lineRule="exact"/>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2.证书不在有效期内的，不予计分。</w:t>
            </w:r>
          </w:p>
        </w:tc>
      </w:tr>
      <w:tr w14:paraId="70806D8D">
        <w:tblPrEx>
          <w:tblCellMar>
            <w:top w:w="0" w:type="dxa"/>
            <w:left w:w="108" w:type="dxa"/>
            <w:bottom w:w="0" w:type="dxa"/>
            <w:right w:w="108" w:type="dxa"/>
          </w:tblCellMar>
        </w:tblPrEx>
        <w:trPr>
          <w:trHeight w:val="975" w:hRule="atLeast"/>
          <w:jc w:val="center"/>
        </w:trPr>
        <w:tc>
          <w:tcPr>
            <w:tcW w:w="1404" w:type="dxa"/>
            <w:vMerge w:val="restart"/>
            <w:tcBorders>
              <w:top w:val="single" w:color="auto" w:sz="4" w:space="0"/>
              <w:left w:val="single" w:color="auto" w:sz="4" w:space="0"/>
              <w:right w:val="single" w:color="auto" w:sz="4" w:space="0"/>
            </w:tcBorders>
            <w:noWrap w:val="0"/>
            <w:vAlign w:val="center"/>
          </w:tcPr>
          <w:p w14:paraId="5E7C4439">
            <w:pPr>
              <w:spacing w:line="360" w:lineRule="exact"/>
              <w:ind w:left="24" w:leftChars="10" w:right="24" w:rightChars="1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企业信用综合情况</w:t>
            </w:r>
          </w:p>
          <w:p w14:paraId="20ACA7E3">
            <w:pPr>
              <w:spacing w:line="360" w:lineRule="exact"/>
              <w:ind w:left="24" w:leftChars="10" w:right="24" w:rightChars="10"/>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color w:val="auto"/>
                <w:sz w:val="24"/>
                <w:szCs w:val="24"/>
                <w:highlight w:val="none"/>
              </w:rPr>
              <w:t>（10分）</w:t>
            </w:r>
          </w:p>
        </w:tc>
        <w:tc>
          <w:tcPr>
            <w:tcW w:w="4480" w:type="dxa"/>
            <w:tcBorders>
              <w:top w:val="single" w:color="auto" w:sz="4" w:space="0"/>
              <w:left w:val="single" w:color="auto" w:sz="4" w:space="0"/>
              <w:bottom w:val="single" w:color="auto" w:sz="4" w:space="0"/>
              <w:right w:val="single" w:color="auto" w:sz="4" w:space="0"/>
            </w:tcBorders>
            <w:noWrap w:val="0"/>
            <w:vAlign w:val="center"/>
          </w:tcPr>
          <w:p w14:paraId="51C547EA">
            <w:pPr>
              <w:widowControl/>
              <w:spacing w:line="3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1、投标人202</w:t>
            </w:r>
            <w:r>
              <w:rPr>
                <w:rFonts w:hint="eastAsia" w:asciiTheme="minorEastAsia" w:hAnsiTheme="minorEastAsia" w:eastAsiaTheme="minorEastAsia" w:cstheme="minorEastAsia"/>
                <w:color w:val="auto"/>
                <w:sz w:val="24"/>
                <w:szCs w:val="24"/>
                <w:highlight w:val="none"/>
                <w:lang w:val="en-US" w:eastAsia="zh-CN"/>
              </w:rPr>
              <w:t>2</w:t>
            </w:r>
            <w:r>
              <w:rPr>
                <w:rFonts w:hint="eastAsia" w:asciiTheme="minorEastAsia" w:hAnsiTheme="minorEastAsia" w:eastAsiaTheme="minorEastAsia" w:cstheme="minorEastAsia"/>
                <w:color w:val="auto"/>
                <w:sz w:val="24"/>
                <w:szCs w:val="24"/>
                <w:highlight w:val="none"/>
              </w:rPr>
              <w:t>年1月1日至今获得过地市级或以上税务行政主管部门评为“A级纳税人”称号的，得</w:t>
            </w:r>
            <w:r>
              <w:rPr>
                <w:rFonts w:hint="eastAsia" w:asciiTheme="minorEastAsia" w:hAnsiTheme="minorEastAsia" w:eastAsiaTheme="minorEastAsia" w:cstheme="minorEastAsia"/>
                <w:color w:val="auto"/>
                <w:sz w:val="24"/>
                <w:szCs w:val="24"/>
                <w:highlight w:val="none"/>
                <w:u w:val="single"/>
              </w:rPr>
              <w:t>5</w:t>
            </w:r>
            <w:r>
              <w:rPr>
                <w:rFonts w:hint="eastAsia" w:asciiTheme="minorEastAsia" w:hAnsiTheme="minorEastAsia" w:eastAsiaTheme="minorEastAsia" w:cstheme="minorEastAsia"/>
                <w:color w:val="auto"/>
                <w:sz w:val="24"/>
                <w:szCs w:val="24"/>
                <w:highlight w:val="none"/>
              </w:rPr>
              <w:t>分。</w:t>
            </w:r>
          </w:p>
          <w:p w14:paraId="0132F72F">
            <w:pPr>
              <w:widowControl/>
              <w:spacing w:line="3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2、其他情形的，不予计分。</w:t>
            </w:r>
          </w:p>
          <w:p w14:paraId="0B0A429A">
            <w:pPr>
              <w:spacing w:line="3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说明：本项最高得5分。</w:t>
            </w:r>
          </w:p>
        </w:tc>
        <w:tc>
          <w:tcPr>
            <w:tcW w:w="3478" w:type="dxa"/>
            <w:tcBorders>
              <w:top w:val="single" w:color="auto" w:sz="4" w:space="0"/>
              <w:left w:val="single" w:color="auto" w:sz="4" w:space="0"/>
              <w:bottom w:val="single" w:color="auto" w:sz="4" w:space="0"/>
              <w:right w:val="single" w:color="auto" w:sz="4" w:space="0"/>
            </w:tcBorders>
            <w:noWrap w:val="0"/>
            <w:vAlign w:val="center"/>
          </w:tcPr>
          <w:p w14:paraId="0C9574DA">
            <w:pPr>
              <w:spacing w:line="360" w:lineRule="exact"/>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1.须提供企业纳税信用A级纳税人相应证书或证明材料彩色扫描件或提供国家税务总局纳税信用A级纳税人查询截图并加盖单位公章，否则不得分。</w:t>
            </w:r>
          </w:p>
          <w:p w14:paraId="296B51E5">
            <w:pPr>
              <w:spacing w:line="360" w:lineRule="exact"/>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2.只计算投标人自身（不计算投标人的分公司、子公司及分支机构）。</w:t>
            </w:r>
          </w:p>
        </w:tc>
      </w:tr>
      <w:tr w14:paraId="18A20A53">
        <w:tblPrEx>
          <w:tblCellMar>
            <w:top w:w="0" w:type="dxa"/>
            <w:left w:w="108" w:type="dxa"/>
            <w:bottom w:w="0" w:type="dxa"/>
            <w:right w:w="108" w:type="dxa"/>
          </w:tblCellMar>
        </w:tblPrEx>
        <w:trPr>
          <w:trHeight w:val="1260" w:hRule="atLeast"/>
          <w:jc w:val="center"/>
        </w:trPr>
        <w:tc>
          <w:tcPr>
            <w:tcW w:w="1404" w:type="dxa"/>
            <w:vMerge w:val="continue"/>
            <w:tcBorders>
              <w:left w:val="single" w:color="auto" w:sz="4" w:space="0"/>
              <w:bottom w:val="single" w:color="auto" w:sz="4" w:space="0"/>
              <w:right w:val="single" w:color="auto" w:sz="4" w:space="0"/>
            </w:tcBorders>
            <w:noWrap w:val="0"/>
            <w:vAlign w:val="center"/>
          </w:tcPr>
          <w:p w14:paraId="001B471C">
            <w:pPr>
              <w:spacing w:line="360" w:lineRule="exact"/>
              <w:ind w:left="24" w:leftChars="10" w:right="24" w:rightChars="10"/>
              <w:jc w:val="center"/>
              <w:rPr>
                <w:rFonts w:hint="eastAsia" w:asciiTheme="minorEastAsia" w:hAnsiTheme="minorEastAsia" w:eastAsiaTheme="minorEastAsia" w:cstheme="minorEastAsia"/>
                <w:snapToGrid w:val="0"/>
                <w:color w:val="auto"/>
                <w:kern w:val="0"/>
                <w:sz w:val="24"/>
                <w:szCs w:val="24"/>
                <w:highlight w:val="none"/>
              </w:rPr>
            </w:pPr>
          </w:p>
        </w:tc>
        <w:tc>
          <w:tcPr>
            <w:tcW w:w="4480" w:type="dxa"/>
            <w:tcBorders>
              <w:top w:val="single" w:color="auto" w:sz="4" w:space="0"/>
              <w:left w:val="single" w:color="auto" w:sz="4" w:space="0"/>
              <w:bottom w:val="single" w:color="auto" w:sz="4" w:space="0"/>
              <w:right w:val="single" w:color="auto" w:sz="4" w:space="0"/>
            </w:tcBorders>
            <w:noWrap w:val="0"/>
            <w:vAlign w:val="center"/>
          </w:tcPr>
          <w:p w14:paraId="311744A0">
            <w:pPr>
              <w:spacing w:line="3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投标人202</w:t>
            </w:r>
            <w:r>
              <w:rPr>
                <w:rFonts w:hint="eastAsia" w:asciiTheme="minorEastAsia" w:hAnsiTheme="minorEastAsia" w:eastAsiaTheme="minorEastAsia" w:cstheme="minorEastAsia"/>
                <w:color w:val="auto"/>
                <w:sz w:val="24"/>
                <w:szCs w:val="24"/>
                <w:highlight w:val="none"/>
                <w:lang w:val="en-US" w:eastAsia="zh-CN"/>
              </w:rPr>
              <w:t>2</w:t>
            </w:r>
            <w:r>
              <w:rPr>
                <w:rFonts w:hint="eastAsia" w:asciiTheme="minorEastAsia" w:hAnsiTheme="minorEastAsia" w:eastAsiaTheme="minorEastAsia" w:cstheme="minorEastAsia"/>
                <w:color w:val="auto"/>
                <w:sz w:val="24"/>
                <w:szCs w:val="24"/>
                <w:highlight w:val="none"/>
              </w:rPr>
              <w:t>年1月1日至今，投标人获得过企业信用等级证书并在有效期内的：</w:t>
            </w:r>
          </w:p>
          <w:p w14:paraId="18499566">
            <w:pPr>
              <w:spacing w:line="3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1、AAA级的得5分；</w:t>
            </w:r>
          </w:p>
          <w:p w14:paraId="340729AC">
            <w:pPr>
              <w:spacing w:line="3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2、AA级的得3分；</w:t>
            </w:r>
          </w:p>
          <w:p w14:paraId="085536F9">
            <w:pPr>
              <w:spacing w:line="3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3、A级的得1分。</w:t>
            </w:r>
          </w:p>
          <w:p w14:paraId="488E3369">
            <w:pPr>
              <w:spacing w:line="3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说明：本项最高得5分。</w:t>
            </w:r>
          </w:p>
        </w:tc>
        <w:tc>
          <w:tcPr>
            <w:tcW w:w="3478" w:type="dxa"/>
            <w:tcBorders>
              <w:top w:val="single" w:color="auto" w:sz="4" w:space="0"/>
              <w:left w:val="single" w:color="auto" w:sz="4" w:space="0"/>
              <w:bottom w:val="single" w:color="auto" w:sz="4" w:space="0"/>
              <w:right w:val="single" w:color="auto" w:sz="4" w:space="0"/>
            </w:tcBorders>
            <w:noWrap w:val="0"/>
            <w:vAlign w:val="center"/>
          </w:tcPr>
          <w:p w14:paraId="31BA74BE">
            <w:pPr>
              <w:spacing w:line="360" w:lineRule="exact"/>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1.须提供有效期内的认证证书彩色扫描件并加盖单位公章。</w:t>
            </w:r>
          </w:p>
          <w:p w14:paraId="3FD46C23">
            <w:pPr>
              <w:pStyle w:val="42"/>
              <w:spacing w:line="360" w:lineRule="exact"/>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val="0"/>
                <w:color w:val="auto"/>
                <w:sz w:val="24"/>
                <w:szCs w:val="24"/>
                <w:highlight w:val="none"/>
              </w:rPr>
              <w:t>2.证书不在有效期内的，不予计分。</w:t>
            </w:r>
          </w:p>
        </w:tc>
      </w:tr>
      <w:tr w14:paraId="726C4EFB">
        <w:tblPrEx>
          <w:tblCellMar>
            <w:top w:w="0" w:type="dxa"/>
            <w:left w:w="108" w:type="dxa"/>
            <w:bottom w:w="0" w:type="dxa"/>
            <w:right w:w="108" w:type="dxa"/>
          </w:tblCellMar>
        </w:tblPrEx>
        <w:trPr>
          <w:trHeight w:val="2826" w:hRule="atLeast"/>
          <w:jc w:val="center"/>
        </w:trPr>
        <w:tc>
          <w:tcPr>
            <w:tcW w:w="1404" w:type="dxa"/>
            <w:tcBorders>
              <w:top w:val="single" w:color="auto" w:sz="4" w:space="0"/>
              <w:left w:val="single" w:color="auto" w:sz="4" w:space="0"/>
              <w:bottom w:val="single" w:color="auto" w:sz="4" w:space="0"/>
              <w:right w:val="single" w:color="auto" w:sz="4" w:space="0"/>
            </w:tcBorders>
            <w:noWrap w:val="0"/>
            <w:vAlign w:val="center"/>
          </w:tcPr>
          <w:p w14:paraId="591A0711">
            <w:pPr>
              <w:pStyle w:val="12"/>
              <w:adjustRightInd w:val="0"/>
              <w:snapToGrid w:val="0"/>
              <w:spacing w:after="0" w:line="360" w:lineRule="exact"/>
              <w:jc w:val="center"/>
              <w:rPr>
                <w:rFonts w:hint="eastAsia" w:asciiTheme="minorEastAsia" w:hAnsiTheme="minorEastAsia" w:eastAsiaTheme="minorEastAsia" w:cstheme="minorEastAsia"/>
                <w:snapToGrid w:val="0"/>
                <w:color w:val="auto"/>
                <w:kern w:val="0"/>
                <w:sz w:val="24"/>
                <w:szCs w:val="24"/>
                <w:highlight w:val="none"/>
                <w:lang w:bidi="ar"/>
              </w:rPr>
            </w:pPr>
            <w:r>
              <w:rPr>
                <w:rFonts w:hint="eastAsia" w:asciiTheme="minorEastAsia" w:hAnsiTheme="minorEastAsia" w:eastAsiaTheme="minorEastAsia" w:cstheme="minorEastAsia"/>
                <w:snapToGrid w:val="0"/>
                <w:color w:val="auto"/>
                <w:kern w:val="0"/>
                <w:sz w:val="24"/>
                <w:szCs w:val="24"/>
                <w:highlight w:val="none"/>
                <w:lang w:bidi="ar"/>
              </w:rPr>
              <w:t>企业管理</w:t>
            </w:r>
          </w:p>
          <w:p w14:paraId="71A12D55">
            <w:pPr>
              <w:pStyle w:val="12"/>
              <w:adjustRightInd w:val="0"/>
              <w:snapToGrid w:val="0"/>
              <w:spacing w:after="0" w:line="360" w:lineRule="exact"/>
              <w:jc w:val="center"/>
              <w:rPr>
                <w:rFonts w:hint="eastAsia" w:asciiTheme="minorEastAsia" w:hAnsiTheme="minorEastAsia" w:eastAsiaTheme="minorEastAsia" w:cstheme="minorEastAsia"/>
                <w:snapToGrid w:val="0"/>
                <w:color w:val="auto"/>
                <w:kern w:val="0"/>
                <w:sz w:val="24"/>
                <w:szCs w:val="24"/>
                <w:highlight w:val="none"/>
                <w:lang w:bidi="ar"/>
              </w:rPr>
            </w:pPr>
            <w:r>
              <w:rPr>
                <w:rFonts w:hint="eastAsia" w:asciiTheme="minorEastAsia" w:hAnsiTheme="minorEastAsia" w:eastAsiaTheme="minorEastAsia" w:cstheme="minorEastAsia"/>
                <w:snapToGrid w:val="0"/>
                <w:color w:val="auto"/>
                <w:kern w:val="0"/>
                <w:sz w:val="24"/>
                <w:szCs w:val="24"/>
                <w:highlight w:val="none"/>
                <w:lang w:bidi="ar"/>
              </w:rPr>
              <w:t>体系认证</w:t>
            </w:r>
          </w:p>
          <w:p w14:paraId="0814FAD4">
            <w:pPr>
              <w:adjustRightInd w:val="0"/>
              <w:snapToGrid w:val="0"/>
              <w:spacing w:line="360" w:lineRule="exact"/>
              <w:jc w:val="center"/>
              <w:rPr>
                <w:rFonts w:hint="eastAsia" w:asciiTheme="minorEastAsia" w:hAnsiTheme="minorEastAsia" w:eastAsiaTheme="minorEastAsia" w:cstheme="minorEastAsia"/>
                <w:b/>
                <w:bCs/>
                <w:snapToGrid w:val="0"/>
                <w:color w:val="auto"/>
                <w:kern w:val="0"/>
                <w:sz w:val="24"/>
                <w:szCs w:val="24"/>
                <w:highlight w:val="none"/>
                <w:lang w:bidi="ar"/>
              </w:rPr>
            </w:pPr>
            <w:r>
              <w:rPr>
                <w:rFonts w:hint="eastAsia" w:asciiTheme="minorEastAsia" w:hAnsiTheme="minorEastAsia" w:eastAsiaTheme="minorEastAsia" w:cstheme="minorEastAsia"/>
                <w:color w:val="auto"/>
                <w:sz w:val="24"/>
                <w:szCs w:val="24"/>
                <w:highlight w:val="none"/>
              </w:rPr>
              <w:t>（5分）</w:t>
            </w:r>
          </w:p>
        </w:tc>
        <w:tc>
          <w:tcPr>
            <w:tcW w:w="4480" w:type="dxa"/>
            <w:tcBorders>
              <w:top w:val="single" w:color="auto" w:sz="4" w:space="0"/>
              <w:left w:val="single" w:color="auto" w:sz="4" w:space="0"/>
              <w:bottom w:val="single" w:color="auto" w:sz="4" w:space="0"/>
              <w:right w:val="single" w:color="auto" w:sz="4" w:space="0"/>
            </w:tcBorders>
            <w:noWrap w:val="0"/>
            <w:vAlign w:val="center"/>
          </w:tcPr>
          <w:p w14:paraId="68E82440">
            <w:pPr>
              <w:spacing w:line="3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质量管理体系认证证书、职业健康安全管理体系认证证书、环境管理体系认证证书中：</w:t>
            </w:r>
          </w:p>
          <w:p w14:paraId="26B71C9C">
            <w:pPr>
              <w:spacing w:line="3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1、企业获得3项证书的得5分；</w:t>
            </w:r>
          </w:p>
          <w:p w14:paraId="3A80B1F5">
            <w:pPr>
              <w:spacing w:line="3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2、企业获得其中2项证书的得3分；</w:t>
            </w:r>
          </w:p>
          <w:p w14:paraId="135ADE96">
            <w:pPr>
              <w:spacing w:line="3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3、企业获得其中1项证书的得1分；</w:t>
            </w:r>
          </w:p>
          <w:p w14:paraId="0116F351">
            <w:pPr>
              <w:spacing w:line="3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4、以上认证证书均未获得的，不予计分。</w:t>
            </w:r>
          </w:p>
          <w:p w14:paraId="073F3F12">
            <w:pPr>
              <w:spacing w:line="36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说明：本项最高得5分。</w:t>
            </w:r>
          </w:p>
        </w:tc>
        <w:tc>
          <w:tcPr>
            <w:tcW w:w="3478" w:type="dxa"/>
            <w:tcBorders>
              <w:top w:val="single" w:color="auto" w:sz="4" w:space="0"/>
              <w:left w:val="single" w:color="auto" w:sz="4" w:space="0"/>
              <w:bottom w:val="single" w:color="auto" w:sz="4" w:space="0"/>
              <w:right w:val="single" w:color="auto" w:sz="4" w:space="0"/>
            </w:tcBorders>
            <w:noWrap w:val="0"/>
            <w:vAlign w:val="center"/>
          </w:tcPr>
          <w:p w14:paraId="76F23496">
            <w:pPr>
              <w:spacing w:line="360" w:lineRule="exact"/>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1．须提供在有效期内的体系认证证书彩色扫描件并加盖单位公章。</w:t>
            </w:r>
          </w:p>
          <w:p w14:paraId="53E72405">
            <w:pPr>
              <w:spacing w:line="360" w:lineRule="exact"/>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2．证书不在有效期内的，不予计分。</w:t>
            </w:r>
          </w:p>
        </w:tc>
      </w:tr>
      <w:tr w14:paraId="02D9419D">
        <w:tblPrEx>
          <w:tblCellMar>
            <w:top w:w="0" w:type="dxa"/>
            <w:left w:w="108" w:type="dxa"/>
            <w:bottom w:w="0" w:type="dxa"/>
            <w:right w:w="108" w:type="dxa"/>
          </w:tblCellMar>
        </w:tblPrEx>
        <w:trPr>
          <w:trHeight w:val="964" w:hRule="exact"/>
          <w:jc w:val="center"/>
        </w:trPr>
        <w:tc>
          <w:tcPr>
            <w:tcW w:w="9362" w:type="dxa"/>
            <w:gridSpan w:val="3"/>
            <w:tcBorders>
              <w:top w:val="single" w:color="auto" w:sz="4" w:space="0"/>
              <w:left w:val="single" w:color="auto" w:sz="4" w:space="0"/>
              <w:bottom w:val="single" w:color="auto" w:sz="4" w:space="0"/>
              <w:right w:val="single" w:color="auto" w:sz="4" w:space="0"/>
            </w:tcBorders>
            <w:shd w:val="clear" w:color="auto" w:fill="D9D9D9"/>
            <w:noWrap w:val="0"/>
            <w:vAlign w:val="center"/>
          </w:tcPr>
          <w:p w14:paraId="09C1FC5A">
            <w:pPr>
              <w:pStyle w:val="12"/>
              <w:adjustRightInd w:val="0"/>
              <w:snapToGrid w:val="0"/>
              <w:spacing w:after="0" w:line="240" w:lineRule="auto"/>
              <w:jc w:val="left"/>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技术部分（监理大纲），满分：</w:t>
            </w:r>
            <w:r>
              <w:rPr>
                <w:rFonts w:hint="eastAsia" w:asciiTheme="minorEastAsia" w:hAnsiTheme="minorEastAsia" w:eastAsiaTheme="minorEastAsia" w:cstheme="minorEastAsia"/>
                <w:snapToGrid w:val="0"/>
                <w:color w:val="auto"/>
                <w:kern w:val="0"/>
                <w:sz w:val="24"/>
                <w:szCs w:val="24"/>
                <w:highlight w:val="none"/>
                <w:u w:val="single"/>
                <w:lang w:val="en-US" w:eastAsia="zh-CN"/>
              </w:rPr>
              <w:t>3</w:t>
            </w:r>
            <w:r>
              <w:rPr>
                <w:rFonts w:hint="eastAsia" w:asciiTheme="minorEastAsia" w:hAnsiTheme="minorEastAsia" w:eastAsiaTheme="minorEastAsia" w:cstheme="minorEastAsia"/>
                <w:snapToGrid w:val="0"/>
                <w:color w:val="auto"/>
                <w:kern w:val="0"/>
                <w:sz w:val="24"/>
                <w:szCs w:val="24"/>
                <w:highlight w:val="none"/>
                <w:u w:val="single"/>
              </w:rPr>
              <w:t>0</w:t>
            </w:r>
            <w:r>
              <w:rPr>
                <w:rFonts w:hint="eastAsia" w:asciiTheme="minorEastAsia" w:hAnsiTheme="minorEastAsia" w:eastAsiaTheme="minorEastAsia" w:cstheme="minorEastAsia"/>
                <w:snapToGrid w:val="0"/>
                <w:color w:val="auto"/>
                <w:kern w:val="0"/>
                <w:sz w:val="24"/>
                <w:szCs w:val="24"/>
                <w:highlight w:val="none"/>
              </w:rPr>
              <w:t>分。</w:t>
            </w:r>
          </w:p>
        </w:tc>
      </w:tr>
      <w:tr w14:paraId="0A473778">
        <w:tblPrEx>
          <w:tblCellMar>
            <w:top w:w="0" w:type="dxa"/>
            <w:left w:w="108" w:type="dxa"/>
            <w:bottom w:w="0" w:type="dxa"/>
            <w:right w:w="108" w:type="dxa"/>
          </w:tblCellMar>
        </w:tblPrEx>
        <w:trPr>
          <w:trHeight w:val="829" w:hRule="exact"/>
          <w:jc w:val="center"/>
        </w:trPr>
        <w:tc>
          <w:tcPr>
            <w:tcW w:w="1404" w:type="dxa"/>
            <w:tcBorders>
              <w:top w:val="single" w:color="auto" w:sz="4" w:space="0"/>
              <w:left w:val="single" w:color="auto" w:sz="4" w:space="0"/>
              <w:bottom w:val="single" w:color="auto" w:sz="4" w:space="0"/>
              <w:right w:val="single" w:color="auto" w:sz="4" w:space="0"/>
            </w:tcBorders>
            <w:noWrap w:val="0"/>
            <w:vAlign w:val="center"/>
          </w:tcPr>
          <w:p w14:paraId="18636151">
            <w:pPr>
              <w:pStyle w:val="12"/>
              <w:adjustRightInd w:val="0"/>
              <w:snapToGrid w:val="0"/>
              <w:spacing w:after="0" w:line="240" w:lineRule="auto"/>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评分因素</w:t>
            </w:r>
          </w:p>
        </w:tc>
        <w:tc>
          <w:tcPr>
            <w:tcW w:w="4480" w:type="dxa"/>
            <w:tcBorders>
              <w:top w:val="single" w:color="auto" w:sz="4" w:space="0"/>
              <w:left w:val="single" w:color="auto" w:sz="4" w:space="0"/>
              <w:bottom w:val="single" w:color="auto" w:sz="4" w:space="0"/>
              <w:right w:val="single" w:color="auto" w:sz="4" w:space="0"/>
            </w:tcBorders>
            <w:noWrap w:val="0"/>
            <w:vAlign w:val="center"/>
          </w:tcPr>
          <w:p w14:paraId="7BD51AE8">
            <w:pPr>
              <w:pStyle w:val="12"/>
              <w:adjustRightInd w:val="0"/>
              <w:snapToGrid w:val="0"/>
              <w:spacing w:after="0" w:line="240" w:lineRule="auto"/>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评分标准</w:t>
            </w:r>
          </w:p>
        </w:tc>
        <w:tc>
          <w:tcPr>
            <w:tcW w:w="3478" w:type="dxa"/>
            <w:tcBorders>
              <w:top w:val="single" w:color="auto" w:sz="4" w:space="0"/>
              <w:left w:val="single" w:color="auto" w:sz="4" w:space="0"/>
              <w:bottom w:val="single" w:color="auto" w:sz="4" w:space="0"/>
              <w:right w:val="single" w:color="auto" w:sz="4" w:space="0"/>
            </w:tcBorders>
            <w:noWrap w:val="0"/>
            <w:vAlign w:val="center"/>
          </w:tcPr>
          <w:p w14:paraId="191D1541">
            <w:pPr>
              <w:pStyle w:val="12"/>
              <w:adjustRightInd w:val="0"/>
              <w:snapToGrid w:val="0"/>
              <w:spacing w:after="0" w:line="240" w:lineRule="auto"/>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备注</w:t>
            </w:r>
          </w:p>
        </w:tc>
      </w:tr>
      <w:tr w14:paraId="342AD518">
        <w:tblPrEx>
          <w:tblCellMar>
            <w:top w:w="0" w:type="dxa"/>
            <w:left w:w="108" w:type="dxa"/>
            <w:bottom w:w="0" w:type="dxa"/>
            <w:right w:w="108" w:type="dxa"/>
          </w:tblCellMar>
        </w:tblPrEx>
        <w:trPr>
          <w:trHeight w:val="1875" w:hRule="atLeast"/>
          <w:jc w:val="center"/>
        </w:trPr>
        <w:tc>
          <w:tcPr>
            <w:tcW w:w="1404" w:type="dxa"/>
            <w:tcBorders>
              <w:top w:val="single" w:color="auto" w:sz="4" w:space="0"/>
              <w:left w:val="single" w:color="auto" w:sz="4" w:space="0"/>
              <w:bottom w:val="single" w:color="auto" w:sz="4" w:space="0"/>
              <w:right w:val="single" w:color="auto" w:sz="4" w:space="0"/>
            </w:tcBorders>
            <w:noWrap w:val="0"/>
            <w:vAlign w:val="center"/>
          </w:tcPr>
          <w:p w14:paraId="76352D15">
            <w:pPr>
              <w:pStyle w:val="10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监理依据</w:t>
            </w:r>
          </w:p>
          <w:p w14:paraId="2C0CD2EC">
            <w:pPr>
              <w:pStyle w:val="10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及工作目标</w:t>
            </w:r>
          </w:p>
          <w:p w14:paraId="6F174DB6">
            <w:pPr>
              <w:spacing w:line="240"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3</w:t>
            </w:r>
            <w:r>
              <w:rPr>
                <w:rFonts w:hint="eastAsia" w:asciiTheme="minorEastAsia" w:hAnsiTheme="minorEastAsia" w:eastAsiaTheme="minorEastAsia" w:cstheme="minorEastAsia"/>
                <w:color w:val="auto"/>
                <w:sz w:val="24"/>
                <w:szCs w:val="24"/>
                <w:highlight w:val="none"/>
              </w:rPr>
              <w:t>分）</w:t>
            </w:r>
          </w:p>
        </w:tc>
        <w:tc>
          <w:tcPr>
            <w:tcW w:w="4480" w:type="dxa"/>
            <w:tcBorders>
              <w:top w:val="single" w:color="auto" w:sz="4" w:space="0"/>
              <w:left w:val="single" w:color="auto" w:sz="4" w:space="0"/>
              <w:bottom w:val="single" w:color="auto" w:sz="4" w:space="0"/>
              <w:right w:val="single" w:color="auto" w:sz="4" w:space="0"/>
            </w:tcBorders>
            <w:noWrap w:val="0"/>
            <w:vAlign w:val="center"/>
          </w:tcPr>
          <w:p w14:paraId="6026A778">
            <w:pPr>
              <w:spacing w:line="24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【优】得该项评分因素分值的90%～100%（含90%）。</w:t>
            </w:r>
          </w:p>
          <w:p w14:paraId="4FE6D94D">
            <w:pPr>
              <w:spacing w:line="24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【良】得该项评分因素分值的80%～90%（含80%）。</w:t>
            </w:r>
          </w:p>
          <w:p w14:paraId="1D7A342D">
            <w:pPr>
              <w:spacing w:line="24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【中】得该项评分因素分值的70%～80%（含70%）。</w:t>
            </w:r>
          </w:p>
          <w:p w14:paraId="093AA537">
            <w:pPr>
              <w:spacing w:line="24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【差】得该项评分因素分值的60%～70%（含60%）。</w:t>
            </w:r>
          </w:p>
        </w:tc>
        <w:tc>
          <w:tcPr>
            <w:tcW w:w="3478" w:type="dxa"/>
            <w:tcBorders>
              <w:top w:val="single" w:color="auto" w:sz="4" w:space="0"/>
              <w:left w:val="single" w:color="auto" w:sz="4" w:space="0"/>
              <w:bottom w:val="single" w:color="auto" w:sz="4" w:space="0"/>
              <w:right w:val="single" w:color="auto" w:sz="4" w:space="0"/>
            </w:tcBorders>
            <w:noWrap w:val="0"/>
            <w:vAlign w:val="center"/>
          </w:tcPr>
          <w:p w14:paraId="4A601A76">
            <w:pPr>
              <w:pStyle w:val="112"/>
              <w:adjustRightInd w:val="0"/>
              <w:snapToGrid w:val="0"/>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要求依据全面、适用；目标清晰、正确；针对性强。</w:t>
            </w:r>
          </w:p>
        </w:tc>
      </w:tr>
      <w:tr w14:paraId="21F9E7F7">
        <w:tblPrEx>
          <w:tblCellMar>
            <w:top w:w="0" w:type="dxa"/>
            <w:left w:w="108" w:type="dxa"/>
            <w:bottom w:w="0" w:type="dxa"/>
            <w:right w:w="108" w:type="dxa"/>
          </w:tblCellMar>
        </w:tblPrEx>
        <w:trPr>
          <w:trHeight w:val="1040" w:hRule="atLeast"/>
          <w:jc w:val="center"/>
        </w:trPr>
        <w:tc>
          <w:tcPr>
            <w:tcW w:w="1404" w:type="dxa"/>
            <w:tcBorders>
              <w:top w:val="single" w:color="auto" w:sz="4" w:space="0"/>
              <w:left w:val="single" w:color="auto" w:sz="4" w:space="0"/>
              <w:bottom w:val="single" w:color="auto" w:sz="4" w:space="0"/>
              <w:right w:val="single" w:color="auto" w:sz="4" w:space="0"/>
            </w:tcBorders>
            <w:noWrap w:val="0"/>
            <w:vAlign w:val="center"/>
          </w:tcPr>
          <w:p w14:paraId="2FDADF47">
            <w:pPr>
              <w:pStyle w:val="128"/>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工程质量</w:t>
            </w:r>
          </w:p>
          <w:p w14:paraId="1B2E470B">
            <w:pPr>
              <w:pStyle w:val="128"/>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监理措施</w:t>
            </w:r>
          </w:p>
          <w:p w14:paraId="024FD0BA">
            <w:pPr>
              <w:pStyle w:val="128"/>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3</w:t>
            </w:r>
            <w:r>
              <w:rPr>
                <w:rFonts w:hint="eastAsia" w:asciiTheme="minorEastAsia" w:hAnsiTheme="minorEastAsia" w:eastAsiaTheme="minorEastAsia" w:cstheme="minorEastAsia"/>
                <w:color w:val="auto"/>
                <w:sz w:val="24"/>
                <w:szCs w:val="24"/>
                <w:highlight w:val="none"/>
              </w:rPr>
              <w:t>分）</w:t>
            </w:r>
          </w:p>
        </w:tc>
        <w:tc>
          <w:tcPr>
            <w:tcW w:w="4480" w:type="dxa"/>
            <w:tcBorders>
              <w:top w:val="single" w:color="auto" w:sz="4" w:space="0"/>
              <w:left w:val="single" w:color="auto" w:sz="4" w:space="0"/>
              <w:bottom w:val="single" w:color="auto" w:sz="4" w:space="0"/>
              <w:right w:val="single" w:color="auto" w:sz="4" w:space="0"/>
            </w:tcBorders>
            <w:noWrap w:val="0"/>
            <w:vAlign w:val="center"/>
          </w:tcPr>
          <w:p w14:paraId="3D6E5D59">
            <w:pPr>
              <w:pStyle w:val="13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【优】得该项评分因素分值的90%～100%（含90%）。</w:t>
            </w:r>
          </w:p>
          <w:p w14:paraId="39044530">
            <w:pPr>
              <w:pStyle w:val="13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【良】得该项评分因素分值的80%～90%（含80%）。</w:t>
            </w:r>
          </w:p>
          <w:p w14:paraId="2FDB7E20">
            <w:pPr>
              <w:pStyle w:val="13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【中】得该项评分因素分值的70%～80%（含70%）。</w:t>
            </w:r>
          </w:p>
          <w:p w14:paraId="0D9FF5CE">
            <w:pPr>
              <w:pStyle w:val="11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【差】得该项评分因素分值的60%～70%（含60%）。</w:t>
            </w:r>
          </w:p>
        </w:tc>
        <w:tc>
          <w:tcPr>
            <w:tcW w:w="3478" w:type="dxa"/>
            <w:vMerge w:val="restart"/>
            <w:tcBorders>
              <w:top w:val="single" w:color="auto" w:sz="4" w:space="0"/>
              <w:left w:val="single" w:color="auto" w:sz="4" w:space="0"/>
              <w:right w:val="single" w:color="auto" w:sz="4" w:space="0"/>
            </w:tcBorders>
            <w:noWrap w:val="0"/>
            <w:vAlign w:val="center"/>
          </w:tcPr>
          <w:p w14:paraId="722C27D0">
            <w:pPr>
              <w:pStyle w:val="112"/>
              <w:adjustRightInd w:val="0"/>
              <w:snapToGrid w:val="0"/>
              <w:jc w:val="left"/>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要求目标正确、方法可行、预控和动态管理措施具体、针对性强。脱离本工程实际、机械照搬照抄规范和技术标准的，不能得满分。</w:t>
            </w:r>
          </w:p>
        </w:tc>
      </w:tr>
      <w:tr w14:paraId="793C57AE">
        <w:tblPrEx>
          <w:tblCellMar>
            <w:top w:w="0" w:type="dxa"/>
            <w:left w:w="108" w:type="dxa"/>
            <w:bottom w:w="0" w:type="dxa"/>
            <w:right w:w="108" w:type="dxa"/>
          </w:tblCellMar>
        </w:tblPrEx>
        <w:trPr>
          <w:trHeight w:val="457" w:hRule="atLeast"/>
          <w:jc w:val="center"/>
        </w:trPr>
        <w:tc>
          <w:tcPr>
            <w:tcW w:w="1404" w:type="dxa"/>
            <w:tcBorders>
              <w:top w:val="single" w:color="auto" w:sz="4" w:space="0"/>
              <w:left w:val="single" w:color="auto" w:sz="4" w:space="0"/>
              <w:bottom w:val="single" w:color="auto" w:sz="4" w:space="0"/>
              <w:right w:val="single" w:color="auto" w:sz="4" w:space="0"/>
            </w:tcBorders>
            <w:noWrap w:val="0"/>
            <w:vAlign w:val="center"/>
          </w:tcPr>
          <w:p w14:paraId="11741B76">
            <w:pPr>
              <w:pStyle w:val="128"/>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工程进度</w:t>
            </w:r>
          </w:p>
          <w:p w14:paraId="2E9AEF6B">
            <w:pPr>
              <w:pStyle w:val="128"/>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监理措施</w:t>
            </w:r>
          </w:p>
          <w:p w14:paraId="789EA9A0">
            <w:pPr>
              <w:pStyle w:val="128"/>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3</w:t>
            </w:r>
            <w:r>
              <w:rPr>
                <w:rFonts w:hint="eastAsia" w:asciiTheme="minorEastAsia" w:hAnsiTheme="minorEastAsia" w:eastAsiaTheme="minorEastAsia" w:cstheme="minorEastAsia"/>
                <w:color w:val="auto"/>
                <w:sz w:val="24"/>
                <w:szCs w:val="24"/>
                <w:highlight w:val="none"/>
              </w:rPr>
              <w:t>分）</w:t>
            </w:r>
          </w:p>
        </w:tc>
        <w:tc>
          <w:tcPr>
            <w:tcW w:w="4480" w:type="dxa"/>
            <w:tcBorders>
              <w:top w:val="single" w:color="auto" w:sz="4" w:space="0"/>
              <w:left w:val="single" w:color="auto" w:sz="4" w:space="0"/>
              <w:bottom w:val="single" w:color="auto" w:sz="4" w:space="0"/>
              <w:right w:val="single" w:color="auto" w:sz="4" w:space="0"/>
            </w:tcBorders>
            <w:noWrap w:val="0"/>
            <w:vAlign w:val="center"/>
          </w:tcPr>
          <w:p w14:paraId="5736F156">
            <w:pPr>
              <w:pStyle w:val="13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【优】得该项评分因素分值的90%～100%（含90%）。</w:t>
            </w:r>
          </w:p>
          <w:p w14:paraId="05E21617">
            <w:pPr>
              <w:pStyle w:val="13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【良】得该项评分因素分值的80%～90%（含80%）。</w:t>
            </w:r>
          </w:p>
          <w:p w14:paraId="595BBD01">
            <w:pPr>
              <w:pStyle w:val="13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【中】得该项评分因素分值的70%～80%（含70%）。</w:t>
            </w:r>
          </w:p>
          <w:p w14:paraId="1F346469">
            <w:pPr>
              <w:pStyle w:val="11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【差】得该项评分因素分值的60%～70%（含60%）。</w:t>
            </w:r>
          </w:p>
        </w:tc>
        <w:tc>
          <w:tcPr>
            <w:tcW w:w="3478" w:type="dxa"/>
            <w:vMerge w:val="continue"/>
            <w:tcBorders>
              <w:left w:val="single" w:color="auto" w:sz="4" w:space="0"/>
              <w:right w:val="single" w:color="auto" w:sz="4" w:space="0"/>
            </w:tcBorders>
            <w:noWrap w:val="0"/>
            <w:vAlign w:val="center"/>
          </w:tcPr>
          <w:p w14:paraId="48D3AED0">
            <w:pPr>
              <w:pStyle w:val="112"/>
              <w:adjustRightInd w:val="0"/>
              <w:snapToGrid w:val="0"/>
              <w:rPr>
                <w:rFonts w:hint="eastAsia" w:asciiTheme="minorEastAsia" w:hAnsiTheme="minorEastAsia" w:eastAsiaTheme="minorEastAsia" w:cstheme="minorEastAsia"/>
                <w:snapToGrid w:val="0"/>
                <w:color w:val="auto"/>
                <w:kern w:val="0"/>
                <w:sz w:val="24"/>
                <w:szCs w:val="24"/>
                <w:highlight w:val="none"/>
              </w:rPr>
            </w:pPr>
          </w:p>
        </w:tc>
      </w:tr>
      <w:tr w14:paraId="4C0ABCDA">
        <w:tblPrEx>
          <w:tblCellMar>
            <w:top w:w="0" w:type="dxa"/>
            <w:left w:w="108" w:type="dxa"/>
            <w:bottom w:w="0" w:type="dxa"/>
            <w:right w:w="108" w:type="dxa"/>
          </w:tblCellMar>
        </w:tblPrEx>
        <w:trPr>
          <w:trHeight w:val="457" w:hRule="atLeast"/>
          <w:jc w:val="center"/>
        </w:trPr>
        <w:tc>
          <w:tcPr>
            <w:tcW w:w="1404" w:type="dxa"/>
            <w:tcBorders>
              <w:top w:val="single" w:color="auto" w:sz="4" w:space="0"/>
              <w:left w:val="single" w:color="auto" w:sz="4" w:space="0"/>
              <w:bottom w:val="single" w:color="auto" w:sz="4" w:space="0"/>
              <w:right w:val="single" w:color="auto" w:sz="4" w:space="0"/>
            </w:tcBorders>
            <w:noWrap w:val="0"/>
            <w:vAlign w:val="center"/>
          </w:tcPr>
          <w:p w14:paraId="7ACE25BB">
            <w:pPr>
              <w:pStyle w:val="128"/>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工程造价</w:t>
            </w:r>
          </w:p>
          <w:p w14:paraId="1AE5F363">
            <w:pPr>
              <w:pStyle w:val="128"/>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监理措施</w:t>
            </w:r>
          </w:p>
          <w:p w14:paraId="3EF00974">
            <w:pPr>
              <w:pStyle w:val="128"/>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3</w:t>
            </w:r>
            <w:r>
              <w:rPr>
                <w:rFonts w:hint="eastAsia" w:asciiTheme="minorEastAsia" w:hAnsiTheme="minorEastAsia" w:eastAsiaTheme="minorEastAsia" w:cstheme="minorEastAsia"/>
                <w:color w:val="auto"/>
                <w:sz w:val="24"/>
                <w:szCs w:val="24"/>
                <w:highlight w:val="none"/>
              </w:rPr>
              <w:t>分）</w:t>
            </w:r>
          </w:p>
        </w:tc>
        <w:tc>
          <w:tcPr>
            <w:tcW w:w="4480" w:type="dxa"/>
            <w:tcBorders>
              <w:top w:val="single" w:color="auto" w:sz="4" w:space="0"/>
              <w:left w:val="single" w:color="auto" w:sz="4" w:space="0"/>
              <w:bottom w:val="single" w:color="auto" w:sz="4" w:space="0"/>
              <w:right w:val="single" w:color="auto" w:sz="4" w:space="0"/>
            </w:tcBorders>
            <w:noWrap w:val="0"/>
            <w:vAlign w:val="center"/>
          </w:tcPr>
          <w:p w14:paraId="44C6479C">
            <w:pPr>
              <w:pStyle w:val="13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【优】得该项评分因素分值的90%～100%（含90%）。</w:t>
            </w:r>
          </w:p>
          <w:p w14:paraId="1F4DADBF">
            <w:pPr>
              <w:pStyle w:val="13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【良】得该项评分因素分值的80%～90%（含80%）。</w:t>
            </w:r>
          </w:p>
          <w:p w14:paraId="7CE1AF25">
            <w:pPr>
              <w:pStyle w:val="13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【中】得该项评分因素分值的70%～80%（含70%）。</w:t>
            </w:r>
          </w:p>
          <w:p w14:paraId="47997B9F">
            <w:pPr>
              <w:pStyle w:val="11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【差】得该项评分因素分值的60%～70%（含60%）。</w:t>
            </w:r>
          </w:p>
        </w:tc>
        <w:tc>
          <w:tcPr>
            <w:tcW w:w="3478" w:type="dxa"/>
            <w:vMerge w:val="continue"/>
            <w:tcBorders>
              <w:left w:val="single" w:color="auto" w:sz="4" w:space="0"/>
              <w:right w:val="single" w:color="auto" w:sz="4" w:space="0"/>
            </w:tcBorders>
            <w:noWrap w:val="0"/>
            <w:vAlign w:val="center"/>
          </w:tcPr>
          <w:p w14:paraId="6028FA4F">
            <w:pPr>
              <w:pStyle w:val="112"/>
              <w:adjustRightInd w:val="0"/>
              <w:snapToGrid w:val="0"/>
              <w:rPr>
                <w:rFonts w:hint="eastAsia" w:asciiTheme="minorEastAsia" w:hAnsiTheme="minorEastAsia" w:eastAsiaTheme="minorEastAsia" w:cstheme="minorEastAsia"/>
                <w:snapToGrid w:val="0"/>
                <w:color w:val="auto"/>
                <w:kern w:val="0"/>
                <w:sz w:val="24"/>
                <w:szCs w:val="24"/>
                <w:highlight w:val="none"/>
              </w:rPr>
            </w:pPr>
          </w:p>
        </w:tc>
      </w:tr>
      <w:tr w14:paraId="2C0C5DEB">
        <w:tblPrEx>
          <w:tblCellMar>
            <w:top w:w="0" w:type="dxa"/>
            <w:left w:w="108" w:type="dxa"/>
            <w:bottom w:w="0" w:type="dxa"/>
            <w:right w:w="108" w:type="dxa"/>
          </w:tblCellMar>
        </w:tblPrEx>
        <w:trPr>
          <w:trHeight w:val="457" w:hRule="atLeast"/>
          <w:jc w:val="center"/>
        </w:trPr>
        <w:tc>
          <w:tcPr>
            <w:tcW w:w="1404" w:type="dxa"/>
            <w:tcBorders>
              <w:top w:val="single" w:color="auto" w:sz="4" w:space="0"/>
              <w:left w:val="single" w:color="auto" w:sz="4" w:space="0"/>
              <w:bottom w:val="single" w:color="auto" w:sz="4" w:space="0"/>
              <w:right w:val="single" w:color="auto" w:sz="4" w:space="0"/>
            </w:tcBorders>
            <w:noWrap w:val="0"/>
            <w:vAlign w:val="center"/>
          </w:tcPr>
          <w:p w14:paraId="0522F070">
            <w:pPr>
              <w:pStyle w:val="128"/>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安全防护</w:t>
            </w:r>
          </w:p>
          <w:p w14:paraId="40FBCAFE">
            <w:pPr>
              <w:pStyle w:val="128"/>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监理措施</w:t>
            </w:r>
          </w:p>
          <w:p w14:paraId="1C13AE0A">
            <w:pPr>
              <w:pStyle w:val="128"/>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3</w:t>
            </w:r>
            <w:r>
              <w:rPr>
                <w:rFonts w:hint="eastAsia" w:asciiTheme="minorEastAsia" w:hAnsiTheme="minorEastAsia" w:eastAsiaTheme="minorEastAsia" w:cstheme="minorEastAsia"/>
                <w:color w:val="auto"/>
                <w:sz w:val="24"/>
                <w:szCs w:val="24"/>
                <w:highlight w:val="none"/>
              </w:rPr>
              <w:t>分）</w:t>
            </w:r>
          </w:p>
        </w:tc>
        <w:tc>
          <w:tcPr>
            <w:tcW w:w="4480" w:type="dxa"/>
            <w:tcBorders>
              <w:top w:val="single" w:color="auto" w:sz="4" w:space="0"/>
              <w:left w:val="single" w:color="auto" w:sz="4" w:space="0"/>
              <w:bottom w:val="single" w:color="auto" w:sz="4" w:space="0"/>
              <w:right w:val="single" w:color="auto" w:sz="4" w:space="0"/>
            </w:tcBorders>
            <w:noWrap w:val="0"/>
            <w:vAlign w:val="center"/>
          </w:tcPr>
          <w:p w14:paraId="131801F1">
            <w:pPr>
              <w:pStyle w:val="13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【优】得该项评分因素分值的90%～100%（含90%）。</w:t>
            </w:r>
          </w:p>
          <w:p w14:paraId="5A5C1612">
            <w:pPr>
              <w:pStyle w:val="13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【良】得该项评分因素分值的80%～90%（含80%）。</w:t>
            </w:r>
          </w:p>
          <w:p w14:paraId="43B0102B">
            <w:pPr>
              <w:pStyle w:val="13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【中】得该项评分因素分值的70%～80%（含70%）。</w:t>
            </w:r>
          </w:p>
          <w:p w14:paraId="70BF3CC2">
            <w:pPr>
              <w:pStyle w:val="11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【差】得该项评分因素分值的60%～70%（含60%）。</w:t>
            </w:r>
          </w:p>
        </w:tc>
        <w:tc>
          <w:tcPr>
            <w:tcW w:w="3478" w:type="dxa"/>
            <w:vMerge w:val="continue"/>
            <w:tcBorders>
              <w:left w:val="single" w:color="auto" w:sz="4" w:space="0"/>
              <w:right w:val="single" w:color="auto" w:sz="4" w:space="0"/>
            </w:tcBorders>
            <w:noWrap w:val="0"/>
            <w:vAlign w:val="center"/>
          </w:tcPr>
          <w:p w14:paraId="34DBF023">
            <w:pPr>
              <w:pStyle w:val="112"/>
              <w:adjustRightInd w:val="0"/>
              <w:snapToGrid w:val="0"/>
              <w:rPr>
                <w:rFonts w:hint="eastAsia" w:asciiTheme="minorEastAsia" w:hAnsiTheme="minorEastAsia" w:eastAsiaTheme="minorEastAsia" w:cstheme="minorEastAsia"/>
                <w:snapToGrid w:val="0"/>
                <w:color w:val="auto"/>
                <w:kern w:val="0"/>
                <w:sz w:val="24"/>
                <w:szCs w:val="24"/>
                <w:highlight w:val="none"/>
              </w:rPr>
            </w:pPr>
          </w:p>
        </w:tc>
      </w:tr>
      <w:tr w14:paraId="510BFFB2">
        <w:tblPrEx>
          <w:tblCellMar>
            <w:top w:w="0" w:type="dxa"/>
            <w:left w:w="108" w:type="dxa"/>
            <w:bottom w:w="0" w:type="dxa"/>
            <w:right w:w="108" w:type="dxa"/>
          </w:tblCellMar>
        </w:tblPrEx>
        <w:trPr>
          <w:trHeight w:val="457" w:hRule="atLeast"/>
          <w:jc w:val="center"/>
        </w:trPr>
        <w:tc>
          <w:tcPr>
            <w:tcW w:w="1404" w:type="dxa"/>
            <w:tcBorders>
              <w:top w:val="single" w:color="auto" w:sz="4" w:space="0"/>
              <w:left w:val="single" w:color="auto" w:sz="4" w:space="0"/>
              <w:bottom w:val="single" w:color="auto" w:sz="4" w:space="0"/>
              <w:right w:val="single" w:color="auto" w:sz="4" w:space="0"/>
            </w:tcBorders>
            <w:noWrap w:val="0"/>
            <w:vAlign w:val="center"/>
          </w:tcPr>
          <w:p w14:paraId="272849FE">
            <w:pPr>
              <w:pStyle w:val="128"/>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绿色施工、文明施工监理措施</w:t>
            </w:r>
          </w:p>
          <w:p w14:paraId="0D941F54">
            <w:pPr>
              <w:pStyle w:val="128"/>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3</w:t>
            </w:r>
            <w:r>
              <w:rPr>
                <w:rFonts w:hint="eastAsia" w:asciiTheme="minorEastAsia" w:hAnsiTheme="minorEastAsia" w:eastAsiaTheme="minorEastAsia" w:cstheme="minorEastAsia"/>
                <w:color w:val="auto"/>
                <w:sz w:val="24"/>
                <w:szCs w:val="24"/>
                <w:highlight w:val="none"/>
              </w:rPr>
              <w:t>分）</w:t>
            </w:r>
          </w:p>
        </w:tc>
        <w:tc>
          <w:tcPr>
            <w:tcW w:w="4480" w:type="dxa"/>
            <w:tcBorders>
              <w:top w:val="single" w:color="auto" w:sz="4" w:space="0"/>
              <w:left w:val="single" w:color="auto" w:sz="4" w:space="0"/>
              <w:bottom w:val="single" w:color="auto" w:sz="4" w:space="0"/>
              <w:right w:val="single" w:color="auto" w:sz="4" w:space="0"/>
            </w:tcBorders>
            <w:noWrap w:val="0"/>
            <w:vAlign w:val="center"/>
          </w:tcPr>
          <w:p w14:paraId="76139998">
            <w:pPr>
              <w:pStyle w:val="13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【优】得该项评分因素分值的90%～100%（含90%）。</w:t>
            </w:r>
          </w:p>
          <w:p w14:paraId="41592AD3">
            <w:pPr>
              <w:pStyle w:val="13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【良】得该项评分因素分值的80%～90%（含80%）。</w:t>
            </w:r>
          </w:p>
          <w:p w14:paraId="0AA8DCFB">
            <w:pPr>
              <w:pStyle w:val="13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【中】得该项评分因素分值的70%～80%（含70%）。</w:t>
            </w:r>
          </w:p>
          <w:p w14:paraId="1140675F">
            <w:pPr>
              <w:pStyle w:val="11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【差】得该项评分因素分值的60%～70%（含60%）。</w:t>
            </w:r>
          </w:p>
        </w:tc>
        <w:tc>
          <w:tcPr>
            <w:tcW w:w="3478" w:type="dxa"/>
            <w:vMerge w:val="continue"/>
            <w:tcBorders>
              <w:left w:val="single" w:color="auto" w:sz="4" w:space="0"/>
              <w:bottom w:val="single" w:color="auto" w:sz="4" w:space="0"/>
              <w:right w:val="single" w:color="auto" w:sz="4" w:space="0"/>
            </w:tcBorders>
            <w:noWrap w:val="0"/>
            <w:vAlign w:val="center"/>
          </w:tcPr>
          <w:p w14:paraId="56693F8A">
            <w:pPr>
              <w:pStyle w:val="112"/>
              <w:adjustRightInd w:val="0"/>
              <w:snapToGrid w:val="0"/>
              <w:rPr>
                <w:rFonts w:hint="eastAsia" w:asciiTheme="minorEastAsia" w:hAnsiTheme="minorEastAsia" w:eastAsiaTheme="minorEastAsia" w:cstheme="minorEastAsia"/>
                <w:snapToGrid w:val="0"/>
                <w:color w:val="auto"/>
                <w:kern w:val="0"/>
                <w:sz w:val="24"/>
                <w:szCs w:val="24"/>
                <w:highlight w:val="none"/>
              </w:rPr>
            </w:pPr>
          </w:p>
        </w:tc>
      </w:tr>
      <w:tr w14:paraId="5897E972">
        <w:tblPrEx>
          <w:tblCellMar>
            <w:top w:w="0" w:type="dxa"/>
            <w:left w:w="108" w:type="dxa"/>
            <w:bottom w:w="0" w:type="dxa"/>
            <w:right w:w="108" w:type="dxa"/>
          </w:tblCellMar>
        </w:tblPrEx>
        <w:trPr>
          <w:trHeight w:val="457" w:hRule="atLeast"/>
          <w:jc w:val="center"/>
        </w:trPr>
        <w:tc>
          <w:tcPr>
            <w:tcW w:w="1404" w:type="dxa"/>
            <w:tcBorders>
              <w:top w:val="single" w:color="auto" w:sz="4" w:space="0"/>
              <w:left w:val="single" w:color="auto" w:sz="4" w:space="0"/>
              <w:bottom w:val="single" w:color="auto" w:sz="4" w:space="0"/>
              <w:right w:val="single" w:color="auto" w:sz="4" w:space="0"/>
            </w:tcBorders>
            <w:noWrap w:val="0"/>
            <w:vAlign w:val="center"/>
          </w:tcPr>
          <w:p w14:paraId="5B3AD2CC">
            <w:pPr>
              <w:pStyle w:val="128"/>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合同、信息</w:t>
            </w:r>
          </w:p>
          <w:p w14:paraId="556D27FF">
            <w:pPr>
              <w:pStyle w:val="128"/>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管理方案</w:t>
            </w:r>
          </w:p>
          <w:p w14:paraId="7F030ACC">
            <w:pPr>
              <w:pStyle w:val="128"/>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3</w:t>
            </w:r>
            <w:r>
              <w:rPr>
                <w:rFonts w:hint="eastAsia" w:asciiTheme="minorEastAsia" w:hAnsiTheme="minorEastAsia" w:eastAsiaTheme="minorEastAsia" w:cstheme="minorEastAsia"/>
                <w:color w:val="auto"/>
                <w:sz w:val="24"/>
                <w:szCs w:val="24"/>
                <w:highlight w:val="none"/>
              </w:rPr>
              <w:t>分）</w:t>
            </w:r>
          </w:p>
        </w:tc>
        <w:tc>
          <w:tcPr>
            <w:tcW w:w="4480" w:type="dxa"/>
            <w:tcBorders>
              <w:top w:val="single" w:color="auto" w:sz="4" w:space="0"/>
              <w:left w:val="single" w:color="auto" w:sz="4" w:space="0"/>
              <w:bottom w:val="single" w:color="auto" w:sz="4" w:space="0"/>
              <w:right w:val="single" w:color="auto" w:sz="4" w:space="0"/>
            </w:tcBorders>
            <w:noWrap w:val="0"/>
            <w:vAlign w:val="center"/>
          </w:tcPr>
          <w:p w14:paraId="6495701A">
            <w:pPr>
              <w:pStyle w:val="13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【优】得该项评分因素分值的90%～100%（含90%）。</w:t>
            </w:r>
          </w:p>
          <w:p w14:paraId="53162AAE">
            <w:pPr>
              <w:pStyle w:val="13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【良】得该项评分因素分值的80%～90%（含80%）。</w:t>
            </w:r>
          </w:p>
          <w:p w14:paraId="781874AB">
            <w:pPr>
              <w:pStyle w:val="13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【中】得该项评分因素分值的70%～80%（含70%）。</w:t>
            </w:r>
          </w:p>
          <w:p w14:paraId="0C3D840D">
            <w:pPr>
              <w:pStyle w:val="11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【差】得该项评分因素分值的60%～70%（含60%）。</w:t>
            </w:r>
          </w:p>
        </w:tc>
        <w:tc>
          <w:tcPr>
            <w:tcW w:w="3478" w:type="dxa"/>
            <w:tcBorders>
              <w:top w:val="single" w:color="auto" w:sz="4" w:space="0"/>
              <w:left w:val="single" w:color="auto" w:sz="4" w:space="0"/>
              <w:bottom w:val="single" w:color="auto" w:sz="4" w:space="0"/>
              <w:right w:val="single" w:color="auto" w:sz="4" w:space="0"/>
            </w:tcBorders>
            <w:noWrap w:val="0"/>
            <w:vAlign w:val="center"/>
          </w:tcPr>
          <w:p w14:paraId="1FD1079F">
            <w:pPr>
              <w:pStyle w:val="112"/>
              <w:adjustRightInd w:val="0"/>
              <w:snapToGrid w:val="0"/>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要求各项制度规范清晰，方法科学合理，措施及时有效，针对性强。能够切实防范和处理合同纠纷，提升监理工作效能。</w:t>
            </w:r>
          </w:p>
        </w:tc>
      </w:tr>
      <w:tr w14:paraId="3E36EDCC">
        <w:tblPrEx>
          <w:tblCellMar>
            <w:top w:w="0" w:type="dxa"/>
            <w:left w:w="108" w:type="dxa"/>
            <w:bottom w:w="0" w:type="dxa"/>
            <w:right w:w="108" w:type="dxa"/>
          </w:tblCellMar>
        </w:tblPrEx>
        <w:trPr>
          <w:trHeight w:val="457" w:hRule="atLeast"/>
          <w:jc w:val="center"/>
        </w:trPr>
        <w:tc>
          <w:tcPr>
            <w:tcW w:w="1404" w:type="dxa"/>
            <w:tcBorders>
              <w:top w:val="single" w:color="auto" w:sz="4" w:space="0"/>
              <w:left w:val="single" w:color="auto" w:sz="4" w:space="0"/>
              <w:bottom w:val="single" w:color="auto" w:sz="4" w:space="0"/>
              <w:right w:val="single" w:color="auto" w:sz="4" w:space="0"/>
            </w:tcBorders>
            <w:noWrap w:val="0"/>
            <w:vAlign w:val="center"/>
          </w:tcPr>
          <w:p w14:paraId="5B379036">
            <w:pPr>
              <w:pStyle w:val="128"/>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组织协调</w:t>
            </w:r>
          </w:p>
          <w:p w14:paraId="488BEF21">
            <w:pPr>
              <w:pStyle w:val="128"/>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内容及措施</w:t>
            </w:r>
          </w:p>
          <w:p w14:paraId="70751A4F">
            <w:pPr>
              <w:pStyle w:val="128"/>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3</w:t>
            </w:r>
            <w:r>
              <w:rPr>
                <w:rFonts w:hint="eastAsia" w:asciiTheme="minorEastAsia" w:hAnsiTheme="minorEastAsia" w:eastAsiaTheme="minorEastAsia" w:cstheme="minorEastAsia"/>
                <w:color w:val="auto"/>
                <w:sz w:val="24"/>
                <w:szCs w:val="24"/>
                <w:highlight w:val="none"/>
              </w:rPr>
              <w:t>分）</w:t>
            </w:r>
          </w:p>
        </w:tc>
        <w:tc>
          <w:tcPr>
            <w:tcW w:w="4480" w:type="dxa"/>
            <w:tcBorders>
              <w:top w:val="single" w:color="auto" w:sz="4" w:space="0"/>
              <w:left w:val="single" w:color="auto" w:sz="4" w:space="0"/>
              <w:bottom w:val="single" w:color="auto" w:sz="4" w:space="0"/>
              <w:right w:val="single" w:color="auto" w:sz="4" w:space="0"/>
            </w:tcBorders>
            <w:noWrap w:val="0"/>
            <w:vAlign w:val="center"/>
          </w:tcPr>
          <w:p w14:paraId="162F99DE">
            <w:pPr>
              <w:pStyle w:val="13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【优】得该项评分因素分值的90%～100%（含90%）。</w:t>
            </w:r>
          </w:p>
          <w:p w14:paraId="65F246CE">
            <w:pPr>
              <w:pStyle w:val="13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【良】得该项评分因素分值的80%～90%（含80%）。</w:t>
            </w:r>
          </w:p>
          <w:p w14:paraId="62F0B149">
            <w:pPr>
              <w:pStyle w:val="13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【中】得该项评分因素分值的70%～80%（含70%）。</w:t>
            </w:r>
          </w:p>
          <w:p w14:paraId="0FC58877">
            <w:pPr>
              <w:pStyle w:val="11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【差】得该项评分因素分值的60%～70%（含60%）。</w:t>
            </w:r>
          </w:p>
        </w:tc>
        <w:tc>
          <w:tcPr>
            <w:tcW w:w="3478" w:type="dxa"/>
            <w:tcBorders>
              <w:top w:val="single" w:color="auto" w:sz="4" w:space="0"/>
              <w:left w:val="single" w:color="auto" w:sz="4" w:space="0"/>
              <w:bottom w:val="single" w:color="auto" w:sz="4" w:space="0"/>
              <w:right w:val="single" w:color="auto" w:sz="4" w:space="0"/>
            </w:tcBorders>
            <w:noWrap w:val="0"/>
            <w:vAlign w:val="center"/>
          </w:tcPr>
          <w:p w14:paraId="43DFE73D">
            <w:pPr>
              <w:pStyle w:val="112"/>
              <w:adjustRightInd w:val="0"/>
              <w:snapToGrid w:val="0"/>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要求各项制度规范清晰，方法科学合理，措施及时有效，针对性强。能够高效收集、协调、处理、反馈各方各类问题。</w:t>
            </w:r>
          </w:p>
        </w:tc>
      </w:tr>
      <w:tr w14:paraId="22997BEC">
        <w:tblPrEx>
          <w:tblCellMar>
            <w:top w:w="0" w:type="dxa"/>
            <w:left w:w="108" w:type="dxa"/>
            <w:bottom w:w="0" w:type="dxa"/>
            <w:right w:w="108" w:type="dxa"/>
          </w:tblCellMar>
        </w:tblPrEx>
        <w:trPr>
          <w:trHeight w:val="457" w:hRule="atLeast"/>
          <w:jc w:val="center"/>
        </w:trPr>
        <w:tc>
          <w:tcPr>
            <w:tcW w:w="1404" w:type="dxa"/>
            <w:tcBorders>
              <w:top w:val="single" w:color="auto" w:sz="4" w:space="0"/>
              <w:left w:val="single" w:color="auto" w:sz="4" w:space="0"/>
              <w:bottom w:val="single" w:color="auto" w:sz="4" w:space="0"/>
              <w:right w:val="single" w:color="auto" w:sz="4" w:space="0"/>
            </w:tcBorders>
            <w:noWrap w:val="0"/>
            <w:vAlign w:val="center"/>
          </w:tcPr>
          <w:p w14:paraId="42B0905F">
            <w:pPr>
              <w:pStyle w:val="128"/>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监理工作重点、难点分析</w:t>
            </w:r>
          </w:p>
          <w:p w14:paraId="0B0849BE">
            <w:pPr>
              <w:pStyle w:val="128"/>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3</w:t>
            </w:r>
            <w:r>
              <w:rPr>
                <w:rFonts w:hint="eastAsia" w:asciiTheme="minorEastAsia" w:hAnsiTheme="minorEastAsia" w:eastAsiaTheme="minorEastAsia" w:cstheme="minorEastAsia"/>
                <w:color w:val="auto"/>
                <w:sz w:val="24"/>
                <w:szCs w:val="24"/>
                <w:highlight w:val="none"/>
              </w:rPr>
              <w:t>分）</w:t>
            </w:r>
          </w:p>
        </w:tc>
        <w:tc>
          <w:tcPr>
            <w:tcW w:w="4480" w:type="dxa"/>
            <w:tcBorders>
              <w:top w:val="single" w:color="auto" w:sz="4" w:space="0"/>
              <w:left w:val="single" w:color="auto" w:sz="4" w:space="0"/>
              <w:bottom w:val="single" w:color="auto" w:sz="4" w:space="0"/>
              <w:right w:val="single" w:color="auto" w:sz="4" w:space="0"/>
            </w:tcBorders>
            <w:noWrap w:val="0"/>
            <w:vAlign w:val="center"/>
          </w:tcPr>
          <w:p w14:paraId="0A2A7BD3">
            <w:pPr>
              <w:pStyle w:val="13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【优】得该项评分因素分值的90%～100%（含90%）。</w:t>
            </w:r>
          </w:p>
          <w:p w14:paraId="1A97F8C9">
            <w:pPr>
              <w:pStyle w:val="13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【良】得该项评分因素分值的80%～90%（含80%）。</w:t>
            </w:r>
          </w:p>
          <w:p w14:paraId="1220F38E">
            <w:pPr>
              <w:pStyle w:val="13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【中】得该项评分因素分值的70%～80%（含70%）。</w:t>
            </w:r>
          </w:p>
          <w:p w14:paraId="3D8C84B1">
            <w:pPr>
              <w:pStyle w:val="11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【差】得该项评分因素分值的60%～70%（含60%）。</w:t>
            </w:r>
          </w:p>
        </w:tc>
        <w:tc>
          <w:tcPr>
            <w:tcW w:w="3478" w:type="dxa"/>
            <w:tcBorders>
              <w:top w:val="single" w:color="auto" w:sz="4" w:space="0"/>
              <w:left w:val="single" w:color="auto" w:sz="4" w:space="0"/>
              <w:bottom w:val="single" w:color="auto" w:sz="4" w:space="0"/>
              <w:right w:val="single" w:color="auto" w:sz="4" w:space="0"/>
            </w:tcBorders>
            <w:noWrap w:val="0"/>
            <w:vAlign w:val="center"/>
          </w:tcPr>
          <w:p w14:paraId="6AA31BFC">
            <w:pPr>
              <w:pStyle w:val="112"/>
              <w:adjustRightInd w:val="0"/>
              <w:snapToGrid w:val="0"/>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要求方法可行、措施具体、针对性强。</w:t>
            </w:r>
          </w:p>
        </w:tc>
      </w:tr>
      <w:tr w14:paraId="13382224">
        <w:tblPrEx>
          <w:tblCellMar>
            <w:top w:w="0" w:type="dxa"/>
            <w:left w:w="108" w:type="dxa"/>
            <w:bottom w:w="0" w:type="dxa"/>
            <w:right w:w="108" w:type="dxa"/>
          </w:tblCellMar>
        </w:tblPrEx>
        <w:trPr>
          <w:trHeight w:val="457" w:hRule="atLeast"/>
          <w:jc w:val="center"/>
        </w:trPr>
        <w:tc>
          <w:tcPr>
            <w:tcW w:w="1404" w:type="dxa"/>
            <w:tcBorders>
              <w:top w:val="single" w:color="auto" w:sz="4" w:space="0"/>
              <w:left w:val="single" w:color="auto" w:sz="4" w:space="0"/>
              <w:bottom w:val="single" w:color="auto" w:sz="4" w:space="0"/>
              <w:right w:val="single" w:color="auto" w:sz="4" w:space="0"/>
            </w:tcBorders>
            <w:noWrap w:val="0"/>
            <w:vAlign w:val="center"/>
          </w:tcPr>
          <w:p w14:paraId="37604B82">
            <w:pPr>
              <w:pStyle w:val="128"/>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合理化建议</w:t>
            </w:r>
          </w:p>
          <w:p w14:paraId="0788BF0E">
            <w:pPr>
              <w:pStyle w:val="128"/>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3</w:t>
            </w:r>
            <w:r>
              <w:rPr>
                <w:rFonts w:hint="eastAsia" w:asciiTheme="minorEastAsia" w:hAnsiTheme="minorEastAsia" w:eastAsiaTheme="minorEastAsia" w:cstheme="minorEastAsia"/>
                <w:color w:val="auto"/>
                <w:sz w:val="24"/>
                <w:szCs w:val="24"/>
                <w:highlight w:val="none"/>
              </w:rPr>
              <w:t>分）</w:t>
            </w:r>
          </w:p>
        </w:tc>
        <w:tc>
          <w:tcPr>
            <w:tcW w:w="4480" w:type="dxa"/>
            <w:tcBorders>
              <w:top w:val="single" w:color="auto" w:sz="4" w:space="0"/>
              <w:left w:val="single" w:color="auto" w:sz="4" w:space="0"/>
              <w:bottom w:val="single" w:color="auto" w:sz="4" w:space="0"/>
              <w:right w:val="single" w:color="auto" w:sz="4" w:space="0"/>
            </w:tcBorders>
            <w:noWrap w:val="0"/>
            <w:vAlign w:val="center"/>
          </w:tcPr>
          <w:p w14:paraId="1FACCB20">
            <w:pPr>
              <w:pStyle w:val="13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【优】得该项评分因素分值的90%～100%（含90%）。</w:t>
            </w:r>
          </w:p>
          <w:p w14:paraId="79A25D12">
            <w:pPr>
              <w:pStyle w:val="13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【良】得该项评分因素分值的80%～90%（含80%）。</w:t>
            </w:r>
          </w:p>
          <w:p w14:paraId="2064F32C">
            <w:pPr>
              <w:pStyle w:val="13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【中】得该项评分因素分值的70%～80%（含70%）。</w:t>
            </w:r>
          </w:p>
          <w:p w14:paraId="186CC8C2">
            <w:pPr>
              <w:pStyle w:val="11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【差】得该项评分因素分值的60%～70%（含60%）。</w:t>
            </w:r>
          </w:p>
        </w:tc>
        <w:tc>
          <w:tcPr>
            <w:tcW w:w="3478" w:type="dxa"/>
            <w:tcBorders>
              <w:top w:val="single" w:color="auto" w:sz="4" w:space="0"/>
              <w:left w:val="single" w:color="auto" w:sz="4" w:space="0"/>
              <w:bottom w:val="single" w:color="auto" w:sz="4" w:space="0"/>
              <w:right w:val="single" w:color="auto" w:sz="4" w:space="0"/>
            </w:tcBorders>
            <w:noWrap w:val="0"/>
            <w:vAlign w:val="center"/>
          </w:tcPr>
          <w:p w14:paraId="3CA9CB5C">
            <w:pPr>
              <w:pStyle w:val="112"/>
              <w:adjustRightInd w:val="0"/>
              <w:snapToGrid w:val="0"/>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要求方法可行、措施具体、针对性强。</w:t>
            </w:r>
          </w:p>
        </w:tc>
      </w:tr>
      <w:tr w14:paraId="7B745AA9">
        <w:tblPrEx>
          <w:tblCellMar>
            <w:top w:w="0" w:type="dxa"/>
            <w:left w:w="108" w:type="dxa"/>
            <w:bottom w:w="0" w:type="dxa"/>
            <w:right w:w="108" w:type="dxa"/>
          </w:tblCellMar>
        </w:tblPrEx>
        <w:trPr>
          <w:trHeight w:val="624" w:hRule="exact"/>
          <w:jc w:val="center"/>
        </w:trPr>
        <w:tc>
          <w:tcPr>
            <w:tcW w:w="9362" w:type="dxa"/>
            <w:gridSpan w:val="3"/>
            <w:tcBorders>
              <w:top w:val="single" w:color="auto" w:sz="4" w:space="0"/>
              <w:left w:val="single" w:color="auto" w:sz="4" w:space="0"/>
              <w:bottom w:val="single" w:color="auto" w:sz="4" w:space="0"/>
              <w:right w:val="single" w:color="auto" w:sz="4" w:space="0"/>
            </w:tcBorders>
            <w:shd w:val="clear" w:color="auto" w:fill="D9D9D9"/>
            <w:noWrap w:val="0"/>
            <w:vAlign w:val="center"/>
          </w:tcPr>
          <w:p w14:paraId="32BD1E65">
            <w:pPr>
              <w:pStyle w:val="112"/>
              <w:adjustRightInd w:val="0"/>
              <w:snapToGrid w:val="0"/>
              <w:spacing w:line="360" w:lineRule="exact"/>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投标报价部分，满分：</w:t>
            </w:r>
            <w:r>
              <w:rPr>
                <w:rFonts w:hint="eastAsia" w:asciiTheme="minorEastAsia" w:hAnsiTheme="minorEastAsia" w:eastAsiaTheme="minorEastAsia" w:cstheme="minorEastAsia"/>
                <w:snapToGrid w:val="0"/>
                <w:color w:val="auto"/>
                <w:kern w:val="0"/>
                <w:sz w:val="24"/>
                <w:szCs w:val="24"/>
                <w:highlight w:val="none"/>
                <w:u w:val="single"/>
                <w:lang w:val="en-US" w:eastAsia="zh-CN"/>
              </w:rPr>
              <w:t>2</w:t>
            </w:r>
            <w:r>
              <w:rPr>
                <w:rFonts w:hint="eastAsia" w:asciiTheme="minorEastAsia" w:hAnsiTheme="minorEastAsia" w:eastAsiaTheme="minorEastAsia" w:cstheme="minorEastAsia"/>
                <w:snapToGrid w:val="0"/>
                <w:color w:val="auto"/>
                <w:kern w:val="0"/>
                <w:sz w:val="24"/>
                <w:szCs w:val="24"/>
                <w:highlight w:val="none"/>
                <w:u w:val="single"/>
              </w:rPr>
              <w:t>0</w:t>
            </w:r>
            <w:r>
              <w:rPr>
                <w:rFonts w:hint="eastAsia" w:asciiTheme="minorEastAsia" w:hAnsiTheme="minorEastAsia" w:eastAsiaTheme="minorEastAsia" w:cstheme="minorEastAsia"/>
                <w:snapToGrid w:val="0"/>
                <w:color w:val="auto"/>
                <w:kern w:val="0"/>
                <w:sz w:val="24"/>
                <w:szCs w:val="24"/>
                <w:highlight w:val="none"/>
              </w:rPr>
              <w:t>分。</w:t>
            </w:r>
          </w:p>
        </w:tc>
      </w:tr>
      <w:tr w14:paraId="67EF008C">
        <w:tblPrEx>
          <w:tblCellMar>
            <w:top w:w="0" w:type="dxa"/>
            <w:left w:w="108" w:type="dxa"/>
            <w:bottom w:w="0" w:type="dxa"/>
            <w:right w:w="108" w:type="dxa"/>
          </w:tblCellMar>
        </w:tblPrEx>
        <w:trPr>
          <w:trHeight w:val="624" w:hRule="exact"/>
          <w:jc w:val="center"/>
        </w:trPr>
        <w:tc>
          <w:tcPr>
            <w:tcW w:w="1404" w:type="dxa"/>
            <w:tcBorders>
              <w:top w:val="single" w:color="auto" w:sz="4" w:space="0"/>
              <w:left w:val="single" w:color="auto" w:sz="4" w:space="0"/>
              <w:bottom w:val="single" w:color="auto" w:sz="4" w:space="0"/>
              <w:right w:val="single" w:color="auto" w:sz="4" w:space="0"/>
            </w:tcBorders>
            <w:noWrap w:val="0"/>
            <w:vAlign w:val="center"/>
          </w:tcPr>
          <w:p w14:paraId="7616B204">
            <w:pPr>
              <w:pStyle w:val="12"/>
              <w:adjustRightInd w:val="0"/>
              <w:snapToGrid w:val="0"/>
              <w:spacing w:after="0" w:line="36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评分事项</w:t>
            </w:r>
          </w:p>
        </w:tc>
        <w:tc>
          <w:tcPr>
            <w:tcW w:w="7958" w:type="dxa"/>
            <w:gridSpan w:val="2"/>
            <w:tcBorders>
              <w:top w:val="single" w:color="auto" w:sz="4" w:space="0"/>
              <w:left w:val="single" w:color="auto" w:sz="4" w:space="0"/>
              <w:bottom w:val="single" w:color="auto" w:sz="4" w:space="0"/>
              <w:right w:val="single" w:color="auto" w:sz="4" w:space="0"/>
            </w:tcBorders>
            <w:noWrap w:val="0"/>
            <w:vAlign w:val="center"/>
          </w:tcPr>
          <w:p w14:paraId="301D3791">
            <w:pPr>
              <w:pStyle w:val="12"/>
              <w:adjustRightInd w:val="0"/>
              <w:snapToGrid w:val="0"/>
              <w:spacing w:after="0" w:line="36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评分方法</w:t>
            </w:r>
          </w:p>
        </w:tc>
      </w:tr>
      <w:tr w14:paraId="4A7A1B46">
        <w:tblPrEx>
          <w:tblCellMar>
            <w:top w:w="0" w:type="dxa"/>
            <w:left w:w="108" w:type="dxa"/>
            <w:bottom w:w="0" w:type="dxa"/>
            <w:right w:w="108" w:type="dxa"/>
          </w:tblCellMar>
        </w:tblPrEx>
        <w:trPr>
          <w:trHeight w:val="90" w:hRule="atLeast"/>
          <w:jc w:val="center"/>
        </w:trPr>
        <w:tc>
          <w:tcPr>
            <w:tcW w:w="1404" w:type="dxa"/>
            <w:tcBorders>
              <w:top w:val="single" w:color="auto" w:sz="4" w:space="0"/>
              <w:left w:val="single" w:color="auto" w:sz="4" w:space="0"/>
              <w:bottom w:val="single" w:color="auto" w:sz="4" w:space="0"/>
              <w:right w:val="single" w:color="auto" w:sz="4" w:space="0"/>
            </w:tcBorders>
            <w:noWrap w:val="0"/>
            <w:vAlign w:val="center"/>
          </w:tcPr>
          <w:p w14:paraId="67A2C34F">
            <w:pPr>
              <w:pStyle w:val="128"/>
              <w:adjustRightInd w:val="0"/>
              <w:snapToGrid w:val="0"/>
              <w:spacing w:line="36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评标基准价D</w:t>
            </w:r>
          </w:p>
        </w:tc>
        <w:tc>
          <w:tcPr>
            <w:tcW w:w="7958" w:type="dxa"/>
            <w:gridSpan w:val="2"/>
            <w:tcBorders>
              <w:top w:val="single" w:color="auto" w:sz="4" w:space="0"/>
              <w:left w:val="single" w:color="auto" w:sz="4" w:space="0"/>
              <w:bottom w:val="single" w:color="auto" w:sz="4" w:space="0"/>
              <w:right w:val="single" w:color="auto" w:sz="4" w:space="0"/>
            </w:tcBorders>
            <w:noWrap w:val="0"/>
            <w:vAlign w:val="center"/>
          </w:tcPr>
          <w:p w14:paraId="7AECFF82">
            <w:pPr>
              <w:numPr>
                <w:ilvl w:val="0"/>
                <w:numId w:val="1"/>
              </w:numPr>
              <w:adjustRightInd w:val="0"/>
              <w:snapToGrid w:val="0"/>
              <w:spacing w:line="360" w:lineRule="exact"/>
              <w:ind w:left="60" w:leftChars="0" w:firstLine="420" w:firstLineChars="0"/>
              <w:jc w:val="left"/>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确定最高投标限价下浮系数n：用1～21号球分别代表一个下浮系数，由评委代表从这21个号码中随机抽取</w:t>
            </w:r>
            <w:r>
              <w:rPr>
                <w:rFonts w:hint="eastAsia" w:asciiTheme="minorEastAsia" w:hAnsiTheme="minorEastAsia" w:eastAsiaTheme="minorEastAsia" w:cstheme="minorEastAsia"/>
                <w:snapToGrid w:val="0"/>
                <w:color w:val="auto"/>
                <w:kern w:val="0"/>
                <w:sz w:val="24"/>
                <w:szCs w:val="24"/>
                <w:highlight w:val="none"/>
                <w:u w:val="single"/>
              </w:rPr>
              <w:t xml:space="preserve"> 3 </w:t>
            </w:r>
            <w:r>
              <w:rPr>
                <w:rFonts w:hint="eastAsia" w:asciiTheme="minorEastAsia" w:hAnsiTheme="minorEastAsia" w:eastAsiaTheme="minorEastAsia" w:cstheme="minorEastAsia"/>
                <w:snapToGrid w:val="0"/>
                <w:color w:val="auto"/>
                <w:kern w:val="0"/>
                <w:sz w:val="24"/>
                <w:szCs w:val="24"/>
                <w:highlight w:val="none"/>
              </w:rPr>
              <w:t>次，抽出的号球不参与下次抽取，每次抽取1个号码，所抽取的3个号码对应下浮系数的算术平均值作为最高投标限价下浮系数n。具体号码对应的下浮系数可参考下表。</w:t>
            </w:r>
          </w:p>
          <w:p w14:paraId="30C4A8E0">
            <w:pPr>
              <w:pStyle w:val="42"/>
              <w:spacing w:line="360" w:lineRule="exact"/>
              <w:jc w:val="both"/>
              <w:rPr>
                <w:rFonts w:hint="eastAsia" w:asciiTheme="minorEastAsia" w:hAnsiTheme="minorEastAsia" w:eastAsiaTheme="minorEastAsia" w:cstheme="minorEastAsia"/>
                <w:color w:val="auto"/>
                <w:sz w:val="24"/>
                <w:szCs w:val="24"/>
                <w:highlight w:val="none"/>
              </w:rPr>
            </w:pPr>
          </w:p>
          <w:tbl>
            <w:tblPr>
              <w:tblStyle w:val="31"/>
              <w:tblW w:w="0" w:type="auto"/>
              <w:tblInd w:w="113" w:type="dxa"/>
              <w:tblLayout w:type="fixed"/>
              <w:tblCellMar>
                <w:top w:w="0" w:type="dxa"/>
                <w:left w:w="108" w:type="dxa"/>
                <w:bottom w:w="0" w:type="dxa"/>
                <w:right w:w="108" w:type="dxa"/>
              </w:tblCellMar>
            </w:tblPr>
            <w:tblGrid>
              <w:gridCol w:w="1316"/>
              <w:gridCol w:w="747"/>
              <w:gridCol w:w="903"/>
              <w:gridCol w:w="900"/>
              <w:gridCol w:w="990"/>
              <w:gridCol w:w="750"/>
              <w:gridCol w:w="870"/>
              <w:gridCol w:w="855"/>
            </w:tblGrid>
            <w:tr w14:paraId="5C2918DA">
              <w:tblPrEx>
                <w:tblCellMar>
                  <w:top w:w="0" w:type="dxa"/>
                  <w:left w:w="108" w:type="dxa"/>
                  <w:bottom w:w="0" w:type="dxa"/>
                  <w:right w:w="108" w:type="dxa"/>
                </w:tblCellMar>
              </w:tblPrEx>
              <w:trPr>
                <w:trHeight w:val="505" w:hRule="atLeast"/>
              </w:trPr>
              <w:tc>
                <w:tcPr>
                  <w:tcW w:w="1316" w:type="dxa"/>
                  <w:tcBorders>
                    <w:top w:val="single" w:color="000000" w:sz="4" w:space="0"/>
                    <w:left w:val="single" w:color="000000" w:sz="4" w:space="0"/>
                    <w:bottom w:val="single" w:color="000000" w:sz="4" w:space="0"/>
                    <w:right w:val="single" w:color="000000" w:sz="4" w:space="0"/>
                  </w:tcBorders>
                  <w:noWrap w:val="0"/>
                  <w:vAlign w:val="center"/>
                </w:tcPr>
                <w:p w14:paraId="1ED07A80">
                  <w:pPr>
                    <w:adjustRightInd w:val="0"/>
                    <w:snapToGrid w:val="0"/>
                    <w:spacing w:line="360" w:lineRule="exact"/>
                    <w:jc w:val="center"/>
                    <w:rPr>
                      <w:rFonts w:hint="eastAsia" w:asciiTheme="minorEastAsia" w:hAnsiTheme="minorEastAsia" w:eastAsiaTheme="minorEastAsia" w:cstheme="minorEastAsia"/>
                      <w:b/>
                      <w:snapToGrid w:val="0"/>
                      <w:color w:val="auto"/>
                      <w:kern w:val="0"/>
                      <w:sz w:val="24"/>
                      <w:szCs w:val="24"/>
                      <w:highlight w:val="none"/>
                    </w:rPr>
                  </w:pPr>
                  <w:r>
                    <w:rPr>
                      <w:rFonts w:hint="eastAsia" w:asciiTheme="minorEastAsia" w:hAnsiTheme="minorEastAsia" w:eastAsiaTheme="minorEastAsia" w:cstheme="minorEastAsia"/>
                      <w:b/>
                      <w:snapToGrid w:val="0"/>
                      <w:color w:val="auto"/>
                      <w:kern w:val="0"/>
                      <w:sz w:val="24"/>
                      <w:szCs w:val="24"/>
                      <w:highlight w:val="none"/>
                    </w:rPr>
                    <w:t>号球</w:t>
                  </w:r>
                </w:p>
              </w:tc>
              <w:tc>
                <w:tcPr>
                  <w:tcW w:w="747" w:type="dxa"/>
                  <w:tcBorders>
                    <w:top w:val="single" w:color="000000" w:sz="4" w:space="0"/>
                    <w:left w:val="single" w:color="000000" w:sz="4" w:space="0"/>
                    <w:bottom w:val="single" w:color="000000" w:sz="4" w:space="0"/>
                    <w:right w:val="single" w:color="000000" w:sz="4" w:space="0"/>
                  </w:tcBorders>
                  <w:noWrap w:val="0"/>
                  <w:vAlign w:val="center"/>
                </w:tcPr>
                <w:p w14:paraId="0372BB8C">
                  <w:pPr>
                    <w:adjustRightInd w:val="0"/>
                    <w:snapToGrid w:val="0"/>
                    <w:spacing w:line="36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1</w:t>
                  </w:r>
                </w:p>
              </w:tc>
              <w:tc>
                <w:tcPr>
                  <w:tcW w:w="903" w:type="dxa"/>
                  <w:tcBorders>
                    <w:top w:val="single" w:color="000000" w:sz="4" w:space="0"/>
                    <w:left w:val="single" w:color="000000" w:sz="4" w:space="0"/>
                    <w:bottom w:val="single" w:color="000000" w:sz="4" w:space="0"/>
                    <w:right w:val="single" w:color="000000" w:sz="4" w:space="0"/>
                  </w:tcBorders>
                  <w:noWrap w:val="0"/>
                  <w:vAlign w:val="center"/>
                </w:tcPr>
                <w:p w14:paraId="6AE1C96D">
                  <w:pPr>
                    <w:adjustRightInd w:val="0"/>
                    <w:snapToGrid w:val="0"/>
                    <w:spacing w:line="36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2</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10037736">
                  <w:pPr>
                    <w:adjustRightInd w:val="0"/>
                    <w:snapToGrid w:val="0"/>
                    <w:spacing w:line="36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3</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1DE6847C">
                  <w:pPr>
                    <w:adjustRightInd w:val="0"/>
                    <w:snapToGrid w:val="0"/>
                    <w:spacing w:line="36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4</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C2DD3A3">
                  <w:pPr>
                    <w:adjustRightInd w:val="0"/>
                    <w:snapToGrid w:val="0"/>
                    <w:spacing w:line="36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5</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14:paraId="3BCBFA05">
                  <w:pPr>
                    <w:adjustRightInd w:val="0"/>
                    <w:snapToGrid w:val="0"/>
                    <w:spacing w:line="36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6</w:t>
                  </w:r>
                </w:p>
              </w:tc>
              <w:tc>
                <w:tcPr>
                  <w:tcW w:w="855" w:type="dxa"/>
                  <w:tcBorders>
                    <w:top w:val="single" w:color="000000" w:sz="4" w:space="0"/>
                    <w:left w:val="single" w:color="000000" w:sz="4" w:space="0"/>
                    <w:bottom w:val="single" w:color="000000" w:sz="4" w:space="0"/>
                    <w:right w:val="single" w:color="000000" w:sz="4" w:space="0"/>
                  </w:tcBorders>
                  <w:noWrap w:val="0"/>
                  <w:vAlign w:val="center"/>
                </w:tcPr>
                <w:p w14:paraId="30AFAF3E">
                  <w:pPr>
                    <w:adjustRightInd w:val="0"/>
                    <w:snapToGrid w:val="0"/>
                    <w:spacing w:line="36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7</w:t>
                  </w:r>
                </w:p>
              </w:tc>
            </w:tr>
            <w:tr w14:paraId="4A92A4E2">
              <w:tblPrEx>
                <w:tblCellMar>
                  <w:top w:w="0" w:type="dxa"/>
                  <w:left w:w="108" w:type="dxa"/>
                  <w:bottom w:w="0" w:type="dxa"/>
                  <w:right w:w="108" w:type="dxa"/>
                </w:tblCellMar>
              </w:tblPrEx>
              <w:trPr>
                <w:trHeight w:val="562" w:hRule="atLeast"/>
              </w:trPr>
              <w:tc>
                <w:tcPr>
                  <w:tcW w:w="1316" w:type="dxa"/>
                  <w:tcBorders>
                    <w:top w:val="single" w:color="000000" w:sz="4" w:space="0"/>
                    <w:left w:val="single" w:color="000000" w:sz="4" w:space="0"/>
                    <w:bottom w:val="single" w:color="000000" w:sz="4" w:space="0"/>
                    <w:right w:val="single" w:color="000000" w:sz="4" w:space="0"/>
                  </w:tcBorders>
                  <w:noWrap w:val="0"/>
                  <w:vAlign w:val="center"/>
                </w:tcPr>
                <w:p w14:paraId="22E90966">
                  <w:pPr>
                    <w:adjustRightInd w:val="0"/>
                    <w:snapToGrid w:val="0"/>
                    <w:spacing w:line="36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下浮系数（%）</w:t>
                  </w:r>
                </w:p>
              </w:tc>
              <w:tc>
                <w:tcPr>
                  <w:tcW w:w="747" w:type="dxa"/>
                  <w:tcBorders>
                    <w:top w:val="single" w:color="000000" w:sz="4" w:space="0"/>
                    <w:left w:val="single" w:color="000000" w:sz="4" w:space="0"/>
                    <w:bottom w:val="single" w:color="000000" w:sz="4" w:space="0"/>
                    <w:right w:val="single" w:color="000000" w:sz="4" w:space="0"/>
                  </w:tcBorders>
                  <w:noWrap w:val="0"/>
                  <w:vAlign w:val="center"/>
                </w:tcPr>
                <w:p w14:paraId="0F5832D2">
                  <w:pPr>
                    <w:adjustRightInd w:val="0"/>
                    <w:snapToGrid w:val="0"/>
                    <w:spacing w:line="36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0.1</w:t>
                  </w:r>
                </w:p>
              </w:tc>
              <w:tc>
                <w:tcPr>
                  <w:tcW w:w="903" w:type="dxa"/>
                  <w:tcBorders>
                    <w:top w:val="single" w:color="000000" w:sz="4" w:space="0"/>
                    <w:left w:val="single" w:color="000000" w:sz="4" w:space="0"/>
                    <w:bottom w:val="single" w:color="000000" w:sz="4" w:space="0"/>
                    <w:right w:val="single" w:color="000000" w:sz="4" w:space="0"/>
                  </w:tcBorders>
                  <w:noWrap w:val="0"/>
                  <w:vAlign w:val="center"/>
                </w:tcPr>
                <w:p w14:paraId="2871C55A">
                  <w:pPr>
                    <w:adjustRightInd w:val="0"/>
                    <w:snapToGrid w:val="0"/>
                    <w:spacing w:line="36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0.2</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3D0BFEA0">
                  <w:pPr>
                    <w:adjustRightInd w:val="0"/>
                    <w:snapToGrid w:val="0"/>
                    <w:spacing w:line="36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0.3</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04CD984E">
                  <w:pPr>
                    <w:adjustRightInd w:val="0"/>
                    <w:snapToGrid w:val="0"/>
                    <w:spacing w:line="36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0.4</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D7C0CB2">
                  <w:pPr>
                    <w:adjustRightInd w:val="0"/>
                    <w:snapToGrid w:val="0"/>
                    <w:spacing w:line="36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0.5</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14:paraId="6E8FA84D">
                  <w:pPr>
                    <w:adjustRightInd w:val="0"/>
                    <w:snapToGrid w:val="0"/>
                    <w:spacing w:line="36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0.6</w:t>
                  </w:r>
                </w:p>
              </w:tc>
              <w:tc>
                <w:tcPr>
                  <w:tcW w:w="855" w:type="dxa"/>
                  <w:tcBorders>
                    <w:top w:val="single" w:color="000000" w:sz="4" w:space="0"/>
                    <w:left w:val="single" w:color="000000" w:sz="4" w:space="0"/>
                    <w:bottom w:val="single" w:color="000000" w:sz="4" w:space="0"/>
                    <w:right w:val="single" w:color="000000" w:sz="4" w:space="0"/>
                  </w:tcBorders>
                  <w:noWrap w:val="0"/>
                  <w:vAlign w:val="center"/>
                </w:tcPr>
                <w:p w14:paraId="416E57E3">
                  <w:pPr>
                    <w:adjustRightInd w:val="0"/>
                    <w:snapToGrid w:val="0"/>
                    <w:spacing w:line="36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0.7</w:t>
                  </w:r>
                </w:p>
              </w:tc>
            </w:tr>
            <w:tr w14:paraId="2EA7B435">
              <w:tblPrEx>
                <w:tblCellMar>
                  <w:top w:w="0" w:type="dxa"/>
                  <w:left w:w="108" w:type="dxa"/>
                  <w:bottom w:w="0" w:type="dxa"/>
                  <w:right w:w="108" w:type="dxa"/>
                </w:tblCellMar>
              </w:tblPrEx>
              <w:trPr>
                <w:trHeight w:val="515" w:hRule="atLeast"/>
              </w:trPr>
              <w:tc>
                <w:tcPr>
                  <w:tcW w:w="1316" w:type="dxa"/>
                  <w:tcBorders>
                    <w:top w:val="single" w:color="000000" w:sz="4" w:space="0"/>
                    <w:left w:val="single" w:color="000000" w:sz="4" w:space="0"/>
                    <w:bottom w:val="single" w:color="000000" w:sz="4" w:space="0"/>
                    <w:right w:val="single" w:color="000000" w:sz="4" w:space="0"/>
                  </w:tcBorders>
                  <w:noWrap w:val="0"/>
                  <w:vAlign w:val="center"/>
                </w:tcPr>
                <w:p w14:paraId="6FAC620E">
                  <w:pPr>
                    <w:adjustRightInd w:val="0"/>
                    <w:snapToGrid w:val="0"/>
                    <w:spacing w:line="360" w:lineRule="exact"/>
                    <w:jc w:val="center"/>
                    <w:rPr>
                      <w:rFonts w:hint="eastAsia" w:asciiTheme="minorEastAsia" w:hAnsiTheme="minorEastAsia" w:eastAsiaTheme="minorEastAsia" w:cstheme="minorEastAsia"/>
                      <w:b/>
                      <w:snapToGrid w:val="0"/>
                      <w:color w:val="auto"/>
                      <w:kern w:val="0"/>
                      <w:sz w:val="24"/>
                      <w:szCs w:val="24"/>
                      <w:highlight w:val="none"/>
                    </w:rPr>
                  </w:pPr>
                  <w:r>
                    <w:rPr>
                      <w:rFonts w:hint="eastAsia" w:asciiTheme="minorEastAsia" w:hAnsiTheme="minorEastAsia" w:eastAsiaTheme="minorEastAsia" w:cstheme="minorEastAsia"/>
                      <w:b/>
                      <w:snapToGrid w:val="0"/>
                      <w:color w:val="auto"/>
                      <w:kern w:val="0"/>
                      <w:sz w:val="24"/>
                      <w:szCs w:val="24"/>
                      <w:highlight w:val="none"/>
                    </w:rPr>
                    <w:t>号球</w:t>
                  </w:r>
                </w:p>
              </w:tc>
              <w:tc>
                <w:tcPr>
                  <w:tcW w:w="747" w:type="dxa"/>
                  <w:tcBorders>
                    <w:top w:val="single" w:color="000000" w:sz="4" w:space="0"/>
                    <w:left w:val="single" w:color="000000" w:sz="4" w:space="0"/>
                    <w:bottom w:val="single" w:color="000000" w:sz="4" w:space="0"/>
                    <w:right w:val="single" w:color="000000" w:sz="4" w:space="0"/>
                  </w:tcBorders>
                  <w:noWrap w:val="0"/>
                  <w:vAlign w:val="center"/>
                </w:tcPr>
                <w:p w14:paraId="1A10B8E7">
                  <w:pPr>
                    <w:adjustRightInd w:val="0"/>
                    <w:snapToGrid w:val="0"/>
                    <w:spacing w:line="36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8</w:t>
                  </w:r>
                </w:p>
              </w:tc>
              <w:tc>
                <w:tcPr>
                  <w:tcW w:w="903" w:type="dxa"/>
                  <w:tcBorders>
                    <w:top w:val="single" w:color="000000" w:sz="4" w:space="0"/>
                    <w:left w:val="single" w:color="000000" w:sz="4" w:space="0"/>
                    <w:bottom w:val="single" w:color="000000" w:sz="4" w:space="0"/>
                    <w:right w:val="single" w:color="000000" w:sz="4" w:space="0"/>
                  </w:tcBorders>
                  <w:noWrap w:val="0"/>
                  <w:vAlign w:val="center"/>
                </w:tcPr>
                <w:p w14:paraId="20B22DDB">
                  <w:pPr>
                    <w:adjustRightInd w:val="0"/>
                    <w:snapToGrid w:val="0"/>
                    <w:spacing w:line="36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9</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52DF1CB5">
                  <w:pPr>
                    <w:adjustRightInd w:val="0"/>
                    <w:snapToGrid w:val="0"/>
                    <w:spacing w:line="36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10</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62627DA8">
                  <w:pPr>
                    <w:adjustRightInd w:val="0"/>
                    <w:snapToGrid w:val="0"/>
                    <w:spacing w:line="36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11</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D1D7E0B">
                  <w:pPr>
                    <w:adjustRightInd w:val="0"/>
                    <w:snapToGrid w:val="0"/>
                    <w:spacing w:line="36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12</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14:paraId="23400153">
                  <w:pPr>
                    <w:adjustRightInd w:val="0"/>
                    <w:snapToGrid w:val="0"/>
                    <w:spacing w:line="36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13</w:t>
                  </w:r>
                </w:p>
              </w:tc>
              <w:tc>
                <w:tcPr>
                  <w:tcW w:w="855" w:type="dxa"/>
                  <w:tcBorders>
                    <w:top w:val="single" w:color="000000" w:sz="4" w:space="0"/>
                    <w:left w:val="single" w:color="000000" w:sz="4" w:space="0"/>
                    <w:bottom w:val="single" w:color="000000" w:sz="4" w:space="0"/>
                    <w:right w:val="single" w:color="000000" w:sz="4" w:space="0"/>
                  </w:tcBorders>
                  <w:noWrap w:val="0"/>
                  <w:vAlign w:val="center"/>
                </w:tcPr>
                <w:p w14:paraId="033BDE41">
                  <w:pPr>
                    <w:adjustRightInd w:val="0"/>
                    <w:snapToGrid w:val="0"/>
                    <w:spacing w:line="36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14</w:t>
                  </w:r>
                </w:p>
              </w:tc>
            </w:tr>
            <w:tr w14:paraId="096BC598">
              <w:tblPrEx>
                <w:tblCellMar>
                  <w:top w:w="0" w:type="dxa"/>
                  <w:left w:w="108" w:type="dxa"/>
                  <w:bottom w:w="0" w:type="dxa"/>
                  <w:right w:w="108" w:type="dxa"/>
                </w:tblCellMar>
              </w:tblPrEx>
              <w:trPr>
                <w:trHeight w:val="515" w:hRule="atLeast"/>
              </w:trPr>
              <w:tc>
                <w:tcPr>
                  <w:tcW w:w="1316" w:type="dxa"/>
                  <w:tcBorders>
                    <w:top w:val="single" w:color="000000" w:sz="4" w:space="0"/>
                    <w:left w:val="single" w:color="000000" w:sz="4" w:space="0"/>
                    <w:bottom w:val="single" w:color="000000" w:sz="4" w:space="0"/>
                    <w:right w:val="single" w:color="000000" w:sz="4" w:space="0"/>
                  </w:tcBorders>
                  <w:noWrap w:val="0"/>
                  <w:vAlign w:val="center"/>
                </w:tcPr>
                <w:p w14:paraId="3A05F7D5">
                  <w:pPr>
                    <w:adjustRightInd w:val="0"/>
                    <w:snapToGrid w:val="0"/>
                    <w:spacing w:line="36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下浮系数（%）</w:t>
                  </w:r>
                </w:p>
              </w:tc>
              <w:tc>
                <w:tcPr>
                  <w:tcW w:w="747" w:type="dxa"/>
                  <w:tcBorders>
                    <w:top w:val="single" w:color="000000" w:sz="4" w:space="0"/>
                    <w:left w:val="single" w:color="000000" w:sz="4" w:space="0"/>
                    <w:bottom w:val="single" w:color="000000" w:sz="4" w:space="0"/>
                    <w:right w:val="single" w:color="000000" w:sz="4" w:space="0"/>
                  </w:tcBorders>
                  <w:noWrap w:val="0"/>
                  <w:vAlign w:val="center"/>
                </w:tcPr>
                <w:p w14:paraId="187F40E4">
                  <w:pPr>
                    <w:adjustRightInd w:val="0"/>
                    <w:snapToGrid w:val="0"/>
                    <w:spacing w:line="36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0.8</w:t>
                  </w:r>
                </w:p>
              </w:tc>
              <w:tc>
                <w:tcPr>
                  <w:tcW w:w="903" w:type="dxa"/>
                  <w:tcBorders>
                    <w:top w:val="single" w:color="000000" w:sz="4" w:space="0"/>
                    <w:left w:val="single" w:color="000000" w:sz="4" w:space="0"/>
                    <w:bottom w:val="single" w:color="000000" w:sz="4" w:space="0"/>
                    <w:right w:val="single" w:color="000000" w:sz="4" w:space="0"/>
                  </w:tcBorders>
                  <w:noWrap w:val="0"/>
                  <w:vAlign w:val="center"/>
                </w:tcPr>
                <w:p w14:paraId="01E2070A">
                  <w:pPr>
                    <w:adjustRightInd w:val="0"/>
                    <w:snapToGrid w:val="0"/>
                    <w:spacing w:line="36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0.9</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0D56EFE7">
                  <w:pPr>
                    <w:adjustRightInd w:val="0"/>
                    <w:snapToGrid w:val="0"/>
                    <w:spacing w:line="36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1.0</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5FE823C1">
                  <w:pPr>
                    <w:adjustRightInd w:val="0"/>
                    <w:snapToGrid w:val="0"/>
                    <w:spacing w:line="36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1.1</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09D5B0E">
                  <w:pPr>
                    <w:adjustRightInd w:val="0"/>
                    <w:snapToGrid w:val="0"/>
                    <w:spacing w:line="36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1.2</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14:paraId="2A48F499">
                  <w:pPr>
                    <w:adjustRightInd w:val="0"/>
                    <w:snapToGrid w:val="0"/>
                    <w:spacing w:line="36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1.3</w:t>
                  </w:r>
                </w:p>
              </w:tc>
              <w:tc>
                <w:tcPr>
                  <w:tcW w:w="855" w:type="dxa"/>
                  <w:tcBorders>
                    <w:top w:val="single" w:color="000000" w:sz="4" w:space="0"/>
                    <w:left w:val="single" w:color="000000" w:sz="4" w:space="0"/>
                    <w:bottom w:val="single" w:color="000000" w:sz="4" w:space="0"/>
                    <w:right w:val="single" w:color="000000" w:sz="4" w:space="0"/>
                  </w:tcBorders>
                  <w:noWrap w:val="0"/>
                  <w:vAlign w:val="center"/>
                </w:tcPr>
                <w:p w14:paraId="7290EB1C">
                  <w:pPr>
                    <w:adjustRightInd w:val="0"/>
                    <w:snapToGrid w:val="0"/>
                    <w:spacing w:line="36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1.4</w:t>
                  </w:r>
                </w:p>
              </w:tc>
            </w:tr>
            <w:tr w14:paraId="48A44DB9">
              <w:tblPrEx>
                <w:tblCellMar>
                  <w:top w:w="0" w:type="dxa"/>
                  <w:left w:w="108" w:type="dxa"/>
                  <w:bottom w:w="0" w:type="dxa"/>
                  <w:right w:w="108" w:type="dxa"/>
                </w:tblCellMar>
              </w:tblPrEx>
              <w:trPr>
                <w:trHeight w:val="470" w:hRule="atLeast"/>
              </w:trPr>
              <w:tc>
                <w:tcPr>
                  <w:tcW w:w="1316" w:type="dxa"/>
                  <w:tcBorders>
                    <w:top w:val="single" w:color="000000" w:sz="4" w:space="0"/>
                    <w:left w:val="single" w:color="000000" w:sz="4" w:space="0"/>
                    <w:bottom w:val="single" w:color="000000" w:sz="4" w:space="0"/>
                    <w:right w:val="single" w:color="000000" w:sz="4" w:space="0"/>
                  </w:tcBorders>
                  <w:noWrap w:val="0"/>
                  <w:vAlign w:val="center"/>
                </w:tcPr>
                <w:p w14:paraId="0273F62C">
                  <w:pPr>
                    <w:adjustRightInd w:val="0"/>
                    <w:snapToGrid w:val="0"/>
                    <w:spacing w:line="360" w:lineRule="exact"/>
                    <w:jc w:val="center"/>
                    <w:rPr>
                      <w:rFonts w:hint="eastAsia" w:asciiTheme="minorEastAsia" w:hAnsiTheme="minorEastAsia" w:eastAsiaTheme="minorEastAsia" w:cstheme="minorEastAsia"/>
                      <w:b/>
                      <w:snapToGrid w:val="0"/>
                      <w:color w:val="auto"/>
                      <w:kern w:val="0"/>
                      <w:sz w:val="24"/>
                      <w:szCs w:val="24"/>
                      <w:highlight w:val="none"/>
                    </w:rPr>
                  </w:pPr>
                  <w:r>
                    <w:rPr>
                      <w:rFonts w:hint="eastAsia" w:asciiTheme="minorEastAsia" w:hAnsiTheme="minorEastAsia" w:eastAsiaTheme="minorEastAsia" w:cstheme="minorEastAsia"/>
                      <w:b/>
                      <w:snapToGrid w:val="0"/>
                      <w:color w:val="auto"/>
                      <w:kern w:val="0"/>
                      <w:sz w:val="24"/>
                      <w:szCs w:val="24"/>
                      <w:highlight w:val="none"/>
                    </w:rPr>
                    <w:t>号球</w:t>
                  </w:r>
                </w:p>
              </w:tc>
              <w:tc>
                <w:tcPr>
                  <w:tcW w:w="747" w:type="dxa"/>
                  <w:tcBorders>
                    <w:top w:val="single" w:color="000000" w:sz="4" w:space="0"/>
                    <w:left w:val="single" w:color="000000" w:sz="4" w:space="0"/>
                    <w:bottom w:val="single" w:color="000000" w:sz="4" w:space="0"/>
                    <w:right w:val="single" w:color="000000" w:sz="4" w:space="0"/>
                  </w:tcBorders>
                  <w:noWrap w:val="0"/>
                  <w:vAlign w:val="center"/>
                </w:tcPr>
                <w:p w14:paraId="50D53110">
                  <w:pPr>
                    <w:adjustRightInd w:val="0"/>
                    <w:snapToGrid w:val="0"/>
                    <w:spacing w:line="36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15</w:t>
                  </w:r>
                </w:p>
              </w:tc>
              <w:tc>
                <w:tcPr>
                  <w:tcW w:w="903" w:type="dxa"/>
                  <w:tcBorders>
                    <w:top w:val="single" w:color="000000" w:sz="4" w:space="0"/>
                    <w:left w:val="single" w:color="000000" w:sz="4" w:space="0"/>
                    <w:bottom w:val="single" w:color="000000" w:sz="4" w:space="0"/>
                    <w:right w:val="single" w:color="000000" w:sz="4" w:space="0"/>
                  </w:tcBorders>
                  <w:noWrap w:val="0"/>
                  <w:vAlign w:val="center"/>
                </w:tcPr>
                <w:p w14:paraId="47EFD26B">
                  <w:pPr>
                    <w:adjustRightInd w:val="0"/>
                    <w:snapToGrid w:val="0"/>
                    <w:spacing w:line="36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16</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4281897E">
                  <w:pPr>
                    <w:adjustRightInd w:val="0"/>
                    <w:snapToGrid w:val="0"/>
                    <w:spacing w:line="36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17</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03BD00F5">
                  <w:pPr>
                    <w:adjustRightInd w:val="0"/>
                    <w:snapToGrid w:val="0"/>
                    <w:spacing w:line="36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18</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85E24F9">
                  <w:pPr>
                    <w:adjustRightInd w:val="0"/>
                    <w:snapToGrid w:val="0"/>
                    <w:spacing w:line="36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19</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14:paraId="6A1031EE">
                  <w:pPr>
                    <w:adjustRightInd w:val="0"/>
                    <w:snapToGrid w:val="0"/>
                    <w:spacing w:line="36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20</w:t>
                  </w:r>
                </w:p>
              </w:tc>
              <w:tc>
                <w:tcPr>
                  <w:tcW w:w="855" w:type="dxa"/>
                  <w:tcBorders>
                    <w:top w:val="single" w:color="000000" w:sz="4" w:space="0"/>
                    <w:left w:val="single" w:color="000000" w:sz="4" w:space="0"/>
                    <w:bottom w:val="single" w:color="000000" w:sz="4" w:space="0"/>
                    <w:right w:val="single" w:color="000000" w:sz="4" w:space="0"/>
                  </w:tcBorders>
                  <w:noWrap w:val="0"/>
                  <w:vAlign w:val="center"/>
                </w:tcPr>
                <w:p w14:paraId="2F51D5E5">
                  <w:pPr>
                    <w:adjustRightInd w:val="0"/>
                    <w:snapToGrid w:val="0"/>
                    <w:spacing w:line="36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21</w:t>
                  </w:r>
                </w:p>
              </w:tc>
            </w:tr>
            <w:tr w14:paraId="5549FD02">
              <w:tblPrEx>
                <w:tblCellMar>
                  <w:top w:w="0" w:type="dxa"/>
                  <w:left w:w="108" w:type="dxa"/>
                  <w:bottom w:w="0" w:type="dxa"/>
                  <w:right w:w="108" w:type="dxa"/>
                </w:tblCellMar>
              </w:tblPrEx>
              <w:trPr>
                <w:trHeight w:val="600" w:hRule="atLeast"/>
              </w:trPr>
              <w:tc>
                <w:tcPr>
                  <w:tcW w:w="1316" w:type="dxa"/>
                  <w:tcBorders>
                    <w:top w:val="single" w:color="000000" w:sz="4" w:space="0"/>
                    <w:left w:val="single" w:color="000000" w:sz="4" w:space="0"/>
                    <w:bottom w:val="single" w:color="000000" w:sz="4" w:space="0"/>
                    <w:right w:val="single" w:color="000000" w:sz="4" w:space="0"/>
                  </w:tcBorders>
                  <w:noWrap w:val="0"/>
                  <w:vAlign w:val="center"/>
                </w:tcPr>
                <w:p w14:paraId="12E103D5">
                  <w:pPr>
                    <w:adjustRightInd w:val="0"/>
                    <w:snapToGrid w:val="0"/>
                    <w:spacing w:line="36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下浮系数（%）</w:t>
                  </w:r>
                </w:p>
              </w:tc>
              <w:tc>
                <w:tcPr>
                  <w:tcW w:w="747" w:type="dxa"/>
                  <w:tcBorders>
                    <w:top w:val="single" w:color="000000" w:sz="4" w:space="0"/>
                    <w:left w:val="single" w:color="000000" w:sz="4" w:space="0"/>
                    <w:bottom w:val="single" w:color="000000" w:sz="4" w:space="0"/>
                    <w:right w:val="single" w:color="000000" w:sz="4" w:space="0"/>
                  </w:tcBorders>
                  <w:noWrap w:val="0"/>
                  <w:vAlign w:val="center"/>
                </w:tcPr>
                <w:p w14:paraId="142E3FD3">
                  <w:pPr>
                    <w:adjustRightInd w:val="0"/>
                    <w:snapToGrid w:val="0"/>
                    <w:spacing w:line="36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1.5</w:t>
                  </w:r>
                </w:p>
              </w:tc>
              <w:tc>
                <w:tcPr>
                  <w:tcW w:w="903" w:type="dxa"/>
                  <w:tcBorders>
                    <w:top w:val="single" w:color="000000" w:sz="4" w:space="0"/>
                    <w:left w:val="single" w:color="000000" w:sz="4" w:space="0"/>
                    <w:bottom w:val="single" w:color="000000" w:sz="4" w:space="0"/>
                    <w:right w:val="single" w:color="000000" w:sz="4" w:space="0"/>
                  </w:tcBorders>
                  <w:noWrap w:val="0"/>
                  <w:vAlign w:val="center"/>
                </w:tcPr>
                <w:p w14:paraId="0D04E4CB">
                  <w:pPr>
                    <w:adjustRightInd w:val="0"/>
                    <w:snapToGrid w:val="0"/>
                    <w:spacing w:line="36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1.6</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1E1F83FE">
                  <w:pPr>
                    <w:adjustRightInd w:val="0"/>
                    <w:snapToGrid w:val="0"/>
                    <w:spacing w:line="36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1.7</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07A1EDC9">
                  <w:pPr>
                    <w:adjustRightInd w:val="0"/>
                    <w:snapToGrid w:val="0"/>
                    <w:spacing w:line="36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1.8</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40E8B73">
                  <w:pPr>
                    <w:adjustRightInd w:val="0"/>
                    <w:snapToGrid w:val="0"/>
                    <w:spacing w:line="36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1.9</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14:paraId="64B2F9DF">
                  <w:pPr>
                    <w:adjustRightInd w:val="0"/>
                    <w:snapToGrid w:val="0"/>
                    <w:spacing w:line="36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2.0</w:t>
                  </w:r>
                </w:p>
              </w:tc>
              <w:tc>
                <w:tcPr>
                  <w:tcW w:w="855" w:type="dxa"/>
                  <w:tcBorders>
                    <w:top w:val="single" w:color="000000" w:sz="4" w:space="0"/>
                    <w:left w:val="single" w:color="000000" w:sz="4" w:space="0"/>
                    <w:bottom w:val="single" w:color="000000" w:sz="4" w:space="0"/>
                    <w:right w:val="single" w:color="000000" w:sz="4" w:space="0"/>
                  </w:tcBorders>
                  <w:noWrap w:val="0"/>
                  <w:vAlign w:val="center"/>
                </w:tcPr>
                <w:p w14:paraId="711245AC">
                  <w:pPr>
                    <w:adjustRightInd w:val="0"/>
                    <w:snapToGrid w:val="0"/>
                    <w:spacing w:line="36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2.1</w:t>
                  </w:r>
                </w:p>
              </w:tc>
            </w:tr>
          </w:tbl>
          <w:p w14:paraId="4D1C640B">
            <w:pPr>
              <w:adjustRightInd w:val="0"/>
              <w:snapToGrid w:val="0"/>
              <w:spacing w:line="360" w:lineRule="exact"/>
              <w:ind w:firstLine="480" w:firstLineChars="200"/>
              <w:jc w:val="left"/>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（2）评标基准价D＝最高投标限价×（1－n）</w:t>
            </w:r>
          </w:p>
        </w:tc>
      </w:tr>
      <w:tr w14:paraId="644D4429">
        <w:tblPrEx>
          <w:tblCellMar>
            <w:top w:w="0" w:type="dxa"/>
            <w:left w:w="108" w:type="dxa"/>
            <w:bottom w:w="0" w:type="dxa"/>
            <w:right w:w="108" w:type="dxa"/>
          </w:tblCellMar>
        </w:tblPrEx>
        <w:trPr>
          <w:trHeight w:val="802" w:hRule="atLeast"/>
          <w:jc w:val="center"/>
        </w:trPr>
        <w:tc>
          <w:tcPr>
            <w:tcW w:w="1404" w:type="dxa"/>
            <w:tcBorders>
              <w:top w:val="single" w:color="auto" w:sz="4" w:space="0"/>
              <w:left w:val="single" w:color="auto" w:sz="4" w:space="0"/>
              <w:bottom w:val="single" w:color="auto" w:sz="4" w:space="0"/>
              <w:right w:val="single" w:color="auto" w:sz="4" w:space="0"/>
            </w:tcBorders>
            <w:noWrap w:val="0"/>
            <w:vAlign w:val="center"/>
          </w:tcPr>
          <w:p w14:paraId="3D3BACFF">
            <w:pPr>
              <w:pStyle w:val="128"/>
              <w:adjustRightInd w:val="0"/>
              <w:snapToGrid w:val="0"/>
              <w:spacing w:line="36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投标报价</w:t>
            </w:r>
          </w:p>
          <w:p w14:paraId="740830D2">
            <w:pPr>
              <w:pStyle w:val="128"/>
              <w:adjustRightInd w:val="0"/>
              <w:snapToGrid w:val="0"/>
              <w:spacing w:line="36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得分M</w:t>
            </w:r>
            <w:r>
              <w:rPr>
                <w:rFonts w:hint="eastAsia" w:asciiTheme="minorEastAsia" w:hAnsiTheme="minorEastAsia" w:eastAsiaTheme="minorEastAsia" w:cstheme="minorEastAsia"/>
                <w:snapToGrid w:val="0"/>
                <w:color w:val="auto"/>
                <w:kern w:val="0"/>
                <w:sz w:val="24"/>
                <w:szCs w:val="24"/>
                <w:highlight w:val="none"/>
                <w:vertAlign w:val="subscript"/>
              </w:rPr>
              <w:t>3</w:t>
            </w:r>
          </w:p>
        </w:tc>
        <w:tc>
          <w:tcPr>
            <w:tcW w:w="7958" w:type="dxa"/>
            <w:gridSpan w:val="2"/>
            <w:tcBorders>
              <w:top w:val="single" w:color="auto" w:sz="4" w:space="0"/>
              <w:left w:val="single" w:color="auto" w:sz="4" w:space="0"/>
              <w:bottom w:val="single" w:color="auto" w:sz="4" w:space="0"/>
              <w:right w:val="single" w:color="auto" w:sz="4" w:space="0"/>
            </w:tcBorders>
            <w:noWrap w:val="0"/>
            <w:vAlign w:val="center"/>
          </w:tcPr>
          <w:p w14:paraId="201374DA">
            <w:pPr>
              <w:adjustRightInd w:val="0"/>
              <w:snapToGrid w:val="0"/>
              <w:spacing w:line="360" w:lineRule="exact"/>
              <w:ind w:firstLine="480" w:firstLineChars="200"/>
              <w:jc w:val="left"/>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采用内插法计算某投标人的投标报价得分M</w:t>
            </w:r>
            <w:r>
              <w:rPr>
                <w:rFonts w:hint="eastAsia" w:asciiTheme="minorEastAsia" w:hAnsiTheme="minorEastAsia" w:eastAsiaTheme="minorEastAsia" w:cstheme="minorEastAsia"/>
                <w:snapToGrid w:val="0"/>
                <w:color w:val="auto"/>
                <w:kern w:val="0"/>
                <w:sz w:val="24"/>
                <w:szCs w:val="24"/>
                <w:highlight w:val="none"/>
                <w:vertAlign w:val="subscript"/>
              </w:rPr>
              <w:t>3</w:t>
            </w:r>
            <w:r>
              <w:rPr>
                <w:rFonts w:hint="eastAsia" w:asciiTheme="minorEastAsia" w:hAnsiTheme="minorEastAsia" w:eastAsiaTheme="minorEastAsia" w:cstheme="minorEastAsia"/>
                <w:snapToGrid w:val="0"/>
                <w:color w:val="auto"/>
                <w:kern w:val="0"/>
                <w:sz w:val="24"/>
                <w:szCs w:val="24"/>
                <w:highlight w:val="none"/>
              </w:rPr>
              <w:t>，即当投标人的投标总价等于评标基准价时得满分，每高于评标基准价一个百分点扣0.2分，每低于评标基准价一个百分点扣0.1分，扣完为止。公式如下：</w:t>
            </w:r>
          </w:p>
          <w:p w14:paraId="1D5275CD">
            <w:pPr>
              <w:adjustRightInd w:val="0"/>
              <w:snapToGrid w:val="0"/>
              <w:spacing w:line="360" w:lineRule="exact"/>
              <w:ind w:firstLine="480" w:firstLineChars="200"/>
              <w:jc w:val="left"/>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M</w:t>
            </w:r>
            <w:r>
              <w:rPr>
                <w:rFonts w:hint="eastAsia" w:asciiTheme="minorEastAsia" w:hAnsiTheme="minorEastAsia" w:eastAsiaTheme="minorEastAsia" w:cstheme="minorEastAsia"/>
                <w:snapToGrid w:val="0"/>
                <w:color w:val="auto"/>
                <w:kern w:val="0"/>
                <w:sz w:val="24"/>
                <w:szCs w:val="24"/>
                <w:highlight w:val="none"/>
                <w:vertAlign w:val="subscript"/>
              </w:rPr>
              <w:t>3</w:t>
            </w:r>
            <w:r>
              <w:rPr>
                <w:rFonts w:hint="eastAsia" w:asciiTheme="minorEastAsia" w:hAnsiTheme="minorEastAsia" w:eastAsiaTheme="minorEastAsia" w:cstheme="minorEastAsia"/>
                <w:snapToGrid w:val="0"/>
                <w:color w:val="auto"/>
                <w:kern w:val="0"/>
                <w:sz w:val="24"/>
                <w:szCs w:val="24"/>
                <w:highlight w:val="none"/>
              </w:rPr>
              <w:t>＝投标报价满分－（| Di－D | ÷D）×100×E</w:t>
            </w:r>
          </w:p>
          <w:p w14:paraId="22EB783A">
            <w:pPr>
              <w:adjustRightInd w:val="0"/>
              <w:snapToGrid w:val="0"/>
              <w:spacing w:line="360" w:lineRule="exact"/>
              <w:ind w:firstLine="480" w:firstLineChars="200"/>
              <w:jc w:val="left"/>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式中：D为评标基准价，Di为某投标人的投标总价；E为扣分因子。当Di＞D时，E＝0.2；当Di＜D时，E＝0.1。</w:t>
            </w:r>
          </w:p>
        </w:tc>
      </w:tr>
    </w:tbl>
    <w:p w14:paraId="5A884232">
      <w:pPr>
        <w:wordWrap w:val="0"/>
        <w:adjustRightInd w:val="0"/>
        <w:snapToGrid w:val="0"/>
        <w:spacing w:line="440" w:lineRule="exact"/>
        <w:ind w:firstLine="480" w:firstLineChars="200"/>
        <w:rPr>
          <w:rFonts w:hint="eastAsia" w:ascii="宋体" w:hAnsi="宋体" w:eastAsia="宋体" w:cs="宋体"/>
          <w:color w:val="auto"/>
          <w:kern w:val="0"/>
          <w:szCs w:val="24"/>
          <w:highlight w:val="none"/>
        </w:rPr>
      </w:pPr>
      <w:r>
        <w:rPr>
          <w:rFonts w:hint="eastAsia" w:ascii="宋体" w:hAnsi="宋体" w:eastAsia="宋体" w:cs="宋体"/>
          <w:color w:val="auto"/>
          <w:kern w:val="0"/>
          <w:szCs w:val="24"/>
          <w:highlight w:val="none"/>
        </w:rPr>
        <w:t>注：评分如出现小数点，则保留小数点后两位，第三位四舍五入。</w:t>
      </w:r>
    </w:p>
    <w:p w14:paraId="02D8E841">
      <w:pPr>
        <w:wordWrap w:val="0"/>
        <w:adjustRightInd w:val="0"/>
        <w:snapToGrid w:val="0"/>
        <w:spacing w:after="240" w:afterLines="100" w:line="440" w:lineRule="exact"/>
        <w:jc w:val="center"/>
        <w:rPr>
          <w:rFonts w:hint="eastAsia" w:hAnsi="宋体" w:cs="宋体"/>
          <w:b/>
          <w:bCs/>
          <w:snapToGrid w:val="0"/>
          <w:color w:val="auto"/>
          <w:kern w:val="0"/>
          <w:sz w:val="28"/>
          <w:szCs w:val="28"/>
          <w:highlight w:val="none"/>
        </w:rPr>
      </w:pPr>
    </w:p>
    <w:p w14:paraId="2F78CB10">
      <w:pPr>
        <w:wordWrap w:val="0"/>
        <w:adjustRightInd w:val="0"/>
        <w:snapToGrid w:val="0"/>
        <w:spacing w:after="240" w:afterLines="100" w:line="440" w:lineRule="exact"/>
        <w:jc w:val="center"/>
        <w:rPr>
          <w:rFonts w:hint="eastAsia" w:hAnsi="宋体" w:cs="宋体"/>
          <w:b/>
          <w:bCs/>
          <w:snapToGrid w:val="0"/>
          <w:color w:val="auto"/>
          <w:kern w:val="0"/>
          <w:sz w:val="28"/>
          <w:szCs w:val="28"/>
          <w:highlight w:val="none"/>
        </w:rPr>
      </w:pPr>
    </w:p>
    <w:p w14:paraId="528EC816">
      <w:pPr>
        <w:wordWrap w:val="0"/>
        <w:adjustRightInd w:val="0"/>
        <w:snapToGrid w:val="0"/>
        <w:spacing w:after="240" w:afterLines="100" w:line="440" w:lineRule="exact"/>
        <w:jc w:val="center"/>
        <w:rPr>
          <w:rFonts w:hint="eastAsia" w:hAnsi="宋体" w:cs="宋体"/>
          <w:b/>
          <w:bCs/>
          <w:snapToGrid w:val="0"/>
          <w:color w:val="auto"/>
          <w:kern w:val="0"/>
          <w:sz w:val="28"/>
          <w:szCs w:val="28"/>
          <w:highlight w:val="none"/>
        </w:rPr>
      </w:pPr>
    </w:p>
    <w:p w14:paraId="14582879">
      <w:pPr>
        <w:wordWrap w:val="0"/>
        <w:adjustRightInd w:val="0"/>
        <w:snapToGrid w:val="0"/>
        <w:spacing w:after="240" w:afterLines="100" w:line="440" w:lineRule="exact"/>
        <w:jc w:val="center"/>
        <w:rPr>
          <w:rFonts w:hint="eastAsia" w:hAnsi="宋体" w:cs="宋体"/>
          <w:b/>
          <w:bCs/>
          <w:snapToGrid w:val="0"/>
          <w:color w:val="auto"/>
          <w:kern w:val="0"/>
          <w:sz w:val="28"/>
          <w:szCs w:val="28"/>
          <w:highlight w:val="none"/>
        </w:rPr>
      </w:pPr>
    </w:p>
    <w:p w14:paraId="12EEA896">
      <w:pPr>
        <w:wordWrap w:val="0"/>
        <w:adjustRightInd w:val="0"/>
        <w:snapToGrid w:val="0"/>
        <w:spacing w:after="240" w:afterLines="100" w:line="440" w:lineRule="exact"/>
        <w:jc w:val="center"/>
        <w:rPr>
          <w:rFonts w:hint="eastAsia" w:hAnsi="宋体" w:cs="宋体"/>
          <w:b/>
          <w:bCs/>
          <w:snapToGrid w:val="0"/>
          <w:color w:val="auto"/>
          <w:kern w:val="0"/>
          <w:sz w:val="28"/>
          <w:szCs w:val="28"/>
          <w:highlight w:val="none"/>
        </w:rPr>
      </w:pPr>
    </w:p>
    <w:p w14:paraId="28D24E8D">
      <w:pPr>
        <w:wordWrap w:val="0"/>
        <w:adjustRightInd w:val="0"/>
        <w:snapToGrid w:val="0"/>
        <w:spacing w:after="240" w:afterLines="100" w:line="440" w:lineRule="exact"/>
        <w:jc w:val="center"/>
        <w:rPr>
          <w:rFonts w:hint="eastAsia" w:hAnsi="宋体" w:cs="宋体"/>
          <w:b/>
          <w:bCs/>
          <w:snapToGrid w:val="0"/>
          <w:color w:val="auto"/>
          <w:kern w:val="0"/>
          <w:sz w:val="28"/>
          <w:szCs w:val="28"/>
          <w:highlight w:val="none"/>
        </w:rPr>
      </w:pPr>
    </w:p>
    <w:p w14:paraId="3990945F">
      <w:pPr>
        <w:wordWrap w:val="0"/>
        <w:adjustRightInd w:val="0"/>
        <w:snapToGrid w:val="0"/>
        <w:spacing w:after="240" w:afterLines="100" w:line="440" w:lineRule="exact"/>
        <w:jc w:val="center"/>
        <w:rPr>
          <w:rFonts w:hint="eastAsia" w:hAnsi="宋体" w:cs="宋体"/>
          <w:b/>
          <w:bCs/>
          <w:snapToGrid w:val="0"/>
          <w:color w:val="auto"/>
          <w:kern w:val="0"/>
          <w:sz w:val="28"/>
          <w:szCs w:val="28"/>
          <w:highlight w:val="none"/>
        </w:rPr>
      </w:pPr>
    </w:p>
    <w:p w14:paraId="1E06F381">
      <w:pPr>
        <w:wordWrap w:val="0"/>
        <w:adjustRightInd w:val="0"/>
        <w:snapToGrid w:val="0"/>
        <w:spacing w:after="240" w:afterLines="100" w:line="440" w:lineRule="exact"/>
        <w:jc w:val="center"/>
        <w:rPr>
          <w:rFonts w:hint="eastAsia" w:hAnsi="宋体" w:cs="宋体"/>
          <w:b/>
          <w:bCs/>
          <w:snapToGrid w:val="0"/>
          <w:color w:val="auto"/>
          <w:kern w:val="0"/>
          <w:sz w:val="28"/>
          <w:szCs w:val="28"/>
          <w:highlight w:val="none"/>
        </w:rPr>
      </w:pPr>
    </w:p>
    <w:p w14:paraId="62448F0B">
      <w:pPr>
        <w:wordWrap w:val="0"/>
        <w:adjustRightInd w:val="0"/>
        <w:snapToGrid w:val="0"/>
        <w:spacing w:after="240" w:afterLines="100" w:line="440" w:lineRule="exact"/>
        <w:jc w:val="center"/>
        <w:rPr>
          <w:rFonts w:hint="eastAsia" w:hAnsi="宋体" w:cs="宋体"/>
          <w:b/>
          <w:bCs/>
          <w:snapToGrid w:val="0"/>
          <w:color w:val="auto"/>
          <w:kern w:val="0"/>
          <w:sz w:val="28"/>
          <w:szCs w:val="28"/>
          <w:highlight w:val="none"/>
        </w:rPr>
      </w:pPr>
    </w:p>
    <w:p w14:paraId="5039CB2C">
      <w:pPr>
        <w:wordWrap w:val="0"/>
        <w:adjustRightInd w:val="0"/>
        <w:snapToGrid w:val="0"/>
        <w:spacing w:after="240" w:afterLines="100" w:line="440" w:lineRule="exact"/>
        <w:jc w:val="center"/>
        <w:rPr>
          <w:rFonts w:hint="eastAsia" w:hAnsi="宋体" w:cs="宋体"/>
          <w:b/>
          <w:bCs/>
          <w:snapToGrid w:val="0"/>
          <w:color w:val="auto"/>
          <w:kern w:val="0"/>
          <w:sz w:val="28"/>
          <w:szCs w:val="28"/>
          <w:highlight w:val="none"/>
        </w:rPr>
      </w:pPr>
    </w:p>
    <w:p w14:paraId="42682E05">
      <w:pPr>
        <w:wordWrap w:val="0"/>
        <w:adjustRightInd w:val="0"/>
        <w:snapToGrid w:val="0"/>
        <w:spacing w:after="240" w:afterLines="100" w:line="440" w:lineRule="exact"/>
        <w:jc w:val="center"/>
        <w:rPr>
          <w:rFonts w:hint="eastAsia" w:hAnsi="宋体" w:cs="宋体"/>
          <w:b/>
          <w:bCs/>
          <w:snapToGrid w:val="0"/>
          <w:color w:val="auto"/>
          <w:kern w:val="0"/>
          <w:sz w:val="28"/>
          <w:szCs w:val="28"/>
          <w:highlight w:val="none"/>
        </w:rPr>
      </w:pPr>
    </w:p>
    <w:p w14:paraId="6E132083">
      <w:pPr>
        <w:wordWrap w:val="0"/>
        <w:adjustRightInd w:val="0"/>
        <w:snapToGrid w:val="0"/>
        <w:spacing w:after="240" w:afterLines="100" w:line="440" w:lineRule="exact"/>
        <w:jc w:val="center"/>
        <w:rPr>
          <w:rFonts w:hint="eastAsia" w:hAnsi="宋体" w:cs="宋体"/>
          <w:b/>
          <w:bCs/>
          <w:snapToGrid w:val="0"/>
          <w:color w:val="auto"/>
          <w:kern w:val="0"/>
          <w:sz w:val="28"/>
          <w:szCs w:val="28"/>
          <w:highlight w:val="none"/>
        </w:rPr>
      </w:pPr>
    </w:p>
    <w:p w14:paraId="494AC898">
      <w:pPr>
        <w:wordWrap w:val="0"/>
        <w:adjustRightInd w:val="0"/>
        <w:snapToGrid w:val="0"/>
        <w:spacing w:after="240" w:afterLines="100" w:line="440" w:lineRule="exact"/>
        <w:jc w:val="center"/>
        <w:rPr>
          <w:rFonts w:hint="eastAsia" w:hAnsi="宋体" w:cs="宋体"/>
          <w:b/>
          <w:bCs/>
          <w:snapToGrid w:val="0"/>
          <w:color w:val="auto"/>
          <w:kern w:val="0"/>
          <w:sz w:val="28"/>
          <w:szCs w:val="28"/>
          <w:highlight w:val="none"/>
        </w:rPr>
      </w:pPr>
    </w:p>
    <w:p w14:paraId="42B2D1BE">
      <w:pPr>
        <w:wordWrap w:val="0"/>
        <w:adjustRightInd w:val="0"/>
        <w:snapToGrid w:val="0"/>
        <w:spacing w:after="240" w:afterLines="100" w:line="440" w:lineRule="exact"/>
        <w:jc w:val="center"/>
        <w:rPr>
          <w:rFonts w:hAnsi="宋体" w:cs="宋体"/>
          <w:b/>
          <w:bCs/>
          <w:snapToGrid w:val="0"/>
          <w:color w:val="auto"/>
          <w:kern w:val="0"/>
          <w:sz w:val="28"/>
          <w:szCs w:val="28"/>
          <w:highlight w:val="none"/>
        </w:rPr>
      </w:pPr>
      <w:r>
        <w:rPr>
          <w:rFonts w:hint="eastAsia" w:hAnsi="宋体" w:cs="宋体"/>
          <w:b/>
          <w:bCs/>
          <w:snapToGrid w:val="0"/>
          <w:color w:val="auto"/>
          <w:kern w:val="0"/>
          <w:sz w:val="28"/>
          <w:szCs w:val="28"/>
          <w:highlight w:val="none"/>
        </w:rPr>
        <w:t>表2 项目监理机构其他人员需求表</w:t>
      </w:r>
    </w:p>
    <w:tbl>
      <w:tblPr>
        <w:tblStyle w:val="31"/>
        <w:tblW w:w="9315" w:type="dxa"/>
        <w:tblInd w:w="32" w:type="dxa"/>
        <w:tblLayout w:type="autofit"/>
        <w:tblCellMar>
          <w:top w:w="0" w:type="dxa"/>
          <w:left w:w="108" w:type="dxa"/>
          <w:bottom w:w="0" w:type="dxa"/>
          <w:right w:w="108" w:type="dxa"/>
        </w:tblCellMar>
      </w:tblPr>
      <w:tblGrid>
        <w:gridCol w:w="1132"/>
        <w:gridCol w:w="1937"/>
        <w:gridCol w:w="1012"/>
        <w:gridCol w:w="5234"/>
      </w:tblGrid>
      <w:tr w14:paraId="207A5B3E">
        <w:tblPrEx>
          <w:tblCellMar>
            <w:top w:w="0" w:type="dxa"/>
            <w:left w:w="108" w:type="dxa"/>
            <w:bottom w:w="0" w:type="dxa"/>
            <w:right w:w="108" w:type="dxa"/>
          </w:tblCellMar>
        </w:tblPrEx>
        <w:trPr>
          <w:trHeight w:val="645" w:hRule="atLeast"/>
        </w:trPr>
        <w:tc>
          <w:tcPr>
            <w:tcW w:w="9315" w:type="dxa"/>
            <w:gridSpan w:val="4"/>
            <w:tcBorders>
              <w:top w:val="single" w:color="auto" w:sz="8" w:space="0"/>
              <w:left w:val="single" w:color="auto" w:sz="8" w:space="0"/>
              <w:bottom w:val="nil"/>
              <w:right w:val="single" w:color="000000" w:sz="8" w:space="0"/>
            </w:tcBorders>
            <w:vAlign w:val="center"/>
          </w:tcPr>
          <w:p w14:paraId="2AC7F590">
            <w:pPr>
              <w:widowControl/>
              <w:spacing w:line="240" w:lineRule="auto"/>
              <w:jc w:val="left"/>
              <w:rPr>
                <w:rFonts w:hAnsi="宋体" w:cs="宋体"/>
                <w:b/>
                <w:bCs/>
                <w:color w:val="auto"/>
                <w:kern w:val="0"/>
                <w:szCs w:val="24"/>
                <w:highlight w:val="none"/>
              </w:rPr>
            </w:pPr>
            <w:r>
              <w:rPr>
                <w:rFonts w:hint="eastAsia" w:hAnsi="宋体" w:cs="宋体"/>
                <w:b/>
                <w:bCs/>
                <w:color w:val="auto"/>
                <w:kern w:val="0"/>
                <w:szCs w:val="24"/>
                <w:highlight w:val="none"/>
              </w:rPr>
              <w:t>监理人员（除总监理工程师外）：共</w:t>
            </w:r>
            <w:r>
              <w:rPr>
                <w:rFonts w:hint="eastAsia" w:hAnsi="宋体" w:cs="宋体"/>
                <w:b/>
                <w:bCs/>
                <w:color w:val="auto"/>
                <w:kern w:val="0"/>
                <w:szCs w:val="24"/>
                <w:highlight w:val="none"/>
                <w:u w:val="single"/>
                <w:lang w:val="en-US" w:eastAsia="zh-CN"/>
              </w:rPr>
              <w:t>3</w:t>
            </w:r>
            <w:r>
              <w:rPr>
                <w:rFonts w:hint="eastAsia" w:hAnsi="宋体" w:cs="宋体"/>
                <w:b/>
                <w:bCs/>
                <w:color w:val="auto"/>
                <w:kern w:val="0"/>
                <w:szCs w:val="24"/>
                <w:highlight w:val="none"/>
              </w:rPr>
              <w:t>人</w:t>
            </w:r>
          </w:p>
        </w:tc>
      </w:tr>
      <w:tr w14:paraId="6DE02C40">
        <w:tblPrEx>
          <w:tblCellMar>
            <w:top w:w="0" w:type="dxa"/>
            <w:left w:w="108" w:type="dxa"/>
            <w:bottom w:w="0" w:type="dxa"/>
            <w:right w:w="108" w:type="dxa"/>
          </w:tblCellMar>
        </w:tblPrEx>
        <w:trPr>
          <w:trHeight w:val="681" w:hRule="atLeast"/>
        </w:trPr>
        <w:tc>
          <w:tcPr>
            <w:tcW w:w="1132" w:type="dxa"/>
            <w:tcBorders>
              <w:top w:val="single" w:color="auto" w:sz="4" w:space="0"/>
              <w:left w:val="single" w:color="auto" w:sz="4" w:space="0"/>
              <w:bottom w:val="single" w:color="auto" w:sz="4" w:space="0"/>
              <w:right w:val="single" w:color="auto" w:sz="4" w:space="0"/>
            </w:tcBorders>
            <w:vAlign w:val="center"/>
          </w:tcPr>
          <w:p w14:paraId="0E5F078E">
            <w:pPr>
              <w:jc w:val="center"/>
              <w:rPr>
                <w:color w:val="auto"/>
                <w:highlight w:val="none"/>
              </w:rPr>
            </w:pPr>
            <w:r>
              <w:rPr>
                <w:rFonts w:hint="eastAsia"/>
                <w:color w:val="auto"/>
                <w:highlight w:val="none"/>
              </w:rPr>
              <w:t>职务</w:t>
            </w:r>
          </w:p>
        </w:tc>
        <w:tc>
          <w:tcPr>
            <w:tcW w:w="1937" w:type="dxa"/>
            <w:tcBorders>
              <w:top w:val="single" w:color="auto" w:sz="4" w:space="0"/>
              <w:left w:val="single" w:color="auto" w:sz="4" w:space="0"/>
              <w:bottom w:val="single" w:color="auto" w:sz="4" w:space="0"/>
              <w:right w:val="single" w:color="auto" w:sz="4" w:space="0"/>
            </w:tcBorders>
            <w:vAlign w:val="center"/>
          </w:tcPr>
          <w:p w14:paraId="54C12C69">
            <w:pPr>
              <w:jc w:val="center"/>
              <w:rPr>
                <w:color w:val="auto"/>
                <w:highlight w:val="none"/>
              </w:rPr>
            </w:pPr>
            <w:r>
              <w:rPr>
                <w:rFonts w:hint="eastAsia"/>
                <w:color w:val="auto"/>
                <w:highlight w:val="none"/>
              </w:rPr>
              <w:t>专业要求</w:t>
            </w:r>
          </w:p>
        </w:tc>
        <w:tc>
          <w:tcPr>
            <w:tcW w:w="1012" w:type="dxa"/>
            <w:tcBorders>
              <w:top w:val="single" w:color="auto" w:sz="4" w:space="0"/>
              <w:left w:val="nil"/>
              <w:bottom w:val="single" w:color="auto" w:sz="4" w:space="0"/>
              <w:right w:val="single" w:color="auto" w:sz="4" w:space="0"/>
            </w:tcBorders>
            <w:vAlign w:val="center"/>
          </w:tcPr>
          <w:p w14:paraId="29E69088">
            <w:pPr>
              <w:jc w:val="center"/>
              <w:rPr>
                <w:color w:val="auto"/>
                <w:highlight w:val="none"/>
              </w:rPr>
            </w:pPr>
            <w:r>
              <w:rPr>
                <w:rFonts w:hint="eastAsia"/>
                <w:color w:val="auto"/>
                <w:highlight w:val="none"/>
              </w:rPr>
              <w:t>数量</w:t>
            </w:r>
          </w:p>
          <w:p w14:paraId="00DA76EC">
            <w:pPr>
              <w:jc w:val="center"/>
              <w:rPr>
                <w:color w:val="auto"/>
                <w:highlight w:val="none"/>
              </w:rPr>
            </w:pPr>
            <w:r>
              <w:rPr>
                <w:rFonts w:hint="eastAsia"/>
                <w:color w:val="auto"/>
                <w:highlight w:val="none"/>
              </w:rPr>
              <w:t>要求</w:t>
            </w:r>
          </w:p>
        </w:tc>
        <w:tc>
          <w:tcPr>
            <w:tcW w:w="5234" w:type="dxa"/>
            <w:tcBorders>
              <w:top w:val="single" w:color="auto" w:sz="4" w:space="0"/>
              <w:left w:val="single" w:color="auto" w:sz="4" w:space="0"/>
              <w:bottom w:val="single" w:color="auto" w:sz="4" w:space="0"/>
              <w:right w:val="single" w:color="auto" w:sz="4" w:space="0"/>
            </w:tcBorders>
            <w:vAlign w:val="center"/>
          </w:tcPr>
          <w:p w14:paraId="3AE81202">
            <w:pPr>
              <w:jc w:val="center"/>
              <w:rPr>
                <w:color w:val="auto"/>
                <w:highlight w:val="none"/>
              </w:rPr>
            </w:pPr>
            <w:r>
              <w:rPr>
                <w:rFonts w:hint="eastAsia"/>
                <w:color w:val="auto"/>
                <w:highlight w:val="none"/>
              </w:rPr>
              <w:t>持证要求</w:t>
            </w:r>
          </w:p>
        </w:tc>
      </w:tr>
      <w:tr w14:paraId="5FF3AD35">
        <w:tblPrEx>
          <w:tblCellMar>
            <w:top w:w="0" w:type="dxa"/>
            <w:left w:w="108" w:type="dxa"/>
            <w:bottom w:w="0" w:type="dxa"/>
            <w:right w:w="108" w:type="dxa"/>
          </w:tblCellMar>
        </w:tblPrEx>
        <w:trPr>
          <w:trHeight w:val="747" w:hRule="atLeast"/>
        </w:trPr>
        <w:tc>
          <w:tcPr>
            <w:tcW w:w="1132" w:type="dxa"/>
            <w:tcBorders>
              <w:top w:val="single" w:color="auto" w:sz="4" w:space="0"/>
              <w:left w:val="single" w:color="auto" w:sz="4" w:space="0"/>
              <w:right w:val="single" w:color="auto" w:sz="4" w:space="0"/>
            </w:tcBorders>
            <w:vAlign w:val="center"/>
          </w:tcPr>
          <w:p w14:paraId="576B524F">
            <w:pPr>
              <w:widowControl/>
              <w:spacing w:line="440" w:lineRule="exact"/>
              <w:jc w:val="center"/>
              <w:rPr>
                <w:color w:val="auto"/>
                <w:highlight w:val="none"/>
              </w:rPr>
            </w:pPr>
            <w:r>
              <w:rPr>
                <w:rFonts w:hint="eastAsia"/>
                <w:color w:val="auto"/>
                <w:highlight w:val="none"/>
              </w:rPr>
              <w:t>专业监理工程师</w:t>
            </w:r>
          </w:p>
        </w:tc>
        <w:tc>
          <w:tcPr>
            <w:tcW w:w="1937" w:type="dxa"/>
            <w:tcBorders>
              <w:top w:val="single" w:color="auto" w:sz="4" w:space="0"/>
              <w:left w:val="single" w:color="auto" w:sz="4" w:space="0"/>
              <w:right w:val="single" w:color="auto" w:sz="4" w:space="0"/>
            </w:tcBorders>
            <w:vAlign w:val="center"/>
          </w:tcPr>
          <w:p w14:paraId="0C129668">
            <w:pPr>
              <w:widowControl/>
              <w:spacing w:line="360" w:lineRule="auto"/>
              <w:jc w:val="center"/>
              <w:rPr>
                <w:rFonts w:hint="eastAsia" w:eastAsia="宋体"/>
                <w:color w:val="auto"/>
                <w:highlight w:val="none"/>
                <w:lang w:val="en-US" w:eastAsia="zh-CN"/>
              </w:rPr>
            </w:pPr>
            <w:r>
              <w:rPr>
                <w:rFonts w:hint="eastAsia" w:ascii="宋体" w:hAnsi="宋体" w:cs="宋体"/>
                <w:snapToGrid w:val="0"/>
                <w:color w:val="auto"/>
                <w:kern w:val="0"/>
                <w:sz w:val="24"/>
                <w:highlight w:val="none"/>
                <w:lang w:val="en-US" w:eastAsia="zh-CN"/>
              </w:rPr>
              <w:t>房屋建筑</w:t>
            </w:r>
            <w:r>
              <w:rPr>
                <w:rFonts w:hint="eastAsia" w:ascii="宋体" w:hAnsi="宋体" w:cs="宋体"/>
                <w:snapToGrid w:val="0"/>
                <w:color w:val="auto"/>
                <w:kern w:val="0"/>
                <w:sz w:val="24"/>
                <w:highlight w:val="none"/>
              </w:rPr>
              <w:t>工程专业</w:t>
            </w:r>
          </w:p>
        </w:tc>
        <w:tc>
          <w:tcPr>
            <w:tcW w:w="1012" w:type="dxa"/>
            <w:tcBorders>
              <w:top w:val="single" w:color="auto" w:sz="4" w:space="0"/>
              <w:left w:val="nil"/>
              <w:bottom w:val="single" w:color="auto" w:sz="4" w:space="0"/>
              <w:right w:val="single" w:color="auto" w:sz="4" w:space="0"/>
            </w:tcBorders>
            <w:vAlign w:val="center"/>
          </w:tcPr>
          <w:p w14:paraId="2E19DC76">
            <w:pPr>
              <w:widowControl/>
              <w:spacing w:line="240" w:lineRule="auto"/>
              <w:jc w:val="center"/>
              <w:rPr>
                <w:rFonts w:hint="default" w:eastAsia="宋体"/>
                <w:color w:val="auto"/>
                <w:highlight w:val="none"/>
                <w:lang w:val="en-US" w:eastAsia="zh-CN"/>
              </w:rPr>
            </w:pPr>
            <w:r>
              <w:rPr>
                <w:rFonts w:hint="eastAsia"/>
                <w:color w:val="auto"/>
                <w:highlight w:val="none"/>
                <w:lang w:val="en-US" w:eastAsia="zh-CN"/>
              </w:rPr>
              <w:t>1</w:t>
            </w:r>
          </w:p>
        </w:tc>
        <w:tc>
          <w:tcPr>
            <w:tcW w:w="5234" w:type="dxa"/>
            <w:tcBorders>
              <w:top w:val="single" w:color="auto" w:sz="4" w:space="0"/>
              <w:left w:val="single" w:color="auto" w:sz="4" w:space="0"/>
              <w:right w:val="single" w:color="auto" w:sz="4" w:space="0"/>
            </w:tcBorders>
            <w:vAlign w:val="center"/>
          </w:tcPr>
          <w:p w14:paraId="243F9D7B">
            <w:pPr>
              <w:keepNext w:val="0"/>
              <w:keepLines w:val="0"/>
              <w:pageBreakBefore w:val="0"/>
              <w:widowControl/>
              <w:kinsoku/>
              <w:wordWrap/>
              <w:overflowPunct/>
              <w:topLinePunct w:val="0"/>
              <w:autoSpaceDE/>
              <w:autoSpaceDN/>
              <w:bidi w:val="0"/>
              <w:adjustRightInd/>
              <w:snapToGrid/>
              <w:spacing w:line="460" w:lineRule="exact"/>
              <w:jc w:val="both"/>
              <w:textAlignment w:val="auto"/>
              <w:rPr>
                <w:rFonts w:hint="eastAsia" w:ascii="宋体" w:hAnsi="宋体" w:eastAsia="宋体" w:cs="宋体"/>
                <w:color w:val="auto"/>
                <w:highlight w:val="none"/>
              </w:rPr>
            </w:pPr>
            <w:r>
              <w:rPr>
                <w:rFonts w:hint="eastAsia" w:ascii="宋体" w:hAnsi="宋体" w:eastAsia="宋体" w:cs="宋体"/>
                <w:color w:val="auto"/>
                <w:highlight w:val="none"/>
              </w:rPr>
              <w:t>专业监理工程师符合以下3种情形之一均可：</w:t>
            </w:r>
          </w:p>
          <w:p w14:paraId="23CF2EF2">
            <w:pPr>
              <w:keepNext w:val="0"/>
              <w:keepLines w:val="0"/>
              <w:pageBreakBefore w:val="0"/>
              <w:widowControl/>
              <w:kinsoku/>
              <w:wordWrap/>
              <w:overflowPunct/>
              <w:topLinePunct w:val="0"/>
              <w:autoSpaceDE/>
              <w:autoSpaceDN/>
              <w:bidi w:val="0"/>
              <w:adjustRightInd/>
              <w:snapToGrid/>
              <w:spacing w:line="460" w:lineRule="exact"/>
              <w:jc w:val="both"/>
              <w:textAlignment w:val="auto"/>
              <w:rPr>
                <w:rFonts w:hint="eastAsia" w:ascii="宋体" w:hAnsi="宋体" w:eastAsia="宋体" w:cs="宋体"/>
                <w:color w:val="auto"/>
                <w:highlight w:val="none"/>
              </w:rPr>
            </w:pPr>
            <w:r>
              <w:rPr>
                <w:rFonts w:hint="eastAsia" w:ascii="宋体" w:hAnsi="宋体" w:eastAsia="宋体" w:cs="宋体"/>
                <w:color w:val="auto"/>
                <w:highlight w:val="none"/>
              </w:rPr>
              <w:t>1．具备所需专业注册监理工程师执业资格，持有效的注册证书；</w:t>
            </w:r>
          </w:p>
          <w:p w14:paraId="11E3936D">
            <w:pPr>
              <w:keepNext w:val="0"/>
              <w:keepLines w:val="0"/>
              <w:pageBreakBefore w:val="0"/>
              <w:widowControl/>
              <w:kinsoku/>
              <w:wordWrap/>
              <w:overflowPunct/>
              <w:topLinePunct w:val="0"/>
              <w:autoSpaceDE/>
              <w:autoSpaceDN/>
              <w:bidi w:val="0"/>
              <w:adjustRightInd/>
              <w:snapToGrid/>
              <w:spacing w:line="460" w:lineRule="exact"/>
              <w:jc w:val="both"/>
              <w:textAlignment w:val="auto"/>
              <w:rPr>
                <w:rFonts w:hint="eastAsia" w:ascii="宋体" w:hAnsi="宋体" w:eastAsia="宋体" w:cs="宋体"/>
                <w:color w:val="auto"/>
                <w:highlight w:val="none"/>
              </w:rPr>
            </w:pPr>
            <w:r>
              <w:rPr>
                <w:rFonts w:hint="eastAsia" w:ascii="宋体" w:hAnsi="宋体" w:eastAsia="宋体" w:cs="宋体"/>
                <w:color w:val="auto"/>
                <w:highlight w:val="none"/>
              </w:rPr>
              <w:t>2．具备工程类注册执业资格，并经监理业务培训。持有效的注册证书、省级建设行政主管部门或其授权的组织（机构）颁发的岗位证书；</w:t>
            </w:r>
          </w:p>
          <w:p w14:paraId="4A9A46A2">
            <w:pPr>
              <w:keepNext w:val="0"/>
              <w:keepLines w:val="0"/>
              <w:pageBreakBefore w:val="0"/>
              <w:widowControl/>
              <w:kinsoku/>
              <w:wordWrap/>
              <w:overflowPunct/>
              <w:topLinePunct w:val="0"/>
              <w:autoSpaceDE/>
              <w:autoSpaceDN/>
              <w:bidi w:val="0"/>
              <w:adjustRightInd/>
              <w:snapToGrid/>
              <w:spacing w:line="460" w:lineRule="exact"/>
              <w:jc w:val="both"/>
              <w:textAlignment w:val="auto"/>
              <w:rPr>
                <w:rFonts w:hint="eastAsia" w:ascii="宋体" w:hAnsi="宋体" w:eastAsia="宋体" w:cs="宋体"/>
                <w:color w:val="auto"/>
                <w:highlight w:val="none"/>
              </w:rPr>
            </w:pPr>
            <w:r>
              <w:rPr>
                <w:rFonts w:hint="eastAsia" w:ascii="宋体" w:hAnsi="宋体" w:eastAsia="宋体" w:cs="宋体"/>
                <w:color w:val="auto"/>
                <w:highlight w:val="none"/>
              </w:rPr>
              <w:t>3．具备中级及以上专业技术职称，并经监理业务培训</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持有效的职称证书、省级建设行政主管部门或其授权的组织（机构）颁发的岗位证书。</w:t>
            </w:r>
          </w:p>
          <w:p w14:paraId="0B67FE8D">
            <w:pPr>
              <w:widowControl/>
              <w:spacing w:line="440" w:lineRule="exact"/>
              <w:ind w:firstLine="480" w:firstLineChars="200"/>
              <w:rPr>
                <w:rFonts w:hAnsi="宋体" w:cs="宋体"/>
                <w:color w:val="auto"/>
                <w:kern w:val="0"/>
                <w:szCs w:val="24"/>
                <w:highlight w:val="none"/>
              </w:rPr>
            </w:pPr>
            <w:r>
              <w:rPr>
                <w:rFonts w:hint="eastAsia" w:ascii="宋体" w:hAnsi="宋体" w:eastAsia="宋体" w:cs="宋体"/>
                <w:color w:val="auto"/>
                <w:kern w:val="0"/>
                <w:sz w:val="24"/>
                <w:szCs w:val="24"/>
                <w:highlight w:val="none"/>
              </w:rPr>
              <w:t>注：专业类别以注册证书或专业监理工程师证书或职称证书或毕业证所列明的专业为准。</w:t>
            </w:r>
          </w:p>
        </w:tc>
      </w:tr>
      <w:tr w14:paraId="586B5BD1">
        <w:tblPrEx>
          <w:tblCellMar>
            <w:top w:w="0" w:type="dxa"/>
            <w:left w:w="108" w:type="dxa"/>
            <w:bottom w:w="0" w:type="dxa"/>
            <w:right w:w="108" w:type="dxa"/>
          </w:tblCellMar>
        </w:tblPrEx>
        <w:trPr>
          <w:trHeight w:val="1110" w:hRule="atLeast"/>
        </w:trPr>
        <w:tc>
          <w:tcPr>
            <w:tcW w:w="1132" w:type="dxa"/>
            <w:tcBorders>
              <w:top w:val="single" w:color="auto" w:sz="4" w:space="0"/>
              <w:left w:val="single" w:color="auto" w:sz="4" w:space="0"/>
              <w:bottom w:val="single" w:color="auto" w:sz="4" w:space="0"/>
              <w:right w:val="single" w:color="auto" w:sz="4" w:space="0"/>
            </w:tcBorders>
            <w:vAlign w:val="center"/>
          </w:tcPr>
          <w:p w14:paraId="5509CAB4">
            <w:pPr>
              <w:pStyle w:val="90"/>
              <w:wordWrap w:val="0"/>
              <w:adjustRightInd w:val="0"/>
              <w:snapToGrid w:val="0"/>
              <w:spacing w:line="360" w:lineRule="exact"/>
              <w:jc w:val="center"/>
              <w:rPr>
                <w:rFonts w:hint="eastAsia" w:ascii="宋体" w:hAnsi="宋体" w:cs="宋体"/>
                <w:snapToGrid w:val="0"/>
                <w:color w:val="auto"/>
                <w:kern w:val="0"/>
                <w:sz w:val="24"/>
                <w:highlight w:val="none"/>
              </w:rPr>
            </w:pPr>
            <w:r>
              <w:rPr>
                <w:rFonts w:hint="eastAsia"/>
                <w:color w:val="auto"/>
                <w:highlight w:val="none"/>
                <w:lang w:val="en-US" w:eastAsia="zh-CN"/>
              </w:rPr>
              <w:t>安全监理</w:t>
            </w:r>
            <w:r>
              <w:rPr>
                <w:rFonts w:hint="eastAsia"/>
                <w:color w:val="auto"/>
                <w:highlight w:val="none"/>
              </w:rPr>
              <w:t>工程师</w:t>
            </w:r>
          </w:p>
        </w:tc>
        <w:tc>
          <w:tcPr>
            <w:tcW w:w="1937" w:type="dxa"/>
            <w:tcBorders>
              <w:top w:val="single" w:color="auto" w:sz="4" w:space="0"/>
              <w:left w:val="single" w:color="auto" w:sz="4" w:space="0"/>
              <w:bottom w:val="single" w:color="auto" w:sz="4" w:space="0"/>
              <w:right w:val="single" w:color="auto" w:sz="4" w:space="0"/>
            </w:tcBorders>
            <w:vAlign w:val="center"/>
          </w:tcPr>
          <w:p w14:paraId="4AD2BE18">
            <w:pPr>
              <w:pStyle w:val="90"/>
              <w:wordWrap w:val="0"/>
              <w:adjustRightInd w:val="0"/>
              <w:snapToGrid w:val="0"/>
              <w:spacing w:line="360" w:lineRule="exact"/>
              <w:jc w:val="center"/>
              <w:rPr>
                <w:rFonts w:hint="default" w:ascii="宋体" w:hAnsi="宋体" w:eastAsia="宋体" w:cs="宋体"/>
                <w:snapToGrid w:val="0"/>
                <w:color w:val="auto"/>
                <w:kern w:val="0"/>
                <w:sz w:val="24"/>
                <w:highlight w:val="none"/>
                <w:lang w:val="en-US" w:eastAsia="zh-CN"/>
              </w:rPr>
            </w:pPr>
            <w:r>
              <w:rPr>
                <w:rFonts w:hint="eastAsia" w:ascii="宋体" w:hAnsi="宋体" w:cs="宋体"/>
                <w:snapToGrid w:val="0"/>
                <w:color w:val="auto"/>
                <w:kern w:val="0"/>
                <w:sz w:val="24"/>
                <w:highlight w:val="none"/>
                <w:lang w:val="en-US" w:eastAsia="zh-CN"/>
              </w:rPr>
              <w:t>建筑施工安全</w:t>
            </w:r>
          </w:p>
        </w:tc>
        <w:tc>
          <w:tcPr>
            <w:tcW w:w="1012" w:type="dxa"/>
            <w:tcBorders>
              <w:top w:val="single" w:color="auto" w:sz="4" w:space="0"/>
              <w:left w:val="single" w:color="auto" w:sz="4" w:space="0"/>
              <w:bottom w:val="single" w:color="auto" w:sz="4" w:space="0"/>
              <w:right w:val="single" w:color="auto" w:sz="4" w:space="0"/>
            </w:tcBorders>
            <w:vAlign w:val="center"/>
          </w:tcPr>
          <w:p w14:paraId="1934FE47">
            <w:pPr>
              <w:pStyle w:val="90"/>
              <w:wordWrap w:val="0"/>
              <w:adjustRightInd w:val="0"/>
              <w:snapToGrid w:val="0"/>
              <w:spacing w:line="360" w:lineRule="exact"/>
              <w:jc w:val="center"/>
              <w:rPr>
                <w:rFonts w:hint="default" w:ascii="宋体" w:hAnsi="宋体" w:cs="宋体"/>
                <w:snapToGrid w:val="0"/>
                <w:color w:val="auto"/>
                <w:kern w:val="0"/>
                <w:sz w:val="24"/>
                <w:highlight w:val="none"/>
                <w:lang w:val="en-US" w:eastAsia="zh-CN"/>
              </w:rPr>
            </w:pPr>
            <w:r>
              <w:rPr>
                <w:rFonts w:hint="eastAsia" w:ascii="宋体" w:hAnsi="宋体" w:cs="宋体"/>
                <w:snapToGrid w:val="0"/>
                <w:color w:val="auto"/>
                <w:kern w:val="0"/>
                <w:sz w:val="24"/>
                <w:highlight w:val="none"/>
                <w:lang w:val="en-US" w:eastAsia="zh-CN"/>
              </w:rPr>
              <w:t>1</w:t>
            </w:r>
          </w:p>
        </w:tc>
        <w:tc>
          <w:tcPr>
            <w:tcW w:w="5234" w:type="dxa"/>
            <w:tcBorders>
              <w:top w:val="single" w:color="auto" w:sz="4" w:space="0"/>
              <w:left w:val="single" w:color="auto" w:sz="4" w:space="0"/>
              <w:bottom w:val="single" w:color="auto" w:sz="4" w:space="0"/>
              <w:right w:val="single" w:color="auto" w:sz="4" w:space="0"/>
            </w:tcBorders>
            <w:vAlign w:val="center"/>
          </w:tcPr>
          <w:p w14:paraId="10AE2F6F">
            <w:pPr>
              <w:pStyle w:val="90"/>
              <w:wordWrap w:val="0"/>
              <w:adjustRightInd w:val="0"/>
              <w:snapToGrid w:val="0"/>
              <w:spacing w:line="360" w:lineRule="exact"/>
              <w:jc w:val="center"/>
              <w:rPr>
                <w:rFonts w:hint="eastAsia" w:ascii="宋体" w:hAnsi="宋体" w:eastAsia="宋体" w:cs="宋体"/>
                <w:snapToGrid w:val="0"/>
                <w:color w:val="auto"/>
                <w:kern w:val="0"/>
                <w:sz w:val="24"/>
                <w:highlight w:val="none"/>
                <w:lang w:eastAsia="zh-CN"/>
              </w:rPr>
            </w:pPr>
            <w:r>
              <w:rPr>
                <w:rFonts w:hint="eastAsia" w:ascii="宋体" w:hAnsi="宋体" w:cs="宋体"/>
                <w:snapToGrid w:val="0"/>
                <w:color w:val="auto"/>
                <w:kern w:val="0"/>
                <w:sz w:val="24"/>
                <w:highlight w:val="none"/>
                <w:lang w:val="en-US" w:eastAsia="zh-CN"/>
              </w:rPr>
              <w:t>具</w:t>
            </w:r>
            <w:r>
              <w:rPr>
                <w:rFonts w:hint="eastAsia" w:ascii="宋体" w:hAnsi="宋体" w:cs="宋体"/>
                <w:snapToGrid w:val="0"/>
                <w:color w:val="auto"/>
                <w:kern w:val="0"/>
                <w:sz w:val="24"/>
                <w:highlight w:val="none"/>
              </w:rPr>
              <w:t>有注册</w:t>
            </w:r>
            <w:r>
              <w:rPr>
                <w:rFonts w:hint="eastAsia" w:ascii="宋体" w:hAnsi="宋体" w:cs="宋体"/>
                <w:snapToGrid w:val="0"/>
                <w:color w:val="auto"/>
                <w:kern w:val="0"/>
                <w:sz w:val="24"/>
                <w:highlight w:val="none"/>
                <w:lang w:val="en-US" w:eastAsia="zh-CN"/>
              </w:rPr>
              <w:t>有效期内的全国</w:t>
            </w:r>
            <w:r>
              <w:rPr>
                <w:rFonts w:hint="eastAsia" w:ascii="宋体" w:hAnsi="宋体" w:cs="宋体"/>
                <w:snapToGrid w:val="0"/>
                <w:color w:val="auto"/>
                <w:kern w:val="0"/>
                <w:sz w:val="24"/>
                <w:highlight w:val="none"/>
              </w:rPr>
              <w:t>安全工程师</w:t>
            </w:r>
            <w:r>
              <w:rPr>
                <w:rFonts w:hint="eastAsia" w:ascii="宋体" w:hAnsi="宋体" w:cs="宋体"/>
                <w:snapToGrid w:val="0"/>
                <w:color w:val="auto"/>
                <w:kern w:val="0"/>
                <w:sz w:val="24"/>
                <w:highlight w:val="none"/>
                <w:lang w:val="en-US" w:eastAsia="zh-CN"/>
              </w:rPr>
              <w:t>执业</w:t>
            </w:r>
            <w:r>
              <w:rPr>
                <w:rFonts w:hint="eastAsia" w:ascii="宋体" w:hAnsi="宋体" w:cs="宋体"/>
                <w:snapToGrid w:val="0"/>
                <w:color w:val="auto"/>
                <w:kern w:val="0"/>
                <w:sz w:val="24"/>
                <w:highlight w:val="none"/>
              </w:rPr>
              <w:t>证书</w:t>
            </w:r>
            <w:r>
              <w:rPr>
                <w:rFonts w:hint="eastAsia" w:ascii="宋体" w:hAnsi="宋体" w:cs="宋体"/>
                <w:snapToGrid w:val="0"/>
                <w:color w:val="auto"/>
                <w:kern w:val="0"/>
                <w:sz w:val="24"/>
                <w:highlight w:val="none"/>
                <w:lang w:eastAsia="zh-CN"/>
              </w:rPr>
              <w:t>。</w:t>
            </w:r>
          </w:p>
        </w:tc>
      </w:tr>
      <w:tr w14:paraId="52FED773">
        <w:tblPrEx>
          <w:tblCellMar>
            <w:top w:w="0" w:type="dxa"/>
            <w:left w:w="108" w:type="dxa"/>
            <w:bottom w:w="0" w:type="dxa"/>
            <w:right w:w="108" w:type="dxa"/>
          </w:tblCellMar>
        </w:tblPrEx>
        <w:trPr>
          <w:trHeight w:val="1110" w:hRule="atLeast"/>
        </w:trPr>
        <w:tc>
          <w:tcPr>
            <w:tcW w:w="1132" w:type="dxa"/>
            <w:tcBorders>
              <w:top w:val="single" w:color="auto" w:sz="4" w:space="0"/>
              <w:left w:val="single" w:color="auto" w:sz="4" w:space="0"/>
              <w:bottom w:val="single" w:color="auto" w:sz="4" w:space="0"/>
              <w:right w:val="single" w:color="auto" w:sz="4" w:space="0"/>
            </w:tcBorders>
            <w:vAlign w:val="center"/>
          </w:tcPr>
          <w:p w14:paraId="33AA7C8C">
            <w:pPr>
              <w:pStyle w:val="90"/>
              <w:wordWrap w:val="0"/>
              <w:adjustRightInd w:val="0"/>
              <w:snapToGrid w:val="0"/>
              <w:spacing w:line="360" w:lineRule="exact"/>
              <w:jc w:val="center"/>
              <w:rPr>
                <w:rFonts w:hint="eastAsia"/>
                <w:color w:val="auto"/>
                <w:highlight w:val="none"/>
              </w:rPr>
            </w:pPr>
            <w:r>
              <w:rPr>
                <w:rFonts w:hint="eastAsia" w:ascii="宋体" w:hAnsi="宋体" w:cs="宋体"/>
                <w:snapToGrid w:val="0"/>
                <w:color w:val="auto"/>
                <w:kern w:val="0"/>
                <w:sz w:val="24"/>
                <w:highlight w:val="none"/>
              </w:rPr>
              <w:t>监理员</w:t>
            </w:r>
          </w:p>
        </w:tc>
        <w:tc>
          <w:tcPr>
            <w:tcW w:w="1937" w:type="dxa"/>
            <w:tcBorders>
              <w:top w:val="single" w:color="auto" w:sz="4" w:space="0"/>
              <w:left w:val="single" w:color="auto" w:sz="4" w:space="0"/>
              <w:bottom w:val="single" w:color="auto" w:sz="4" w:space="0"/>
              <w:right w:val="single" w:color="auto" w:sz="4" w:space="0"/>
            </w:tcBorders>
            <w:vAlign w:val="center"/>
          </w:tcPr>
          <w:p w14:paraId="2F7F8E07">
            <w:pPr>
              <w:pStyle w:val="90"/>
              <w:wordWrap w:val="0"/>
              <w:adjustRightInd w:val="0"/>
              <w:snapToGrid w:val="0"/>
              <w:spacing w:line="360" w:lineRule="exact"/>
              <w:jc w:val="center"/>
              <w:rPr>
                <w:rFonts w:hint="eastAsia"/>
                <w:color w:val="auto"/>
                <w:highlight w:val="none"/>
              </w:rPr>
            </w:pPr>
            <w:r>
              <w:rPr>
                <w:rFonts w:hint="eastAsia" w:ascii="宋体" w:hAnsi="宋体" w:cs="宋体"/>
                <w:snapToGrid w:val="0"/>
                <w:color w:val="auto"/>
                <w:kern w:val="0"/>
                <w:sz w:val="24"/>
                <w:highlight w:val="none"/>
              </w:rPr>
              <w:t>监理员岗位证书</w:t>
            </w:r>
          </w:p>
        </w:tc>
        <w:tc>
          <w:tcPr>
            <w:tcW w:w="1012" w:type="dxa"/>
            <w:tcBorders>
              <w:top w:val="single" w:color="auto" w:sz="4" w:space="0"/>
              <w:left w:val="single" w:color="auto" w:sz="4" w:space="0"/>
              <w:bottom w:val="single" w:color="auto" w:sz="4" w:space="0"/>
              <w:right w:val="single" w:color="auto" w:sz="4" w:space="0"/>
            </w:tcBorders>
            <w:vAlign w:val="center"/>
          </w:tcPr>
          <w:p w14:paraId="1672290A">
            <w:pPr>
              <w:pStyle w:val="90"/>
              <w:wordWrap w:val="0"/>
              <w:adjustRightInd w:val="0"/>
              <w:snapToGrid w:val="0"/>
              <w:spacing w:line="360" w:lineRule="exact"/>
              <w:jc w:val="center"/>
              <w:rPr>
                <w:rFonts w:hint="default"/>
                <w:color w:val="auto"/>
                <w:highlight w:val="none"/>
                <w:lang w:val="en-US" w:eastAsia="zh-CN"/>
              </w:rPr>
            </w:pPr>
            <w:r>
              <w:rPr>
                <w:rFonts w:hint="eastAsia"/>
                <w:color w:val="auto"/>
                <w:highlight w:val="none"/>
                <w:lang w:val="en-US" w:eastAsia="zh-CN"/>
              </w:rPr>
              <w:t>2</w:t>
            </w:r>
          </w:p>
        </w:tc>
        <w:tc>
          <w:tcPr>
            <w:tcW w:w="5234" w:type="dxa"/>
            <w:tcBorders>
              <w:top w:val="single" w:color="auto" w:sz="4" w:space="0"/>
              <w:left w:val="single" w:color="auto" w:sz="4" w:space="0"/>
              <w:bottom w:val="single" w:color="auto" w:sz="4" w:space="0"/>
              <w:right w:val="single" w:color="auto" w:sz="4" w:space="0"/>
            </w:tcBorders>
            <w:vAlign w:val="center"/>
          </w:tcPr>
          <w:p w14:paraId="7DFD8B43">
            <w:pPr>
              <w:pStyle w:val="90"/>
              <w:wordWrap w:val="0"/>
              <w:adjustRightInd w:val="0"/>
              <w:snapToGrid w:val="0"/>
              <w:spacing w:line="360" w:lineRule="exact"/>
              <w:jc w:val="center"/>
              <w:rPr>
                <w:rFonts w:hint="eastAsia" w:hAnsi="宋体" w:cs="宋体"/>
                <w:color w:val="auto"/>
                <w:kern w:val="0"/>
                <w:szCs w:val="24"/>
                <w:highlight w:val="none"/>
              </w:rPr>
            </w:pPr>
            <w:r>
              <w:rPr>
                <w:rFonts w:hint="eastAsia" w:ascii="宋体" w:hAnsi="宋体" w:cs="宋体"/>
                <w:snapToGrid w:val="0"/>
                <w:color w:val="auto"/>
                <w:kern w:val="0"/>
                <w:sz w:val="24"/>
                <w:highlight w:val="none"/>
              </w:rPr>
              <w:t>经监理业务培训，持有效的省级建设行政主管部门或其授权的组织（机构）颁发的岗位证书。</w:t>
            </w:r>
          </w:p>
        </w:tc>
      </w:tr>
    </w:tbl>
    <w:p w14:paraId="3E67B8DA">
      <w:pPr>
        <w:wordWrap w:val="0"/>
        <w:adjustRightInd w:val="0"/>
        <w:snapToGrid w:val="0"/>
        <w:spacing w:line="440" w:lineRule="exact"/>
        <w:ind w:firstLine="480" w:firstLineChars="200"/>
        <w:rPr>
          <w:rFonts w:ascii="Times New Roman"/>
          <w:snapToGrid w:val="0"/>
          <w:color w:val="auto"/>
          <w:kern w:val="0"/>
          <w:highlight w:val="none"/>
        </w:rPr>
      </w:pPr>
      <w:r>
        <w:rPr>
          <w:rFonts w:hint="eastAsia" w:hAnsi="宋体" w:cs="宋体"/>
          <w:color w:val="auto"/>
          <w:kern w:val="0"/>
          <w:szCs w:val="24"/>
          <w:highlight w:val="none"/>
        </w:rPr>
        <w:t>注：</w:t>
      </w:r>
      <w:r>
        <w:rPr>
          <w:rFonts w:hint="eastAsia" w:ascii="宋体" w:hAnsi="宋体" w:eastAsia="宋体" w:cs="宋体"/>
          <w:color w:val="auto"/>
          <w:kern w:val="0"/>
          <w:sz w:val="24"/>
          <w:szCs w:val="24"/>
          <w:highlight w:val="none"/>
          <w:lang w:val="en-US" w:eastAsia="zh-CN" w:bidi="ar"/>
        </w:rPr>
        <w:t>以上人员一人一岗，不得重复。除总监理工程师外，本需求表拟委派的项目监理机构其他人员只作为综合评分的评审依据，不属于资格评审、形式评审、响应性评审的审查内容，不得作为否决投标条件。</w:t>
      </w:r>
    </w:p>
    <w:p w14:paraId="1021FFCB">
      <w:pPr>
        <w:rPr>
          <w:color w:val="auto"/>
          <w:highlight w:val="none"/>
        </w:rPr>
      </w:pPr>
    </w:p>
    <w:p w14:paraId="07D9C16A">
      <w:pPr>
        <w:adjustRightInd w:val="0"/>
        <w:snapToGrid w:val="0"/>
        <w:spacing w:line="440" w:lineRule="exact"/>
        <w:ind w:firstLine="480" w:firstLineChars="200"/>
        <w:rPr>
          <w:rFonts w:hAnsi="宋体" w:cs="宋体"/>
          <w:snapToGrid w:val="0"/>
          <w:color w:val="auto"/>
          <w:kern w:val="0"/>
          <w:highlight w:val="none"/>
        </w:rPr>
      </w:pPr>
      <w:r>
        <w:rPr>
          <w:rFonts w:hint="eastAsia" w:hAnsi="宋体" w:cs="宋体"/>
          <w:snapToGrid w:val="0"/>
          <w:color w:val="auto"/>
          <w:kern w:val="0"/>
          <w:highlight w:val="none"/>
        </w:rPr>
        <w:br w:type="page"/>
      </w:r>
    </w:p>
    <w:p w14:paraId="499742D9">
      <w:pPr>
        <w:wordWrap w:val="0"/>
        <w:adjustRightInd w:val="0"/>
        <w:snapToGrid w:val="0"/>
        <w:spacing w:line="440" w:lineRule="exact"/>
        <w:ind w:firstLine="482" w:firstLineChars="200"/>
        <w:rPr>
          <w:rFonts w:hAnsi="宋体" w:cs="宋体"/>
          <w:b/>
          <w:bCs/>
          <w:snapToGrid w:val="0"/>
          <w:color w:val="auto"/>
          <w:kern w:val="0"/>
          <w:szCs w:val="24"/>
          <w:highlight w:val="none"/>
        </w:rPr>
        <w:sectPr>
          <w:endnotePr>
            <w:numFmt w:val="decimal"/>
          </w:endnotePr>
          <w:pgSz w:w="11906" w:h="16838"/>
          <w:pgMar w:top="1417" w:right="1417" w:bottom="1417" w:left="1417" w:header="850" w:footer="992" w:gutter="0"/>
          <w:pgNumType w:fmt="decimal"/>
          <w:cols w:space="0" w:num="1"/>
          <w:docGrid w:linePitch="327" w:charSpace="0"/>
        </w:sectPr>
      </w:pPr>
    </w:p>
    <w:p w14:paraId="15F6EFDA">
      <w:pPr>
        <w:wordWrap w:val="0"/>
        <w:adjustRightInd w:val="0"/>
        <w:snapToGrid w:val="0"/>
        <w:spacing w:line="360" w:lineRule="auto"/>
        <w:ind w:firstLine="482" w:firstLineChars="200"/>
        <w:rPr>
          <w:rFonts w:hAnsi="宋体" w:cs="宋体"/>
          <w:snapToGrid w:val="0"/>
          <w:color w:val="auto"/>
          <w:kern w:val="0"/>
          <w:szCs w:val="24"/>
          <w:highlight w:val="none"/>
        </w:rPr>
      </w:pPr>
      <w:r>
        <w:rPr>
          <w:rFonts w:hint="eastAsia" w:hAnsi="宋体" w:cs="宋体"/>
          <w:b/>
          <w:bCs/>
          <w:snapToGrid w:val="0"/>
          <w:color w:val="auto"/>
          <w:kern w:val="0"/>
          <w:szCs w:val="24"/>
          <w:highlight w:val="none"/>
        </w:rPr>
        <w:t>15.</w:t>
      </w:r>
      <w:r>
        <w:rPr>
          <w:rFonts w:hint="eastAsia" w:hAnsi="宋体" w:cs="宋体"/>
          <w:b/>
          <w:bCs/>
          <w:snapToGrid w:val="0"/>
          <w:color w:val="auto"/>
          <w:kern w:val="0"/>
          <w:szCs w:val="24"/>
          <w:highlight w:val="none"/>
          <w:lang w:val="en-US" w:eastAsia="zh-CN"/>
        </w:rPr>
        <w:t>4</w:t>
      </w:r>
      <w:r>
        <w:rPr>
          <w:rFonts w:hint="eastAsia" w:hAnsi="宋体" w:cs="宋体"/>
          <w:b/>
          <w:bCs/>
          <w:snapToGrid w:val="0"/>
          <w:color w:val="auto"/>
          <w:kern w:val="0"/>
          <w:szCs w:val="24"/>
          <w:highlight w:val="none"/>
        </w:rPr>
        <w:t xml:space="preserve">.2 </w:t>
      </w:r>
      <w:r>
        <w:rPr>
          <w:rFonts w:hint="eastAsia" w:hAnsi="宋体" w:cs="宋体"/>
          <w:snapToGrid w:val="0"/>
          <w:color w:val="auto"/>
          <w:kern w:val="0"/>
          <w:szCs w:val="24"/>
          <w:highlight w:val="none"/>
        </w:rPr>
        <w:t>否决投标说明</w:t>
      </w:r>
    </w:p>
    <w:p w14:paraId="4CADBCAA">
      <w:pPr>
        <w:wordWrap w:val="0"/>
        <w:adjustRightInd w:val="0"/>
        <w:snapToGrid w:val="0"/>
        <w:spacing w:line="360" w:lineRule="auto"/>
        <w:ind w:firstLine="562"/>
        <w:rPr>
          <w:rFonts w:hAnsi="宋体" w:cs="宋体"/>
          <w:snapToGrid w:val="0"/>
          <w:color w:val="auto"/>
          <w:kern w:val="0"/>
          <w:szCs w:val="24"/>
          <w:highlight w:val="none"/>
        </w:rPr>
      </w:pPr>
      <w:r>
        <w:rPr>
          <w:rFonts w:hint="eastAsia" w:hAnsi="宋体" w:cs="宋体"/>
          <w:snapToGrid w:val="0"/>
          <w:color w:val="auto"/>
          <w:kern w:val="0"/>
          <w:szCs w:val="24"/>
          <w:highlight w:val="none"/>
        </w:rPr>
        <w:t>详细评审阶段否决投标的全部条件，在本章第四节“否决投标条件”第</w:t>
      </w:r>
      <w:r>
        <w:rPr>
          <w:rFonts w:hint="eastAsia" w:hAnsi="宋体" w:cs="宋体"/>
          <w:b/>
          <w:bCs/>
          <w:snapToGrid w:val="0"/>
          <w:color w:val="auto"/>
          <w:kern w:val="0"/>
          <w:szCs w:val="24"/>
          <w:highlight w:val="none"/>
        </w:rPr>
        <w:t>4</w:t>
      </w:r>
      <w:r>
        <w:rPr>
          <w:rFonts w:hint="eastAsia" w:hAnsi="宋体" w:cs="宋体"/>
          <w:snapToGrid w:val="0"/>
          <w:color w:val="auto"/>
          <w:kern w:val="0"/>
          <w:szCs w:val="24"/>
          <w:highlight w:val="none"/>
        </w:rPr>
        <w:t>条中集中列示。投标人有其中所列任何一种情形的，由评标委员会否决其投标。经详细评审后，若所有投标均被否决，招标人应当依法重新招标。</w:t>
      </w:r>
    </w:p>
    <w:p w14:paraId="200CF558">
      <w:pPr>
        <w:wordWrap w:val="0"/>
        <w:adjustRightInd w:val="0"/>
        <w:snapToGrid w:val="0"/>
        <w:spacing w:line="360" w:lineRule="auto"/>
        <w:ind w:firstLine="482" w:firstLineChars="200"/>
        <w:rPr>
          <w:rFonts w:hAnsi="宋体" w:cs="宋体"/>
          <w:b/>
          <w:snapToGrid w:val="0"/>
          <w:color w:val="auto"/>
          <w:kern w:val="0"/>
          <w:szCs w:val="24"/>
          <w:highlight w:val="none"/>
        </w:rPr>
      </w:pPr>
      <w:r>
        <w:rPr>
          <w:rFonts w:hint="eastAsia" w:hAnsi="宋体" w:cs="宋体"/>
          <w:b/>
          <w:bCs/>
          <w:snapToGrid w:val="0"/>
          <w:color w:val="auto"/>
          <w:kern w:val="0"/>
          <w:szCs w:val="24"/>
          <w:highlight w:val="none"/>
        </w:rPr>
        <w:t>注：投标人在详细评审阶段根据评分方法提供的佐证材料，其合法性、有效性和准确性不符合要求的，有关评分因素的评分按相应评分标准处理，但不否决投标。</w:t>
      </w:r>
    </w:p>
    <w:p w14:paraId="73CA2331">
      <w:pPr>
        <w:pStyle w:val="5"/>
        <w:keepNext w:val="0"/>
        <w:keepLines w:val="0"/>
        <w:pageBreakBefore w:val="0"/>
        <w:wordWrap w:val="0"/>
        <w:topLinePunct w:val="0"/>
        <w:autoSpaceDE/>
        <w:autoSpaceDN/>
        <w:bidi w:val="0"/>
        <w:snapToGrid w:val="0"/>
        <w:spacing w:line="500" w:lineRule="exact"/>
        <w:ind w:firstLine="480"/>
        <w:jc w:val="both"/>
        <w:textAlignment w:val="auto"/>
        <w:outlineLvl w:val="2"/>
        <w:rPr>
          <w:rFonts w:hint="eastAsia" w:hAnsi="宋体" w:cs="宋体"/>
          <w:b/>
          <w:snapToGrid w:val="0"/>
          <w:color w:val="auto"/>
          <w:szCs w:val="24"/>
          <w:highlight w:val="none"/>
        </w:rPr>
      </w:pPr>
      <w:bookmarkStart w:id="62" w:name="_Toc23668"/>
      <w:r>
        <w:rPr>
          <w:rFonts w:hint="eastAsia" w:hAnsi="宋体" w:cs="宋体"/>
          <w:b/>
          <w:snapToGrid w:val="0"/>
          <w:color w:val="auto"/>
          <w:szCs w:val="24"/>
          <w:highlight w:val="none"/>
        </w:rPr>
        <w:t>16．推荐中标候选人</w:t>
      </w:r>
      <w:bookmarkEnd w:id="62"/>
    </w:p>
    <w:p w14:paraId="73027949">
      <w:pPr>
        <w:wordWrap w:val="0"/>
        <w:adjustRightInd w:val="0"/>
        <w:snapToGrid w:val="0"/>
        <w:spacing w:line="360" w:lineRule="auto"/>
        <w:ind w:firstLine="482" w:firstLineChars="200"/>
        <w:rPr>
          <w:rFonts w:hint="eastAsia" w:hAnsi="宋体" w:cs="宋体"/>
          <w:b/>
          <w:bCs/>
          <w:snapToGrid w:val="0"/>
          <w:color w:val="auto"/>
          <w:kern w:val="0"/>
          <w:szCs w:val="24"/>
          <w:highlight w:val="none"/>
        </w:rPr>
      </w:pPr>
      <w:r>
        <w:rPr>
          <w:rFonts w:hint="eastAsia" w:hAnsi="宋体" w:cs="宋体"/>
          <w:b/>
          <w:bCs/>
          <w:snapToGrid w:val="0"/>
          <w:color w:val="auto"/>
          <w:kern w:val="0"/>
          <w:szCs w:val="24"/>
          <w:highlight w:val="none"/>
        </w:rPr>
        <w:t>1</w:t>
      </w:r>
      <w:r>
        <w:rPr>
          <w:rFonts w:hint="eastAsia" w:hAnsi="宋体" w:cs="宋体"/>
          <w:b/>
          <w:bCs/>
          <w:snapToGrid w:val="0"/>
          <w:color w:val="auto"/>
          <w:kern w:val="0"/>
          <w:szCs w:val="24"/>
          <w:highlight w:val="none"/>
          <w:lang w:val="en-US" w:eastAsia="zh-CN"/>
        </w:rPr>
        <w:t>6</w:t>
      </w:r>
      <w:r>
        <w:rPr>
          <w:rFonts w:hint="eastAsia" w:hAnsi="宋体" w:cs="宋体"/>
          <w:b/>
          <w:bCs/>
          <w:snapToGrid w:val="0"/>
          <w:color w:val="auto"/>
          <w:kern w:val="0"/>
          <w:szCs w:val="24"/>
          <w:highlight w:val="none"/>
        </w:rPr>
        <w:t xml:space="preserve">.1 </w:t>
      </w:r>
      <w:r>
        <w:rPr>
          <w:rFonts w:hint="eastAsia" w:hAnsi="宋体" w:cs="宋体"/>
          <w:b w:val="0"/>
          <w:bCs w:val="0"/>
          <w:snapToGrid w:val="0"/>
          <w:color w:val="auto"/>
          <w:kern w:val="0"/>
          <w:szCs w:val="24"/>
          <w:highlight w:val="none"/>
        </w:rPr>
        <w:t>确定排名</w:t>
      </w:r>
    </w:p>
    <w:p w14:paraId="17101544">
      <w:pPr>
        <w:wordWrap w:val="0"/>
        <w:adjustRightInd w:val="0"/>
        <w:snapToGrid w:val="0"/>
        <w:spacing w:line="360" w:lineRule="auto"/>
        <w:ind w:firstLine="480" w:firstLineChars="200"/>
        <w:outlineLvl w:val="1"/>
        <w:rPr>
          <w:rFonts w:hint="eastAsia" w:hAnsi="宋体" w:cs="宋体"/>
          <w:b w:val="0"/>
          <w:bCs/>
          <w:snapToGrid w:val="0"/>
          <w:color w:val="auto"/>
          <w:kern w:val="0"/>
          <w:szCs w:val="24"/>
          <w:highlight w:val="none"/>
        </w:rPr>
      </w:pPr>
      <w:bookmarkStart w:id="63" w:name="_Toc10038"/>
      <w:bookmarkStart w:id="64" w:name="_Toc28775"/>
      <w:r>
        <w:rPr>
          <w:rFonts w:hint="eastAsia" w:hAnsi="宋体" w:cs="宋体"/>
          <w:b w:val="0"/>
          <w:bCs/>
          <w:snapToGrid w:val="0"/>
          <w:color w:val="auto"/>
          <w:kern w:val="0"/>
          <w:szCs w:val="24"/>
          <w:highlight w:val="none"/>
        </w:rPr>
        <w:t>评标委员会汇总、比较所有投标人的综合得分后，按照综合得分由高到低的次序排列。综合得分相等时，以投标总价低的优先；如果投标总价也相等的，由评标委员会投票确定。</w:t>
      </w:r>
      <w:bookmarkEnd w:id="63"/>
      <w:bookmarkEnd w:id="64"/>
    </w:p>
    <w:p w14:paraId="2DFB7C24">
      <w:pPr>
        <w:wordWrap w:val="0"/>
        <w:adjustRightInd w:val="0"/>
        <w:snapToGrid w:val="0"/>
        <w:spacing w:line="360" w:lineRule="auto"/>
        <w:ind w:firstLine="482" w:firstLineChars="200"/>
        <w:outlineLvl w:val="1"/>
        <w:rPr>
          <w:rFonts w:hint="eastAsia" w:hAnsi="宋体" w:cs="宋体"/>
          <w:b/>
          <w:snapToGrid w:val="0"/>
          <w:color w:val="auto"/>
          <w:kern w:val="0"/>
          <w:szCs w:val="24"/>
          <w:highlight w:val="none"/>
        </w:rPr>
      </w:pPr>
      <w:bookmarkStart w:id="65" w:name="_Toc28841"/>
      <w:bookmarkStart w:id="66" w:name="_Toc4420"/>
      <w:r>
        <w:rPr>
          <w:rFonts w:hint="eastAsia" w:hAnsi="宋体" w:cs="宋体"/>
          <w:b/>
          <w:snapToGrid w:val="0"/>
          <w:color w:val="auto"/>
          <w:kern w:val="0"/>
          <w:szCs w:val="24"/>
          <w:highlight w:val="none"/>
        </w:rPr>
        <w:t>1</w:t>
      </w:r>
      <w:r>
        <w:rPr>
          <w:rFonts w:hint="eastAsia" w:hAnsi="宋体" w:cs="宋体"/>
          <w:b/>
          <w:snapToGrid w:val="0"/>
          <w:color w:val="auto"/>
          <w:kern w:val="0"/>
          <w:szCs w:val="24"/>
          <w:highlight w:val="none"/>
          <w:lang w:val="en-US" w:eastAsia="zh-CN"/>
        </w:rPr>
        <w:t>6</w:t>
      </w:r>
      <w:r>
        <w:rPr>
          <w:rFonts w:hint="eastAsia" w:hAnsi="宋体" w:cs="宋体"/>
          <w:b/>
          <w:snapToGrid w:val="0"/>
          <w:color w:val="auto"/>
          <w:kern w:val="0"/>
          <w:szCs w:val="24"/>
          <w:highlight w:val="none"/>
        </w:rPr>
        <w:t xml:space="preserve">.2 </w:t>
      </w:r>
      <w:r>
        <w:rPr>
          <w:rFonts w:hint="eastAsia" w:hAnsi="宋体" w:cs="宋体"/>
          <w:b w:val="0"/>
          <w:bCs/>
          <w:snapToGrid w:val="0"/>
          <w:color w:val="auto"/>
          <w:kern w:val="0"/>
          <w:szCs w:val="24"/>
          <w:highlight w:val="none"/>
        </w:rPr>
        <w:t>推荐方法</w:t>
      </w:r>
      <w:bookmarkEnd w:id="65"/>
      <w:bookmarkEnd w:id="66"/>
    </w:p>
    <w:p w14:paraId="51771E02">
      <w:pPr>
        <w:wordWrap w:val="0"/>
        <w:adjustRightInd w:val="0"/>
        <w:snapToGrid w:val="0"/>
        <w:spacing w:line="360" w:lineRule="auto"/>
        <w:ind w:firstLine="480" w:firstLineChars="200"/>
        <w:outlineLvl w:val="1"/>
        <w:rPr>
          <w:rFonts w:hint="eastAsia" w:hAnsi="宋体" w:cs="宋体"/>
          <w:b w:val="0"/>
          <w:bCs/>
          <w:snapToGrid w:val="0"/>
          <w:color w:val="auto"/>
          <w:kern w:val="0"/>
          <w:szCs w:val="24"/>
          <w:highlight w:val="none"/>
        </w:rPr>
      </w:pPr>
      <w:bookmarkStart w:id="67" w:name="_Toc1434"/>
      <w:bookmarkStart w:id="68" w:name="_Toc21828"/>
      <w:r>
        <w:rPr>
          <w:rFonts w:hint="eastAsia" w:hAnsi="宋体" w:cs="宋体"/>
          <w:b w:val="0"/>
          <w:bCs/>
          <w:snapToGrid w:val="0"/>
          <w:color w:val="auto"/>
          <w:kern w:val="0"/>
          <w:szCs w:val="24"/>
          <w:highlight w:val="none"/>
        </w:rPr>
        <w:t>（1）有效投标人数量达到或超过3个的，评标委员会将前三名投标人作为中标候选人向招标人推荐，并标明排列顺序。</w:t>
      </w:r>
      <w:bookmarkEnd w:id="67"/>
      <w:bookmarkEnd w:id="68"/>
    </w:p>
    <w:p w14:paraId="38AE0B13">
      <w:pPr>
        <w:wordWrap w:val="0"/>
        <w:adjustRightInd w:val="0"/>
        <w:snapToGrid w:val="0"/>
        <w:spacing w:line="360" w:lineRule="auto"/>
        <w:ind w:firstLine="480" w:firstLineChars="200"/>
        <w:outlineLvl w:val="1"/>
        <w:rPr>
          <w:rFonts w:hint="eastAsia" w:hAnsi="宋体" w:cs="宋体"/>
          <w:b w:val="0"/>
          <w:bCs/>
          <w:snapToGrid w:val="0"/>
          <w:color w:val="auto"/>
          <w:kern w:val="0"/>
          <w:szCs w:val="24"/>
          <w:highlight w:val="none"/>
        </w:rPr>
      </w:pPr>
      <w:bookmarkStart w:id="69" w:name="_Toc32512"/>
      <w:bookmarkStart w:id="70" w:name="_Toc27202"/>
      <w:r>
        <w:rPr>
          <w:rFonts w:hint="eastAsia" w:hAnsi="宋体" w:cs="宋体"/>
          <w:b w:val="0"/>
          <w:bCs/>
          <w:snapToGrid w:val="0"/>
          <w:color w:val="auto"/>
          <w:kern w:val="0"/>
          <w:szCs w:val="24"/>
          <w:highlight w:val="none"/>
        </w:rPr>
        <w:t>（2）有效投标人数量不足3个的，评标委员会将所有有效投标人均作为中标候选人向招标人推荐，并标明排列顺序。若评标委员会认为有效投标不足3个使得投标明显缺乏竞争的，可以在评标报告中建议招标人重新招标。</w:t>
      </w:r>
      <w:bookmarkEnd w:id="69"/>
      <w:bookmarkEnd w:id="70"/>
    </w:p>
    <w:p w14:paraId="1E7EFB30">
      <w:pPr>
        <w:wordWrap w:val="0"/>
        <w:adjustRightInd w:val="0"/>
        <w:snapToGrid w:val="0"/>
        <w:spacing w:line="360" w:lineRule="auto"/>
        <w:ind w:firstLine="482" w:firstLineChars="200"/>
        <w:outlineLvl w:val="1"/>
        <w:rPr>
          <w:rFonts w:hint="eastAsia" w:hAnsi="宋体" w:cs="宋体"/>
          <w:b w:val="0"/>
          <w:bCs/>
          <w:snapToGrid w:val="0"/>
          <w:color w:val="auto"/>
          <w:kern w:val="0"/>
          <w:szCs w:val="24"/>
          <w:highlight w:val="none"/>
        </w:rPr>
      </w:pPr>
      <w:bookmarkStart w:id="71" w:name="_Toc1479"/>
      <w:bookmarkStart w:id="72" w:name="_Toc18953"/>
      <w:r>
        <w:rPr>
          <w:rFonts w:hint="eastAsia" w:hAnsi="宋体" w:cs="宋体"/>
          <w:b/>
          <w:snapToGrid w:val="0"/>
          <w:color w:val="auto"/>
          <w:kern w:val="0"/>
          <w:szCs w:val="24"/>
          <w:highlight w:val="none"/>
        </w:rPr>
        <w:t>1</w:t>
      </w:r>
      <w:r>
        <w:rPr>
          <w:rFonts w:hint="eastAsia" w:hAnsi="宋体" w:cs="宋体"/>
          <w:b/>
          <w:snapToGrid w:val="0"/>
          <w:color w:val="auto"/>
          <w:kern w:val="0"/>
          <w:szCs w:val="24"/>
          <w:highlight w:val="none"/>
          <w:lang w:val="en-US" w:eastAsia="zh-CN"/>
        </w:rPr>
        <w:t>6</w:t>
      </w:r>
      <w:r>
        <w:rPr>
          <w:rFonts w:hint="eastAsia" w:hAnsi="宋体" w:cs="宋体"/>
          <w:b/>
          <w:snapToGrid w:val="0"/>
          <w:color w:val="auto"/>
          <w:kern w:val="0"/>
          <w:szCs w:val="24"/>
          <w:highlight w:val="none"/>
        </w:rPr>
        <w:t xml:space="preserve">.3 </w:t>
      </w:r>
      <w:r>
        <w:rPr>
          <w:rFonts w:hint="eastAsia" w:hAnsi="宋体" w:cs="宋体"/>
          <w:b w:val="0"/>
          <w:bCs/>
          <w:snapToGrid w:val="0"/>
          <w:color w:val="auto"/>
          <w:kern w:val="0"/>
          <w:szCs w:val="24"/>
          <w:highlight w:val="none"/>
        </w:rPr>
        <w:t>评标委员会完成评标后，应向招标人提交由全体评标委员会成员签字的评标报告和中标候选人名单。</w:t>
      </w:r>
      <w:bookmarkEnd w:id="71"/>
      <w:bookmarkEnd w:id="72"/>
    </w:p>
    <w:p w14:paraId="1855C80E">
      <w:pPr>
        <w:keepNext w:val="0"/>
        <w:keepLines w:val="0"/>
        <w:pageBreakBefore w:val="0"/>
        <w:wordWrap w:val="0"/>
        <w:topLinePunct w:val="0"/>
        <w:bidi w:val="0"/>
        <w:adjustRightInd w:val="0"/>
        <w:snapToGrid w:val="0"/>
        <w:spacing w:line="500" w:lineRule="exact"/>
        <w:ind w:firstLine="482" w:firstLineChars="200"/>
        <w:textAlignment w:val="auto"/>
        <w:outlineLvl w:val="2"/>
        <w:rPr>
          <w:rFonts w:hint="eastAsia" w:ascii="宋体" w:hAnsi="宋体" w:eastAsia="宋体" w:cs="宋体"/>
          <w:b/>
          <w:snapToGrid w:val="0"/>
          <w:color w:val="auto"/>
          <w:kern w:val="0"/>
          <w:highlight w:val="none"/>
        </w:rPr>
      </w:pPr>
      <w:bookmarkStart w:id="73" w:name="_Toc22756"/>
      <w:r>
        <w:rPr>
          <w:rFonts w:hint="eastAsia" w:ascii="宋体" w:hAnsi="宋体" w:eastAsia="宋体" w:cs="宋体"/>
          <w:b/>
          <w:snapToGrid w:val="0"/>
          <w:color w:val="auto"/>
          <w:kern w:val="0"/>
          <w:highlight w:val="none"/>
        </w:rPr>
        <w:t>1</w:t>
      </w:r>
      <w:r>
        <w:rPr>
          <w:rFonts w:hint="eastAsia" w:ascii="宋体" w:hAnsi="宋体" w:eastAsia="宋体" w:cs="宋体"/>
          <w:b/>
          <w:snapToGrid w:val="0"/>
          <w:color w:val="auto"/>
          <w:kern w:val="0"/>
          <w:highlight w:val="none"/>
          <w:lang w:val="en-US" w:eastAsia="zh-CN"/>
        </w:rPr>
        <w:t>7</w:t>
      </w:r>
      <w:r>
        <w:rPr>
          <w:rFonts w:hint="eastAsia" w:ascii="宋体" w:hAnsi="宋体" w:eastAsia="宋体" w:cs="宋体"/>
          <w:b/>
          <w:snapToGrid w:val="0"/>
          <w:color w:val="auto"/>
          <w:kern w:val="0"/>
          <w:highlight w:val="none"/>
        </w:rPr>
        <w:t>.中标候选人公示</w:t>
      </w:r>
      <w:bookmarkEnd w:id="73"/>
    </w:p>
    <w:p w14:paraId="49F59228">
      <w:pPr>
        <w:wordWrap w:val="0"/>
        <w:adjustRightInd w:val="0"/>
        <w:snapToGrid w:val="0"/>
        <w:spacing w:line="360" w:lineRule="auto"/>
        <w:ind w:firstLine="482" w:firstLineChars="200"/>
        <w:rPr>
          <w:rFonts w:hint="eastAsia" w:hAnsi="宋体" w:cs="宋体"/>
          <w:b w:val="0"/>
          <w:bCs w:val="0"/>
          <w:snapToGrid w:val="0"/>
          <w:color w:val="auto"/>
          <w:kern w:val="0"/>
          <w:szCs w:val="24"/>
          <w:highlight w:val="none"/>
        </w:rPr>
      </w:pPr>
      <w:r>
        <w:rPr>
          <w:rFonts w:hint="eastAsia" w:hAnsi="宋体" w:cs="宋体"/>
          <w:b/>
          <w:bCs/>
          <w:snapToGrid w:val="0"/>
          <w:color w:val="auto"/>
          <w:kern w:val="0"/>
          <w:szCs w:val="24"/>
          <w:highlight w:val="none"/>
        </w:rPr>
        <w:t>1</w:t>
      </w:r>
      <w:r>
        <w:rPr>
          <w:rFonts w:hint="eastAsia" w:hAnsi="宋体" w:cs="宋体"/>
          <w:b/>
          <w:bCs/>
          <w:snapToGrid w:val="0"/>
          <w:color w:val="auto"/>
          <w:kern w:val="0"/>
          <w:szCs w:val="24"/>
          <w:highlight w:val="none"/>
          <w:lang w:val="en-US" w:eastAsia="zh-CN"/>
        </w:rPr>
        <w:t>7</w:t>
      </w:r>
      <w:r>
        <w:rPr>
          <w:rFonts w:hint="eastAsia" w:hAnsi="宋体" w:cs="宋体"/>
          <w:b/>
          <w:bCs/>
          <w:snapToGrid w:val="0"/>
          <w:color w:val="auto"/>
          <w:kern w:val="0"/>
          <w:szCs w:val="24"/>
          <w:highlight w:val="none"/>
        </w:rPr>
        <w:t>.1</w:t>
      </w:r>
      <w:r>
        <w:rPr>
          <w:rFonts w:hint="eastAsia" w:hAnsi="宋体" w:cs="宋体"/>
          <w:b w:val="0"/>
          <w:bCs w:val="0"/>
          <w:snapToGrid w:val="0"/>
          <w:color w:val="auto"/>
          <w:kern w:val="0"/>
          <w:szCs w:val="24"/>
          <w:highlight w:val="none"/>
        </w:rPr>
        <w:t>招标人自收到评标委员会提交的书面评标报告和中标候选人名单之日起3日内，将评标结果（即中标候选人名单）、中标候选人投标文件、评标过程（评标专家姓名用代码标记）一并在广东省招标投标监管网（https://zbtb.gd.gov.cn/#/index）及全国公共资源交易平台（广东省·韶关市）（https://ygp.gdzwfw.gov.cn/ggzy-portal/#/440200/index）进行公示，公示期不得少于3天。</w:t>
      </w:r>
    </w:p>
    <w:p w14:paraId="7BE7EDF1">
      <w:pPr>
        <w:wordWrap w:val="0"/>
        <w:adjustRightInd w:val="0"/>
        <w:snapToGrid w:val="0"/>
        <w:spacing w:line="360" w:lineRule="auto"/>
        <w:ind w:firstLine="482" w:firstLineChars="200"/>
        <w:rPr>
          <w:rFonts w:hint="eastAsia" w:hAnsi="宋体" w:cs="宋体"/>
          <w:b w:val="0"/>
          <w:bCs w:val="0"/>
          <w:snapToGrid w:val="0"/>
          <w:color w:val="auto"/>
          <w:kern w:val="0"/>
          <w:szCs w:val="24"/>
          <w:highlight w:val="none"/>
        </w:rPr>
      </w:pPr>
      <w:r>
        <w:rPr>
          <w:rFonts w:hint="eastAsia" w:hAnsi="宋体" w:cs="宋体"/>
          <w:b/>
          <w:bCs/>
          <w:snapToGrid w:val="0"/>
          <w:color w:val="auto"/>
          <w:kern w:val="0"/>
          <w:szCs w:val="24"/>
          <w:highlight w:val="none"/>
        </w:rPr>
        <w:t>1</w:t>
      </w:r>
      <w:r>
        <w:rPr>
          <w:rFonts w:hint="eastAsia" w:hAnsi="宋体" w:cs="宋体"/>
          <w:b/>
          <w:bCs/>
          <w:snapToGrid w:val="0"/>
          <w:color w:val="auto"/>
          <w:kern w:val="0"/>
          <w:szCs w:val="24"/>
          <w:highlight w:val="none"/>
          <w:lang w:val="en-US" w:eastAsia="zh-CN"/>
        </w:rPr>
        <w:t>7</w:t>
      </w:r>
      <w:r>
        <w:rPr>
          <w:rFonts w:hint="eastAsia" w:hAnsi="宋体" w:cs="宋体"/>
          <w:b/>
          <w:bCs/>
          <w:snapToGrid w:val="0"/>
          <w:color w:val="auto"/>
          <w:kern w:val="0"/>
          <w:szCs w:val="24"/>
          <w:highlight w:val="none"/>
        </w:rPr>
        <w:t xml:space="preserve">.2 </w:t>
      </w:r>
      <w:r>
        <w:rPr>
          <w:rFonts w:hint="eastAsia" w:hAnsi="宋体" w:cs="宋体"/>
          <w:b w:val="0"/>
          <w:bCs w:val="0"/>
          <w:snapToGrid w:val="0"/>
          <w:color w:val="auto"/>
          <w:kern w:val="0"/>
          <w:szCs w:val="24"/>
          <w:highlight w:val="none"/>
        </w:rPr>
        <w:t>投标人对评标结果、中标候选人投标文件、评标过程有异议的，必须在以上内容公示期间向招标人提出书面异议，否则招标人不予受理。经招标人书面答复，异议人仍不满意的，可在法律规定的时限内向行政监督部门提出书面投诉。异议（投诉）提出、处理的具体办法和要求，按照《韶关市工程建设项目招标投标活动异议和投诉处理办法》（韶法审〔2020〕19 号）执行。如通过交易服务平台提出异议，投标人必须上传提交异议书扫描件（作为附件），异议书格式内容按照《韶关市工程建设项目招标投标活动异议和投诉处理办法》（韶法审〔2020〕19 号）执行，否则招标人不予受理。投标人提出异议后，必须及时通知招标人查收，否则，由此造成的超出法律规定时限的后果，由投标人自行承担。招标人受理异议后，投标人须及时向招标人提交书面异议。项目如收到异议、投诉等情形，可以根据需要从交易中心处调取纸质档案。</w:t>
      </w:r>
    </w:p>
    <w:p w14:paraId="3DC5290B">
      <w:pPr>
        <w:wordWrap w:val="0"/>
        <w:adjustRightInd w:val="0"/>
        <w:snapToGrid w:val="0"/>
        <w:spacing w:line="360" w:lineRule="auto"/>
        <w:ind w:firstLine="482" w:firstLineChars="200"/>
        <w:rPr>
          <w:rFonts w:hint="eastAsia" w:hAnsi="宋体" w:cs="宋体"/>
          <w:b/>
          <w:bCs/>
          <w:snapToGrid w:val="0"/>
          <w:color w:val="auto"/>
          <w:kern w:val="0"/>
          <w:szCs w:val="24"/>
          <w:highlight w:val="none"/>
        </w:rPr>
      </w:pPr>
      <w:r>
        <w:rPr>
          <w:rFonts w:hint="eastAsia" w:hAnsi="宋体" w:cs="宋体"/>
          <w:b/>
          <w:bCs/>
          <w:snapToGrid w:val="0"/>
          <w:color w:val="auto"/>
          <w:kern w:val="0"/>
          <w:szCs w:val="24"/>
          <w:highlight w:val="none"/>
        </w:rPr>
        <w:t>1</w:t>
      </w:r>
      <w:r>
        <w:rPr>
          <w:rFonts w:hint="eastAsia" w:hAnsi="宋体" w:cs="宋体"/>
          <w:b/>
          <w:bCs/>
          <w:snapToGrid w:val="0"/>
          <w:color w:val="auto"/>
          <w:kern w:val="0"/>
          <w:szCs w:val="24"/>
          <w:highlight w:val="none"/>
          <w:lang w:val="en-US" w:eastAsia="zh-CN"/>
        </w:rPr>
        <w:t>7</w:t>
      </w:r>
      <w:r>
        <w:rPr>
          <w:rFonts w:hint="eastAsia" w:hAnsi="宋体" w:cs="宋体"/>
          <w:b/>
          <w:bCs/>
          <w:snapToGrid w:val="0"/>
          <w:color w:val="auto"/>
          <w:kern w:val="0"/>
          <w:szCs w:val="24"/>
          <w:highlight w:val="none"/>
        </w:rPr>
        <w:t xml:space="preserve">.3 </w:t>
      </w:r>
      <w:r>
        <w:rPr>
          <w:rFonts w:hint="eastAsia" w:hAnsi="宋体" w:cs="宋体"/>
          <w:b w:val="0"/>
          <w:bCs w:val="0"/>
          <w:snapToGrid w:val="0"/>
          <w:color w:val="auto"/>
          <w:kern w:val="0"/>
          <w:szCs w:val="24"/>
          <w:highlight w:val="none"/>
        </w:rPr>
        <w:t>中标候选人公示期满无异议（投诉）后，招标人确定第一中标候选人为中标人，并在中标人确定之日起7日内向中标人发出中标通知书。在中标通知书发出后5个工作日内，韶关市公共资源交易中心将投标保证金退还给中标候选人以外的投标人。</w:t>
      </w:r>
    </w:p>
    <w:p w14:paraId="58B9D703">
      <w:pPr>
        <w:wordWrap w:val="0"/>
        <w:adjustRightInd w:val="0"/>
        <w:snapToGrid w:val="0"/>
        <w:spacing w:line="360" w:lineRule="auto"/>
        <w:outlineLvl w:val="1"/>
        <w:rPr>
          <w:rFonts w:hint="eastAsia" w:hAnsi="宋体" w:cs="宋体"/>
          <w:b/>
          <w:bCs/>
          <w:snapToGrid w:val="0"/>
          <w:color w:val="auto"/>
          <w:kern w:val="0"/>
          <w:highlight w:val="none"/>
        </w:rPr>
      </w:pPr>
    </w:p>
    <w:p w14:paraId="7A115FAC">
      <w:pPr>
        <w:wordWrap w:val="0"/>
        <w:adjustRightInd w:val="0"/>
        <w:snapToGrid w:val="0"/>
        <w:spacing w:line="360" w:lineRule="auto"/>
        <w:outlineLvl w:val="1"/>
        <w:rPr>
          <w:rFonts w:hint="eastAsia" w:hAnsi="宋体" w:cs="宋体"/>
          <w:b/>
          <w:bCs/>
          <w:snapToGrid w:val="0"/>
          <w:color w:val="auto"/>
          <w:kern w:val="0"/>
          <w:highlight w:val="none"/>
        </w:rPr>
      </w:pPr>
    </w:p>
    <w:p w14:paraId="28E6F404">
      <w:pPr>
        <w:wordWrap w:val="0"/>
        <w:adjustRightInd w:val="0"/>
        <w:snapToGrid w:val="0"/>
        <w:spacing w:line="360" w:lineRule="auto"/>
        <w:outlineLvl w:val="1"/>
        <w:rPr>
          <w:rFonts w:hint="eastAsia" w:hAnsi="宋体" w:cs="宋体"/>
          <w:b/>
          <w:bCs/>
          <w:snapToGrid w:val="0"/>
          <w:color w:val="auto"/>
          <w:kern w:val="0"/>
          <w:highlight w:val="none"/>
        </w:rPr>
      </w:pPr>
    </w:p>
    <w:p w14:paraId="46D21D91">
      <w:pPr>
        <w:wordWrap w:val="0"/>
        <w:adjustRightInd w:val="0"/>
        <w:snapToGrid w:val="0"/>
        <w:spacing w:line="360" w:lineRule="auto"/>
        <w:outlineLvl w:val="1"/>
        <w:rPr>
          <w:rFonts w:hint="eastAsia" w:hAnsi="宋体" w:cs="宋体"/>
          <w:b/>
          <w:bCs/>
          <w:snapToGrid w:val="0"/>
          <w:color w:val="auto"/>
          <w:kern w:val="0"/>
          <w:highlight w:val="none"/>
        </w:rPr>
      </w:pPr>
    </w:p>
    <w:p w14:paraId="3220DAFD">
      <w:pPr>
        <w:wordWrap w:val="0"/>
        <w:adjustRightInd w:val="0"/>
        <w:snapToGrid w:val="0"/>
        <w:spacing w:line="360" w:lineRule="auto"/>
        <w:outlineLvl w:val="1"/>
        <w:rPr>
          <w:rFonts w:hint="eastAsia" w:hAnsi="宋体" w:cs="宋体"/>
          <w:b/>
          <w:bCs/>
          <w:snapToGrid w:val="0"/>
          <w:color w:val="auto"/>
          <w:kern w:val="0"/>
          <w:highlight w:val="none"/>
        </w:rPr>
      </w:pPr>
    </w:p>
    <w:p w14:paraId="5A282C02">
      <w:pPr>
        <w:wordWrap w:val="0"/>
        <w:adjustRightInd w:val="0"/>
        <w:snapToGrid w:val="0"/>
        <w:spacing w:line="360" w:lineRule="auto"/>
        <w:outlineLvl w:val="1"/>
        <w:rPr>
          <w:rFonts w:hint="eastAsia" w:hAnsi="宋体" w:cs="宋体"/>
          <w:b/>
          <w:bCs/>
          <w:snapToGrid w:val="0"/>
          <w:color w:val="auto"/>
          <w:kern w:val="0"/>
          <w:highlight w:val="none"/>
        </w:rPr>
      </w:pPr>
    </w:p>
    <w:p w14:paraId="23869436">
      <w:pPr>
        <w:wordWrap w:val="0"/>
        <w:adjustRightInd w:val="0"/>
        <w:snapToGrid w:val="0"/>
        <w:spacing w:line="360" w:lineRule="auto"/>
        <w:outlineLvl w:val="1"/>
        <w:rPr>
          <w:rFonts w:hint="eastAsia" w:hAnsi="宋体" w:cs="宋体"/>
          <w:b/>
          <w:bCs/>
          <w:snapToGrid w:val="0"/>
          <w:color w:val="auto"/>
          <w:kern w:val="0"/>
          <w:highlight w:val="none"/>
        </w:rPr>
      </w:pPr>
    </w:p>
    <w:p w14:paraId="44FC2F61">
      <w:pPr>
        <w:wordWrap w:val="0"/>
        <w:adjustRightInd w:val="0"/>
        <w:snapToGrid w:val="0"/>
        <w:spacing w:line="360" w:lineRule="auto"/>
        <w:outlineLvl w:val="1"/>
        <w:rPr>
          <w:rFonts w:hint="eastAsia" w:hAnsi="宋体" w:cs="宋体"/>
          <w:b/>
          <w:bCs/>
          <w:snapToGrid w:val="0"/>
          <w:color w:val="auto"/>
          <w:kern w:val="0"/>
          <w:highlight w:val="none"/>
        </w:rPr>
      </w:pPr>
    </w:p>
    <w:p w14:paraId="0500E3C6">
      <w:pPr>
        <w:wordWrap w:val="0"/>
        <w:adjustRightInd w:val="0"/>
        <w:snapToGrid w:val="0"/>
        <w:spacing w:line="360" w:lineRule="auto"/>
        <w:outlineLvl w:val="1"/>
        <w:rPr>
          <w:rFonts w:hint="eastAsia" w:hAnsi="宋体" w:cs="宋体"/>
          <w:b/>
          <w:bCs/>
          <w:snapToGrid w:val="0"/>
          <w:color w:val="auto"/>
          <w:kern w:val="0"/>
          <w:highlight w:val="none"/>
        </w:rPr>
      </w:pPr>
    </w:p>
    <w:p w14:paraId="56AA8BFD">
      <w:pPr>
        <w:pStyle w:val="2"/>
        <w:rPr>
          <w:rFonts w:hint="eastAsia" w:hAnsi="宋体" w:cs="宋体"/>
          <w:b/>
          <w:bCs/>
          <w:snapToGrid w:val="0"/>
          <w:color w:val="auto"/>
          <w:kern w:val="0"/>
          <w:highlight w:val="none"/>
        </w:rPr>
      </w:pPr>
    </w:p>
    <w:p w14:paraId="7C528FA3">
      <w:pPr>
        <w:pStyle w:val="2"/>
        <w:rPr>
          <w:rFonts w:hint="eastAsia" w:hAnsi="宋体" w:cs="宋体"/>
          <w:b/>
          <w:bCs/>
          <w:snapToGrid w:val="0"/>
          <w:color w:val="auto"/>
          <w:kern w:val="0"/>
          <w:highlight w:val="none"/>
        </w:rPr>
      </w:pPr>
    </w:p>
    <w:p w14:paraId="3BC97034">
      <w:pPr>
        <w:pStyle w:val="2"/>
        <w:rPr>
          <w:rFonts w:hint="eastAsia" w:hAnsi="宋体" w:cs="宋体"/>
          <w:b/>
          <w:bCs/>
          <w:snapToGrid w:val="0"/>
          <w:color w:val="auto"/>
          <w:kern w:val="0"/>
          <w:highlight w:val="none"/>
        </w:rPr>
      </w:pPr>
    </w:p>
    <w:p w14:paraId="45D2047F">
      <w:pPr>
        <w:pStyle w:val="2"/>
        <w:rPr>
          <w:rFonts w:hint="eastAsia" w:hAnsi="宋体" w:cs="宋体"/>
          <w:b/>
          <w:bCs/>
          <w:snapToGrid w:val="0"/>
          <w:color w:val="auto"/>
          <w:kern w:val="0"/>
          <w:highlight w:val="none"/>
        </w:rPr>
      </w:pPr>
    </w:p>
    <w:p w14:paraId="31263F58">
      <w:pPr>
        <w:pStyle w:val="2"/>
        <w:rPr>
          <w:rFonts w:hint="eastAsia" w:hAnsi="宋体" w:cs="宋体"/>
          <w:b/>
          <w:bCs/>
          <w:snapToGrid w:val="0"/>
          <w:color w:val="auto"/>
          <w:kern w:val="0"/>
          <w:highlight w:val="none"/>
        </w:rPr>
      </w:pPr>
    </w:p>
    <w:p w14:paraId="2EDF887A">
      <w:pPr>
        <w:pStyle w:val="2"/>
        <w:rPr>
          <w:rFonts w:hint="eastAsia" w:hAnsi="宋体" w:cs="宋体"/>
          <w:b/>
          <w:bCs/>
          <w:snapToGrid w:val="0"/>
          <w:color w:val="auto"/>
          <w:kern w:val="0"/>
          <w:highlight w:val="none"/>
        </w:rPr>
      </w:pPr>
    </w:p>
    <w:p w14:paraId="2886EB6A">
      <w:pPr>
        <w:pStyle w:val="2"/>
        <w:rPr>
          <w:rFonts w:hint="eastAsia" w:hAnsi="宋体" w:cs="宋体"/>
          <w:b/>
          <w:bCs/>
          <w:snapToGrid w:val="0"/>
          <w:color w:val="auto"/>
          <w:kern w:val="0"/>
          <w:highlight w:val="none"/>
        </w:rPr>
      </w:pPr>
    </w:p>
    <w:p w14:paraId="5140B621">
      <w:pPr>
        <w:pStyle w:val="2"/>
        <w:rPr>
          <w:rFonts w:hint="eastAsia" w:hAnsi="宋体" w:cs="宋体"/>
          <w:b/>
          <w:bCs/>
          <w:snapToGrid w:val="0"/>
          <w:color w:val="auto"/>
          <w:kern w:val="0"/>
          <w:highlight w:val="none"/>
        </w:rPr>
      </w:pPr>
    </w:p>
    <w:p w14:paraId="0A38CC43">
      <w:pPr>
        <w:pStyle w:val="2"/>
        <w:rPr>
          <w:rFonts w:hint="eastAsia" w:hAnsi="宋体" w:cs="宋体"/>
          <w:b/>
          <w:bCs/>
          <w:snapToGrid w:val="0"/>
          <w:color w:val="auto"/>
          <w:kern w:val="0"/>
          <w:highlight w:val="none"/>
        </w:rPr>
      </w:pPr>
    </w:p>
    <w:p w14:paraId="6847D163">
      <w:pPr>
        <w:pStyle w:val="2"/>
        <w:rPr>
          <w:rFonts w:hint="eastAsia" w:hAnsi="宋体" w:cs="宋体"/>
          <w:b/>
          <w:bCs/>
          <w:snapToGrid w:val="0"/>
          <w:color w:val="auto"/>
          <w:kern w:val="0"/>
          <w:highlight w:val="none"/>
        </w:rPr>
      </w:pPr>
    </w:p>
    <w:p w14:paraId="3626C809">
      <w:pPr>
        <w:wordWrap w:val="0"/>
        <w:adjustRightInd w:val="0"/>
        <w:snapToGrid w:val="0"/>
        <w:spacing w:line="360" w:lineRule="auto"/>
        <w:outlineLvl w:val="1"/>
        <w:rPr>
          <w:rFonts w:hint="eastAsia" w:hAnsi="宋体" w:cs="宋体"/>
          <w:b/>
          <w:bCs/>
          <w:snapToGrid w:val="0"/>
          <w:color w:val="auto"/>
          <w:kern w:val="0"/>
          <w:highlight w:val="none"/>
        </w:rPr>
      </w:pPr>
    </w:p>
    <w:p w14:paraId="112C15A1">
      <w:pPr>
        <w:wordWrap w:val="0"/>
        <w:adjustRightInd w:val="0"/>
        <w:snapToGrid w:val="0"/>
        <w:spacing w:line="360" w:lineRule="auto"/>
        <w:outlineLvl w:val="1"/>
        <w:rPr>
          <w:rFonts w:hint="eastAsia" w:hAnsi="宋体" w:cs="宋体"/>
          <w:b/>
          <w:bCs/>
          <w:snapToGrid w:val="0"/>
          <w:color w:val="auto"/>
          <w:kern w:val="0"/>
          <w:highlight w:val="none"/>
        </w:rPr>
      </w:pPr>
    </w:p>
    <w:p w14:paraId="3E4D3842">
      <w:pPr>
        <w:wordWrap w:val="0"/>
        <w:adjustRightInd w:val="0"/>
        <w:snapToGrid w:val="0"/>
        <w:spacing w:line="360" w:lineRule="auto"/>
        <w:jc w:val="center"/>
        <w:outlineLvl w:val="1"/>
        <w:rPr>
          <w:rFonts w:hAnsi="宋体" w:cs="宋体"/>
          <w:snapToGrid w:val="0"/>
          <w:color w:val="auto"/>
          <w:kern w:val="0"/>
          <w:highlight w:val="none"/>
        </w:rPr>
      </w:pPr>
      <w:bookmarkStart w:id="74" w:name="_Toc17009"/>
      <w:r>
        <w:rPr>
          <w:rFonts w:hint="eastAsia" w:hAnsi="宋体" w:cs="宋体"/>
          <w:b/>
          <w:bCs/>
          <w:snapToGrid w:val="0"/>
          <w:color w:val="auto"/>
          <w:kern w:val="0"/>
          <w:highlight w:val="none"/>
        </w:rPr>
        <w:t>第四节 否决投标条件</w:t>
      </w:r>
      <w:bookmarkEnd w:id="74"/>
    </w:p>
    <w:p w14:paraId="1217DA6A">
      <w:pPr>
        <w:wordWrap w:val="0"/>
        <w:adjustRightInd w:val="0"/>
        <w:snapToGrid w:val="0"/>
        <w:spacing w:line="360" w:lineRule="auto"/>
        <w:rPr>
          <w:rFonts w:hAnsi="宋体" w:cs="宋体"/>
          <w:snapToGrid w:val="0"/>
          <w:color w:val="auto"/>
          <w:kern w:val="0"/>
          <w:highlight w:val="none"/>
        </w:rPr>
      </w:pPr>
      <w:r>
        <w:rPr>
          <w:rFonts w:hint="eastAsia" w:hAnsi="宋体" w:cs="宋体"/>
          <w:snapToGrid w:val="0"/>
          <w:color w:val="auto"/>
          <w:kern w:val="0"/>
          <w:highlight w:val="none"/>
        </w:rPr>
        <w:t xml:space="preserve">    本节所集中列示的否决投标条件，是本章第三节“投标人须知正文”的组成部分，是对本章第三节所规定的否决投标条件的总结和补充。</w:t>
      </w:r>
      <w:r>
        <w:rPr>
          <w:rFonts w:hint="eastAsia" w:hAnsi="宋体" w:cs="宋体"/>
          <w:b/>
          <w:bCs/>
          <w:snapToGrid w:val="0"/>
          <w:color w:val="auto"/>
          <w:kern w:val="0"/>
          <w:highlight w:val="none"/>
        </w:rPr>
        <w:t>投标人未有列入本节情形的，评标时一律不得否决其投标。</w:t>
      </w:r>
      <w:r>
        <w:rPr>
          <w:rFonts w:hint="eastAsia" w:hAnsi="宋体" w:cs="宋体"/>
          <w:snapToGrid w:val="0"/>
          <w:color w:val="auto"/>
          <w:kern w:val="0"/>
          <w:highlight w:val="none"/>
        </w:rPr>
        <w:t>本节所称“规定”均指招标文件的规定。</w:t>
      </w:r>
    </w:p>
    <w:p w14:paraId="487AC297">
      <w:pPr>
        <w:wordWrap w:val="0"/>
        <w:adjustRightInd w:val="0"/>
        <w:snapToGrid w:val="0"/>
        <w:spacing w:line="360" w:lineRule="auto"/>
        <w:ind w:firstLine="480"/>
        <w:outlineLvl w:val="2"/>
        <w:rPr>
          <w:rFonts w:hAnsi="宋体" w:cs="宋体"/>
          <w:snapToGrid w:val="0"/>
          <w:color w:val="auto"/>
          <w:kern w:val="0"/>
          <w:highlight w:val="none"/>
        </w:rPr>
      </w:pPr>
      <w:bookmarkStart w:id="75" w:name="_Toc8541"/>
      <w:r>
        <w:rPr>
          <w:rFonts w:hint="eastAsia" w:hAnsi="宋体" w:cs="宋体"/>
          <w:b/>
          <w:bCs/>
          <w:snapToGrid w:val="0"/>
          <w:color w:val="auto"/>
          <w:kern w:val="0"/>
          <w:highlight w:val="none"/>
        </w:rPr>
        <w:t>1．资格评审环节</w:t>
      </w:r>
      <w:bookmarkEnd w:id="75"/>
    </w:p>
    <w:p w14:paraId="3AA23191">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投标人有下列情形之一的，评标委员会应否决其投标。被否决的投标，不进入形式评审环节。</w:t>
      </w:r>
    </w:p>
    <w:p w14:paraId="584038E0">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（1）有本章第三节第</w:t>
      </w:r>
      <w:r>
        <w:rPr>
          <w:rFonts w:hint="eastAsia" w:hAnsi="宋体" w:cs="宋体"/>
          <w:b/>
          <w:bCs/>
          <w:snapToGrid w:val="0"/>
          <w:color w:val="auto"/>
          <w:kern w:val="0"/>
          <w:highlight w:val="none"/>
        </w:rPr>
        <w:t>2.4</w:t>
      </w:r>
      <w:r>
        <w:rPr>
          <w:rFonts w:hint="eastAsia" w:hAnsi="宋体" w:cs="宋体"/>
          <w:snapToGrid w:val="0"/>
          <w:color w:val="auto"/>
          <w:kern w:val="0"/>
          <w:highlight w:val="none"/>
        </w:rPr>
        <w:t>条“禁止投标条款”规定的任何一种情形；</w:t>
      </w:r>
    </w:p>
    <w:p w14:paraId="6367D397">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（2）投标人资质不符合</w:t>
      </w:r>
      <w:r>
        <w:rPr>
          <w:rFonts w:hint="eastAsia" w:hAnsi="宋体" w:cs="宋体"/>
          <w:snapToGrid w:val="0"/>
          <w:color w:val="auto"/>
          <w:kern w:val="0"/>
          <w:szCs w:val="18"/>
          <w:highlight w:val="none"/>
        </w:rPr>
        <w:t>规定的；</w:t>
      </w:r>
    </w:p>
    <w:p w14:paraId="199BFDE1">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（3）投标人名称与营业执照、资质证书上的企业名称相互不一致的；其资质证书不是由住房城乡建设主管部门颁发的；营业执照、资质证书被吊销、暂扣或不在有效期内的；</w:t>
      </w:r>
    </w:p>
    <w:p w14:paraId="60FCF188">
      <w:pPr>
        <w:wordWrap w:val="0"/>
        <w:adjustRightInd w:val="0"/>
        <w:snapToGrid w:val="0"/>
        <w:spacing w:line="360" w:lineRule="auto"/>
        <w:ind w:firstLine="480"/>
        <w:rPr>
          <w:rFonts w:hAnsi="宋体" w:cs="宋体"/>
          <w:b/>
          <w:bCs/>
          <w:snapToGrid w:val="0"/>
          <w:color w:val="auto"/>
          <w:kern w:val="0"/>
          <w:highlight w:val="none"/>
        </w:rPr>
      </w:pPr>
      <w:r>
        <w:rPr>
          <w:rFonts w:hint="eastAsia" w:hAnsi="宋体" w:cs="宋体"/>
          <w:b/>
          <w:bCs/>
          <w:snapToGrid w:val="0"/>
          <w:color w:val="auto"/>
          <w:kern w:val="0"/>
          <w:highlight w:val="none"/>
        </w:rPr>
        <w:t>注：投标人已经工商变更，但其企业资质证书的企业名称未完成变更的，不得否决其投标；投标人营业执照、资质证书之间登记的信息不一致，应当允许投标人澄清，不得直接否决其投标。</w:t>
      </w:r>
    </w:p>
    <w:p w14:paraId="425792C2">
      <w:pPr>
        <w:wordWrap w:val="0"/>
        <w:adjustRightInd w:val="0"/>
        <w:snapToGrid w:val="0"/>
        <w:spacing w:line="360" w:lineRule="auto"/>
        <w:ind w:firstLine="480"/>
        <w:rPr>
          <w:rFonts w:hAnsi="宋体" w:cs="宋体"/>
          <w:b/>
          <w:bCs/>
          <w:snapToGrid w:val="0"/>
          <w:color w:val="auto"/>
          <w:kern w:val="0"/>
          <w:szCs w:val="22"/>
          <w:highlight w:val="none"/>
        </w:rPr>
      </w:pPr>
      <w:r>
        <w:rPr>
          <w:rFonts w:hint="eastAsia" w:hAnsi="宋体" w:cs="宋体"/>
          <w:b/>
          <w:bCs/>
          <w:snapToGrid w:val="0"/>
          <w:color w:val="auto"/>
          <w:kern w:val="0"/>
          <w:highlight w:val="none"/>
        </w:rPr>
        <w:t>投标人的企业相关证书、人员资质、资格有效期到期的，均按该证书的发证机构相关行业主管部门最新文件执行（如自动顺延或推迟办理延期业务的通知），投标人必须将相关文件附在该证书后面中，证明在开标日继续有效。</w:t>
      </w:r>
      <w:r>
        <w:rPr>
          <w:rFonts w:hint="eastAsia" w:hAnsi="宋体" w:cs="宋体"/>
          <w:b/>
          <w:bCs/>
          <w:snapToGrid w:val="0"/>
          <w:color w:val="auto"/>
          <w:kern w:val="0"/>
          <w:szCs w:val="22"/>
          <w:highlight w:val="none"/>
        </w:rPr>
        <w:t xml:space="preserve">  </w:t>
      </w:r>
    </w:p>
    <w:p w14:paraId="0A6B74E3">
      <w:pPr>
        <w:wordWrap w:val="0"/>
        <w:adjustRightInd w:val="0"/>
        <w:snapToGrid w:val="0"/>
        <w:spacing w:line="360" w:lineRule="auto"/>
        <w:rPr>
          <w:rFonts w:hAnsi="宋体" w:cs="宋体"/>
          <w:snapToGrid w:val="0"/>
          <w:color w:val="auto"/>
          <w:kern w:val="0"/>
          <w:highlight w:val="none"/>
        </w:rPr>
      </w:pPr>
      <w:r>
        <w:rPr>
          <w:rFonts w:hint="eastAsia" w:hAnsi="宋体" w:cs="宋体"/>
          <w:snapToGrid w:val="0"/>
          <w:color w:val="auto"/>
          <w:kern w:val="0"/>
          <w:highlight w:val="none"/>
        </w:rPr>
        <w:t xml:space="preserve">    （4）投标文件中拟派总监理工程师与《开标一览表》不一致的；拟派总监理工程师的条件不符合规定的；擅自修改、遗漏《总监理工程师任职声明》实质性内容的；拟派总监理工程师现阶段有担任其他在施建设工程项目总监理工程师职务，但《</w:t>
      </w:r>
      <w:r>
        <w:rPr>
          <w:rFonts w:hint="eastAsia" w:hAnsi="宋体" w:cs="宋体"/>
          <w:snapToGrid w:val="0"/>
          <w:color w:val="auto"/>
          <w:kern w:val="0"/>
          <w:szCs w:val="18"/>
          <w:highlight w:val="none"/>
        </w:rPr>
        <w:t>总监理工程师任职项目情况表</w:t>
      </w:r>
      <w:r>
        <w:rPr>
          <w:rFonts w:hint="eastAsia" w:hAnsi="宋体" w:cs="宋体"/>
          <w:snapToGrid w:val="0"/>
          <w:color w:val="auto"/>
          <w:kern w:val="0"/>
          <w:highlight w:val="none"/>
        </w:rPr>
        <w:t>》未经任职项目建设单位盖章同意、又未提交任职项目建设单位另行出具的书面同意意见的；</w:t>
      </w:r>
    </w:p>
    <w:p w14:paraId="10954423">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（5）拟派总监理工程师的注册证书不是住房和城乡建设主管部门颁发的，或注册单位与投标人不一致的，或不在有效期内的；</w:t>
      </w:r>
    </w:p>
    <w:p w14:paraId="24597860">
      <w:pPr>
        <w:wordWrap w:val="0"/>
        <w:adjustRightInd w:val="0"/>
        <w:snapToGrid w:val="0"/>
        <w:spacing w:line="360" w:lineRule="auto"/>
        <w:ind w:firstLine="480"/>
        <w:rPr>
          <w:rFonts w:hAnsi="宋体" w:cs="宋体"/>
          <w:b/>
          <w:bCs/>
          <w:snapToGrid w:val="0"/>
          <w:color w:val="auto"/>
          <w:kern w:val="0"/>
          <w:highlight w:val="none"/>
        </w:rPr>
      </w:pPr>
      <w:r>
        <w:rPr>
          <w:rFonts w:hint="eastAsia" w:hAnsi="宋体" w:cs="宋体"/>
          <w:b/>
          <w:bCs/>
          <w:snapToGrid w:val="0"/>
          <w:color w:val="auto"/>
          <w:kern w:val="0"/>
          <w:highlight w:val="none"/>
        </w:rPr>
        <w:t>注：投标人已经工商变更，但其员工执业资格注册证书的注册单位名称未完成变更的，不得否决其投标。</w:t>
      </w:r>
    </w:p>
    <w:p w14:paraId="7D393B08">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（6）招标文件规定不接受联合体投标，但以联合体投标的；</w:t>
      </w:r>
    </w:p>
    <w:p w14:paraId="6F29274A">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（7）投标人为外省企业，但未提供“进粤企业和人员诚信信息登记平台”企业和拟派人员信息情况打印页或网页截图的。</w:t>
      </w:r>
    </w:p>
    <w:p w14:paraId="68BFFAD2">
      <w:pPr>
        <w:wordWrap w:val="0"/>
        <w:adjustRightInd w:val="0"/>
        <w:snapToGrid w:val="0"/>
        <w:spacing w:line="360" w:lineRule="auto"/>
        <w:ind w:firstLine="480"/>
        <w:outlineLvl w:val="2"/>
        <w:rPr>
          <w:rFonts w:hAnsi="宋体" w:cs="宋体"/>
          <w:snapToGrid w:val="0"/>
          <w:color w:val="auto"/>
          <w:kern w:val="0"/>
          <w:highlight w:val="none"/>
        </w:rPr>
      </w:pPr>
      <w:bookmarkStart w:id="76" w:name="_Toc22542"/>
      <w:r>
        <w:rPr>
          <w:rFonts w:hint="eastAsia" w:hAnsi="宋体" w:cs="宋体"/>
          <w:b/>
          <w:bCs/>
          <w:snapToGrid w:val="0"/>
          <w:color w:val="auto"/>
          <w:kern w:val="0"/>
          <w:highlight w:val="none"/>
        </w:rPr>
        <w:t>2．形式评审环节</w:t>
      </w:r>
      <w:bookmarkEnd w:id="76"/>
    </w:p>
    <w:p w14:paraId="0BEB2819">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投标人有下列情形之一的，评标委员会应否决其投标。被否决的投标，不进入响应性评审环节。</w:t>
      </w:r>
    </w:p>
    <w:p w14:paraId="03B11B29">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（8）投标文件各分册未按招标文件规定加盖电子印章的；</w:t>
      </w:r>
    </w:p>
    <w:p w14:paraId="417CE6D7">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（9）本章第三节第</w:t>
      </w:r>
      <w:r>
        <w:rPr>
          <w:rFonts w:hint="eastAsia" w:hAnsi="宋体" w:cs="宋体"/>
          <w:b/>
          <w:bCs/>
          <w:snapToGrid w:val="0"/>
          <w:color w:val="auto"/>
          <w:kern w:val="0"/>
          <w:szCs w:val="18"/>
          <w:highlight w:val="none"/>
        </w:rPr>
        <w:t>10.2.2</w:t>
      </w:r>
      <w:r>
        <w:rPr>
          <w:rFonts w:hint="eastAsia" w:hAnsi="宋体" w:cs="宋体"/>
          <w:snapToGrid w:val="0"/>
          <w:color w:val="auto"/>
          <w:kern w:val="0"/>
          <w:szCs w:val="18"/>
          <w:highlight w:val="none"/>
        </w:rPr>
        <w:t>目、</w:t>
      </w:r>
      <w:r>
        <w:rPr>
          <w:rFonts w:hint="eastAsia" w:hAnsi="宋体" w:cs="宋体"/>
          <w:snapToGrid w:val="0"/>
          <w:color w:val="auto"/>
          <w:kern w:val="0"/>
          <w:highlight w:val="none"/>
        </w:rPr>
        <w:t>第</w:t>
      </w:r>
      <w:r>
        <w:rPr>
          <w:rFonts w:hint="eastAsia" w:hAnsi="宋体" w:cs="宋体"/>
          <w:b/>
          <w:bCs/>
          <w:snapToGrid w:val="0"/>
          <w:color w:val="auto"/>
          <w:kern w:val="0"/>
          <w:szCs w:val="18"/>
          <w:highlight w:val="none"/>
        </w:rPr>
        <w:t>10.3.3</w:t>
      </w:r>
      <w:r>
        <w:rPr>
          <w:rFonts w:hint="eastAsia" w:hAnsi="宋体" w:cs="宋体"/>
          <w:snapToGrid w:val="0"/>
          <w:color w:val="auto"/>
          <w:kern w:val="0"/>
          <w:szCs w:val="18"/>
          <w:highlight w:val="none"/>
        </w:rPr>
        <w:t>目</w:t>
      </w:r>
      <w:r>
        <w:rPr>
          <w:rFonts w:hint="eastAsia" w:hAnsi="宋体" w:cs="宋体"/>
          <w:snapToGrid w:val="0"/>
          <w:color w:val="auto"/>
          <w:kern w:val="0"/>
          <w:highlight w:val="none"/>
        </w:rPr>
        <w:t>中规定的“</w:t>
      </w:r>
      <w:r>
        <w:rPr>
          <w:rFonts w:hint="eastAsia" w:hAnsi="宋体" w:cs="宋体"/>
          <w:snapToGrid w:val="0"/>
          <w:color w:val="auto"/>
          <w:kern w:val="0"/>
          <w:szCs w:val="18"/>
          <w:highlight w:val="none"/>
        </w:rPr>
        <w:t>所有投标人均应提供</w:t>
      </w:r>
      <w:r>
        <w:rPr>
          <w:rFonts w:hint="eastAsia" w:hAnsi="宋体" w:cs="宋体"/>
          <w:snapToGrid w:val="0"/>
          <w:color w:val="auto"/>
          <w:kern w:val="0"/>
          <w:highlight w:val="none"/>
        </w:rPr>
        <w:t>”的组成内容（包括该组成内容的所附资料）中，任何一项有缺漏的；</w:t>
      </w:r>
    </w:p>
    <w:p w14:paraId="0E9CAD6F">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（10）关键字迹模糊、无法辨认，</w:t>
      </w:r>
      <w:r>
        <w:rPr>
          <w:rFonts w:hint="eastAsia" w:hAnsi="宋体" w:cs="宋体"/>
          <w:b/>
          <w:bCs/>
          <w:snapToGrid w:val="0"/>
          <w:color w:val="auto"/>
          <w:kern w:val="0"/>
          <w:highlight w:val="none"/>
        </w:rPr>
        <w:t>且该种过错将导致评标委员会无法作出投标文件是否响应招标文件实质性要求的</w:t>
      </w:r>
      <w:r>
        <w:rPr>
          <w:rFonts w:hint="eastAsia" w:hAnsi="宋体" w:cs="宋体"/>
          <w:snapToGrid w:val="0"/>
          <w:color w:val="auto"/>
          <w:kern w:val="0"/>
          <w:highlight w:val="none"/>
        </w:rPr>
        <w:t>；出现手工涂改、行间插字或删除，但未加盖单位章或由投标人的法定代表人或其委托代理人签字确认的；</w:t>
      </w:r>
    </w:p>
    <w:p w14:paraId="10F29CE2">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（11）投标文件未按规定签字、盖章的；</w:t>
      </w:r>
    </w:p>
    <w:p w14:paraId="06540D4A">
      <w:pPr>
        <w:wordWrap w:val="0"/>
        <w:adjustRightInd w:val="0"/>
        <w:snapToGrid w:val="0"/>
        <w:spacing w:line="360" w:lineRule="auto"/>
        <w:ind w:firstLine="480"/>
        <w:outlineLvl w:val="2"/>
        <w:rPr>
          <w:rFonts w:hAnsi="宋体" w:cs="宋体"/>
          <w:b/>
          <w:bCs/>
          <w:snapToGrid w:val="0"/>
          <w:color w:val="auto"/>
          <w:kern w:val="0"/>
          <w:highlight w:val="none"/>
        </w:rPr>
      </w:pPr>
      <w:bookmarkStart w:id="77" w:name="_Toc1804"/>
      <w:r>
        <w:rPr>
          <w:rFonts w:hint="eastAsia" w:hAnsi="宋体" w:cs="宋体"/>
          <w:b/>
          <w:bCs/>
          <w:snapToGrid w:val="0"/>
          <w:color w:val="auto"/>
          <w:kern w:val="0"/>
          <w:highlight w:val="none"/>
        </w:rPr>
        <w:t>3．响应性评审环节</w:t>
      </w:r>
      <w:bookmarkEnd w:id="77"/>
    </w:p>
    <w:p w14:paraId="1D351E78">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投标人有下列情形之一的，评标委员会应否决其投标。被否决的投标，不进入详细评审阶段。</w:t>
      </w:r>
    </w:p>
    <w:p w14:paraId="1F3A0771">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（12）投标有效期、服务期限不符合规定的；擅自修改、遗漏《投标函》《各项承诺一览表》实质性内容的；</w:t>
      </w:r>
    </w:p>
    <w:p w14:paraId="59233012">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（13）出现两个或两个以上投标总价的（同一个投标总价大、小写不一致的除外）；投标总价超出最高投标限价的；</w:t>
      </w:r>
    </w:p>
    <w:p w14:paraId="493FD87D">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（14）在监理大纲评审中，评标委员会认定监理及相关服务的范围、内容、目标不符合规定的；质量、进度、造价监理措施明显不符合国家和省市现行有关规范、规定、标准，</w:t>
      </w:r>
      <w:r>
        <w:rPr>
          <w:rFonts w:hint="eastAsia" w:hAnsi="宋体" w:cs="宋体"/>
          <w:b/>
          <w:bCs/>
          <w:snapToGrid w:val="0"/>
          <w:color w:val="auto"/>
          <w:kern w:val="0"/>
          <w:highlight w:val="none"/>
        </w:rPr>
        <w:t>且该种过错将导致“三控制”目标无法实现的</w:t>
      </w:r>
      <w:r>
        <w:rPr>
          <w:rFonts w:hint="eastAsia" w:hAnsi="宋体" w:cs="宋体"/>
          <w:snapToGrid w:val="0"/>
          <w:color w:val="auto"/>
          <w:kern w:val="0"/>
          <w:highlight w:val="none"/>
        </w:rPr>
        <w:t>。</w:t>
      </w:r>
    </w:p>
    <w:p w14:paraId="5BE2B7EB">
      <w:pPr>
        <w:wordWrap w:val="0"/>
        <w:adjustRightInd w:val="0"/>
        <w:snapToGrid w:val="0"/>
        <w:spacing w:line="360" w:lineRule="auto"/>
        <w:ind w:firstLine="480"/>
        <w:outlineLvl w:val="2"/>
        <w:rPr>
          <w:rFonts w:hAnsi="宋体" w:cs="宋体"/>
          <w:b/>
          <w:bCs/>
          <w:snapToGrid w:val="0"/>
          <w:color w:val="auto"/>
          <w:kern w:val="0"/>
          <w:highlight w:val="none"/>
        </w:rPr>
      </w:pPr>
      <w:bookmarkStart w:id="78" w:name="_Toc22668"/>
      <w:r>
        <w:rPr>
          <w:rFonts w:hint="eastAsia" w:hAnsi="宋体" w:cs="宋体"/>
          <w:b/>
          <w:bCs/>
          <w:snapToGrid w:val="0"/>
          <w:color w:val="auto"/>
          <w:kern w:val="0"/>
          <w:highlight w:val="none"/>
        </w:rPr>
        <w:t>4．其他</w:t>
      </w:r>
      <w:bookmarkEnd w:id="78"/>
    </w:p>
    <w:p w14:paraId="33D6B34F">
      <w:pPr>
        <w:wordWrap w:val="0"/>
        <w:adjustRightInd w:val="0"/>
        <w:snapToGrid w:val="0"/>
        <w:spacing w:line="360" w:lineRule="auto"/>
        <w:ind w:firstLine="480"/>
        <w:rPr>
          <w:rFonts w:hAnsi="宋体" w:cs="宋体"/>
          <w:snapToGrid w:val="0"/>
          <w:color w:val="auto"/>
          <w:kern w:val="0"/>
          <w:szCs w:val="22"/>
          <w:highlight w:val="none"/>
        </w:rPr>
      </w:pPr>
      <w:r>
        <w:rPr>
          <w:rFonts w:hint="eastAsia" w:hAnsi="宋体" w:cs="宋体"/>
          <w:snapToGrid w:val="0"/>
          <w:color w:val="auto"/>
          <w:kern w:val="0"/>
          <w:highlight w:val="none"/>
        </w:rPr>
        <w:t>在任何评标环节（或阶段），投标人有下列情形之一的，评标委员会应否决其投标。</w:t>
      </w:r>
      <w:r>
        <w:rPr>
          <w:rFonts w:hint="eastAsia" w:hAnsi="宋体" w:cs="宋体"/>
          <w:snapToGrid w:val="0"/>
          <w:color w:val="auto"/>
          <w:kern w:val="0"/>
          <w:szCs w:val="22"/>
          <w:highlight w:val="none"/>
        </w:rPr>
        <w:t>被否决的投标，不进入下一环节（或阶段）。</w:t>
      </w:r>
    </w:p>
    <w:p w14:paraId="44A9DAF4">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（15）不按评标委员会要求澄清、说明或补正的；</w:t>
      </w:r>
    </w:p>
    <w:p w14:paraId="73919888">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（16）有下列情形之一，被评标委员会认定属于串通投标的：</w:t>
      </w:r>
    </w:p>
    <w:p w14:paraId="163A4EC1">
      <w:pPr>
        <w:wordWrap w:val="0"/>
        <w:adjustRightInd w:val="0"/>
        <w:snapToGrid w:val="0"/>
        <w:spacing w:line="360" w:lineRule="auto"/>
        <w:rPr>
          <w:rFonts w:hAnsi="宋体" w:cs="宋体"/>
          <w:snapToGrid w:val="0"/>
          <w:color w:val="auto"/>
          <w:kern w:val="0"/>
          <w:highlight w:val="none"/>
        </w:rPr>
      </w:pPr>
      <w:r>
        <w:rPr>
          <w:rFonts w:hint="eastAsia" w:hAnsi="宋体" w:cs="宋体"/>
          <w:snapToGrid w:val="0"/>
          <w:color w:val="auto"/>
          <w:kern w:val="0"/>
          <w:highlight w:val="none"/>
        </w:rPr>
        <w:t xml:space="preserve">    ①不同投标人的投标文件两处以上（含两处）错、漏一致；</w:t>
      </w:r>
    </w:p>
    <w:p w14:paraId="6C9CC9B1">
      <w:pPr>
        <w:wordWrap w:val="0"/>
        <w:adjustRightInd w:val="0"/>
        <w:snapToGrid w:val="0"/>
        <w:spacing w:line="360" w:lineRule="auto"/>
        <w:rPr>
          <w:rFonts w:hAnsi="宋体" w:cs="宋体"/>
          <w:snapToGrid w:val="0"/>
          <w:color w:val="auto"/>
          <w:kern w:val="0"/>
          <w:highlight w:val="none"/>
        </w:rPr>
      </w:pPr>
      <w:r>
        <w:rPr>
          <w:rFonts w:hint="eastAsia" w:hAnsi="宋体" w:cs="宋体"/>
          <w:snapToGrid w:val="0"/>
          <w:color w:val="auto"/>
          <w:kern w:val="0"/>
          <w:highlight w:val="none"/>
        </w:rPr>
        <w:t xml:space="preserve">    ②不同投标人的投标各项报价存在异常一致或者呈规律性变化；</w:t>
      </w:r>
    </w:p>
    <w:p w14:paraId="2226122B">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③不同投标人的投标文件由同一单位或者同一个人编制；</w:t>
      </w:r>
    </w:p>
    <w:p w14:paraId="3DAC3E25">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④不同投标人的投标文件中投标资料（包括电子资料）相互混装或项目班子成员出现同一人；</w:t>
      </w:r>
    </w:p>
    <w:p w14:paraId="3E85253F">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⑤不同投标人的投标文件由同一电脑编制或同一台附属设备打印；</w:t>
      </w:r>
    </w:p>
    <w:p w14:paraId="5D55D8A7">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⑥不同投标人的投标保证由同一企业或同一账户资金缴纳；</w:t>
      </w:r>
    </w:p>
    <w:p w14:paraId="6CFCE064">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⑦不同投标人委托同一个人或注册在同一家企业的注册人员或同一家企业为其投标提供投标咨询、商务报价、技术咨询（招标项目本身要求采用专有技术的除外）等服务。</w:t>
      </w:r>
    </w:p>
    <w:bookmarkEnd w:id="55"/>
    <w:p w14:paraId="6D1FC16A">
      <w:pPr>
        <w:wordWrap w:val="0"/>
        <w:adjustRightInd w:val="0"/>
        <w:snapToGrid w:val="0"/>
        <w:spacing w:line="360" w:lineRule="auto"/>
        <w:ind w:firstLine="480"/>
        <w:rPr>
          <w:rFonts w:hAnsi="宋体" w:cs="宋体"/>
          <w:snapToGrid w:val="0"/>
          <w:color w:val="auto"/>
          <w:kern w:val="0"/>
          <w:highlight w:val="none"/>
        </w:rPr>
        <w:sectPr>
          <w:endnotePr>
            <w:numFmt w:val="decimal"/>
          </w:endnotePr>
          <w:pgSz w:w="11906" w:h="16838"/>
          <w:pgMar w:top="1417" w:right="1417" w:bottom="1417" w:left="1417" w:header="850" w:footer="992" w:gutter="0"/>
          <w:pgNumType w:fmt="decimal"/>
          <w:cols w:space="0" w:num="1"/>
          <w:docGrid w:linePitch="327" w:charSpace="0"/>
        </w:sectPr>
      </w:pPr>
    </w:p>
    <w:p w14:paraId="753E11E4">
      <w:pPr>
        <w:pStyle w:val="3"/>
        <w:wordWrap w:val="0"/>
        <w:autoSpaceDE/>
        <w:autoSpaceDN/>
        <w:snapToGrid w:val="0"/>
        <w:spacing w:line="440" w:lineRule="exact"/>
        <w:jc w:val="center"/>
        <w:rPr>
          <w:rFonts w:hAnsi="宋体" w:cs="宋体"/>
          <w:b/>
          <w:snapToGrid w:val="0"/>
          <w:color w:val="auto"/>
          <w:sz w:val="32"/>
          <w:szCs w:val="22"/>
          <w:highlight w:val="none"/>
        </w:rPr>
      </w:pPr>
      <w:bookmarkStart w:id="79" w:name="_Hlt112206772"/>
      <w:bookmarkEnd w:id="79"/>
      <w:bookmarkStart w:id="80" w:name="_Hlt87952408"/>
      <w:bookmarkEnd w:id="80"/>
      <w:bookmarkStart w:id="81" w:name="_Hlt69669771"/>
      <w:bookmarkEnd w:id="81"/>
      <w:bookmarkStart w:id="82" w:name="_Hlt70150994"/>
      <w:bookmarkEnd w:id="82"/>
      <w:bookmarkStart w:id="83" w:name="_Toc401"/>
      <w:bookmarkStart w:id="84" w:name="_Hlt69698722"/>
      <w:bookmarkStart w:id="85" w:name="_Hlt69698741"/>
      <w:bookmarkStart w:id="86" w:name="_Hlt69698769"/>
      <w:r>
        <w:rPr>
          <w:rFonts w:hint="eastAsia" w:hAnsi="宋体" w:cs="宋体"/>
          <w:b/>
          <w:snapToGrid w:val="0"/>
          <w:color w:val="auto"/>
          <w:sz w:val="32"/>
          <w:szCs w:val="22"/>
          <w:highlight w:val="none"/>
        </w:rPr>
        <w:t>第</w:t>
      </w:r>
      <w:bookmarkStart w:id="87" w:name="_Hlt69669171"/>
      <w:bookmarkEnd w:id="87"/>
      <w:r>
        <w:rPr>
          <w:rFonts w:hint="eastAsia" w:hAnsi="宋体" w:cs="宋体"/>
          <w:b/>
          <w:snapToGrid w:val="0"/>
          <w:color w:val="auto"/>
          <w:sz w:val="32"/>
          <w:szCs w:val="22"/>
          <w:highlight w:val="none"/>
        </w:rPr>
        <w:t>二章</w:t>
      </w:r>
      <w:bookmarkStart w:id="88" w:name="_Hlt87793839"/>
      <w:bookmarkEnd w:id="88"/>
      <w:r>
        <w:rPr>
          <w:rFonts w:hint="eastAsia" w:hAnsi="宋体" w:cs="宋体"/>
          <w:b/>
          <w:snapToGrid w:val="0"/>
          <w:color w:val="auto"/>
          <w:sz w:val="32"/>
          <w:szCs w:val="22"/>
          <w:highlight w:val="none"/>
        </w:rPr>
        <w:t xml:space="preserve"> 中标人须知</w:t>
      </w:r>
      <w:bookmarkEnd w:id="83"/>
    </w:p>
    <w:bookmarkEnd w:id="84"/>
    <w:bookmarkEnd w:id="85"/>
    <w:bookmarkEnd w:id="86"/>
    <w:p w14:paraId="38AEC5D6">
      <w:pPr>
        <w:bidi w:val="0"/>
        <w:rPr>
          <w:color w:val="auto"/>
          <w:highlight w:val="none"/>
        </w:rPr>
      </w:pPr>
    </w:p>
    <w:p w14:paraId="33D6C730">
      <w:pPr>
        <w:keepNext w:val="0"/>
        <w:keepLines w:val="0"/>
        <w:pageBreakBefore w:val="0"/>
        <w:widowControl w:val="0"/>
        <w:kinsoku/>
        <w:wordWrap w:val="0"/>
        <w:overflowPunct/>
        <w:topLinePunct w:val="0"/>
        <w:autoSpaceDE/>
        <w:autoSpaceDN/>
        <w:bidi w:val="0"/>
        <w:adjustRightInd w:val="0"/>
        <w:snapToGrid w:val="0"/>
        <w:spacing w:line="360" w:lineRule="auto"/>
        <w:ind w:firstLine="562"/>
        <w:textAlignment w:val="auto"/>
        <w:outlineLvl w:val="1"/>
        <w:rPr>
          <w:rFonts w:hAnsi="宋体" w:cs="宋体"/>
          <w:snapToGrid w:val="0"/>
          <w:color w:val="auto"/>
          <w:kern w:val="0"/>
          <w:szCs w:val="24"/>
          <w:highlight w:val="none"/>
        </w:rPr>
      </w:pPr>
      <w:bookmarkStart w:id="89" w:name="_Toc21594"/>
      <w:bookmarkStart w:id="90" w:name="_Toc18336"/>
      <w:bookmarkStart w:id="91" w:name="_Toc31521"/>
      <w:bookmarkStart w:id="92" w:name="_Toc8149"/>
      <w:bookmarkStart w:id="93" w:name="_Toc15170"/>
      <w:bookmarkStart w:id="94" w:name="_Toc30174"/>
      <w:bookmarkStart w:id="95" w:name="_Toc17192"/>
      <w:r>
        <w:rPr>
          <w:rFonts w:hint="eastAsia" w:hAnsi="宋体" w:cs="宋体"/>
          <w:b/>
          <w:snapToGrid w:val="0"/>
          <w:color w:val="auto"/>
          <w:kern w:val="0"/>
          <w:szCs w:val="24"/>
          <w:highlight w:val="none"/>
        </w:rPr>
        <w:t>1．中标通知书</w:t>
      </w:r>
      <w:bookmarkEnd w:id="89"/>
      <w:bookmarkEnd w:id="90"/>
      <w:bookmarkEnd w:id="91"/>
      <w:bookmarkEnd w:id="92"/>
      <w:bookmarkEnd w:id="93"/>
      <w:bookmarkEnd w:id="94"/>
      <w:bookmarkEnd w:id="95"/>
    </w:p>
    <w:p w14:paraId="11A1ADEE">
      <w:pPr>
        <w:keepNext w:val="0"/>
        <w:keepLines w:val="0"/>
        <w:pageBreakBefore w:val="0"/>
        <w:widowControl w:val="0"/>
        <w:kinsoku/>
        <w:wordWrap w:val="0"/>
        <w:overflowPunct/>
        <w:topLinePunct w:val="0"/>
        <w:autoSpaceDE/>
        <w:autoSpaceDN/>
        <w:bidi w:val="0"/>
        <w:adjustRightInd w:val="0"/>
        <w:snapToGrid w:val="0"/>
        <w:spacing w:line="360" w:lineRule="auto"/>
        <w:ind w:firstLine="562"/>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招标人确定第一中标候选人为中标人，并在中标人确定之日起7日内向中标人发出中标通知书，中标人必须按韶关市公共资源交易中心的规定办理相关手续后方可领取。中标通知书对招标人和中标人均具有法律约束力。中标通知书发出后，招标人改变中标结果和中标人放弃中标的，应当承担法律责任。</w:t>
      </w:r>
    </w:p>
    <w:p w14:paraId="7E979E6B">
      <w:pPr>
        <w:keepNext w:val="0"/>
        <w:keepLines w:val="0"/>
        <w:pageBreakBefore w:val="0"/>
        <w:widowControl w:val="0"/>
        <w:kinsoku/>
        <w:wordWrap w:val="0"/>
        <w:overflowPunct/>
        <w:topLinePunct w:val="0"/>
        <w:autoSpaceDE/>
        <w:autoSpaceDN/>
        <w:bidi w:val="0"/>
        <w:adjustRightInd w:val="0"/>
        <w:snapToGrid w:val="0"/>
        <w:spacing w:line="360" w:lineRule="auto"/>
        <w:ind w:firstLine="562"/>
        <w:textAlignment w:val="auto"/>
        <w:outlineLvl w:val="1"/>
        <w:rPr>
          <w:rFonts w:hAnsi="宋体" w:cs="宋体"/>
          <w:snapToGrid w:val="0"/>
          <w:color w:val="auto"/>
          <w:kern w:val="0"/>
          <w:szCs w:val="24"/>
          <w:highlight w:val="none"/>
        </w:rPr>
      </w:pPr>
      <w:bookmarkStart w:id="96" w:name="_Toc23133"/>
      <w:bookmarkStart w:id="97" w:name="_Toc17251"/>
      <w:bookmarkStart w:id="98" w:name="_Toc10931"/>
      <w:bookmarkStart w:id="99" w:name="_Toc18659"/>
      <w:bookmarkStart w:id="100" w:name="_Toc28601"/>
      <w:bookmarkStart w:id="101" w:name="_Toc1519"/>
      <w:bookmarkStart w:id="102" w:name="_Toc30560"/>
      <w:r>
        <w:rPr>
          <w:rFonts w:hint="eastAsia" w:hAnsi="宋体" w:cs="宋体"/>
          <w:b/>
          <w:bCs/>
          <w:snapToGrid w:val="0"/>
          <w:color w:val="auto"/>
          <w:kern w:val="0"/>
          <w:szCs w:val="24"/>
          <w:highlight w:val="none"/>
        </w:rPr>
        <w:t>2．中标结果公示</w:t>
      </w:r>
      <w:bookmarkEnd w:id="96"/>
      <w:bookmarkEnd w:id="97"/>
      <w:bookmarkEnd w:id="98"/>
      <w:bookmarkEnd w:id="99"/>
      <w:bookmarkEnd w:id="100"/>
      <w:bookmarkEnd w:id="101"/>
      <w:bookmarkEnd w:id="102"/>
    </w:p>
    <w:p w14:paraId="52B0780F">
      <w:pPr>
        <w:keepNext w:val="0"/>
        <w:keepLines w:val="0"/>
        <w:pageBreakBefore w:val="0"/>
        <w:widowControl w:val="0"/>
        <w:kinsoku/>
        <w:wordWrap w:val="0"/>
        <w:overflowPunct/>
        <w:topLinePunct w:val="0"/>
        <w:autoSpaceDE/>
        <w:autoSpaceDN/>
        <w:bidi w:val="0"/>
        <w:adjustRightInd w:val="0"/>
        <w:snapToGrid w:val="0"/>
        <w:spacing w:line="360" w:lineRule="auto"/>
        <w:ind w:firstLine="562"/>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中标通知书发出后15日内，招标人应将中标结果在广东省招标投标监管网</w:t>
      </w:r>
      <w:r>
        <w:rPr>
          <w:rFonts w:hint="eastAsia" w:ascii="宋体" w:hAnsi="宋体" w:eastAsia="宋体" w:cs="宋体"/>
          <w:snapToGrid w:val="0"/>
          <w:color w:val="auto"/>
          <w:kern w:val="0"/>
          <w:sz w:val="24"/>
          <w:szCs w:val="24"/>
          <w:highlight w:val="none"/>
          <w:lang w:eastAsia="zh-CN"/>
        </w:rPr>
        <w:t>（https://zbtb.gd.gov.cn/#/index）</w:t>
      </w:r>
      <w:r>
        <w:rPr>
          <w:rFonts w:hint="eastAsia" w:ascii="宋体" w:hAnsi="宋体" w:eastAsia="宋体" w:cs="宋体"/>
          <w:snapToGrid w:val="0"/>
          <w:color w:val="auto"/>
          <w:kern w:val="0"/>
          <w:sz w:val="24"/>
          <w:szCs w:val="24"/>
          <w:highlight w:val="none"/>
        </w:rPr>
        <w:t>及</w:t>
      </w:r>
      <w:r>
        <w:rPr>
          <w:rFonts w:hint="eastAsia" w:ascii="宋体" w:hAnsi="宋体" w:eastAsia="宋体" w:cs="宋体"/>
          <w:snapToGrid w:val="0"/>
          <w:color w:val="auto"/>
          <w:kern w:val="0"/>
          <w:sz w:val="24"/>
          <w:szCs w:val="24"/>
          <w:highlight w:val="none"/>
          <w:lang w:val="en-US" w:eastAsia="zh-CN"/>
        </w:rPr>
        <w:t>全国公共资源交易平台（广东省·韶关市）（https://ygp.gdzwfw.gov.cn/ggzy-portal/#/440200/index）</w:t>
      </w:r>
      <w:r>
        <w:rPr>
          <w:rFonts w:hint="eastAsia" w:ascii="宋体" w:hAnsi="宋体" w:eastAsia="宋体" w:cs="宋体"/>
          <w:snapToGrid w:val="0"/>
          <w:color w:val="auto"/>
          <w:kern w:val="0"/>
          <w:sz w:val="24"/>
          <w:szCs w:val="24"/>
          <w:highlight w:val="none"/>
        </w:rPr>
        <w:t>进行公示。</w:t>
      </w:r>
      <w:bookmarkStart w:id="103" w:name="_Toc20923"/>
      <w:bookmarkStart w:id="104" w:name="_Toc23475"/>
      <w:bookmarkStart w:id="105" w:name="_Toc16211"/>
      <w:bookmarkStart w:id="106" w:name="_Toc22628"/>
      <w:bookmarkStart w:id="107" w:name="_Toc25367"/>
    </w:p>
    <w:p w14:paraId="7573F4F2">
      <w:pPr>
        <w:keepNext w:val="0"/>
        <w:keepLines w:val="0"/>
        <w:pageBreakBefore w:val="0"/>
        <w:widowControl w:val="0"/>
        <w:kinsoku/>
        <w:wordWrap w:val="0"/>
        <w:overflowPunct/>
        <w:topLinePunct w:val="0"/>
        <w:autoSpaceDE/>
        <w:autoSpaceDN/>
        <w:bidi w:val="0"/>
        <w:adjustRightInd w:val="0"/>
        <w:snapToGrid w:val="0"/>
        <w:spacing w:line="360" w:lineRule="auto"/>
        <w:ind w:firstLine="562"/>
        <w:textAlignment w:val="auto"/>
        <w:outlineLvl w:val="1"/>
        <w:rPr>
          <w:rFonts w:hint="eastAsia" w:hAnsi="宋体" w:cs="宋体"/>
          <w:b/>
          <w:bCs/>
          <w:snapToGrid w:val="0"/>
          <w:color w:val="auto"/>
          <w:kern w:val="0"/>
          <w:szCs w:val="24"/>
          <w:highlight w:val="none"/>
        </w:rPr>
      </w:pPr>
      <w:bookmarkStart w:id="108" w:name="_Toc5857"/>
      <w:bookmarkStart w:id="109" w:name="_Toc32445"/>
      <w:r>
        <w:rPr>
          <w:rFonts w:hint="eastAsia" w:hAnsi="宋体" w:cs="宋体"/>
          <w:b/>
          <w:bCs/>
          <w:snapToGrid w:val="0"/>
          <w:color w:val="auto"/>
          <w:kern w:val="0"/>
          <w:szCs w:val="24"/>
          <w:highlight w:val="none"/>
          <w:lang w:val="en-US" w:eastAsia="zh-CN"/>
        </w:rPr>
        <w:t>3</w:t>
      </w:r>
      <w:r>
        <w:rPr>
          <w:rFonts w:hint="eastAsia" w:hAnsi="宋体" w:cs="宋体"/>
          <w:b/>
          <w:bCs/>
          <w:snapToGrid w:val="0"/>
          <w:color w:val="auto"/>
          <w:kern w:val="0"/>
          <w:szCs w:val="24"/>
          <w:highlight w:val="none"/>
        </w:rPr>
        <w:t>．履约保证</w:t>
      </w:r>
      <w:bookmarkEnd w:id="108"/>
      <w:bookmarkEnd w:id="109"/>
    </w:p>
    <w:p w14:paraId="3C0B5C83">
      <w:pPr>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ind w:firstLine="482" w:firstLineChars="200"/>
        <w:textAlignment w:val="auto"/>
        <w:rPr>
          <w:rFonts w:hint="default" w:ascii="宋体" w:hAnsi="宋体" w:eastAsia="宋体" w:cs="宋体"/>
          <w:snapToGrid w:val="0"/>
          <w:color w:val="auto"/>
          <w:kern w:val="0"/>
          <w:sz w:val="24"/>
          <w:szCs w:val="24"/>
          <w:highlight w:val="none"/>
          <w:lang w:val="en-US" w:eastAsia="zh-CN"/>
        </w:rPr>
      </w:pPr>
      <w:r>
        <w:rPr>
          <w:rFonts w:hint="eastAsia" w:ascii="宋体" w:hAnsi="宋体" w:eastAsia="宋体" w:cs="宋体"/>
          <w:b/>
          <w:snapToGrid w:val="0"/>
          <w:color w:val="auto"/>
          <w:kern w:val="0"/>
          <w:sz w:val="24"/>
          <w:szCs w:val="24"/>
          <w:highlight w:val="none"/>
        </w:rPr>
        <w:t>3.1</w:t>
      </w:r>
      <w:r>
        <w:rPr>
          <w:rFonts w:hint="eastAsia" w:ascii="宋体" w:hAnsi="宋体" w:eastAsia="宋体" w:cs="宋体"/>
          <w:snapToGrid w:val="0"/>
          <w:color w:val="auto"/>
          <w:kern w:val="0"/>
          <w:sz w:val="24"/>
          <w:szCs w:val="24"/>
          <w:highlight w:val="none"/>
        </w:rPr>
        <w:t xml:space="preserve"> 中标人须在领取中标通知书之日起</w:t>
      </w:r>
      <w:r>
        <w:rPr>
          <w:rFonts w:hint="eastAsia" w:ascii="宋体" w:hAnsi="宋体" w:eastAsia="宋体" w:cs="宋体"/>
          <w:snapToGrid w:val="0"/>
          <w:color w:val="auto"/>
          <w:kern w:val="0"/>
          <w:sz w:val="24"/>
          <w:szCs w:val="24"/>
          <w:highlight w:val="none"/>
          <w:u w:val="single"/>
        </w:rPr>
        <w:t xml:space="preserve"> 10 </w:t>
      </w:r>
      <w:r>
        <w:rPr>
          <w:rFonts w:hint="eastAsia" w:ascii="宋体" w:hAnsi="宋体" w:eastAsia="宋体" w:cs="宋体"/>
          <w:snapToGrid w:val="0"/>
          <w:color w:val="auto"/>
          <w:kern w:val="0"/>
          <w:sz w:val="24"/>
          <w:szCs w:val="24"/>
          <w:highlight w:val="none"/>
        </w:rPr>
        <w:t>个工作日内、签订合同前向招标人提交金额为中标价</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u w:val="single"/>
          <w:lang w:val="en-US" w:eastAsia="zh-CN"/>
        </w:rPr>
        <w:t>3</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%的履约保证。</w:t>
      </w:r>
    </w:p>
    <w:p w14:paraId="29BD7206">
      <w:pPr>
        <w:keepNext w:val="0"/>
        <w:keepLines w:val="0"/>
        <w:pageBreakBefore w:val="0"/>
        <w:widowControl w:val="0"/>
        <w:kinsoku/>
        <w:wordWrap w:val="0"/>
        <w:overflowPunct/>
        <w:topLinePunct w:val="0"/>
        <w:autoSpaceDE/>
        <w:autoSpaceDN/>
        <w:bidi w:val="0"/>
        <w:adjustRightInd w:val="0"/>
        <w:snapToGrid w:val="0"/>
        <w:spacing w:line="440" w:lineRule="exact"/>
        <w:ind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3.2</w:t>
      </w:r>
      <w:r>
        <w:rPr>
          <w:rFonts w:hint="eastAsia" w:ascii="宋体" w:hAnsi="宋体" w:eastAsia="宋体" w:cs="宋体"/>
          <w:snapToGrid w:val="0"/>
          <w:color w:val="auto"/>
          <w:kern w:val="0"/>
          <w:sz w:val="24"/>
          <w:szCs w:val="24"/>
          <w:highlight w:val="none"/>
        </w:rPr>
        <w:t xml:space="preserve"> 履约保证的形式包括履约保证金、履约保证担保、履约保证保险三种，中标通知书发出时，招标人发起收缴履约保证金并填写保证金金额、缴交时限和项目工期；由中标人在建设工程交易系统中自主选择一种进行缴交。项目竣工后，由招标人发起退保。</w:t>
      </w:r>
    </w:p>
    <w:p w14:paraId="0517450E">
      <w:pPr>
        <w:keepNext w:val="0"/>
        <w:keepLines w:val="0"/>
        <w:pageBreakBefore w:val="0"/>
        <w:widowControl w:val="0"/>
        <w:kinsoku/>
        <w:wordWrap w:val="0"/>
        <w:overflowPunct/>
        <w:topLinePunct w:val="0"/>
        <w:autoSpaceDE/>
        <w:autoSpaceDN/>
        <w:bidi w:val="0"/>
        <w:adjustRightInd w:val="0"/>
        <w:snapToGrid w:val="0"/>
        <w:spacing w:line="440" w:lineRule="exact"/>
        <w:ind w:firstLine="482" w:firstLineChars="200"/>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b/>
          <w:bCs/>
          <w:snapToGrid w:val="0"/>
          <w:color w:val="auto"/>
          <w:kern w:val="0"/>
          <w:sz w:val="24"/>
          <w:szCs w:val="24"/>
          <w:highlight w:val="none"/>
        </w:rPr>
        <w:t>3.3</w:t>
      </w:r>
      <w:r>
        <w:rPr>
          <w:rFonts w:hint="eastAsia" w:ascii="宋体" w:hAnsi="宋体" w:eastAsia="宋体" w:cs="宋体"/>
          <w:snapToGrid w:val="0"/>
          <w:color w:val="auto"/>
          <w:kern w:val="0"/>
          <w:sz w:val="24"/>
          <w:szCs w:val="24"/>
          <w:highlight w:val="none"/>
        </w:rPr>
        <w:t xml:space="preserve"> 中标人在领取中标通知书之日起10个工作日内仍未提交履约保证的，招标人发出第一次提醒函；在领取中标通知书之日起15个工作日内仍未提交的，招标人发出第二次提醒函；在领取中标通知书之日起20个工作日内仍未提交的，视其放弃中标。并由招标人通报建设行政管理部门。如采用银行保函或保险合同方式缴纳履约保证金，在保函或保险合同到期前一个月，中标人须主动办理续期手续或提交新的银行保函或保险合同。</w:t>
      </w:r>
    </w:p>
    <w:p w14:paraId="191AA2C0">
      <w:pPr>
        <w:keepNext w:val="0"/>
        <w:keepLines w:val="0"/>
        <w:pageBreakBefore w:val="0"/>
        <w:widowControl w:val="0"/>
        <w:kinsoku/>
        <w:wordWrap w:val="0"/>
        <w:overflowPunct/>
        <w:topLinePunct w:val="0"/>
        <w:autoSpaceDE/>
        <w:autoSpaceDN/>
        <w:bidi w:val="0"/>
        <w:adjustRightInd w:val="0"/>
        <w:snapToGrid w:val="0"/>
        <w:spacing w:line="440" w:lineRule="exact"/>
        <w:ind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3.4</w:t>
      </w:r>
      <w:r>
        <w:rPr>
          <w:rFonts w:hint="eastAsia" w:ascii="宋体" w:hAnsi="宋体" w:eastAsia="宋体" w:cs="宋体"/>
          <w:snapToGrid w:val="0"/>
          <w:color w:val="auto"/>
          <w:kern w:val="0"/>
          <w:sz w:val="24"/>
          <w:szCs w:val="24"/>
          <w:highlight w:val="none"/>
        </w:rPr>
        <w:t xml:space="preserve"> 在项目实施过程中，如果承包人（即招标阶段的中标人，下同）由于自身的资金、技术、质量、非不可抗力等原因给发包人（即招标阶段的招标人，下同）造成经济损失，发包人有权扣划相应金额的履约保证。</w:t>
      </w:r>
    </w:p>
    <w:p w14:paraId="71E06F02">
      <w:pPr>
        <w:bidi w:val="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3.5</w:t>
      </w:r>
      <w:r>
        <w:rPr>
          <w:rFonts w:hint="eastAsia" w:ascii="宋体" w:hAnsi="宋体" w:eastAsia="宋体" w:cs="宋体"/>
          <w:snapToGrid w:val="0"/>
          <w:color w:val="auto"/>
          <w:kern w:val="0"/>
          <w:sz w:val="24"/>
          <w:szCs w:val="24"/>
          <w:highlight w:val="none"/>
        </w:rPr>
        <w:t xml:space="preserve"> 项目通过竣工验收之日后28天内，发包人将履约保证退还给承包人。</w:t>
      </w:r>
    </w:p>
    <w:p w14:paraId="26AA120B">
      <w:pPr>
        <w:keepNext w:val="0"/>
        <w:keepLines w:val="0"/>
        <w:pageBreakBefore w:val="0"/>
        <w:widowControl w:val="0"/>
        <w:kinsoku/>
        <w:wordWrap w:val="0"/>
        <w:overflowPunct/>
        <w:topLinePunct w:val="0"/>
        <w:autoSpaceDE/>
        <w:autoSpaceDN/>
        <w:bidi w:val="0"/>
        <w:adjustRightInd w:val="0"/>
        <w:snapToGrid w:val="0"/>
        <w:spacing w:line="360" w:lineRule="auto"/>
        <w:ind w:firstLine="562"/>
        <w:textAlignment w:val="auto"/>
        <w:outlineLvl w:val="1"/>
        <w:rPr>
          <w:rFonts w:hint="eastAsia" w:hAnsi="宋体" w:cs="宋体"/>
          <w:b/>
          <w:bCs/>
          <w:snapToGrid w:val="0"/>
          <w:color w:val="auto"/>
          <w:kern w:val="0"/>
          <w:szCs w:val="24"/>
          <w:highlight w:val="none"/>
          <w:lang w:val="en-US" w:eastAsia="zh-CN"/>
        </w:rPr>
      </w:pPr>
      <w:bookmarkStart w:id="110" w:name="_Toc5474"/>
      <w:bookmarkStart w:id="111" w:name="_Toc4933"/>
      <w:r>
        <w:rPr>
          <w:rFonts w:hint="eastAsia" w:hAnsi="宋体" w:cs="宋体"/>
          <w:b/>
          <w:bCs/>
          <w:snapToGrid w:val="0"/>
          <w:color w:val="auto"/>
          <w:kern w:val="0"/>
          <w:szCs w:val="24"/>
          <w:highlight w:val="none"/>
          <w:lang w:val="en-US" w:eastAsia="zh-CN"/>
        </w:rPr>
        <w:t>4.合同订立</w:t>
      </w:r>
      <w:bookmarkEnd w:id="103"/>
      <w:bookmarkEnd w:id="104"/>
      <w:bookmarkEnd w:id="105"/>
      <w:bookmarkEnd w:id="106"/>
      <w:bookmarkEnd w:id="107"/>
      <w:bookmarkEnd w:id="110"/>
      <w:bookmarkEnd w:id="111"/>
    </w:p>
    <w:p w14:paraId="32BFD301">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lang w:val="en-US" w:eastAsia="zh-CN"/>
        </w:rPr>
        <w:t>4</w:t>
      </w:r>
      <w:r>
        <w:rPr>
          <w:rFonts w:hint="eastAsia" w:hAnsi="宋体" w:cs="宋体"/>
          <w:b/>
          <w:bCs/>
          <w:snapToGrid w:val="0"/>
          <w:color w:val="auto"/>
          <w:kern w:val="0"/>
          <w:szCs w:val="24"/>
          <w:highlight w:val="none"/>
        </w:rPr>
        <w:t>.1</w:t>
      </w:r>
      <w:r>
        <w:rPr>
          <w:rFonts w:hint="eastAsia" w:hAnsi="宋体" w:cs="宋体"/>
          <w:snapToGrid w:val="0"/>
          <w:color w:val="auto"/>
          <w:kern w:val="0"/>
          <w:szCs w:val="24"/>
          <w:highlight w:val="none"/>
        </w:rPr>
        <w:t xml:space="preserve"> 招标人应当自中标通知书发出之日起</w:t>
      </w:r>
      <w:r>
        <w:rPr>
          <w:rFonts w:hint="eastAsia" w:hAnsi="宋体" w:cs="宋体"/>
          <w:snapToGrid w:val="0"/>
          <w:color w:val="auto"/>
          <w:kern w:val="0"/>
          <w:szCs w:val="24"/>
          <w:highlight w:val="none"/>
          <w:u w:val="single"/>
        </w:rPr>
        <w:t xml:space="preserve"> 30 </w:t>
      </w:r>
      <w:r>
        <w:rPr>
          <w:rFonts w:hint="eastAsia" w:hAnsi="宋体" w:cs="宋体"/>
          <w:snapToGrid w:val="0"/>
          <w:color w:val="auto"/>
          <w:kern w:val="0"/>
          <w:szCs w:val="24"/>
          <w:highlight w:val="none"/>
        </w:rPr>
        <w:t>日内，按照招标文件、中标人的投标文件与中标人订立书面合同。</w:t>
      </w:r>
    </w:p>
    <w:p w14:paraId="1CED438A">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lang w:val="en-US" w:eastAsia="zh-CN"/>
        </w:rPr>
        <w:t>4</w:t>
      </w:r>
      <w:r>
        <w:rPr>
          <w:rFonts w:hint="eastAsia" w:hAnsi="宋体" w:cs="宋体"/>
          <w:b/>
          <w:bCs/>
          <w:snapToGrid w:val="0"/>
          <w:color w:val="auto"/>
          <w:kern w:val="0"/>
          <w:szCs w:val="24"/>
          <w:highlight w:val="none"/>
        </w:rPr>
        <w:t>.2</w:t>
      </w:r>
      <w:r>
        <w:rPr>
          <w:rFonts w:hint="eastAsia" w:hAnsi="宋体" w:cs="宋体"/>
          <w:snapToGrid w:val="0"/>
          <w:color w:val="auto"/>
          <w:kern w:val="0"/>
          <w:szCs w:val="24"/>
          <w:highlight w:val="none"/>
        </w:rPr>
        <w:t xml:space="preserve"> 合同的标的、质量、履行期限条款和合同的价款、风险分担等主要条款，应当与招标文件、中标人的投标文件的内容一致。中标人在签订合同时不得向招标人提出附加条件。</w:t>
      </w:r>
    </w:p>
    <w:p w14:paraId="123B3666">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lang w:val="en-US" w:eastAsia="zh-CN"/>
        </w:rPr>
        <w:t>4</w:t>
      </w:r>
      <w:r>
        <w:rPr>
          <w:rFonts w:hint="eastAsia" w:hAnsi="宋体" w:cs="宋体"/>
          <w:b/>
          <w:bCs/>
          <w:snapToGrid w:val="0"/>
          <w:color w:val="auto"/>
          <w:kern w:val="0"/>
          <w:szCs w:val="24"/>
          <w:highlight w:val="none"/>
        </w:rPr>
        <w:t>.3</w:t>
      </w:r>
      <w:r>
        <w:rPr>
          <w:rFonts w:hint="eastAsia" w:hAnsi="宋体" w:cs="宋体"/>
          <w:snapToGrid w:val="0"/>
          <w:color w:val="auto"/>
          <w:kern w:val="0"/>
          <w:szCs w:val="24"/>
          <w:highlight w:val="none"/>
        </w:rPr>
        <w:t xml:space="preserve"> 若中标人在领取中标通知书之日起30天内仍未签订合同，招标人发出第一次提醒函；在领取中标通知书之日起40天内仍未签订，招标人发出第二次提醒函；在领取中标通知书之日起45天内仍未签订，视其放弃中标。</w:t>
      </w:r>
    </w:p>
    <w:p w14:paraId="5A965A09">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lang w:val="en-US" w:eastAsia="zh-CN"/>
        </w:rPr>
        <w:t>4</w:t>
      </w:r>
      <w:r>
        <w:rPr>
          <w:rFonts w:hint="eastAsia" w:hAnsi="宋体" w:cs="宋体"/>
          <w:b/>
          <w:bCs/>
          <w:snapToGrid w:val="0"/>
          <w:color w:val="auto"/>
          <w:kern w:val="0"/>
          <w:szCs w:val="24"/>
          <w:highlight w:val="none"/>
        </w:rPr>
        <w:t>.4</w:t>
      </w:r>
      <w:r>
        <w:rPr>
          <w:rFonts w:hint="eastAsia" w:hAnsi="宋体" w:cs="宋体"/>
          <w:snapToGrid w:val="0"/>
          <w:color w:val="auto"/>
          <w:kern w:val="0"/>
          <w:szCs w:val="24"/>
          <w:highlight w:val="none"/>
        </w:rPr>
        <w:t xml:space="preserve"> 在书面合同订立之日起2个工作日内，由中标人或招标代理机构将合同上传至建设工程交易系统，并发起退还投标保证的申请。韶关市公共资源交易中心在收到申请之日起3个工作日内，将投标保证金退还给中标人和其他中标候选人。</w:t>
      </w:r>
    </w:p>
    <w:p w14:paraId="39A38031">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Ansi="宋体" w:cs="宋体"/>
          <w:snapToGrid w:val="0"/>
          <w:color w:val="auto"/>
          <w:kern w:val="0"/>
          <w:szCs w:val="24"/>
          <w:highlight w:val="none"/>
        </w:rPr>
      </w:pPr>
      <w:bookmarkStart w:id="112" w:name="_Toc25887"/>
      <w:bookmarkStart w:id="113" w:name="_Toc7981"/>
      <w:bookmarkStart w:id="114" w:name="_Toc13450"/>
      <w:bookmarkStart w:id="115" w:name="_Toc3858"/>
      <w:bookmarkStart w:id="116" w:name="_Toc1819"/>
      <w:bookmarkStart w:id="117" w:name="_Toc11598"/>
      <w:bookmarkStart w:id="118" w:name="_Toc6741"/>
      <w:r>
        <w:rPr>
          <w:rFonts w:hint="eastAsia" w:hAnsi="宋体" w:cs="宋体"/>
          <w:b/>
          <w:bCs/>
          <w:snapToGrid w:val="0"/>
          <w:color w:val="auto"/>
          <w:kern w:val="0"/>
          <w:szCs w:val="24"/>
          <w:highlight w:val="none"/>
          <w:lang w:val="en-US" w:eastAsia="zh-CN"/>
        </w:rPr>
        <w:t>5</w:t>
      </w:r>
      <w:r>
        <w:rPr>
          <w:rFonts w:hint="eastAsia" w:hAnsi="宋体" w:cs="宋体"/>
          <w:b/>
          <w:bCs/>
          <w:snapToGrid w:val="0"/>
          <w:color w:val="auto"/>
          <w:kern w:val="0"/>
          <w:szCs w:val="24"/>
          <w:highlight w:val="none"/>
        </w:rPr>
        <w:t>．放弃中标的处理</w:t>
      </w:r>
      <w:bookmarkEnd w:id="112"/>
      <w:bookmarkEnd w:id="113"/>
      <w:bookmarkEnd w:id="114"/>
      <w:bookmarkEnd w:id="115"/>
      <w:bookmarkEnd w:id="116"/>
      <w:bookmarkEnd w:id="117"/>
      <w:bookmarkEnd w:id="118"/>
    </w:p>
    <w:p w14:paraId="3D3DAE43">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lang w:val="en-US" w:eastAsia="zh-CN"/>
        </w:rPr>
        <w:t>5</w:t>
      </w:r>
      <w:r>
        <w:rPr>
          <w:rFonts w:hint="eastAsia" w:hAnsi="宋体" w:cs="宋体"/>
          <w:b/>
          <w:bCs/>
          <w:snapToGrid w:val="0"/>
          <w:color w:val="auto"/>
          <w:kern w:val="0"/>
          <w:szCs w:val="24"/>
          <w:highlight w:val="none"/>
        </w:rPr>
        <w:t>.1</w:t>
      </w:r>
      <w:r>
        <w:rPr>
          <w:rFonts w:hint="eastAsia" w:hAnsi="宋体" w:cs="宋体"/>
          <w:snapToGrid w:val="0"/>
          <w:color w:val="auto"/>
          <w:kern w:val="0"/>
          <w:szCs w:val="24"/>
          <w:highlight w:val="none"/>
        </w:rPr>
        <w:t xml:space="preserve"> 中标人无正当理由放弃中标的，取消其中标资格，其投标保证不予退还，给招标人造成的损失超过投标保证金额的，弃标人还应当对超过部分予以赔偿。招标人可按照评标委员会提出的中标候选人名单排序依次确定其他中标候选人为中标人，如果招标人认为其他中标候选人的条件明显不利于招标人的，也可以重新招标。因此种情况造成招标人重新招标的，招标人可不接受该弃标人再次投标。同时，招标人应将该弃标人的失信行为向行政监督部门报告。</w:t>
      </w:r>
    </w:p>
    <w:p w14:paraId="5CCD4E8F">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lang w:val="en-US" w:eastAsia="zh-CN"/>
        </w:rPr>
        <w:t>5</w:t>
      </w:r>
      <w:r>
        <w:rPr>
          <w:rFonts w:hint="eastAsia" w:hAnsi="宋体" w:cs="宋体"/>
          <w:b/>
          <w:bCs/>
          <w:snapToGrid w:val="0"/>
          <w:color w:val="auto"/>
          <w:kern w:val="0"/>
          <w:szCs w:val="24"/>
          <w:highlight w:val="none"/>
        </w:rPr>
        <w:t>.2</w:t>
      </w:r>
      <w:r>
        <w:rPr>
          <w:rFonts w:hint="eastAsia" w:hAnsi="宋体" w:cs="宋体"/>
          <w:snapToGrid w:val="0"/>
          <w:color w:val="auto"/>
          <w:kern w:val="0"/>
          <w:szCs w:val="24"/>
          <w:highlight w:val="none"/>
        </w:rPr>
        <w:t xml:space="preserve"> 中标人因不可抗力提出不能履行合同的，须在领取中标通知书之日起10天内提供有关证明文件或资料，其投标保证予以退还，招标人可按照评标委员会提出的中标候选人名单排序依次确定其他中标候选人为中标人。如果招标人认为其他中标候选人的条件明显不利于招标人的，也可以重新招标。</w:t>
      </w:r>
    </w:p>
    <w:p w14:paraId="32AA1A12">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Ansi="宋体" w:cs="宋体"/>
          <w:snapToGrid w:val="0"/>
          <w:color w:val="auto"/>
          <w:kern w:val="0"/>
          <w:szCs w:val="24"/>
          <w:highlight w:val="none"/>
        </w:rPr>
      </w:pPr>
      <w:bookmarkStart w:id="119" w:name="_Toc8282"/>
      <w:bookmarkStart w:id="120" w:name="_Toc17549"/>
      <w:bookmarkStart w:id="121" w:name="_Toc500"/>
      <w:bookmarkStart w:id="122" w:name="_Toc1831"/>
      <w:bookmarkStart w:id="123" w:name="_Toc7088"/>
      <w:bookmarkStart w:id="124" w:name="_Toc15893"/>
      <w:bookmarkStart w:id="125" w:name="_Toc26352"/>
      <w:r>
        <w:rPr>
          <w:rFonts w:hint="eastAsia" w:hAnsi="宋体" w:cs="宋体"/>
          <w:b/>
          <w:bCs/>
          <w:snapToGrid w:val="0"/>
          <w:color w:val="auto"/>
          <w:kern w:val="0"/>
          <w:szCs w:val="24"/>
          <w:highlight w:val="none"/>
          <w:lang w:val="en-US" w:eastAsia="zh-CN"/>
        </w:rPr>
        <w:t>6</w:t>
      </w:r>
      <w:r>
        <w:rPr>
          <w:rFonts w:hint="eastAsia" w:hAnsi="宋体" w:cs="宋体"/>
          <w:b/>
          <w:bCs/>
          <w:snapToGrid w:val="0"/>
          <w:color w:val="auto"/>
          <w:kern w:val="0"/>
          <w:szCs w:val="24"/>
          <w:highlight w:val="none"/>
        </w:rPr>
        <w:t>．分包</w:t>
      </w:r>
      <w:bookmarkEnd w:id="119"/>
      <w:bookmarkEnd w:id="120"/>
      <w:bookmarkEnd w:id="121"/>
      <w:bookmarkEnd w:id="122"/>
      <w:bookmarkEnd w:id="123"/>
      <w:bookmarkEnd w:id="124"/>
      <w:bookmarkEnd w:id="125"/>
    </w:p>
    <w:p w14:paraId="1F836E27">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合同范围内的监理服务严禁分包，一经发现，委托人有权解除合同，由此引起的一切经济损失和法律责任由监理人自行承担。</w:t>
      </w:r>
    </w:p>
    <w:p w14:paraId="3AD9B3FF">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Ansi="宋体" w:cs="宋体"/>
          <w:b/>
          <w:bCs/>
          <w:snapToGrid w:val="0"/>
          <w:color w:val="auto"/>
          <w:kern w:val="0"/>
          <w:szCs w:val="24"/>
          <w:highlight w:val="none"/>
        </w:rPr>
      </w:pPr>
      <w:bookmarkStart w:id="126" w:name="_Toc6953"/>
      <w:bookmarkStart w:id="127" w:name="_Toc18249"/>
      <w:bookmarkStart w:id="128" w:name="_Toc25358"/>
      <w:bookmarkStart w:id="129" w:name="_Toc19761"/>
      <w:bookmarkStart w:id="130" w:name="_Toc2527"/>
      <w:bookmarkStart w:id="131" w:name="_Toc17560"/>
      <w:bookmarkStart w:id="132" w:name="_Toc25800"/>
      <w:r>
        <w:rPr>
          <w:rFonts w:hint="eastAsia" w:hAnsi="宋体" w:cs="宋体"/>
          <w:b/>
          <w:bCs/>
          <w:snapToGrid w:val="0"/>
          <w:color w:val="auto"/>
          <w:kern w:val="0"/>
          <w:szCs w:val="24"/>
          <w:highlight w:val="none"/>
          <w:lang w:val="en-US" w:eastAsia="zh-CN"/>
        </w:rPr>
        <w:t>7</w:t>
      </w:r>
      <w:r>
        <w:rPr>
          <w:rFonts w:hint="eastAsia" w:hAnsi="宋体" w:cs="宋体"/>
          <w:b/>
          <w:bCs/>
          <w:snapToGrid w:val="0"/>
          <w:color w:val="auto"/>
          <w:kern w:val="0"/>
          <w:szCs w:val="24"/>
          <w:highlight w:val="none"/>
        </w:rPr>
        <w:t>．监理服务期限</w:t>
      </w:r>
      <w:bookmarkEnd w:id="126"/>
      <w:bookmarkEnd w:id="127"/>
      <w:bookmarkEnd w:id="128"/>
      <w:bookmarkEnd w:id="129"/>
      <w:bookmarkEnd w:id="130"/>
      <w:bookmarkEnd w:id="131"/>
      <w:bookmarkEnd w:id="132"/>
    </w:p>
    <w:p w14:paraId="33F7FA03">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lang w:val="en-US" w:eastAsia="zh-CN"/>
        </w:rPr>
        <w:t>7</w:t>
      </w:r>
      <w:r>
        <w:rPr>
          <w:rFonts w:hint="eastAsia" w:hAnsi="宋体" w:cs="宋体"/>
          <w:b/>
          <w:bCs/>
          <w:snapToGrid w:val="0"/>
          <w:color w:val="auto"/>
          <w:kern w:val="0"/>
          <w:szCs w:val="24"/>
          <w:highlight w:val="none"/>
        </w:rPr>
        <w:t>.1</w:t>
      </w:r>
      <w:r>
        <w:rPr>
          <w:rFonts w:hint="eastAsia" w:hAnsi="宋体" w:cs="宋体"/>
          <w:snapToGrid w:val="0"/>
          <w:color w:val="auto"/>
          <w:kern w:val="0"/>
          <w:szCs w:val="24"/>
          <w:highlight w:val="none"/>
        </w:rPr>
        <w:t xml:space="preserve"> 当满足专用合同条款约定的开始监理条件时，委托人应提前7天向监理人发出开始监理通知。监理服务期限自开始监理通知中载明的开始监理日期起计算。</w:t>
      </w:r>
    </w:p>
    <w:p w14:paraId="419D82E4">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lang w:val="en-US" w:eastAsia="zh-CN"/>
        </w:rPr>
        <w:t>7</w:t>
      </w:r>
      <w:r>
        <w:rPr>
          <w:rFonts w:hint="eastAsia" w:hAnsi="宋体" w:cs="宋体"/>
          <w:b/>
          <w:bCs/>
          <w:snapToGrid w:val="0"/>
          <w:color w:val="auto"/>
          <w:kern w:val="0"/>
          <w:szCs w:val="24"/>
          <w:highlight w:val="none"/>
        </w:rPr>
        <w:t>.2</w:t>
      </w:r>
      <w:r>
        <w:rPr>
          <w:rFonts w:hint="eastAsia" w:hAnsi="宋体" w:cs="宋体"/>
          <w:snapToGrid w:val="0"/>
          <w:color w:val="auto"/>
          <w:kern w:val="0"/>
          <w:szCs w:val="24"/>
          <w:highlight w:val="none"/>
        </w:rPr>
        <w:t xml:space="preserve"> 在合同履行过程中，由于下列原因造成监理服务期限延误的，委托人应当延长监理服务期限并增加监理酬金，具体方法在专用合同条款中约定。</w:t>
      </w:r>
    </w:p>
    <w:p w14:paraId="0D797862">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（1）合同变更；</w:t>
      </w:r>
    </w:p>
    <w:p w14:paraId="2EAE3377">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（2）因委托人原因导致的监理工作暂停；</w:t>
      </w:r>
    </w:p>
    <w:p w14:paraId="5B9605FC">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（3）未按合同约定及时支付监理服务酬金；</w:t>
      </w:r>
    </w:p>
    <w:p w14:paraId="55DDA448">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（4）未及时履行合同约定的相关义务；</w:t>
      </w:r>
    </w:p>
    <w:p w14:paraId="377E21A4">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（5）由于承包人（指在本招标项目监理范围内，与委托人签订勘察、设计、施工承包合同的当事人，下同）延误、行政管理造成的监理服务期限延误；</w:t>
      </w:r>
    </w:p>
    <w:p w14:paraId="20EBAA7E">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（6）造成监理服务期限延误的其他原因。</w:t>
      </w:r>
    </w:p>
    <w:p w14:paraId="72AA3074">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Ansi="宋体" w:cs="宋体"/>
          <w:snapToGrid w:val="0"/>
          <w:color w:val="auto"/>
          <w:kern w:val="0"/>
          <w:szCs w:val="24"/>
          <w:highlight w:val="none"/>
        </w:rPr>
      </w:pPr>
      <w:bookmarkStart w:id="133" w:name="_Toc17664"/>
      <w:bookmarkStart w:id="134" w:name="_Toc13195"/>
      <w:bookmarkStart w:id="135" w:name="_Toc13950"/>
      <w:bookmarkStart w:id="136" w:name="_Toc31907"/>
      <w:bookmarkStart w:id="137" w:name="_Toc6532"/>
      <w:bookmarkStart w:id="138" w:name="_Toc25479"/>
      <w:bookmarkStart w:id="139" w:name="_Toc23108"/>
      <w:r>
        <w:rPr>
          <w:rFonts w:hint="eastAsia" w:hAnsi="宋体" w:cs="宋体"/>
          <w:b/>
          <w:bCs/>
          <w:snapToGrid w:val="0"/>
          <w:color w:val="auto"/>
          <w:kern w:val="0"/>
          <w:szCs w:val="24"/>
          <w:highlight w:val="none"/>
          <w:lang w:val="en-US" w:eastAsia="zh-CN"/>
        </w:rPr>
        <w:t>8</w:t>
      </w:r>
      <w:r>
        <w:rPr>
          <w:rFonts w:hint="eastAsia" w:hAnsi="宋体" w:cs="宋体"/>
          <w:b/>
          <w:bCs/>
          <w:snapToGrid w:val="0"/>
          <w:color w:val="auto"/>
          <w:kern w:val="0"/>
          <w:szCs w:val="24"/>
          <w:highlight w:val="none"/>
        </w:rPr>
        <w:t>．项目监理机构</w:t>
      </w:r>
      <w:bookmarkEnd w:id="133"/>
      <w:bookmarkEnd w:id="134"/>
      <w:bookmarkEnd w:id="135"/>
      <w:bookmarkEnd w:id="136"/>
      <w:bookmarkEnd w:id="137"/>
      <w:bookmarkEnd w:id="138"/>
      <w:bookmarkEnd w:id="139"/>
    </w:p>
    <w:p w14:paraId="67997DEC">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lang w:val="en-US" w:eastAsia="zh-CN"/>
        </w:rPr>
        <w:t>8</w:t>
      </w:r>
      <w:r>
        <w:rPr>
          <w:rFonts w:hint="eastAsia" w:hAnsi="宋体" w:cs="宋体"/>
          <w:b/>
          <w:bCs/>
          <w:snapToGrid w:val="0"/>
          <w:color w:val="auto"/>
          <w:kern w:val="0"/>
          <w:szCs w:val="24"/>
          <w:highlight w:val="none"/>
        </w:rPr>
        <w:t>.1</w:t>
      </w:r>
      <w:r>
        <w:rPr>
          <w:rFonts w:hint="eastAsia" w:hAnsi="宋体" w:cs="宋体"/>
          <w:snapToGrid w:val="0"/>
          <w:color w:val="auto"/>
          <w:kern w:val="0"/>
          <w:szCs w:val="24"/>
          <w:highlight w:val="none"/>
        </w:rPr>
        <w:t xml:space="preserve"> 监理人派驻项目监理机构的人员必须为其投标文件确定的人员，否则委托人有权解除合同。</w:t>
      </w:r>
    </w:p>
    <w:p w14:paraId="75E21DC5">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lang w:val="en-US" w:eastAsia="zh-CN"/>
        </w:rPr>
        <w:t>8</w:t>
      </w:r>
      <w:r>
        <w:rPr>
          <w:rFonts w:hint="eastAsia" w:hAnsi="宋体" w:cs="宋体"/>
          <w:b/>
          <w:bCs/>
          <w:snapToGrid w:val="0"/>
          <w:color w:val="auto"/>
          <w:kern w:val="0"/>
          <w:szCs w:val="24"/>
          <w:highlight w:val="none"/>
        </w:rPr>
        <w:t>.2</w:t>
      </w:r>
      <w:r>
        <w:rPr>
          <w:rFonts w:hint="eastAsia" w:hAnsi="宋体" w:cs="宋体"/>
          <w:snapToGrid w:val="0"/>
          <w:color w:val="auto"/>
          <w:kern w:val="0"/>
          <w:szCs w:val="24"/>
          <w:highlight w:val="none"/>
        </w:rPr>
        <w:t xml:space="preserve"> 项目监理机构班子成员不得擅自变更。其中，总监理工程师若有《广东省住房和城乡建设厅关于建设工程项目招标中标后监督检查的办法》（粤建市〔2009〕8号，以下简称“《办法》”）第九条所述除外情形之一确需变更的，监理人应填写《建设工程项目管理班子变更情况报告表》（《办法》附件4）并附上相关证明资料，经委托人和建设行政主管部门审核同意方可变更，且更换后的总监理工程师应与监理人的投标文件所确定的原总监理工程师的主要条件一致；项目监理机构班子其他成员若有《办法》第九条所述除外情形之一确需变更的，监理人应填写《建设工程项目管理班子变更情况报告表》并附上相关证明资料，经委托人审核同意方可变更。</w:t>
      </w:r>
    </w:p>
    <w:p w14:paraId="1A7A45AF">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Ansi="宋体" w:cs="宋体"/>
          <w:strike/>
          <w:snapToGrid w:val="0"/>
          <w:color w:val="auto"/>
          <w:kern w:val="0"/>
          <w:szCs w:val="24"/>
          <w:highlight w:val="none"/>
        </w:rPr>
      </w:pPr>
      <w:bookmarkStart w:id="140" w:name="_Toc15281"/>
      <w:bookmarkStart w:id="141" w:name="_Toc6056"/>
      <w:bookmarkStart w:id="142" w:name="_Toc20861"/>
      <w:bookmarkStart w:id="143" w:name="_Toc19789"/>
      <w:bookmarkStart w:id="144" w:name="_Toc27412"/>
      <w:bookmarkStart w:id="145" w:name="_Toc20449"/>
      <w:bookmarkStart w:id="146" w:name="_Toc23097"/>
      <w:r>
        <w:rPr>
          <w:rFonts w:hint="eastAsia" w:hAnsi="宋体" w:cs="宋体"/>
          <w:b/>
          <w:snapToGrid w:val="0"/>
          <w:color w:val="auto"/>
          <w:kern w:val="0"/>
          <w:szCs w:val="24"/>
          <w:highlight w:val="none"/>
          <w:lang w:val="en-US" w:eastAsia="zh-CN"/>
        </w:rPr>
        <w:t>9</w:t>
      </w:r>
      <w:r>
        <w:rPr>
          <w:rFonts w:hint="eastAsia" w:hAnsi="宋体" w:cs="宋体"/>
          <w:b/>
          <w:snapToGrid w:val="0"/>
          <w:color w:val="auto"/>
          <w:kern w:val="0"/>
          <w:szCs w:val="24"/>
          <w:highlight w:val="none"/>
        </w:rPr>
        <w:t>．安全防护</w:t>
      </w:r>
      <w:bookmarkEnd w:id="140"/>
      <w:bookmarkEnd w:id="141"/>
      <w:bookmarkEnd w:id="142"/>
      <w:bookmarkEnd w:id="143"/>
      <w:bookmarkEnd w:id="144"/>
      <w:bookmarkEnd w:id="145"/>
      <w:bookmarkEnd w:id="146"/>
    </w:p>
    <w:p w14:paraId="23FF1D83">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监理人应按照安全监理有关规定，采取严格、科学的安全防护措施，确保监理人员人身安全，承担由于自身安全防护措施不力所造成的安全事故责任和发生的费用。</w:t>
      </w:r>
    </w:p>
    <w:p w14:paraId="45E28A2B">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Ansi="宋体" w:cs="宋体"/>
          <w:strike/>
          <w:snapToGrid w:val="0"/>
          <w:color w:val="auto"/>
          <w:kern w:val="0"/>
          <w:szCs w:val="24"/>
          <w:highlight w:val="none"/>
        </w:rPr>
      </w:pPr>
      <w:bookmarkStart w:id="147" w:name="_Toc13413"/>
      <w:bookmarkStart w:id="148" w:name="_Toc16174"/>
      <w:bookmarkStart w:id="149" w:name="_Toc1181"/>
      <w:bookmarkStart w:id="150" w:name="_Toc27428"/>
      <w:bookmarkStart w:id="151" w:name="_Toc2694"/>
      <w:bookmarkStart w:id="152" w:name="_Toc17881"/>
      <w:bookmarkStart w:id="153" w:name="_Toc9618"/>
      <w:r>
        <w:rPr>
          <w:rFonts w:hint="eastAsia" w:hAnsi="宋体" w:cs="宋体"/>
          <w:b/>
          <w:snapToGrid w:val="0"/>
          <w:color w:val="auto"/>
          <w:kern w:val="0"/>
          <w:szCs w:val="24"/>
          <w:highlight w:val="none"/>
          <w:lang w:val="en-US" w:eastAsia="zh-CN"/>
        </w:rPr>
        <w:t>10</w:t>
      </w:r>
      <w:r>
        <w:rPr>
          <w:rFonts w:hint="eastAsia" w:hAnsi="宋体" w:cs="宋体"/>
          <w:b/>
          <w:snapToGrid w:val="0"/>
          <w:color w:val="auto"/>
          <w:kern w:val="0"/>
          <w:szCs w:val="24"/>
          <w:highlight w:val="none"/>
        </w:rPr>
        <w:t>．接受监督</w:t>
      </w:r>
      <w:bookmarkEnd w:id="147"/>
      <w:bookmarkEnd w:id="148"/>
      <w:bookmarkEnd w:id="149"/>
      <w:bookmarkEnd w:id="150"/>
      <w:bookmarkEnd w:id="151"/>
      <w:bookmarkEnd w:id="152"/>
      <w:bookmarkEnd w:id="153"/>
    </w:p>
    <w:p w14:paraId="08061062">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bCs/>
          <w:snapToGrid w:val="0"/>
          <w:color w:val="auto"/>
          <w:kern w:val="0"/>
          <w:szCs w:val="24"/>
          <w:highlight w:val="none"/>
        </w:rPr>
      </w:pPr>
      <w:r>
        <w:rPr>
          <w:rFonts w:hint="eastAsia" w:hAnsi="宋体" w:cs="宋体"/>
          <w:snapToGrid w:val="0"/>
          <w:color w:val="auto"/>
          <w:kern w:val="0"/>
          <w:szCs w:val="24"/>
          <w:highlight w:val="none"/>
        </w:rPr>
        <w:t>监理人应严格按照法律、法规以及</w:t>
      </w:r>
      <w:r>
        <w:rPr>
          <w:rFonts w:hint="eastAsia" w:hAnsi="宋体" w:cs="宋体"/>
          <w:bCs/>
          <w:snapToGrid w:val="0"/>
          <w:color w:val="auto"/>
          <w:kern w:val="0"/>
          <w:szCs w:val="24"/>
          <w:highlight w:val="none"/>
        </w:rPr>
        <w:t>《建设工程监理规范》（GB/T 50319—2013）有关规定实施监理，同时须</w:t>
      </w:r>
      <w:r>
        <w:rPr>
          <w:rFonts w:hint="eastAsia" w:hAnsi="宋体" w:cs="宋体"/>
          <w:snapToGrid w:val="0"/>
          <w:color w:val="auto"/>
          <w:kern w:val="0"/>
          <w:szCs w:val="24"/>
          <w:highlight w:val="none"/>
        </w:rPr>
        <w:t>服从委托人以及建设行政主管部门对监理工作全方位的监督，及时将监理大纲、监理规划、监理实施细则等监理文件报委托人审查备案。</w:t>
      </w:r>
    </w:p>
    <w:p w14:paraId="4F9D73C6">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outlineLvl w:val="1"/>
        <w:rPr>
          <w:rFonts w:hAnsi="宋体" w:cs="宋体"/>
          <w:bCs/>
          <w:snapToGrid w:val="0"/>
          <w:color w:val="auto"/>
          <w:kern w:val="0"/>
          <w:szCs w:val="24"/>
          <w:highlight w:val="none"/>
        </w:rPr>
      </w:pPr>
      <w:bookmarkStart w:id="154" w:name="_Toc4730"/>
      <w:bookmarkStart w:id="155" w:name="_Toc14327"/>
      <w:bookmarkStart w:id="156" w:name="_Toc5818"/>
      <w:bookmarkStart w:id="157" w:name="_Toc26662"/>
      <w:bookmarkStart w:id="158" w:name="_Toc24102"/>
      <w:bookmarkStart w:id="159" w:name="_Toc18397"/>
      <w:bookmarkStart w:id="160" w:name="_Toc25424"/>
      <w:r>
        <w:rPr>
          <w:rFonts w:hint="eastAsia" w:hAnsi="宋体" w:cs="宋体"/>
          <w:b/>
          <w:snapToGrid w:val="0"/>
          <w:color w:val="auto"/>
          <w:kern w:val="0"/>
          <w:szCs w:val="24"/>
          <w:highlight w:val="none"/>
        </w:rPr>
        <w:t>1</w:t>
      </w:r>
      <w:r>
        <w:rPr>
          <w:rFonts w:hint="eastAsia" w:hAnsi="宋体" w:cs="宋体"/>
          <w:b/>
          <w:snapToGrid w:val="0"/>
          <w:color w:val="auto"/>
          <w:kern w:val="0"/>
          <w:szCs w:val="24"/>
          <w:highlight w:val="none"/>
          <w:lang w:val="en-US" w:eastAsia="zh-CN"/>
        </w:rPr>
        <w:t>1</w:t>
      </w:r>
      <w:r>
        <w:rPr>
          <w:rFonts w:hint="eastAsia" w:hAnsi="宋体" w:cs="宋体"/>
          <w:b/>
          <w:snapToGrid w:val="0"/>
          <w:color w:val="auto"/>
          <w:kern w:val="0"/>
          <w:szCs w:val="24"/>
          <w:highlight w:val="none"/>
        </w:rPr>
        <w:t>．监理档案移交</w:t>
      </w:r>
      <w:bookmarkEnd w:id="154"/>
      <w:bookmarkEnd w:id="155"/>
      <w:bookmarkEnd w:id="156"/>
      <w:bookmarkEnd w:id="157"/>
      <w:bookmarkEnd w:id="158"/>
      <w:bookmarkEnd w:id="159"/>
      <w:bookmarkEnd w:id="160"/>
    </w:p>
    <w:p w14:paraId="39E3E4D5">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rPr>
          <w:rFonts w:hAnsi="宋体" w:cs="宋体"/>
          <w:bCs/>
          <w:snapToGrid w:val="0"/>
          <w:color w:val="auto"/>
          <w:kern w:val="0"/>
          <w:szCs w:val="24"/>
          <w:highlight w:val="none"/>
        </w:rPr>
      </w:pPr>
      <w:r>
        <w:rPr>
          <w:rFonts w:hint="eastAsia" w:hAnsi="宋体" w:cs="宋体"/>
          <w:bCs/>
          <w:snapToGrid w:val="0"/>
          <w:color w:val="auto"/>
          <w:kern w:val="0"/>
          <w:szCs w:val="24"/>
          <w:highlight w:val="none"/>
        </w:rPr>
        <w:t>项目竣工验收后，监理人应向委托人提交一式</w:t>
      </w:r>
      <w:r>
        <w:rPr>
          <w:rFonts w:hint="eastAsia" w:hAnsi="宋体" w:cs="宋体"/>
          <w:bCs/>
          <w:snapToGrid w:val="0"/>
          <w:color w:val="auto"/>
          <w:kern w:val="0"/>
          <w:szCs w:val="24"/>
          <w:highlight w:val="none"/>
          <w:u w:val="single"/>
        </w:rPr>
        <w:t xml:space="preserve"> 五 </w:t>
      </w:r>
      <w:r>
        <w:rPr>
          <w:rFonts w:hint="eastAsia" w:hAnsi="宋体" w:cs="宋体"/>
          <w:bCs/>
          <w:snapToGrid w:val="0"/>
          <w:color w:val="auto"/>
          <w:kern w:val="0"/>
          <w:szCs w:val="24"/>
          <w:highlight w:val="none"/>
        </w:rPr>
        <w:t>份符合《建设工程监理规范》（GB/T 50319—2013）以及《韶关市城市建设档案管理办法》要求的监理档案。</w:t>
      </w:r>
    </w:p>
    <w:p w14:paraId="73BB0CCA">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outlineLvl w:val="1"/>
        <w:rPr>
          <w:rFonts w:hAnsi="宋体" w:cs="宋体"/>
          <w:strike/>
          <w:snapToGrid w:val="0"/>
          <w:color w:val="auto"/>
          <w:kern w:val="0"/>
          <w:szCs w:val="24"/>
          <w:highlight w:val="none"/>
        </w:rPr>
      </w:pPr>
      <w:bookmarkStart w:id="161" w:name="_Toc24329"/>
      <w:bookmarkStart w:id="162" w:name="_Toc29177"/>
      <w:bookmarkStart w:id="163" w:name="_Toc2540"/>
      <w:bookmarkStart w:id="164" w:name="_Toc19314"/>
      <w:bookmarkStart w:id="165" w:name="_Toc16612"/>
      <w:bookmarkStart w:id="166" w:name="_Toc13197"/>
      <w:bookmarkStart w:id="167" w:name="_Toc6629"/>
      <w:r>
        <w:rPr>
          <w:rFonts w:hint="eastAsia" w:hAnsi="宋体" w:cs="宋体"/>
          <w:b/>
          <w:bCs/>
          <w:snapToGrid w:val="0"/>
          <w:color w:val="auto"/>
          <w:kern w:val="0"/>
          <w:szCs w:val="24"/>
          <w:highlight w:val="none"/>
        </w:rPr>
        <w:t>1</w:t>
      </w:r>
      <w:r>
        <w:rPr>
          <w:rFonts w:hint="eastAsia" w:hAnsi="宋体" w:cs="宋体"/>
          <w:b/>
          <w:bCs/>
          <w:snapToGrid w:val="0"/>
          <w:color w:val="auto"/>
          <w:kern w:val="0"/>
          <w:szCs w:val="24"/>
          <w:highlight w:val="none"/>
          <w:lang w:val="en-US" w:eastAsia="zh-CN"/>
        </w:rPr>
        <w:t>2</w:t>
      </w:r>
      <w:r>
        <w:rPr>
          <w:rFonts w:hint="eastAsia" w:hAnsi="宋体" w:cs="宋体"/>
          <w:b/>
          <w:snapToGrid w:val="0"/>
          <w:color w:val="auto"/>
          <w:kern w:val="0"/>
          <w:szCs w:val="24"/>
          <w:highlight w:val="none"/>
        </w:rPr>
        <w:t>．不良行为处理</w:t>
      </w:r>
      <w:bookmarkEnd w:id="161"/>
      <w:bookmarkEnd w:id="162"/>
      <w:bookmarkEnd w:id="163"/>
      <w:bookmarkEnd w:id="164"/>
      <w:bookmarkEnd w:id="165"/>
      <w:bookmarkEnd w:id="166"/>
      <w:bookmarkEnd w:id="167"/>
    </w:p>
    <w:p w14:paraId="04C55AB1">
      <w:pPr>
        <w:pStyle w:val="76"/>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ascii="宋体" w:hAnsi="宋体" w:cs="宋体"/>
          <w:snapToGrid w:val="0"/>
          <w:color w:val="auto"/>
          <w:kern w:val="0"/>
          <w:szCs w:val="24"/>
          <w:highlight w:val="none"/>
        </w:rPr>
      </w:pPr>
      <w:r>
        <w:rPr>
          <w:rFonts w:hint="eastAsia" w:ascii="宋体" w:hAnsi="宋体" w:cs="宋体"/>
          <w:snapToGrid w:val="0"/>
          <w:color w:val="auto"/>
          <w:kern w:val="0"/>
          <w:szCs w:val="24"/>
          <w:highlight w:val="none"/>
        </w:rPr>
        <w:t>监理人及其有关人员有下列行为之一的，委托人应及时报请建设行政主管部门查处。</w:t>
      </w:r>
    </w:p>
    <w:p w14:paraId="004FF115">
      <w:pPr>
        <w:pStyle w:val="76"/>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ascii="宋体" w:hAnsi="宋体" w:cs="宋体"/>
          <w:snapToGrid w:val="0"/>
          <w:color w:val="auto"/>
          <w:kern w:val="0"/>
          <w:szCs w:val="24"/>
          <w:highlight w:val="none"/>
        </w:rPr>
      </w:pPr>
      <w:r>
        <w:rPr>
          <w:rFonts w:hint="eastAsia" w:ascii="宋体" w:hAnsi="宋体" w:cs="宋体"/>
          <w:snapToGrid w:val="0"/>
          <w:color w:val="auto"/>
          <w:kern w:val="0"/>
          <w:szCs w:val="24"/>
          <w:highlight w:val="none"/>
        </w:rPr>
        <w:t>（1）转让监理业务的；</w:t>
      </w:r>
    </w:p>
    <w:p w14:paraId="3812AF65">
      <w:pPr>
        <w:pStyle w:val="76"/>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ascii="宋体" w:hAnsi="宋体" w:cs="宋体"/>
          <w:snapToGrid w:val="0"/>
          <w:color w:val="auto"/>
          <w:kern w:val="0"/>
          <w:szCs w:val="24"/>
          <w:highlight w:val="none"/>
        </w:rPr>
      </w:pPr>
      <w:r>
        <w:rPr>
          <w:rFonts w:hint="eastAsia" w:ascii="宋体" w:hAnsi="宋体" w:cs="宋体"/>
          <w:snapToGrid w:val="0"/>
          <w:color w:val="auto"/>
          <w:kern w:val="0"/>
          <w:szCs w:val="24"/>
          <w:highlight w:val="none"/>
        </w:rPr>
        <w:t>（2）非原参加投标中标的总监理工程师负责组织监理或在实施过程中擅自更换总监理工程师的、项目监理机构的其他监理人员与中标文件确定的人员不相符的；</w:t>
      </w:r>
    </w:p>
    <w:p w14:paraId="4A3AB02B">
      <w:pPr>
        <w:pStyle w:val="76"/>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ascii="宋体" w:hAnsi="宋体" w:cs="宋体"/>
          <w:snapToGrid w:val="0"/>
          <w:color w:val="auto"/>
          <w:kern w:val="0"/>
          <w:szCs w:val="24"/>
          <w:highlight w:val="none"/>
        </w:rPr>
      </w:pPr>
      <w:r>
        <w:rPr>
          <w:rFonts w:hint="eastAsia" w:ascii="宋体" w:hAnsi="宋体" w:cs="宋体"/>
          <w:snapToGrid w:val="0"/>
          <w:color w:val="auto"/>
          <w:kern w:val="0"/>
          <w:szCs w:val="24"/>
          <w:highlight w:val="none"/>
        </w:rPr>
        <w:t>（3）与建设单位、施工单位串通，签认虚假工程量或工程造价的；</w:t>
      </w:r>
    </w:p>
    <w:p w14:paraId="232AE11F">
      <w:pPr>
        <w:pStyle w:val="76"/>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ascii="宋体" w:hAnsi="宋体" w:cs="宋体"/>
          <w:snapToGrid w:val="0"/>
          <w:color w:val="auto"/>
          <w:kern w:val="0"/>
          <w:szCs w:val="24"/>
          <w:highlight w:val="none"/>
        </w:rPr>
      </w:pPr>
      <w:r>
        <w:rPr>
          <w:rFonts w:hint="eastAsia" w:ascii="宋体" w:hAnsi="宋体" w:cs="宋体"/>
          <w:snapToGrid w:val="0"/>
          <w:color w:val="auto"/>
          <w:kern w:val="0"/>
          <w:szCs w:val="24"/>
          <w:highlight w:val="none"/>
        </w:rPr>
        <w:t>（4）现场监理不到位的；</w:t>
      </w:r>
    </w:p>
    <w:p w14:paraId="4D39599F">
      <w:pPr>
        <w:pStyle w:val="76"/>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ascii="宋体" w:hAnsi="宋体" w:cs="宋体"/>
          <w:snapToGrid w:val="0"/>
          <w:color w:val="auto"/>
          <w:kern w:val="0"/>
          <w:szCs w:val="24"/>
          <w:highlight w:val="none"/>
        </w:rPr>
      </w:pPr>
      <w:r>
        <w:rPr>
          <w:rFonts w:hint="eastAsia" w:ascii="宋体" w:hAnsi="宋体" w:cs="宋体"/>
          <w:snapToGrid w:val="0"/>
          <w:color w:val="auto"/>
          <w:kern w:val="0"/>
          <w:szCs w:val="24"/>
          <w:highlight w:val="none"/>
        </w:rPr>
        <w:t>（5）非本人资格证书注册单位从事监理工作的；</w:t>
      </w:r>
    </w:p>
    <w:p w14:paraId="6B6840EA">
      <w:pPr>
        <w:pStyle w:val="76"/>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ascii="宋体" w:hAnsi="宋体" w:cs="宋体"/>
          <w:snapToGrid w:val="0"/>
          <w:color w:val="auto"/>
          <w:kern w:val="0"/>
          <w:szCs w:val="24"/>
          <w:highlight w:val="none"/>
        </w:rPr>
      </w:pPr>
      <w:r>
        <w:rPr>
          <w:rFonts w:hint="eastAsia" w:ascii="宋体" w:hAnsi="宋体" w:cs="宋体"/>
          <w:snapToGrid w:val="0"/>
          <w:color w:val="auto"/>
          <w:kern w:val="0"/>
          <w:szCs w:val="24"/>
          <w:highlight w:val="none"/>
        </w:rPr>
        <w:t>（6）总监理工程师承担超过三项工程监理任务的；</w:t>
      </w:r>
    </w:p>
    <w:p w14:paraId="0F7A5E75">
      <w:pPr>
        <w:pStyle w:val="76"/>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ascii="宋体" w:hAnsi="宋体" w:cs="宋体"/>
          <w:snapToGrid w:val="0"/>
          <w:color w:val="auto"/>
          <w:kern w:val="0"/>
          <w:szCs w:val="24"/>
          <w:highlight w:val="none"/>
        </w:rPr>
      </w:pPr>
      <w:r>
        <w:rPr>
          <w:rFonts w:hint="eastAsia" w:ascii="宋体" w:hAnsi="宋体" w:cs="宋体"/>
          <w:snapToGrid w:val="0"/>
          <w:color w:val="auto"/>
          <w:kern w:val="0"/>
          <w:szCs w:val="24"/>
          <w:highlight w:val="none"/>
        </w:rPr>
        <w:t>（7）违反有关法律、法规、规章规定的其它行为。</w:t>
      </w:r>
    </w:p>
    <w:p w14:paraId="3D1008B4">
      <w:pPr>
        <w:pStyle w:val="76"/>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jc w:val="left"/>
        <w:textAlignment w:val="auto"/>
        <w:outlineLvl w:val="1"/>
        <w:rPr>
          <w:rFonts w:ascii="宋体" w:hAnsi="宋体" w:cs="宋体"/>
          <w:b/>
          <w:bCs/>
          <w:snapToGrid w:val="0"/>
          <w:color w:val="auto"/>
          <w:kern w:val="0"/>
          <w:szCs w:val="24"/>
          <w:highlight w:val="none"/>
        </w:rPr>
      </w:pPr>
      <w:bookmarkStart w:id="168" w:name="_Toc15923"/>
      <w:bookmarkStart w:id="169" w:name="_Toc29467"/>
      <w:bookmarkStart w:id="170" w:name="_Toc15431"/>
      <w:bookmarkStart w:id="171" w:name="_Toc25306"/>
      <w:bookmarkStart w:id="172" w:name="_Toc28837"/>
      <w:bookmarkStart w:id="173" w:name="_Toc2784"/>
      <w:bookmarkStart w:id="174" w:name="_Toc17537"/>
      <w:r>
        <w:rPr>
          <w:rFonts w:hint="eastAsia" w:ascii="宋体" w:hAnsi="宋体" w:cs="宋体"/>
          <w:b/>
          <w:bCs/>
          <w:snapToGrid w:val="0"/>
          <w:color w:val="auto"/>
          <w:kern w:val="0"/>
          <w:szCs w:val="24"/>
          <w:highlight w:val="none"/>
        </w:rPr>
        <w:t>1</w:t>
      </w:r>
      <w:r>
        <w:rPr>
          <w:rFonts w:hint="eastAsia" w:ascii="宋体" w:hAnsi="宋体" w:cs="宋体"/>
          <w:b/>
          <w:bCs/>
          <w:snapToGrid w:val="0"/>
          <w:color w:val="auto"/>
          <w:kern w:val="0"/>
          <w:szCs w:val="24"/>
          <w:highlight w:val="none"/>
          <w:lang w:val="en-US" w:eastAsia="zh-CN"/>
        </w:rPr>
        <w:t>3</w:t>
      </w:r>
      <w:r>
        <w:rPr>
          <w:rFonts w:hint="eastAsia" w:ascii="宋体" w:hAnsi="宋体" w:cs="宋体"/>
          <w:b/>
          <w:snapToGrid w:val="0"/>
          <w:color w:val="auto"/>
          <w:kern w:val="0"/>
          <w:szCs w:val="24"/>
          <w:highlight w:val="none"/>
        </w:rPr>
        <w:t>．</w:t>
      </w:r>
      <w:r>
        <w:rPr>
          <w:rFonts w:hint="eastAsia" w:ascii="宋体" w:hAnsi="宋体" w:cs="宋体"/>
          <w:b/>
          <w:bCs/>
          <w:snapToGrid w:val="0"/>
          <w:color w:val="auto"/>
          <w:kern w:val="0"/>
          <w:szCs w:val="24"/>
          <w:highlight w:val="none"/>
        </w:rPr>
        <w:t>信用评价条款内容</w:t>
      </w:r>
      <w:bookmarkEnd w:id="168"/>
      <w:bookmarkEnd w:id="169"/>
      <w:bookmarkEnd w:id="170"/>
      <w:bookmarkEnd w:id="171"/>
      <w:bookmarkEnd w:id="172"/>
      <w:bookmarkEnd w:id="173"/>
      <w:bookmarkEnd w:id="174"/>
    </w:p>
    <w:p w14:paraId="418B847A">
      <w:pPr>
        <w:pStyle w:val="84"/>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rPr>
          <w:rFonts w:hAnsi="宋体" w:cs="宋体"/>
          <w:snapToGrid w:val="0"/>
          <w:color w:val="auto"/>
          <w:kern w:val="0"/>
          <w:highlight w:val="none"/>
        </w:rPr>
      </w:pPr>
      <w:r>
        <w:rPr>
          <w:rFonts w:hint="eastAsia" w:hAnsi="宋体" w:cs="宋体"/>
          <w:snapToGrid w:val="0"/>
          <w:color w:val="auto"/>
          <w:kern w:val="0"/>
          <w:highlight w:val="none"/>
        </w:rPr>
        <w:t>由委托人决定是否对监理人的履约情况进行信用评价。若进行信用评价，评价条款由委托人自拟，条款内容可参考人员到位情况、服务配合程度、服务成果质量、项目后期服务以及信用评价结果的运用等。</w:t>
      </w:r>
    </w:p>
    <w:p w14:paraId="50B54F01">
      <w:pPr>
        <w:pStyle w:val="84"/>
        <w:wordWrap w:val="0"/>
        <w:adjustRightInd w:val="0"/>
        <w:snapToGrid w:val="0"/>
        <w:spacing w:line="440" w:lineRule="exact"/>
        <w:ind w:firstLine="560"/>
        <w:rPr>
          <w:rFonts w:hAnsi="宋体" w:cs="宋体"/>
          <w:b/>
          <w:bCs/>
          <w:snapToGrid w:val="0"/>
          <w:color w:val="auto"/>
          <w:kern w:val="0"/>
          <w:highlight w:val="none"/>
        </w:rPr>
      </w:pPr>
    </w:p>
    <w:p w14:paraId="6E146C71">
      <w:pPr>
        <w:pStyle w:val="84"/>
        <w:wordWrap w:val="0"/>
        <w:adjustRightInd w:val="0"/>
        <w:snapToGrid w:val="0"/>
        <w:spacing w:line="440" w:lineRule="exact"/>
        <w:ind w:firstLine="560"/>
        <w:rPr>
          <w:rFonts w:hAnsi="宋体" w:cs="宋体"/>
          <w:b/>
          <w:bCs/>
          <w:snapToGrid w:val="0"/>
          <w:color w:val="auto"/>
          <w:kern w:val="0"/>
          <w:highlight w:val="none"/>
        </w:rPr>
      </w:pPr>
    </w:p>
    <w:p w14:paraId="40581986">
      <w:pPr>
        <w:pStyle w:val="84"/>
        <w:wordWrap w:val="0"/>
        <w:adjustRightInd w:val="0"/>
        <w:snapToGrid w:val="0"/>
        <w:spacing w:line="440" w:lineRule="exact"/>
        <w:ind w:firstLine="560"/>
        <w:rPr>
          <w:rFonts w:hAnsi="宋体" w:cs="宋体"/>
          <w:b/>
          <w:bCs/>
          <w:snapToGrid w:val="0"/>
          <w:color w:val="auto"/>
          <w:kern w:val="0"/>
          <w:highlight w:val="none"/>
        </w:rPr>
        <w:sectPr>
          <w:endnotePr>
            <w:numFmt w:val="decimal"/>
          </w:endnotePr>
          <w:pgSz w:w="11906" w:h="16838"/>
          <w:pgMar w:top="1417" w:right="1417" w:bottom="1417" w:left="1417" w:header="850" w:footer="992" w:gutter="0"/>
          <w:pgNumType w:fmt="decimal"/>
          <w:cols w:space="0" w:num="1"/>
          <w:docGrid w:linePitch="327" w:charSpace="0"/>
        </w:sectPr>
      </w:pPr>
    </w:p>
    <w:p w14:paraId="4B26AC6B">
      <w:pPr>
        <w:pStyle w:val="3"/>
        <w:wordWrap w:val="0"/>
        <w:autoSpaceDE/>
        <w:autoSpaceDN/>
        <w:snapToGrid w:val="0"/>
        <w:spacing w:line="500" w:lineRule="exact"/>
        <w:jc w:val="center"/>
        <w:outlineLvl w:val="0"/>
        <w:rPr>
          <w:rFonts w:hAnsi="宋体" w:cs="宋体"/>
          <w:b/>
          <w:snapToGrid w:val="0"/>
          <w:color w:val="auto"/>
          <w:sz w:val="32"/>
          <w:szCs w:val="32"/>
          <w:highlight w:val="none"/>
        </w:rPr>
      </w:pPr>
      <w:bookmarkStart w:id="175" w:name="_Toc16840"/>
      <w:bookmarkStart w:id="176" w:name="_Toc29099"/>
      <w:bookmarkStart w:id="177" w:name="_Hlt69698765"/>
      <w:bookmarkStart w:id="178" w:name="_Hlt69698713"/>
      <w:bookmarkStart w:id="179" w:name="_Hlt69698776"/>
      <w:r>
        <w:rPr>
          <w:rFonts w:hint="eastAsia" w:hAnsi="宋体" w:cs="宋体"/>
          <w:b/>
          <w:snapToGrid w:val="0"/>
          <w:color w:val="auto"/>
          <w:sz w:val="32"/>
          <w:szCs w:val="32"/>
          <w:highlight w:val="none"/>
        </w:rPr>
        <w:t>第三章</w:t>
      </w:r>
      <w:bookmarkStart w:id="180" w:name="_Hlt87793831"/>
      <w:bookmarkEnd w:id="180"/>
      <w:r>
        <w:rPr>
          <w:rFonts w:hint="eastAsia" w:hAnsi="宋体" w:cs="宋体"/>
          <w:b/>
          <w:snapToGrid w:val="0"/>
          <w:color w:val="auto"/>
          <w:sz w:val="32"/>
          <w:szCs w:val="32"/>
          <w:highlight w:val="none"/>
        </w:rPr>
        <w:t xml:space="preserve"> 拟签订合同的主要条款</w:t>
      </w:r>
      <w:bookmarkEnd w:id="175"/>
      <w:bookmarkEnd w:id="176"/>
    </w:p>
    <w:bookmarkEnd w:id="177"/>
    <w:bookmarkEnd w:id="178"/>
    <w:p w14:paraId="6A4F7FF4">
      <w:pPr>
        <w:bidi w:val="0"/>
        <w:rPr>
          <w:color w:val="auto"/>
          <w:highlight w:val="none"/>
        </w:rPr>
      </w:pPr>
      <w:bookmarkStart w:id="181" w:name="_Toc322793288"/>
      <w:bookmarkStart w:id="182" w:name="_Toc326916629"/>
    </w:p>
    <w:bookmarkEnd w:id="181"/>
    <w:bookmarkEnd w:id="182"/>
    <w:p w14:paraId="33043E2D">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Ansi="宋体" w:cs="宋体"/>
          <w:snapToGrid w:val="0"/>
          <w:color w:val="auto"/>
          <w:kern w:val="0"/>
          <w:szCs w:val="24"/>
          <w:highlight w:val="none"/>
        </w:rPr>
      </w:pPr>
      <w:bookmarkStart w:id="183" w:name="_Toc11616"/>
      <w:bookmarkStart w:id="184" w:name="_Toc1947"/>
      <w:bookmarkStart w:id="185" w:name="_Toc6392"/>
      <w:bookmarkStart w:id="186" w:name="_Toc12203"/>
      <w:bookmarkStart w:id="187" w:name="_Toc3741"/>
      <w:bookmarkStart w:id="188" w:name="_Toc4588"/>
      <w:bookmarkStart w:id="189" w:name="_Toc9210"/>
      <w:r>
        <w:rPr>
          <w:rFonts w:hint="eastAsia" w:hAnsi="宋体" w:cs="宋体"/>
          <w:b/>
          <w:bCs/>
          <w:snapToGrid w:val="0"/>
          <w:color w:val="auto"/>
          <w:kern w:val="0"/>
          <w:szCs w:val="24"/>
          <w:highlight w:val="none"/>
        </w:rPr>
        <w:t>1．现场办公条件</w:t>
      </w:r>
      <w:bookmarkEnd w:id="183"/>
      <w:bookmarkEnd w:id="184"/>
      <w:bookmarkEnd w:id="185"/>
      <w:bookmarkEnd w:id="186"/>
      <w:bookmarkEnd w:id="187"/>
      <w:bookmarkEnd w:id="188"/>
      <w:bookmarkEnd w:id="189"/>
    </w:p>
    <w:p w14:paraId="11DCDCED">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1.1</w:t>
      </w:r>
      <w:r>
        <w:rPr>
          <w:rFonts w:hint="eastAsia" w:hAnsi="宋体" w:cs="宋体"/>
          <w:snapToGrid w:val="0"/>
          <w:color w:val="auto"/>
          <w:kern w:val="0"/>
          <w:szCs w:val="24"/>
          <w:highlight w:val="none"/>
        </w:rPr>
        <w:t xml:space="preserve"> 监理人的办公、休息场所不得与承包人混用。所需场所、水电网络接入由委托人征求监理人意见后，与承包人协调明确，但费用（若有）由监理人支付。监理人所需场所的数量及其面积应与项目规模、特点相匹配，并应满足监理工作正常运作的需要。</w:t>
      </w:r>
    </w:p>
    <w:p w14:paraId="045048A1">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1.2</w:t>
      </w:r>
      <w:r>
        <w:rPr>
          <w:rFonts w:hint="eastAsia" w:hAnsi="宋体" w:cs="宋体"/>
          <w:snapToGrid w:val="0"/>
          <w:color w:val="auto"/>
          <w:kern w:val="0"/>
          <w:szCs w:val="24"/>
          <w:highlight w:val="none"/>
        </w:rPr>
        <w:t xml:space="preserve"> 监理人应按照工程需要，自行配备以下的设施、设备：</w:t>
      </w:r>
    </w:p>
    <w:p w14:paraId="16F4F0BA">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（1）办公桌椅、文件柜、床铺被褥、供冷采暖设施等办公和生活设施；</w:t>
      </w:r>
    </w:p>
    <w:p w14:paraId="04E9EF12">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（2）电脑、投影、打印机、复印机、传真机等办公设备及其耗材；</w:t>
      </w:r>
    </w:p>
    <w:p w14:paraId="0824DF76">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（3）拍摄、录音、录像等取证器材；</w:t>
      </w:r>
    </w:p>
    <w:p w14:paraId="66B8580A">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（4）信息化管理软件或系统；</w:t>
      </w:r>
    </w:p>
    <w:p w14:paraId="27B1D88E">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（5）通信和交通工具；</w:t>
      </w:r>
    </w:p>
    <w:p w14:paraId="4B955810">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（6）本招标项目必备的规范标准、图集等书籍手册；</w:t>
      </w:r>
    </w:p>
    <w:p w14:paraId="4329D7E2">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（7）安全帽、安全鞋、安全手套、安全服装、手电筒等安全防护用具；</w:t>
      </w:r>
    </w:p>
    <w:p w14:paraId="694A6388">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（8）</w:t>
      </w:r>
      <w:r>
        <w:rPr>
          <w:rFonts w:hint="eastAsia" w:hAnsi="宋体" w:cs="宋体"/>
          <w:snapToGrid w:val="0"/>
          <w:color w:val="auto"/>
          <w:kern w:val="0"/>
          <w:szCs w:val="24"/>
          <w:highlight w:val="none"/>
          <w:u w:val="single"/>
        </w:rPr>
        <w:t xml:space="preserve"> 打卡 / 指纹识别 / 人脸识别 / 虹膜识别 </w:t>
      </w:r>
      <w:r>
        <w:rPr>
          <w:rFonts w:hint="eastAsia" w:hAnsi="宋体" w:cs="宋体"/>
          <w:snapToGrid w:val="0"/>
          <w:color w:val="auto"/>
          <w:kern w:val="0"/>
          <w:szCs w:val="24"/>
          <w:highlight w:val="none"/>
        </w:rPr>
        <w:t>考勤设备；</w:t>
      </w:r>
    </w:p>
    <w:p w14:paraId="746DCCAB">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（9）其他与监理工作有关的设备与用品。</w:t>
      </w:r>
    </w:p>
    <w:p w14:paraId="6BD76464">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Ansi="宋体" w:cs="宋体"/>
          <w:b/>
          <w:bCs/>
          <w:snapToGrid w:val="0"/>
          <w:color w:val="auto"/>
          <w:kern w:val="0"/>
          <w:szCs w:val="24"/>
          <w:highlight w:val="none"/>
        </w:rPr>
      </w:pPr>
      <w:bookmarkStart w:id="190" w:name="_Toc29914"/>
      <w:bookmarkStart w:id="191" w:name="_Toc6311"/>
      <w:bookmarkStart w:id="192" w:name="_Toc14419"/>
      <w:bookmarkStart w:id="193" w:name="_Toc8261"/>
      <w:bookmarkStart w:id="194" w:name="_Toc15844"/>
      <w:bookmarkStart w:id="195" w:name="_Toc6193"/>
      <w:bookmarkStart w:id="196" w:name="_Toc1375"/>
      <w:r>
        <w:rPr>
          <w:rFonts w:hint="eastAsia" w:hAnsi="宋体" w:cs="宋体"/>
          <w:b/>
          <w:bCs/>
          <w:snapToGrid w:val="0"/>
          <w:color w:val="auto"/>
          <w:kern w:val="0"/>
          <w:szCs w:val="24"/>
          <w:highlight w:val="none"/>
        </w:rPr>
        <w:t>2．</w:t>
      </w:r>
      <w:bookmarkEnd w:id="190"/>
      <w:bookmarkEnd w:id="191"/>
      <w:bookmarkEnd w:id="192"/>
      <w:bookmarkEnd w:id="193"/>
      <w:bookmarkEnd w:id="194"/>
      <w:r>
        <w:rPr>
          <w:rFonts w:hint="eastAsia" w:hAnsi="宋体" w:cs="宋体"/>
          <w:b/>
          <w:bCs/>
          <w:snapToGrid w:val="0"/>
          <w:color w:val="auto"/>
          <w:kern w:val="0"/>
          <w:szCs w:val="24"/>
          <w:highlight w:val="none"/>
        </w:rPr>
        <w:t>监理服务费</w:t>
      </w:r>
      <w:bookmarkEnd w:id="195"/>
      <w:bookmarkEnd w:id="196"/>
    </w:p>
    <w:p w14:paraId="1C133234">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2.1</w:t>
      </w:r>
      <w:r>
        <w:rPr>
          <w:rFonts w:hint="eastAsia" w:hAnsi="宋体" w:cs="宋体"/>
          <w:snapToGrid w:val="0"/>
          <w:color w:val="auto"/>
          <w:kern w:val="0"/>
          <w:szCs w:val="24"/>
          <w:highlight w:val="none"/>
        </w:rPr>
        <w:t xml:space="preserve"> “监理服务费”指监理人履行本合同义务，委托人按照本合同约定（包括按照合同约定进行的变更和调整）给付监理人的金额，“监理服务费”指监理人完成正常工作，委托人应给付监理人并在协议书中载明的签约酬金额。</w:t>
      </w:r>
    </w:p>
    <w:p w14:paraId="48F0A665">
      <w:pPr>
        <w:keepNext w:val="0"/>
        <w:keepLines w:val="0"/>
        <w:pageBreakBefore w:val="0"/>
        <w:widowControl w:val="0"/>
        <w:kinsoku/>
        <w:wordWrap w:val="0"/>
        <w:overflowPunct/>
        <w:topLinePunct w:val="0"/>
        <w:autoSpaceDE/>
        <w:autoSpaceDN/>
        <w:bidi w:val="0"/>
        <w:adjustRightInd w:val="0"/>
        <w:spacing w:line="360" w:lineRule="auto"/>
        <w:ind w:firstLine="482" w:firstLineChars="200"/>
        <w:textAlignment w:val="auto"/>
        <w:rPr>
          <w:rFonts w:hAnsi="宋体" w:cs="宋体"/>
          <w:b/>
          <w:bCs/>
          <w:snapToGrid w:val="0"/>
          <w:color w:val="auto"/>
          <w:kern w:val="0"/>
          <w:szCs w:val="24"/>
          <w:highlight w:val="none"/>
        </w:rPr>
      </w:pPr>
      <w:r>
        <w:rPr>
          <w:rFonts w:hint="eastAsia" w:hAnsi="宋体" w:cs="宋体"/>
          <w:b/>
          <w:bCs/>
          <w:snapToGrid w:val="0"/>
          <w:color w:val="auto"/>
          <w:kern w:val="0"/>
          <w:szCs w:val="24"/>
          <w:highlight w:val="none"/>
        </w:rPr>
        <w:t>2.2 监理服务费结算原则：</w:t>
      </w:r>
    </w:p>
    <w:p w14:paraId="7622FDA0">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Cs w:val="24"/>
          <w:highlight w:val="none"/>
        </w:rPr>
      </w:pPr>
      <w:bookmarkStart w:id="197" w:name="_Toc31653"/>
      <w:bookmarkStart w:id="198" w:name="_Toc18979"/>
      <w:bookmarkStart w:id="199" w:name="_Toc6502"/>
      <w:bookmarkStart w:id="200" w:name="_Toc17740"/>
      <w:bookmarkStart w:id="201" w:name="_Toc31657"/>
      <w:r>
        <w:rPr>
          <w:rFonts w:hint="eastAsia" w:hAnsi="宋体" w:cs="宋体"/>
          <w:snapToGrid w:val="0"/>
          <w:color w:val="auto"/>
          <w:kern w:val="0"/>
          <w:szCs w:val="24"/>
          <w:highlight w:val="none"/>
          <w:lang w:eastAsia="zh-CN"/>
        </w:rPr>
        <w:t>（</w:t>
      </w:r>
      <w:r>
        <w:rPr>
          <w:rFonts w:hint="eastAsia" w:hAnsi="宋体" w:cs="宋体"/>
          <w:snapToGrid w:val="0"/>
          <w:color w:val="auto"/>
          <w:kern w:val="0"/>
          <w:szCs w:val="24"/>
          <w:highlight w:val="none"/>
          <w:lang w:val="en-US" w:eastAsia="zh-CN"/>
        </w:rPr>
        <w:t>1</w:t>
      </w:r>
      <w:r>
        <w:rPr>
          <w:rFonts w:hint="eastAsia" w:hAnsi="宋体" w:cs="宋体"/>
          <w:snapToGrid w:val="0"/>
          <w:color w:val="auto"/>
          <w:kern w:val="0"/>
          <w:szCs w:val="24"/>
          <w:highlight w:val="none"/>
          <w:lang w:eastAsia="zh-CN"/>
        </w:rPr>
        <w:t>）</w:t>
      </w:r>
      <w:r>
        <w:rPr>
          <w:rFonts w:hint="eastAsia" w:ascii="宋体" w:hAnsi="宋体" w:eastAsia="宋体" w:cs="宋体"/>
          <w:snapToGrid w:val="0"/>
          <w:color w:val="auto"/>
          <w:kern w:val="0"/>
          <w:szCs w:val="24"/>
          <w:highlight w:val="none"/>
        </w:rPr>
        <w:t>监理服务费结算价在项目的合同价范围内按实结算，即：以施工财审</w:t>
      </w:r>
      <w:r>
        <w:rPr>
          <w:rFonts w:hint="eastAsia" w:hAnsi="宋体" w:cs="宋体"/>
          <w:snapToGrid w:val="0"/>
          <w:color w:val="auto"/>
          <w:kern w:val="0"/>
          <w:szCs w:val="24"/>
          <w:highlight w:val="none"/>
          <w:lang w:val="en-US" w:eastAsia="zh-CN"/>
        </w:rPr>
        <w:t>预</w:t>
      </w:r>
      <w:r>
        <w:rPr>
          <w:rFonts w:hint="eastAsia" w:ascii="宋体" w:hAnsi="宋体" w:eastAsia="宋体" w:cs="宋体"/>
          <w:snapToGrid w:val="0"/>
          <w:color w:val="auto"/>
          <w:kern w:val="0"/>
          <w:szCs w:val="24"/>
          <w:highlight w:val="none"/>
        </w:rPr>
        <w:t>算价为基数乘以监理人中标取费费率计算，若监理服务费结算总价超过签约合同价，则按签约合同价包干结算；若监理服务费结算总价未超过签约合同价，则按以施工</w:t>
      </w:r>
      <w:r>
        <w:rPr>
          <w:rFonts w:hint="eastAsia" w:hAnsi="宋体" w:cs="宋体"/>
          <w:snapToGrid w:val="0"/>
          <w:color w:val="auto"/>
          <w:kern w:val="0"/>
          <w:szCs w:val="24"/>
          <w:highlight w:val="none"/>
          <w:lang w:val="en-US" w:eastAsia="zh-CN"/>
        </w:rPr>
        <w:t>预</w:t>
      </w:r>
      <w:r>
        <w:rPr>
          <w:rFonts w:hint="eastAsia" w:ascii="宋体" w:hAnsi="宋体" w:eastAsia="宋体" w:cs="宋体"/>
          <w:snapToGrid w:val="0"/>
          <w:color w:val="auto"/>
          <w:kern w:val="0"/>
          <w:szCs w:val="24"/>
          <w:highlight w:val="none"/>
        </w:rPr>
        <w:t>算价为基数乘以监理人中标取费费率计算的结算价进行结算。</w:t>
      </w:r>
    </w:p>
    <w:p w14:paraId="4B7C731B">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（2）项目建设期间，即使出现缓建或停建事件导致监理工期延长，不另增加监理服务费。</w:t>
      </w:r>
    </w:p>
    <w:p w14:paraId="17FC59CE">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（3）因工程规模、监理范围的变化导致监理人的正常工作量减少时，按减少工作量的比例从协议书约定的正常工作酬金中扣减相同比例的酬金。</w:t>
      </w:r>
    </w:p>
    <w:p w14:paraId="3CA26190">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b/>
          <w:bCs/>
          <w:snapToGrid w:val="0"/>
          <w:color w:val="auto"/>
          <w:kern w:val="0"/>
          <w:szCs w:val="24"/>
          <w:highlight w:val="none"/>
        </w:rPr>
      </w:pPr>
      <w:r>
        <w:rPr>
          <w:rFonts w:hint="eastAsia" w:ascii="宋体" w:hAnsi="宋体" w:eastAsia="宋体" w:cs="宋体"/>
          <w:b/>
          <w:bCs/>
          <w:snapToGrid w:val="0"/>
          <w:color w:val="auto"/>
          <w:kern w:val="0"/>
          <w:szCs w:val="24"/>
          <w:highlight w:val="none"/>
        </w:rPr>
        <w:t>2.3 监理服务费的支付：</w:t>
      </w:r>
    </w:p>
    <w:p w14:paraId="3AC46ABA">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（1）本项目支付监理服务费预付款，预付款支付比例为：合同价的30%；</w:t>
      </w:r>
    </w:p>
    <w:p w14:paraId="4FF87AA6">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（2）本项目根据施工阶段按施工进度分期支付监理服务费，具体分期支付方式如下：</w:t>
      </w:r>
    </w:p>
    <w:tbl>
      <w:tblPr>
        <w:tblStyle w:val="31"/>
        <w:tblW w:w="9101" w:type="dxa"/>
        <w:tblInd w:w="26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6"/>
        <w:gridCol w:w="4455"/>
        <w:gridCol w:w="3780"/>
      </w:tblGrid>
      <w:tr w14:paraId="29E46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66" w:type="dxa"/>
            <w:noWrap w:val="0"/>
            <w:vAlign w:val="center"/>
          </w:tcPr>
          <w:p w14:paraId="02EF632E">
            <w:pPr>
              <w:wordWrap w:val="0"/>
              <w:adjustRightInd w:val="0"/>
              <w:snapToGrid w:val="0"/>
              <w:spacing w:line="400" w:lineRule="exact"/>
              <w:jc w:val="center"/>
              <w:rPr>
                <w:rFonts w:hint="eastAsia" w:ascii="黑体" w:hAnsi="黑体" w:eastAsia="黑体"/>
                <w:snapToGrid w:val="0"/>
                <w:color w:val="auto"/>
                <w:kern w:val="0"/>
                <w:highlight w:val="none"/>
                <w:lang w:eastAsia="zh-CN"/>
              </w:rPr>
            </w:pPr>
            <w:r>
              <w:rPr>
                <w:rFonts w:hint="eastAsia" w:ascii="黑体" w:hAnsi="黑体" w:eastAsia="黑体"/>
                <w:snapToGrid w:val="0"/>
                <w:color w:val="auto"/>
                <w:kern w:val="0"/>
                <w:highlight w:val="none"/>
                <w:lang w:val="en-US" w:eastAsia="zh-CN"/>
              </w:rPr>
              <w:t>序号</w:t>
            </w:r>
          </w:p>
        </w:tc>
        <w:tc>
          <w:tcPr>
            <w:tcW w:w="4455" w:type="dxa"/>
            <w:noWrap w:val="0"/>
            <w:vAlign w:val="center"/>
          </w:tcPr>
          <w:p w14:paraId="1A8903F7">
            <w:pPr>
              <w:wordWrap w:val="0"/>
              <w:adjustRightInd w:val="0"/>
              <w:snapToGrid w:val="0"/>
              <w:spacing w:line="400" w:lineRule="exact"/>
              <w:jc w:val="center"/>
              <w:rPr>
                <w:rFonts w:hint="eastAsia" w:ascii="黑体" w:hAnsi="黑体" w:eastAsia="黑体"/>
                <w:snapToGrid w:val="0"/>
                <w:color w:val="auto"/>
                <w:kern w:val="0"/>
                <w:highlight w:val="none"/>
                <w:lang w:val="en-US" w:eastAsia="zh-CN"/>
              </w:rPr>
            </w:pPr>
            <w:r>
              <w:rPr>
                <w:rFonts w:hint="eastAsia" w:ascii="黑体" w:hAnsi="黑体" w:eastAsia="黑体"/>
                <w:snapToGrid w:val="0"/>
                <w:color w:val="auto"/>
                <w:kern w:val="0"/>
                <w:highlight w:val="none"/>
              </w:rPr>
              <w:t>支付时间</w:t>
            </w:r>
            <w:r>
              <w:rPr>
                <w:rFonts w:hint="eastAsia" w:ascii="黑体" w:hAnsi="黑体" w:eastAsia="黑体"/>
                <w:snapToGrid w:val="0"/>
                <w:color w:val="auto"/>
                <w:kern w:val="0"/>
                <w:highlight w:val="none"/>
                <w:lang w:val="en-US" w:eastAsia="zh-CN"/>
              </w:rPr>
              <w:t>及</w:t>
            </w:r>
            <w:r>
              <w:rPr>
                <w:rFonts w:hint="eastAsia" w:ascii="黑体" w:hAnsi="黑体" w:eastAsia="黑体"/>
                <w:snapToGrid w:val="0"/>
                <w:color w:val="auto"/>
                <w:kern w:val="0"/>
                <w:highlight w:val="none"/>
              </w:rPr>
              <w:t>支付比例</w:t>
            </w:r>
          </w:p>
        </w:tc>
        <w:tc>
          <w:tcPr>
            <w:tcW w:w="3780" w:type="dxa"/>
            <w:noWrap w:val="0"/>
            <w:vAlign w:val="center"/>
          </w:tcPr>
          <w:p w14:paraId="5FB2DFAD">
            <w:pPr>
              <w:wordWrap w:val="0"/>
              <w:adjustRightInd w:val="0"/>
              <w:snapToGrid w:val="0"/>
              <w:spacing w:line="400" w:lineRule="exact"/>
              <w:jc w:val="center"/>
              <w:rPr>
                <w:rFonts w:hint="eastAsia" w:ascii="黑体" w:hAnsi="黑体" w:eastAsia="黑体"/>
                <w:snapToGrid w:val="0"/>
                <w:color w:val="auto"/>
                <w:kern w:val="0"/>
                <w:highlight w:val="none"/>
              </w:rPr>
            </w:pPr>
          </w:p>
        </w:tc>
      </w:tr>
      <w:tr w14:paraId="01594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exact"/>
        </w:trPr>
        <w:tc>
          <w:tcPr>
            <w:tcW w:w="866" w:type="dxa"/>
            <w:noWrap w:val="0"/>
            <w:vAlign w:val="center"/>
          </w:tcPr>
          <w:p w14:paraId="71BAC85A">
            <w:pPr>
              <w:wordWrap w:val="0"/>
              <w:adjustRightInd w:val="0"/>
              <w:snapToGrid w:val="0"/>
              <w:spacing w:line="400" w:lineRule="exact"/>
              <w:jc w:val="center"/>
              <w:rPr>
                <w:rFonts w:hint="eastAsia" w:ascii="Times New Roman" w:eastAsia="宋体"/>
                <w:snapToGrid w:val="0"/>
                <w:color w:val="auto"/>
                <w:kern w:val="0"/>
                <w:highlight w:val="none"/>
                <w:lang w:eastAsia="zh-CN"/>
              </w:rPr>
            </w:pPr>
            <w:r>
              <w:rPr>
                <w:rFonts w:hint="eastAsia" w:ascii="Times New Roman"/>
                <w:snapToGrid w:val="0"/>
                <w:color w:val="auto"/>
                <w:kern w:val="0"/>
                <w:highlight w:val="none"/>
                <w:lang w:val="en-US" w:eastAsia="zh-CN"/>
              </w:rPr>
              <w:t>1</w:t>
            </w:r>
          </w:p>
        </w:tc>
        <w:tc>
          <w:tcPr>
            <w:tcW w:w="4455" w:type="dxa"/>
            <w:noWrap w:val="0"/>
            <w:vAlign w:val="center"/>
          </w:tcPr>
          <w:p w14:paraId="45CDE68B">
            <w:pPr>
              <w:wordWrap w:val="0"/>
              <w:adjustRightInd w:val="0"/>
              <w:snapToGrid w:val="0"/>
              <w:spacing w:line="400" w:lineRule="exact"/>
              <w:jc w:val="left"/>
              <w:rPr>
                <w:rFonts w:hint="default" w:ascii="Times New Roman" w:eastAsia="宋体"/>
                <w:snapToGrid w:val="0"/>
                <w:color w:val="auto"/>
                <w:kern w:val="0"/>
                <w:highlight w:val="none"/>
                <w:lang w:val="en-US" w:eastAsia="zh-CN"/>
              </w:rPr>
            </w:pPr>
            <w:r>
              <w:rPr>
                <w:rFonts w:hint="eastAsia" w:ascii="Times New Roman"/>
                <w:snapToGrid w:val="0"/>
                <w:color w:val="auto"/>
                <w:kern w:val="0"/>
                <w:highlight w:val="none"/>
                <w:lang w:val="en-US" w:eastAsia="zh-CN"/>
              </w:rPr>
              <w:t>依据</w:t>
            </w:r>
            <w:r>
              <w:rPr>
                <w:rFonts w:hint="eastAsia" w:ascii="Times New Roman"/>
                <w:snapToGrid w:val="0"/>
                <w:color w:val="auto"/>
                <w:kern w:val="0"/>
                <w:highlight w:val="none"/>
              </w:rPr>
              <w:t>工程施工进度</w:t>
            </w:r>
            <w:r>
              <w:rPr>
                <w:rFonts w:hint="eastAsia" w:ascii="Times New Roman"/>
                <w:snapToGrid w:val="0"/>
                <w:color w:val="auto"/>
                <w:kern w:val="0"/>
                <w:highlight w:val="none"/>
                <w:lang w:val="en-US" w:eastAsia="zh-CN"/>
              </w:rPr>
              <w:t>比例按月或季度支付。</w:t>
            </w:r>
          </w:p>
        </w:tc>
        <w:tc>
          <w:tcPr>
            <w:tcW w:w="3780" w:type="dxa"/>
            <w:noWrap w:val="0"/>
            <w:vAlign w:val="center"/>
          </w:tcPr>
          <w:p w14:paraId="1F5CBCD3">
            <w:pPr>
              <w:wordWrap w:val="0"/>
              <w:adjustRightInd w:val="0"/>
              <w:snapToGrid w:val="0"/>
              <w:spacing w:line="400" w:lineRule="exact"/>
              <w:jc w:val="left"/>
              <w:rPr>
                <w:rFonts w:hint="default" w:ascii="Times New Roman" w:eastAsia="宋体"/>
                <w:snapToGrid w:val="0"/>
                <w:color w:val="auto"/>
                <w:kern w:val="0"/>
                <w:highlight w:val="none"/>
                <w:lang w:val="en-US" w:eastAsia="zh-CN"/>
              </w:rPr>
            </w:pPr>
            <w:r>
              <w:rPr>
                <w:rFonts w:hint="eastAsia" w:ascii="Times New Roman"/>
                <w:snapToGrid w:val="0"/>
                <w:color w:val="auto"/>
                <w:kern w:val="0"/>
                <w:highlight w:val="none"/>
                <w:lang w:val="en-US" w:eastAsia="zh-CN"/>
              </w:rPr>
              <w:t>合同价总价80%（含预付款）</w:t>
            </w:r>
          </w:p>
        </w:tc>
      </w:tr>
      <w:tr w14:paraId="66FB1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2" w:hRule="exact"/>
        </w:trPr>
        <w:tc>
          <w:tcPr>
            <w:tcW w:w="866" w:type="dxa"/>
            <w:noWrap w:val="0"/>
            <w:vAlign w:val="center"/>
          </w:tcPr>
          <w:p w14:paraId="40BAE9EE">
            <w:pPr>
              <w:wordWrap w:val="0"/>
              <w:adjustRightInd w:val="0"/>
              <w:snapToGrid w:val="0"/>
              <w:spacing w:line="400" w:lineRule="exact"/>
              <w:jc w:val="center"/>
              <w:rPr>
                <w:rFonts w:hint="eastAsia" w:ascii="Times New Roman" w:eastAsia="宋体"/>
                <w:snapToGrid w:val="0"/>
                <w:color w:val="auto"/>
                <w:kern w:val="0"/>
                <w:highlight w:val="none"/>
                <w:lang w:eastAsia="zh-CN"/>
              </w:rPr>
            </w:pPr>
            <w:r>
              <w:rPr>
                <w:rFonts w:hint="eastAsia" w:ascii="Times New Roman"/>
                <w:snapToGrid w:val="0"/>
                <w:color w:val="auto"/>
                <w:kern w:val="0"/>
                <w:highlight w:val="none"/>
                <w:lang w:val="en-US" w:eastAsia="zh-CN"/>
              </w:rPr>
              <w:t>2</w:t>
            </w:r>
          </w:p>
        </w:tc>
        <w:tc>
          <w:tcPr>
            <w:tcW w:w="4455" w:type="dxa"/>
            <w:noWrap w:val="0"/>
            <w:vAlign w:val="center"/>
          </w:tcPr>
          <w:p w14:paraId="6E8C3F2F">
            <w:pPr>
              <w:wordWrap w:val="0"/>
              <w:adjustRightInd w:val="0"/>
              <w:snapToGrid w:val="0"/>
              <w:spacing w:line="400" w:lineRule="exact"/>
              <w:jc w:val="left"/>
              <w:rPr>
                <w:rFonts w:hint="eastAsia" w:ascii="Times New Roman"/>
                <w:snapToGrid w:val="0"/>
                <w:color w:val="auto"/>
                <w:kern w:val="0"/>
                <w:sz w:val="24"/>
                <w:highlight w:val="none"/>
                <w:lang w:val="en-US" w:eastAsia="zh-CN" w:bidi="ar-SA"/>
              </w:rPr>
            </w:pPr>
            <w:r>
              <w:rPr>
                <w:rFonts w:hint="eastAsia" w:ascii="Times New Roman"/>
                <w:snapToGrid w:val="0"/>
                <w:color w:val="auto"/>
                <w:kern w:val="0"/>
                <w:highlight w:val="none"/>
              </w:rPr>
              <w:t>工程施工进度</w:t>
            </w:r>
            <w:r>
              <w:rPr>
                <w:rFonts w:hint="eastAsia" w:ascii="Times New Roman"/>
                <w:snapToGrid w:val="0"/>
                <w:color w:val="auto"/>
                <w:kern w:val="0"/>
                <w:highlight w:val="none"/>
                <w:lang w:val="en-US" w:eastAsia="zh-CN"/>
              </w:rPr>
              <w:t>达到100</w:t>
            </w:r>
            <w:r>
              <w:rPr>
                <w:rFonts w:hint="eastAsia" w:ascii="Times New Roman"/>
                <w:snapToGrid w:val="0"/>
                <w:color w:val="auto"/>
                <w:kern w:val="0"/>
                <w:highlight w:val="none"/>
              </w:rPr>
              <w:t>%</w:t>
            </w:r>
            <w:r>
              <w:rPr>
                <w:rFonts w:hint="eastAsia" w:ascii="Times New Roman"/>
                <w:snapToGrid w:val="0"/>
                <w:color w:val="auto"/>
                <w:kern w:val="0"/>
                <w:highlight w:val="none"/>
                <w:lang w:eastAsia="zh-CN"/>
              </w:rPr>
              <w:t>，</w:t>
            </w:r>
            <w:r>
              <w:rPr>
                <w:rFonts w:hint="eastAsia" w:ascii="Times New Roman"/>
                <w:snapToGrid w:val="0"/>
                <w:color w:val="auto"/>
                <w:kern w:val="0"/>
                <w:highlight w:val="none"/>
                <w:lang w:val="en-US" w:eastAsia="zh-CN"/>
              </w:rPr>
              <w:t>工程完工或竣工</w:t>
            </w:r>
            <w:r>
              <w:rPr>
                <w:rFonts w:hint="eastAsia" w:ascii="Times New Roman"/>
                <w:snapToGrid w:val="0"/>
                <w:color w:val="auto"/>
                <w:kern w:val="0"/>
                <w:highlight w:val="none"/>
              </w:rPr>
              <w:t>验收</w:t>
            </w:r>
            <w:r>
              <w:rPr>
                <w:rFonts w:hint="eastAsia" w:ascii="Times New Roman"/>
                <w:snapToGrid w:val="0"/>
                <w:color w:val="auto"/>
                <w:kern w:val="0"/>
                <w:highlight w:val="none"/>
                <w:lang w:val="en-US" w:eastAsia="zh-CN"/>
              </w:rPr>
              <w:t>合规。</w:t>
            </w:r>
          </w:p>
        </w:tc>
        <w:tc>
          <w:tcPr>
            <w:tcW w:w="3780" w:type="dxa"/>
            <w:noWrap w:val="0"/>
            <w:vAlign w:val="center"/>
          </w:tcPr>
          <w:p w14:paraId="498DA7D7">
            <w:pPr>
              <w:wordWrap w:val="0"/>
              <w:adjustRightInd w:val="0"/>
              <w:snapToGrid w:val="0"/>
              <w:spacing w:line="400" w:lineRule="exact"/>
              <w:jc w:val="left"/>
              <w:rPr>
                <w:rFonts w:hint="default" w:ascii="Times New Roman" w:eastAsia="宋体"/>
                <w:snapToGrid w:val="0"/>
                <w:color w:val="auto"/>
                <w:kern w:val="0"/>
                <w:highlight w:val="none"/>
                <w:lang w:val="en-US" w:eastAsia="zh-CN"/>
              </w:rPr>
            </w:pPr>
            <w:r>
              <w:rPr>
                <w:rFonts w:hint="eastAsia" w:ascii="Times New Roman"/>
                <w:snapToGrid w:val="0"/>
                <w:color w:val="auto"/>
                <w:kern w:val="0"/>
                <w:highlight w:val="none"/>
                <w:lang w:val="en-US" w:eastAsia="zh-CN"/>
              </w:rPr>
              <w:t>合同价20%</w:t>
            </w:r>
          </w:p>
        </w:tc>
      </w:tr>
    </w:tbl>
    <w:p w14:paraId="2D07E2CE">
      <w:pPr>
        <w:keepNext w:val="0"/>
        <w:keepLines w:val="0"/>
        <w:pageBreakBefore w:val="0"/>
        <w:widowControl w:val="0"/>
        <w:kinsoku/>
        <w:wordWrap w:val="0"/>
        <w:overflowPunct/>
        <w:topLinePunct w:val="0"/>
        <w:autoSpaceDE/>
        <w:autoSpaceDN/>
        <w:bidi w:val="0"/>
        <w:adjustRightInd w:val="0"/>
        <w:snapToGrid w:val="0"/>
        <w:spacing w:before="165" w:beforeLines="50" w:line="360" w:lineRule="auto"/>
        <w:ind w:firstLine="482" w:firstLineChars="200"/>
        <w:textAlignment w:val="auto"/>
        <w:outlineLvl w:val="1"/>
        <w:rPr>
          <w:rFonts w:hint="eastAsia" w:ascii="宋体" w:hAnsi="宋体" w:eastAsia="宋体" w:cs="宋体"/>
          <w:b/>
          <w:bCs/>
          <w:snapToGrid w:val="0"/>
          <w:color w:val="auto"/>
          <w:kern w:val="0"/>
          <w:szCs w:val="24"/>
          <w:highlight w:val="none"/>
        </w:rPr>
      </w:pPr>
      <w:bookmarkStart w:id="202" w:name="_Toc31344"/>
      <w:bookmarkStart w:id="203" w:name="_Toc12074"/>
      <w:r>
        <w:rPr>
          <w:rFonts w:hint="eastAsia" w:ascii="宋体" w:hAnsi="宋体" w:eastAsia="宋体" w:cs="宋体"/>
          <w:b/>
          <w:bCs/>
          <w:snapToGrid w:val="0"/>
          <w:color w:val="auto"/>
          <w:kern w:val="0"/>
          <w:szCs w:val="24"/>
          <w:highlight w:val="none"/>
        </w:rPr>
        <w:t>3．监理服务费发票</w:t>
      </w:r>
      <w:bookmarkEnd w:id="197"/>
      <w:bookmarkEnd w:id="198"/>
      <w:bookmarkEnd w:id="199"/>
      <w:bookmarkEnd w:id="200"/>
      <w:bookmarkEnd w:id="201"/>
      <w:bookmarkEnd w:id="202"/>
      <w:bookmarkEnd w:id="203"/>
    </w:p>
    <w:p w14:paraId="429ED25A">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委托人每次支付监理服务费前，监理人均应提供有效的增值税</w:t>
      </w:r>
      <w:r>
        <w:rPr>
          <w:rFonts w:hint="eastAsia" w:hAnsi="宋体" w:cs="宋体"/>
          <w:snapToGrid w:val="0"/>
          <w:color w:val="auto"/>
          <w:kern w:val="0"/>
          <w:szCs w:val="24"/>
          <w:highlight w:val="none"/>
          <w:u w:val="single"/>
        </w:rPr>
        <w:t xml:space="preserve"> 普通 </w:t>
      </w:r>
      <w:r>
        <w:rPr>
          <w:rFonts w:hint="eastAsia" w:hAnsi="宋体" w:cs="宋体"/>
          <w:snapToGrid w:val="0"/>
          <w:color w:val="auto"/>
          <w:kern w:val="0"/>
          <w:szCs w:val="24"/>
          <w:highlight w:val="none"/>
        </w:rPr>
        <w:t xml:space="preserve">发票。如果监理人无法提供符合要求的监理服务费发票，由此造成的相应损失由监理人承担。 </w:t>
      </w:r>
    </w:p>
    <w:p w14:paraId="05F1438D">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outlineLvl w:val="1"/>
        <w:rPr>
          <w:rFonts w:hAnsi="宋体" w:cs="宋体"/>
          <w:snapToGrid w:val="0"/>
          <w:color w:val="auto"/>
          <w:kern w:val="0"/>
          <w:szCs w:val="24"/>
          <w:highlight w:val="none"/>
        </w:rPr>
      </w:pPr>
      <w:bookmarkStart w:id="204" w:name="_Toc30294"/>
      <w:bookmarkStart w:id="205" w:name="_Toc25406"/>
      <w:bookmarkStart w:id="206" w:name="_Toc22603"/>
      <w:bookmarkStart w:id="207" w:name="_Toc2147"/>
      <w:bookmarkStart w:id="208" w:name="_Toc32105"/>
      <w:bookmarkStart w:id="209" w:name="_Toc7557"/>
      <w:bookmarkStart w:id="210" w:name="_Toc31725"/>
      <w:r>
        <w:rPr>
          <w:rFonts w:hint="eastAsia" w:hAnsi="宋体" w:cs="宋体"/>
          <w:b/>
          <w:bCs/>
          <w:snapToGrid w:val="0"/>
          <w:color w:val="auto"/>
          <w:kern w:val="0"/>
          <w:szCs w:val="24"/>
          <w:highlight w:val="none"/>
        </w:rPr>
        <w:t>4．违约责任</w:t>
      </w:r>
      <w:bookmarkEnd w:id="204"/>
      <w:bookmarkEnd w:id="205"/>
      <w:bookmarkEnd w:id="206"/>
      <w:bookmarkEnd w:id="207"/>
      <w:bookmarkEnd w:id="208"/>
      <w:bookmarkEnd w:id="209"/>
      <w:bookmarkEnd w:id="210"/>
    </w:p>
    <w:p w14:paraId="6CD4EE79">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4.1 若由于监理单位的过错或失职，对委托人造成损失的，监理人必须依法承担赔偿责任。</w:t>
      </w:r>
    </w:p>
    <w:p w14:paraId="2035E843">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4.2 本工程质量必须达到合格标准。若因监理人原因，工程在竣工验收或分部工程验收时没有达到此标准，监理人按监理合同价款（指监理结算价款）的</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u w:val="single"/>
          <w:lang w:val="en-US" w:eastAsia="zh-CN"/>
        </w:rPr>
        <w:t>10</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％向委托人返纳质量违约金，并对委托人的损失依法承担赔偿责任。</w:t>
      </w:r>
    </w:p>
    <w:p w14:paraId="7CA39C94">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4.3 监理人必须按投标文件中的服务承诺条款履行合同。</w:t>
      </w:r>
    </w:p>
    <w:p w14:paraId="626FA58E">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4.4 监理人若是韶关市以外的企业，则其提供的监理费发票必须是在本工程所在地的税务部门开具的，委托人收到符合要求的发票后方可支付监理费。</w:t>
      </w:r>
    </w:p>
    <w:p w14:paraId="7059E59E">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4.5 监理人在监理期间应严格遵守国家、省、市有关防火、爆破和监理安全以及文明监理、深夜监理、环卫城管等规定，建立规章制度和防护措施。否则，由此造成的经济和法律责任，均由监理人负责。</w:t>
      </w:r>
    </w:p>
    <w:p w14:paraId="7698C451">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4.6 监理人应按安全监理的要求，采取严格科学的安全措施，确保监理安全和第三者的安全，承担由于自身安全措施不力所造成的事故责任和发生的费用。</w:t>
      </w:r>
    </w:p>
    <w:p w14:paraId="204D2C66">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4.7 工程竣工验收后，监理人应向委托人提供符合现行《建设工程监理规范》（GB/t50319-2013）、《韶关市城市建设档案管理办法》及韶关市城市建设档案馆的要求（质量、数量），编制成册的监理档案资料（制作标准和相关要求按韶关市城市建设档案馆的有关规定执行），并承担档案涉及的所有费用。</w:t>
      </w:r>
    </w:p>
    <w:p w14:paraId="66635269">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4.8 监理人须服从委托人及政府工程质量监督部门对监理工程全方位的监督，监理资料应及时报送委托人审查备案。</w:t>
      </w:r>
    </w:p>
    <w:p w14:paraId="56931890">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4.9 监理人在施工过程中若发生</w:t>
      </w:r>
      <w:r>
        <w:rPr>
          <w:rFonts w:hint="eastAsia" w:ascii="Times New Roman"/>
          <w:snapToGrid w:val="0"/>
          <w:color w:val="auto"/>
          <w:kern w:val="0"/>
          <w:highlight w:val="none"/>
          <w:lang w:val="en-US" w:eastAsia="zh-CN"/>
        </w:rPr>
        <w:t>工程量变更时</w:t>
      </w:r>
      <w:r>
        <w:rPr>
          <w:rFonts w:hint="eastAsia" w:ascii="Times New Roman"/>
          <w:snapToGrid w:val="0"/>
          <w:color w:val="auto"/>
          <w:kern w:val="0"/>
          <w:highlight w:val="none"/>
        </w:rPr>
        <w:t>，按委托人</w:t>
      </w:r>
      <w:r>
        <w:rPr>
          <w:rFonts w:hint="eastAsia" w:ascii="Times New Roman"/>
          <w:snapToGrid w:val="0"/>
          <w:color w:val="auto"/>
          <w:kern w:val="0"/>
          <w:highlight w:val="none"/>
          <w:lang w:val="en-US" w:eastAsia="zh-CN"/>
        </w:rPr>
        <w:t>变更</w:t>
      </w:r>
      <w:r>
        <w:rPr>
          <w:rFonts w:hint="eastAsia" w:ascii="Times New Roman"/>
          <w:snapToGrid w:val="0"/>
          <w:color w:val="auto"/>
          <w:kern w:val="0"/>
          <w:highlight w:val="none"/>
        </w:rPr>
        <w:t>管理办法执行。</w:t>
      </w:r>
    </w:p>
    <w:p w14:paraId="779166CF">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4.10 招标文件、招标答疑书、投标文件和中标通知书是委托人与监理人双方签订的施工监理合同的主要组成部分，并与合同一样，具有相同的法律效力。如中标通知书发出后，发现监理人的投标文件中有与招标文件所述内容及要求不符的，按招标文件执行。</w:t>
      </w:r>
    </w:p>
    <w:p w14:paraId="22312BAB">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4.11 投标报价应充分考虑在施工中由于委托人造成停工或工期延误等因素所产生的相关费用，委托人不予另计费；停工发生后，若可复工时，监理人应在收到委托人发出的复工通知书的当日通知施工单位复工，并安排现场监理人员及时到场进行现场监理。</w:t>
      </w:r>
    </w:p>
    <w:p w14:paraId="30C17977">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4.12 监理人若在韶关市无固定服务场所和固定专业负责人的，则在合同签订后尽快完成驻韶固定办公场所办理和安排固定项目负责人及其他相关监理人员驻韶办公。</w:t>
      </w:r>
    </w:p>
    <w:p w14:paraId="0394F5B4">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4.13 监理人拟派驻监理机构组成人员数量须符合《广东省建设厅转发建设部关于印发&lt;房屋建筑工程施工旁站监理管理办法（试行）&gt;的通知》（粤建管（2002）97号文》关于工程项目监理人数配置要求。同时，监理人派驻到工程所在地进行监理服务的监理人员，应能够胜任监理合同约定的监理服务工作。发包人有权以书面形式要求监理人更换不能按照监理合同的约定进行监理服务的派驻人员，若监理人拒不执行或无法在15个工作日内完成更换，则每发生一次扣除签约合同价的10%作为违约金。</w:t>
      </w:r>
    </w:p>
    <w:p w14:paraId="6A113065">
      <w:pPr>
        <w:wordWrap w:val="0"/>
        <w:adjustRightInd w:val="0"/>
        <w:snapToGrid w:val="0"/>
        <w:spacing w:line="440" w:lineRule="exact"/>
        <w:ind w:firstLine="560"/>
        <w:rPr>
          <w:rFonts w:hint="eastAsia" w:hAnsi="宋体"/>
          <w:color w:val="auto"/>
          <w:highlight w:val="none"/>
        </w:rPr>
      </w:pPr>
      <w:r>
        <w:rPr>
          <w:rFonts w:hint="eastAsia" w:ascii="Times New Roman"/>
          <w:snapToGrid w:val="0"/>
          <w:color w:val="auto"/>
          <w:kern w:val="0"/>
          <w:highlight w:val="none"/>
        </w:rPr>
        <w:t>4.14</w:t>
      </w:r>
      <w:r>
        <w:rPr>
          <w:rFonts w:hint="eastAsia" w:hAnsi="宋体"/>
          <w:color w:val="auto"/>
          <w:highlight w:val="none"/>
        </w:rPr>
        <w:t>监理人必须保证严格遵守有关法律法规及廉政规定。如监理人及其工作人员违反本承诺规定，给发包人造成经济损失的，依法给予赔偿。</w:t>
      </w:r>
    </w:p>
    <w:p w14:paraId="26D6847F">
      <w:pPr>
        <w:wordWrap w:val="0"/>
        <w:adjustRightInd w:val="0"/>
        <w:snapToGrid w:val="0"/>
        <w:spacing w:line="440" w:lineRule="exact"/>
        <w:ind w:firstLine="560"/>
        <w:rPr>
          <w:rFonts w:hint="eastAsia"/>
          <w:color w:val="auto"/>
          <w:highlight w:val="none"/>
          <w:lang w:val="en-US" w:eastAsia="zh-CN"/>
        </w:rPr>
      </w:pPr>
      <w:r>
        <w:rPr>
          <w:rFonts w:hint="eastAsia" w:ascii="Times New Roman" w:hAnsi="Times New Roman" w:eastAsia="宋体" w:cs="Times New Roman"/>
          <w:snapToGrid w:val="0"/>
          <w:color w:val="auto"/>
          <w:kern w:val="0"/>
          <w:sz w:val="24"/>
          <w:highlight w:val="none"/>
          <w:lang w:val="en-US" w:eastAsia="zh-CN" w:bidi="ar-SA"/>
        </w:rPr>
        <w:t>4.15</w:t>
      </w:r>
      <w:r>
        <w:rPr>
          <w:rFonts w:hint="eastAsia"/>
          <w:color w:val="auto"/>
          <w:highlight w:val="none"/>
          <w:lang w:val="en-US" w:eastAsia="zh-CN"/>
        </w:rPr>
        <w:t>因监理单位履职不到位引起的累计工程变更调整费用总额超过项目施工合同价(暂列金、预留金除外)的10%以上(含)，由项目建设单位按照合同扣减其30%的委托费用；超过项目施工合同价(暂列金、预留金除外)的20%以上(含),全额扣减相关费用，并由相关部门在市场诚信管理、市场准入资质管理等方面依法给予处理并进行通报。</w:t>
      </w:r>
    </w:p>
    <w:p w14:paraId="4CA087E1">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rPr>
          <w:rFonts w:hAnsi="宋体" w:cs="宋体"/>
          <w:snapToGrid w:val="0"/>
          <w:color w:val="auto"/>
          <w:kern w:val="0"/>
          <w:szCs w:val="24"/>
          <w:highlight w:val="none"/>
        </w:rPr>
      </w:pPr>
      <w:r>
        <w:rPr>
          <w:rFonts w:hint="eastAsia"/>
          <w:color w:val="auto"/>
          <w:highlight w:val="none"/>
          <w:lang w:val="en-US" w:eastAsia="zh-CN"/>
        </w:rPr>
        <w:t>4.16项目总监理工程师或项目总监理工程师代表每月驻现场不少于28 天，未经招标人书面同意，每少1天，视为监理人发生监理不良行为一次，承担般违约责任一次，监理人向委托人交纳违约金 2000 元。</w:t>
      </w:r>
    </w:p>
    <w:p w14:paraId="66FF935F">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outlineLvl w:val="1"/>
        <w:rPr>
          <w:rFonts w:hAnsi="宋体" w:cs="宋体"/>
          <w:snapToGrid w:val="0"/>
          <w:color w:val="auto"/>
          <w:kern w:val="0"/>
          <w:szCs w:val="24"/>
          <w:highlight w:val="none"/>
        </w:rPr>
      </w:pPr>
      <w:bookmarkStart w:id="211" w:name="_Toc26193"/>
      <w:bookmarkStart w:id="212" w:name="_Toc8777"/>
      <w:bookmarkStart w:id="213" w:name="_Toc17944"/>
      <w:bookmarkStart w:id="214" w:name="_Toc27702"/>
      <w:bookmarkStart w:id="215" w:name="_Toc4121"/>
      <w:bookmarkStart w:id="216" w:name="_Toc8823"/>
      <w:bookmarkStart w:id="217" w:name="_Toc29596"/>
      <w:r>
        <w:rPr>
          <w:rFonts w:hint="eastAsia" w:hAnsi="宋体" w:cs="宋体"/>
          <w:b/>
          <w:bCs/>
          <w:snapToGrid w:val="0"/>
          <w:color w:val="auto"/>
          <w:kern w:val="0"/>
          <w:szCs w:val="24"/>
          <w:highlight w:val="none"/>
        </w:rPr>
        <w:t>5．</w:t>
      </w:r>
      <w:r>
        <w:rPr>
          <w:rFonts w:hint="eastAsia" w:hAnsi="宋体" w:cs="宋体"/>
          <w:b/>
          <w:bCs/>
          <w:snapToGrid w:val="0"/>
          <w:color w:val="auto"/>
          <w:kern w:val="0"/>
          <w:szCs w:val="24"/>
          <w:highlight w:val="none"/>
          <w:lang w:val="en-US" w:eastAsia="zh-CN"/>
        </w:rPr>
        <w:t>监理服务费的</w:t>
      </w:r>
      <w:r>
        <w:rPr>
          <w:rFonts w:hint="eastAsia" w:hAnsi="宋体" w:cs="宋体"/>
          <w:b/>
          <w:bCs/>
          <w:snapToGrid w:val="0"/>
          <w:color w:val="auto"/>
          <w:kern w:val="0"/>
          <w:szCs w:val="24"/>
          <w:highlight w:val="none"/>
        </w:rPr>
        <w:t>支付</w:t>
      </w:r>
      <w:bookmarkEnd w:id="211"/>
      <w:bookmarkEnd w:id="212"/>
      <w:bookmarkEnd w:id="213"/>
      <w:bookmarkEnd w:id="214"/>
      <w:bookmarkEnd w:id="215"/>
      <w:bookmarkEnd w:id="216"/>
      <w:bookmarkEnd w:id="217"/>
    </w:p>
    <w:p w14:paraId="6B1617B9">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outlineLvl w:val="9"/>
        <w:rPr>
          <w:rFonts w:hAnsi="宋体" w:cs="宋体"/>
          <w:snapToGrid w:val="0"/>
          <w:color w:val="auto"/>
          <w:kern w:val="0"/>
          <w:szCs w:val="24"/>
          <w:highlight w:val="none"/>
        </w:rPr>
      </w:pPr>
      <w:bookmarkStart w:id="218" w:name="_Toc624"/>
      <w:bookmarkStart w:id="219" w:name="_Toc9024"/>
      <w:bookmarkStart w:id="220" w:name="_Toc26599"/>
      <w:bookmarkStart w:id="221" w:name="_Toc13619"/>
      <w:r>
        <w:rPr>
          <w:rFonts w:hint="eastAsia" w:hAnsi="宋体" w:cs="宋体"/>
          <w:b/>
          <w:bCs/>
          <w:snapToGrid w:val="0"/>
          <w:color w:val="auto"/>
          <w:kern w:val="0"/>
          <w:szCs w:val="24"/>
          <w:highlight w:val="none"/>
        </w:rPr>
        <w:t>5.1</w:t>
      </w:r>
      <w:r>
        <w:rPr>
          <w:rFonts w:hint="eastAsia" w:hAnsi="宋体" w:cs="宋体"/>
          <w:snapToGrid w:val="0"/>
          <w:color w:val="auto"/>
          <w:kern w:val="0"/>
          <w:szCs w:val="24"/>
          <w:highlight w:val="none"/>
        </w:rPr>
        <w:t xml:space="preserve"> 支付货币</w:t>
      </w:r>
      <w:bookmarkEnd w:id="218"/>
      <w:bookmarkEnd w:id="219"/>
      <w:bookmarkEnd w:id="220"/>
      <w:bookmarkEnd w:id="221"/>
    </w:p>
    <w:p w14:paraId="7BF93147">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酬金均以人民币支付。</w:t>
      </w:r>
    </w:p>
    <w:p w14:paraId="386EB357">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9"/>
        <w:rPr>
          <w:rFonts w:hAnsi="宋体" w:cs="宋体"/>
          <w:snapToGrid w:val="0"/>
          <w:color w:val="auto"/>
          <w:kern w:val="0"/>
          <w:szCs w:val="24"/>
          <w:highlight w:val="none"/>
        </w:rPr>
      </w:pPr>
      <w:bookmarkStart w:id="222" w:name="_Toc3949"/>
      <w:bookmarkStart w:id="223" w:name="_Toc10949"/>
      <w:bookmarkStart w:id="224" w:name="_Toc7275"/>
      <w:bookmarkStart w:id="225" w:name="_Toc22466"/>
      <w:r>
        <w:rPr>
          <w:rFonts w:hint="eastAsia" w:hAnsi="宋体" w:cs="宋体"/>
          <w:b/>
          <w:bCs/>
          <w:snapToGrid w:val="0"/>
          <w:color w:val="auto"/>
          <w:kern w:val="0"/>
          <w:szCs w:val="24"/>
          <w:highlight w:val="none"/>
        </w:rPr>
        <w:t>5.2</w:t>
      </w:r>
      <w:r>
        <w:rPr>
          <w:rFonts w:hint="eastAsia" w:hAnsi="宋体" w:cs="宋体"/>
          <w:snapToGrid w:val="0"/>
          <w:color w:val="auto"/>
          <w:kern w:val="0"/>
          <w:szCs w:val="24"/>
          <w:highlight w:val="none"/>
        </w:rPr>
        <w:t xml:space="preserve"> 支付申请</w:t>
      </w:r>
      <w:bookmarkEnd w:id="222"/>
      <w:bookmarkEnd w:id="223"/>
      <w:bookmarkEnd w:id="224"/>
      <w:bookmarkEnd w:id="225"/>
    </w:p>
    <w:p w14:paraId="3940F8CF">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监理人应在本合同约定的每次应付款时间的7天前，向委托人提交支付申请书。支付申请书应当说明当期应付款总额，并列出当期应支付的款项及其金额。</w:t>
      </w:r>
    </w:p>
    <w:p w14:paraId="1080AE34">
      <w:pPr>
        <w:wordWrap w:val="0"/>
        <w:autoSpaceDE/>
        <w:autoSpaceDN/>
        <w:snapToGrid w:val="0"/>
        <w:spacing w:line="440" w:lineRule="exact"/>
        <w:ind w:firstLine="480"/>
        <w:jc w:val="both"/>
        <w:outlineLvl w:val="9"/>
        <w:rPr>
          <w:rFonts w:hint="eastAsia" w:ascii="Times New Roman"/>
          <w:b/>
          <w:snapToGrid w:val="0"/>
          <w:color w:val="auto"/>
          <w:szCs w:val="22"/>
          <w:highlight w:val="none"/>
        </w:rPr>
      </w:pPr>
      <w:bookmarkStart w:id="226" w:name="_Toc10664"/>
      <w:bookmarkStart w:id="227" w:name="_Toc25652"/>
      <w:bookmarkStart w:id="228" w:name="_Toc6801"/>
      <w:bookmarkStart w:id="229" w:name="_Toc17883"/>
      <w:r>
        <w:rPr>
          <w:rFonts w:hint="eastAsia" w:hAnsi="宋体" w:cs="宋体"/>
          <w:b/>
          <w:bCs/>
          <w:snapToGrid w:val="0"/>
          <w:color w:val="auto"/>
          <w:kern w:val="0"/>
          <w:szCs w:val="24"/>
          <w:highlight w:val="none"/>
        </w:rPr>
        <w:t xml:space="preserve">5.3 </w:t>
      </w:r>
      <w:bookmarkEnd w:id="226"/>
      <w:bookmarkEnd w:id="227"/>
      <w:bookmarkEnd w:id="228"/>
      <w:bookmarkEnd w:id="229"/>
      <w:r>
        <w:rPr>
          <w:rFonts w:hint="eastAsia" w:ascii="Times New Roman"/>
          <w:b/>
          <w:snapToGrid w:val="0"/>
          <w:color w:val="auto"/>
          <w:szCs w:val="22"/>
          <w:highlight w:val="none"/>
        </w:rPr>
        <w:t>监理人的服务内容</w:t>
      </w:r>
    </w:p>
    <w:p w14:paraId="167DB3B9">
      <w:pPr>
        <w:wordWrap w:val="0"/>
        <w:adjustRightInd w:val="0"/>
        <w:snapToGrid w:val="0"/>
        <w:spacing w:line="440" w:lineRule="exact"/>
        <w:ind w:firstLine="560"/>
        <w:rPr>
          <w:rFonts w:hint="eastAsia" w:hAnsi="宋体"/>
          <w:color w:val="auto"/>
          <w:highlight w:val="none"/>
        </w:rPr>
      </w:pPr>
      <w:r>
        <w:rPr>
          <w:rFonts w:hint="eastAsia" w:hAnsi="宋体"/>
          <w:color w:val="auto"/>
          <w:highlight w:val="none"/>
        </w:rPr>
        <w:t>5.1工程施工阶段服务内容</w:t>
      </w:r>
    </w:p>
    <w:p w14:paraId="2311810A">
      <w:pPr>
        <w:wordWrap w:val="0"/>
        <w:adjustRightInd w:val="0"/>
        <w:snapToGrid w:val="0"/>
        <w:spacing w:line="440" w:lineRule="exact"/>
        <w:ind w:firstLine="560"/>
        <w:rPr>
          <w:rFonts w:hint="eastAsia" w:hAnsi="宋体"/>
          <w:color w:val="auto"/>
          <w:highlight w:val="none"/>
        </w:rPr>
      </w:pPr>
      <w:r>
        <w:rPr>
          <w:rFonts w:hint="eastAsia" w:hAnsi="宋体"/>
          <w:color w:val="auto"/>
          <w:highlight w:val="none"/>
        </w:rPr>
        <w:t>本工程施工阶段工作，具体包括施工前期准备阶段，施工阶段，竣工验收阶段和工程保修阶段的监理工作。</w:t>
      </w:r>
    </w:p>
    <w:p w14:paraId="012A8D09">
      <w:pPr>
        <w:wordWrap w:val="0"/>
        <w:adjustRightInd w:val="0"/>
        <w:snapToGrid w:val="0"/>
        <w:spacing w:line="440" w:lineRule="exact"/>
        <w:ind w:firstLine="560"/>
        <w:rPr>
          <w:rFonts w:hint="eastAsia" w:hAnsi="宋体"/>
          <w:color w:val="auto"/>
          <w:highlight w:val="none"/>
        </w:rPr>
      </w:pPr>
      <w:r>
        <w:rPr>
          <w:rFonts w:hint="eastAsia" w:hAnsi="宋体"/>
          <w:color w:val="auto"/>
          <w:highlight w:val="none"/>
        </w:rPr>
        <w:t>5.1.1参与审阅施工图纸。</w:t>
      </w:r>
    </w:p>
    <w:p w14:paraId="7AD82EA2">
      <w:pPr>
        <w:wordWrap w:val="0"/>
        <w:adjustRightInd w:val="0"/>
        <w:snapToGrid w:val="0"/>
        <w:spacing w:line="440" w:lineRule="exact"/>
        <w:ind w:firstLine="560"/>
        <w:rPr>
          <w:rFonts w:hint="eastAsia" w:hAnsi="宋体"/>
          <w:color w:val="auto"/>
          <w:highlight w:val="none"/>
        </w:rPr>
      </w:pPr>
      <w:r>
        <w:rPr>
          <w:rFonts w:hint="eastAsia" w:hAnsi="宋体"/>
          <w:color w:val="auto"/>
          <w:highlight w:val="none"/>
        </w:rPr>
        <w:t>5.1.2协助招标人审核各项工程和设备质量，提出审核意见，并协助起草合同、完善合同条款。</w:t>
      </w:r>
    </w:p>
    <w:p w14:paraId="50AA25CE">
      <w:pPr>
        <w:wordWrap w:val="0"/>
        <w:adjustRightInd w:val="0"/>
        <w:snapToGrid w:val="0"/>
        <w:spacing w:line="440" w:lineRule="exact"/>
        <w:ind w:firstLine="560"/>
        <w:rPr>
          <w:rFonts w:hint="eastAsia" w:hAnsi="宋体"/>
          <w:color w:val="auto"/>
          <w:highlight w:val="none"/>
        </w:rPr>
      </w:pPr>
      <w:r>
        <w:rPr>
          <w:rFonts w:hint="eastAsia" w:hAnsi="宋体"/>
          <w:color w:val="auto"/>
          <w:highlight w:val="none"/>
        </w:rPr>
        <w:t>5.1.3协助招标人办理开工手续。</w:t>
      </w:r>
    </w:p>
    <w:p w14:paraId="319DDA2D">
      <w:pPr>
        <w:wordWrap w:val="0"/>
        <w:adjustRightInd w:val="0"/>
        <w:snapToGrid w:val="0"/>
        <w:spacing w:line="440" w:lineRule="exact"/>
        <w:ind w:firstLine="560"/>
        <w:rPr>
          <w:rFonts w:hint="eastAsia" w:hAnsi="宋体"/>
          <w:color w:val="auto"/>
          <w:highlight w:val="none"/>
        </w:rPr>
      </w:pPr>
      <w:r>
        <w:rPr>
          <w:rFonts w:hint="eastAsia" w:hAnsi="宋体"/>
          <w:color w:val="auto"/>
          <w:highlight w:val="none"/>
        </w:rPr>
        <w:t>5.1.4组织相关单位进行设计交底和施工图会审，负责做好会议记录和图纸会审记录。</w:t>
      </w:r>
    </w:p>
    <w:p w14:paraId="5E57D7FB">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5.1.5现场的移交：对现场的原始场地进行测量，作出书面记录，并在开工之前及时向施工单位移交，其次是测量放线定位的移交。</w:t>
      </w:r>
    </w:p>
    <w:p w14:paraId="7BED7C30">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5.1.6审查施工单位提出的施工组织设计、施工技术方案、施工进度计划、施工质量保证体系和施工安全保证体系。</w:t>
      </w:r>
    </w:p>
    <w:p w14:paraId="207E88DE">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5.1.7督促、检查施工单位严格执行工程承包合同和国家工程技术规范、标准，协调招标人和施工单位之间的关系。</w:t>
      </w:r>
    </w:p>
    <w:p w14:paraId="49AFA721">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5.1.8审核施工单位提供的材料、设备、构配件和实际的数量及质量，按照规范和质监站的要求，对相关的材料进行见证取样复验。</w:t>
      </w:r>
    </w:p>
    <w:p w14:paraId="583E1735">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5.1.9根据施工单位提交的施工进度计划协助招标人督促现场施工进度；审核经质量验收合格的工程量，协助招标人进行工程竣工验收工作。</w:t>
      </w:r>
    </w:p>
    <w:p w14:paraId="11E68582">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5.1.10结合工程特点，审批施工单位报送的施工总进度计划；审批施工单位编制季月度施工计划；分阶段协调施工进度计划，及时提出调整意见，督促施工单位实施进度计划，在实际控制中，对实际工期不断检查，发现偏离进度计划及时督促承包方采取措施，做到有效的动态控制。</w:t>
      </w:r>
    </w:p>
    <w:p w14:paraId="7DDE3BA3">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5.1.11督促施工单位严格按现行规范、规程、强制性质量控制标准和设计要求施工、控制工程质量。</w:t>
      </w:r>
    </w:p>
    <w:p w14:paraId="7F954DF9">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5.1.12在实施过程中，监理采取程序报验检查、平行检查、旁站检查、巡视检查、定期与不定期检查等各种手段，按照规范和施工组织设计的要求，克服施工过程中的质量通病。</w:t>
      </w:r>
    </w:p>
    <w:p w14:paraId="237A5C2C">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5.1.13督促、检查施工单位落实施工安全保证措施。</w:t>
      </w:r>
    </w:p>
    <w:p w14:paraId="37DED990">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5.1.14协调参建各方之间的争议和冲突，协调各专业施工单位之间的关系，协调各专业施工作业的交接。</w:t>
      </w:r>
    </w:p>
    <w:p w14:paraId="625DE742">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5.1.15组织分项工程和隐蔽工程的检查、验收，签发工程验收凭证。</w:t>
      </w:r>
    </w:p>
    <w:p w14:paraId="22C2FD43">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5.1.16督促承建商整理合同文件和技术档案资料。</w:t>
      </w:r>
    </w:p>
    <w:p w14:paraId="15A13B6C">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5.1.17组织招标人、施工单位、设计单位进行竣工预验收。</w:t>
      </w:r>
    </w:p>
    <w:p w14:paraId="72FF6359">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5.1.18提出工程质量评估报告。</w:t>
      </w:r>
    </w:p>
    <w:p w14:paraId="7DA4C858">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5.1.19检查工程状况，如发生质量事故，则参与事故的分析和处理，并鉴定质量责任。</w:t>
      </w:r>
    </w:p>
    <w:p w14:paraId="10F7523C">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5.1.20督促施工单位在工程竣工验收后，整理工程交工资料和竣工图纸。</w:t>
      </w:r>
    </w:p>
    <w:p w14:paraId="78AB5C68">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5.1.21督促完善签署工程保修协议，督促施工单位回访。</w:t>
      </w:r>
    </w:p>
    <w:p w14:paraId="18195740">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5.1.22督促施工单位及时完成未完工程尾项，协助招标人督促施工单位按照国家有关规定和保修协议开展维修工作，维修工程出现的缺陷，保证维修工作顺利进行。</w:t>
      </w:r>
    </w:p>
    <w:p w14:paraId="0EDDE033">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olor w:val="auto"/>
          <w:highlight w:val="none"/>
        </w:rPr>
        <w:t>5.1.23保修期间如出现工程质量问题，接招标人通知后参与调查、分析，确定发生工程质量问题的原因责任，共同研究修补措施，并负责监督责任单位修补工作。</w:t>
      </w:r>
    </w:p>
    <w:p w14:paraId="295521EB">
      <w:pPr>
        <w:pStyle w:val="4"/>
        <w:wordWrap w:val="0"/>
        <w:autoSpaceDE/>
        <w:autoSpaceDN/>
        <w:snapToGrid w:val="0"/>
        <w:spacing w:line="440" w:lineRule="exact"/>
        <w:ind w:firstLine="480"/>
        <w:jc w:val="both"/>
        <w:outlineLvl w:val="1"/>
        <w:rPr>
          <w:rFonts w:hint="eastAsia" w:ascii="Times New Roman"/>
          <w:b/>
          <w:snapToGrid w:val="0"/>
          <w:color w:val="auto"/>
          <w:szCs w:val="22"/>
          <w:highlight w:val="none"/>
        </w:rPr>
      </w:pPr>
      <w:bookmarkStart w:id="230" w:name="_Toc11091"/>
      <w:bookmarkStart w:id="231" w:name="_Toc5107"/>
      <w:bookmarkStart w:id="232" w:name="_Toc878"/>
      <w:bookmarkStart w:id="233" w:name="_Toc8398"/>
      <w:bookmarkStart w:id="234" w:name="_Toc12317"/>
      <w:bookmarkStart w:id="235" w:name="_Toc16162"/>
      <w:bookmarkStart w:id="236" w:name="_Toc6555"/>
      <w:r>
        <w:rPr>
          <w:rFonts w:hint="eastAsia" w:hAnsi="宋体" w:cs="宋体"/>
          <w:b/>
          <w:bCs/>
          <w:snapToGrid w:val="0"/>
          <w:color w:val="auto"/>
          <w:kern w:val="0"/>
          <w:szCs w:val="24"/>
          <w:highlight w:val="none"/>
        </w:rPr>
        <w:t>6．</w:t>
      </w:r>
      <w:bookmarkEnd w:id="230"/>
      <w:bookmarkEnd w:id="231"/>
      <w:bookmarkEnd w:id="232"/>
      <w:bookmarkEnd w:id="233"/>
      <w:bookmarkEnd w:id="234"/>
      <w:r>
        <w:rPr>
          <w:rFonts w:hint="eastAsia" w:ascii="Times New Roman"/>
          <w:b/>
          <w:snapToGrid w:val="0"/>
          <w:color w:val="auto"/>
          <w:szCs w:val="22"/>
          <w:highlight w:val="none"/>
        </w:rPr>
        <w:t>监理人违约及违约责任</w:t>
      </w:r>
      <w:bookmarkEnd w:id="235"/>
      <w:bookmarkEnd w:id="236"/>
    </w:p>
    <w:p w14:paraId="2FAB8060">
      <w:pPr>
        <w:pStyle w:val="134"/>
        <w:spacing w:line="460" w:lineRule="exact"/>
        <w:ind w:firstLine="480" w:firstLineChars="200"/>
        <w:rPr>
          <w:rFonts w:hint="eastAsia" w:hAnsi="宋体"/>
          <w:color w:val="auto"/>
          <w:sz w:val="24"/>
          <w:highlight w:val="none"/>
        </w:rPr>
      </w:pPr>
      <w:r>
        <w:rPr>
          <w:rFonts w:hint="eastAsia" w:hAnsi="宋体"/>
          <w:color w:val="auto"/>
          <w:sz w:val="24"/>
          <w:highlight w:val="none"/>
        </w:rPr>
        <w:t xml:space="preserve">通常情况下，监理人不能按合同履行其义务和职责，因工作过失或渎职而造成了工程的经济和工期损失，为监理人违约，监理人应当向委托人赔偿经济损失，并承担相关的行政、法律责任。在本监理合同中，双方约定将监理人违约范围适当扩大，增加两种视为监理人违约的情况，一是监理人未按约定履行其义务工作时，即使未造成损失，视为监理人违约；二是监理目标未能达标，无论主要原因是什么，视为监理人违约。所有的违约金在当期的监理服务费扣除。本附件将监理人违约分为监理不良行为、监理过失、监理渎职及监理不达标四大情形造成的违约，这四种违约情形及违约责任的承担作如下规定： </w:t>
      </w:r>
    </w:p>
    <w:p w14:paraId="40D5E07B">
      <w:pPr>
        <w:pStyle w:val="67"/>
        <w:spacing w:line="460" w:lineRule="exact"/>
        <w:ind w:firstLine="482" w:firstLineChars="200"/>
        <w:rPr>
          <w:rFonts w:hint="eastAsia" w:hAnsi="宋体"/>
          <w:b/>
          <w:bCs/>
          <w:color w:val="auto"/>
          <w:sz w:val="24"/>
          <w:highlight w:val="none"/>
        </w:rPr>
      </w:pPr>
      <w:r>
        <w:rPr>
          <w:rFonts w:hint="eastAsia" w:hAnsi="宋体"/>
          <w:b/>
          <w:bCs/>
          <w:color w:val="auto"/>
          <w:sz w:val="24"/>
          <w:highlight w:val="none"/>
        </w:rPr>
        <w:t>6.1监理不良行为违约</w:t>
      </w:r>
    </w:p>
    <w:p w14:paraId="26EE7AB6">
      <w:pPr>
        <w:pStyle w:val="67"/>
        <w:spacing w:line="460" w:lineRule="exact"/>
        <w:rPr>
          <w:rFonts w:hint="eastAsia" w:hAnsi="宋体"/>
          <w:color w:val="auto"/>
          <w:sz w:val="24"/>
          <w:highlight w:val="none"/>
        </w:rPr>
      </w:pPr>
      <w:r>
        <w:rPr>
          <w:rFonts w:hint="eastAsia" w:hAnsi="宋体"/>
          <w:color w:val="auto"/>
          <w:sz w:val="24"/>
          <w:highlight w:val="none"/>
        </w:rPr>
        <w:t xml:space="preserve">    6.1.1监理不良行为违约的认定</w:t>
      </w:r>
    </w:p>
    <w:p w14:paraId="64B2C5C7">
      <w:pPr>
        <w:pStyle w:val="67"/>
        <w:spacing w:line="460" w:lineRule="exact"/>
        <w:ind w:firstLine="480" w:firstLineChars="200"/>
        <w:rPr>
          <w:rFonts w:hint="eastAsia" w:hAnsi="宋体"/>
          <w:color w:val="auto"/>
          <w:sz w:val="24"/>
          <w:highlight w:val="none"/>
        </w:rPr>
      </w:pPr>
      <w:r>
        <w:rPr>
          <w:rFonts w:hint="eastAsia" w:hAnsi="宋体"/>
          <w:color w:val="auto"/>
          <w:sz w:val="24"/>
          <w:highlight w:val="none"/>
        </w:rPr>
        <w:t>监理人员一切不按相关法规规定和要求履行义务工作的行为均可视为监理不良行为。监理不良行为特征主要体现是：1、项目监理架构未按相关法规及投标文件承诺规定组建，监理人员未完全到位和未按规定在岗的情形；2、相关法律、法规、地方规范性文件、监理规范、本项目相关合同文件规定及委托人指明的监理人的义务工作，监理人却未能执行或执行不及时；3、委托人指出或发现监理人在实施监理行为过程中明显的签证错误、审批错误及指令错误。</w:t>
      </w:r>
    </w:p>
    <w:p w14:paraId="47D58650">
      <w:pPr>
        <w:pStyle w:val="67"/>
        <w:spacing w:line="460" w:lineRule="exact"/>
        <w:ind w:firstLine="480" w:firstLineChars="200"/>
        <w:rPr>
          <w:rFonts w:hint="eastAsia" w:hAnsi="宋体"/>
          <w:color w:val="auto"/>
          <w:sz w:val="24"/>
          <w:highlight w:val="none"/>
        </w:rPr>
      </w:pPr>
      <w:r>
        <w:rPr>
          <w:rFonts w:hint="eastAsia" w:hAnsi="宋体"/>
          <w:color w:val="auto"/>
          <w:sz w:val="24"/>
          <w:highlight w:val="none"/>
        </w:rPr>
        <w:t>监理人的不良行为一旦被发现，由委托人管理人员在“监理行为记录档案”作记录，无论是否造成损失，即构成监理人违约。若该行为已造成实际损失，按本附件界定的监理过失违约规定处理。</w:t>
      </w:r>
    </w:p>
    <w:p w14:paraId="75D8593E">
      <w:pPr>
        <w:pStyle w:val="67"/>
        <w:spacing w:line="460" w:lineRule="exact"/>
        <w:ind w:firstLine="482" w:firstLineChars="200"/>
        <w:rPr>
          <w:rFonts w:hint="eastAsia" w:hAnsi="宋体"/>
          <w:b/>
          <w:color w:val="auto"/>
          <w:sz w:val="24"/>
          <w:highlight w:val="none"/>
        </w:rPr>
      </w:pPr>
      <w:r>
        <w:rPr>
          <w:rFonts w:hint="eastAsia" w:hAnsi="宋体"/>
          <w:b/>
          <w:color w:val="auto"/>
          <w:sz w:val="24"/>
          <w:highlight w:val="none"/>
        </w:rPr>
        <w:t>所有监理不良行为违约发生的违约金均从监理人进度款中扣除，监理服务费结算以扣除违约金总数后的金额为准。</w:t>
      </w:r>
    </w:p>
    <w:p w14:paraId="66B1E3D3">
      <w:pPr>
        <w:pStyle w:val="67"/>
        <w:spacing w:line="460" w:lineRule="exact"/>
        <w:rPr>
          <w:rFonts w:hint="eastAsia" w:hAnsi="宋体"/>
          <w:color w:val="auto"/>
          <w:sz w:val="24"/>
          <w:highlight w:val="none"/>
        </w:rPr>
      </w:pPr>
      <w:r>
        <w:rPr>
          <w:rFonts w:hint="eastAsia" w:hAnsi="宋体"/>
          <w:color w:val="auto"/>
          <w:sz w:val="24"/>
          <w:highlight w:val="none"/>
        </w:rPr>
        <w:t xml:space="preserve">    6.1.2 监理不良行为违约的责任承担</w:t>
      </w:r>
    </w:p>
    <w:p w14:paraId="570472B2">
      <w:pPr>
        <w:pStyle w:val="67"/>
        <w:spacing w:line="460" w:lineRule="exact"/>
        <w:ind w:firstLine="480" w:firstLineChars="200"/>
        <w:rPr>
          <w:rFonts w:hint="eastAsia" w:hAnsi="宋体"/>
          <w:color w:val="auto"/>
          <w:sz w:val="24"/>
          <w:highlight w:val="none"/>
        </w:rPr>
      </w:pPr>
      <w:r>
        <w:rPr>
          <w:rFonts w:hint="eastAsia" w:hAnsi="宋体"/>
          <w:color w:val="auto"/>
          <w:sz w:val="24"/>
          <w:highlight w:val="none"/>
        </w:rPr>
        <w:t>监理人发生监理不良行为一次，承担一般违约责任一次，监理人向委托人交纳违约金1000元。</w:t>
      </w:r>
    </w:p>
    <w:p w14:paraId="7FDC0DEF">
      <w:pPr>
        <w:pStyle w:val="67"/>
        <w:spacing w:line="460" w:lineRule="exact"/>
        <w:ind w:firstLine="480" w:firstLineChars="200"/>
        <w:rPr>
          <w:rFonts w:hint="eastAsia" w:hAnsi="宋体"/>
          <w:color w:val="auto"/>
          <w:sz w:val="24"/>
          <w:highlight w:val="none"/>
        </w:rPr>
      </w:pPr>
      <w:r>
        <w:rPr>
          <w:rFonts w:hint="eastAsia" w:hAnsi="宋体"/>
          <w:color w:val="auto"/>
          <w:sz w:val="24"/>
          <w:highlight w:val="none"/>
        </w:rPr>
        <w:t>6.1.2.1 总监每月驻现场不少于10天，未经招标人书面同意，每少1天，视为监理人发生监理不良行为一次，承担一般违约责任一次，监理人向委托人交纳违约金1000元。</w:t>
      </w:r>
    </w:p>
    <w:p w14:paraId="3509ED2A">
      <w:pPr>
        <w:pStyle w:val="67"/>
        <w:spacing w:line="460" w:lineRule="exact"/>
        <w:ind w:firstLine="480" w:firstLineChars="200"/>
        <w:rPr>
          <w:rFonts w:hint="eastAsia" w:hAnsi="宋体"/>
          <w:color w:val="auto"/>
          <w:sz w:val="24"/>
          <w:highlight w:val="none"/>
        </w:rPr>
      </w:pPr>
      <w:r>
        <w:rPr>
          <w:rFonts w:hint="eastAsia" w:hAnsi="宋体"/>
          <w:color w:val="auto"/>
          <w:sz w:val="24"/>
          <w:highlight w:val="none"/>
        </w:rPr>
        <w:t>6.1.2.2  总监或总监代表如果无故缺席例会或招标人组织的会议，每次交纳违约金2000元。</w:t>
      </w:r>
    </w:p>
    <w:p w14:paraId="4C28DC13">
      <w:pPr>
        <w:pStyle w:val="67"/>
        <w:spacing w:line="460" w:lineRule="exact"/>
        <w:ind w:firstLine="480" w:firstLineChars="200"/>
        <w:rPr>
          <w:rFonts w:hint="eastAsia" w:hAnsi="宋体"/>
          <w:b/>
          <w:bCs/>
          <w:color w:val="auto"/>
          <w:sz w:val="24"/>
          <w:highlight w:val="none"/>
          <w:u w:val="single"/>
        </w:rPr>
      </w:pPr>
      <w:r>
        <w:rPr>
          <w:rFonts w:hint="eastAsia" w:hAnsi="宋体"/>
          <w:color w:val="auto"/>
          <w:sz w:val="24"/>
          <w:highlight w:val="none"/>
        </w:rPr>
        <w:t xml:space="preserve">6.1.2.3 </w:t>
      </w:r>
      <w:r>
        <w:rPr>
          <w:rFonts w:hint="eastAsia" w:hAnsi="宋体"/>
          <w:b/>
          <w:bCs/>
          <w:color w:val="auto"/>
          <w:sz w:val="24"/>
          <w:highlight w:val="none"/>
          <w:u w:val="single"/>
        </w:rPr>
        <w:t>其他监理人员必须按配备要求在现场驻场监理，离开项目现场必须经委托人书面同意，如委托人发现监理人员非正常离岗，监理人向委托人每人次交纳违约金1000元。</w:t>
      </w:r>
    </w:p>
    <w:p w14:paraId="40A07E9B">
      <w:pPr>
        <w:pStyle w:val="67"/>
        <w:spacing w:line="460" w:lineRule="exact"/>
        <w:ind w:firstLine="480" w:firstLineChars="200"/>
        <w:rPr>
          <w:rFonts w:hint="eastAsia" w:hAnsi="宋体"/>
          <w:color w:val="auto"/>
          <w:sz w:val="24"/>
          <w:highlight w:val="none"/>
        </w:rPr>
      </w:pPr>
      <w:r>
        <w:rPr>
          <w:rFonts w:hint="eastAsia" w:hAnsi="宋体"/>
          <w:color w:val="auto"/>
          <w:sz w:val="24"/>
          <w:highlight w:val="none"/>
        </w:rPr>
        <w:t>6.1.2.4 不按规定委派专业人员，不按时、准时参加各项验收和抽查的，不及时签署检查、验收记录的，一次向建设（委托）单位交纳违约金¥1000元/次、项。</w:t>
      </w:r>
    </w:p>
    <w:p w14:paraId="00A919FE">
      <w:pPr>
        <w:pStyle w:val="67"/>
        <w:spacing w:line="460" w:lineRule="exact"/>
        <w:ind w:firstLine="480" w:firstLineChars="200"/>
        <w:rPr>
          <w:rFonts w:hint="eastAsia" w:hAnsi="宋体"/>
          <w:color w:val="auto"/>
          <w:sz w:val="24"/>
          <w:highlight w:val="none"/>
        </w:rPr>
      </w:pPr>
      <w:r>
        <w:rPr>
          <w:rFonts w:hint="eastAsia" w:hAnsi="宋体"/>
          <w:color w:val="auto"/>
          <w:sz w:val="24"/>
          <w:highlight w:val="none"/>
        </w:rPr>
        <w:t>6.1.2.5 不按规定委派相关人员参加项目竣工验收的，一次向建设（委托）单位交纳违约金¥</w:t>
      </w:r>
      <w:r>
        <w:rPr>
          <w:rFonts w:hint="eastAsia" w:hAnsi="宋体"/>
          <w:color w:val="auto"/>
          <w:sz w:val="24"/>
          <w:highlight w:val="none"/>
          <w:lang w:val="en-US" w:eastAsia="zh-CN"/>
        </w:rPr>
        <w:t>5000</w:t>
      </w:r>
      <w:r>
        <w:rPr>
          <w:rFonts w:hint="eastAsia" w:hAnsi="宋体"/>
          <w:color w:val="auto"/>
          <w:sz w:val="24"/>
          <w:highlight w:val="none"/>
        </w:rPr>
        <w:t>元/项，不签署意见的交纳违约金¥</w:t>
      </w:r>
      <w:r>
        <w:rPr>
          <w:rFonts w:hint="eastAsia" w:hAnsi="宋体"/>
          <w:color w:val="auto"/>
          <w:sz w:val="24"/>
          <w:highlight w:val="none"/>
          <w:lang w:val="en-US" w:eastAsia="zh-CN"/>
        </w:rPr>
        <w:t>5000</w:t>
      </w:r>
      <w:r>
        <w:rPr>
          <w:rFonts w:hint="eastAsia" w:hAnsi="宋体"/>
          <w:color w:val="auto"/>
          <w:sz w:val="24"/>
          <w:highlight w:val="none"/>
        </w:rPr>
        <w:t>元；</w:t>
      </w:r>
    </w:p>
    <w:p w14:paraId="7F533DF8">
      <w:pPr>
        <w:pStyle w:val="67"/>
        <w:spacing w:line="460" w:lineRule="exact"/>
        <w:ind w:firstLine="480" w:firstLineChars="200"/>
        <w:rPr>
          <w:rFonts w:hint="eastAsia" w:hAnsi="宋体"/>
          <w:color w:val="auto"/>
          <w:sz w:val="24"/>
          <w:highlight w:val="none"/>
        </w:rPr>
      </w:pPr>
      <w:r>
        <w:rPr>
          <w:rFonts w:hint="eastAsia" w:hAnsi="宋体"/>
          <w:color w:val="auto"/>
          <w:sz w:val="24"/>
          <w:highlight w:val="none"/>
        </w:rPr>
        <w:t>6.1.2.6 不按时交纳资料的，交纳违约金¥</w:t>
      </w:r>
      <w:r>
        <w:rPr>
          <w:rFonts w:hint="eastAsia" w:hAnsi="宋体"/>
          <w:color w:val="auto"/>
          <w:sz w:val="24"/>
          <w:highlight w:val="none"/>
          <w:lang w:val="en-US" w:eastAsia="zh-CN"/>
        </w:rPr>
        <w:t>5</w:t>
      </w:r>
      <w:r>
        <w:rPr>
          <w:rFonts w:hint="eastAsia" w:hAnsi="宋体"/>
          <w:color w:val="auto"/>
          <w:sz w:val="24"/>
          <w:highlight w:val="none"/>
        </w:rPr>
        <w:t>万元，造成损失的，承担相应责任；</w:t>
      </w:r>
    </w:p>
    <w:p w14:paraId="779688EC">
      <w:pPr>
        <w:pStyle w:val="67"/>
        <w:spacing w:line="460" w:lineRule="exact"/>
        <w:ind w:firstLine="480" w:firstLineChars="200"/>
        <w:rPr>
          <w:rFonts w:hint="eastAsia" w:hAnsi="宋体"/>
          <w:color w:val="auto"/>
          <w:sz w:val="24"/>
          <w:highlight w:val="none"/>
        </w:rPr>
      </w:pPr>
      <w:r>
        <w:rPr>
          <w:rFonts w:hint="eastAsia" w:hAnsi="宋体"/>
          <w:color w:val="auto"/>
          <w:sz w:val="24"/>
          <w:highlight w:val="none"/>
        </w:rPr>
        <w:t>6.1.2.7 同一问题未能按时整改，每重复一次监理人向委托人缴纳违约金1000元。</w:t>
      </w:r>
    </w:p>
    <w:p w14:paraId="1B0FB72B">
      <w:pPr>
        <w:pStyle w:val="67"/>
        <w:spacing w:line="460" w:lineRule="exact"/>
        <w:ind w:firstLine="482" w:firstLineChars="200"/>
        <w:rPr>
          <w:rFonts w:hint="eastAsia" w:hAnsi="宋体"/>
          <w:color w:val="auto"/>
          <w:sz w:val="24"/>
          <w:highlight w:val="none"/>
        </w:rPr>
      </w:pPr>
      <w:r>
        <w:rPr>
          <w:rFonts w:hint="eastAsia" w:hAnsi="宋体"/>
          <w:b/>
          <w:bCs/>
          <w:color w:val="auto"/>
          <w:sz w:val="24"/>
          <w:highlight w:val="none"/>
        </w:rPr>
        <w:t>6.2 监理过失事件违约</w:t>
      </w:r>
    </w:p>
    <w:p w14:paraId="32F6D492">
      <w:pPr>
        <w:pStyle w:val="67"/>
        <w:spacing w:line="460" w:lineRule="exact"/>
        <w:ind w:firstLine="480" w:firstLineChars="200"/>
        <w:rPr>
          <w:rFonts w:hint="eastAsia" w:hAnsi="宋体"/>
          <w:color w:val="auto"/>
          <w:sz w:val="24"/>
          <w:highlight w:val="none"/>
        </w:rPr>
      </w:pPr>
      <w:r>
        <w:rPr>
          <w:rFonts w:hint="eastAsia" w:hAnsi="宋体"/>
          <w:color w:val="auto"/>
          <w:sz w:val="24"/>
          <w:highlight w:val="none"/>
        </w:rPr>
        <w:t>6.2.1 监理过失事件违约的认定</w:t>
      </w:r>
    </w:p>
    <w:p w14:paraId="1A54557B">
      <w:pPr>
        <w:pStyle w:val="67"/>
        <w:spacing w:line="460" w:lineRule="exact"/>
        <w:rPr>
          <w:rFonts w:hint="eastAsia" w:hAnsi="宋体"/>
          <w:color w:val="auto"/>
          <w:sz w:val="24"/>
          <w:highlight w:val="none"/>
        </w:rPr>
      </w:pPr>
      <w:r>
        <w:rPr>
          <w:rFonts w:hint="eastAsia" w:hAnsi="宋体"/>
          <w:color w:val="auto"/>
          <w:sz w:val="24"/>
          <w:highlight w:val="none"/>
        </w:rPr>
        <w:t xml:space="preserve">    工程建设过程中，如发生以下情况：①委托人发现勘察（或设计或施工）中存在问题，而监理单位未发现的；②监理单位发现勘察（或设计或施工）中存在的问题，但未督促勘察（或设计或施工）单位整改或整改不到位的（以监理单位发出的整改通知和勘察（或设计或施工）单位回复及监理复查意见为准）；③监理单位三次及以上发出整改通知勘察（或设计或施工）单位未能给予响应的，但监理单位未能采取果断措施的；以上三种情况一旦委托人向监理单位发出整改通知，即认定为监理人监理过失事件违约，每发出一份整改通知即认定为监理过失事件违约一次。并由委托人管理人员在“监理行为记录档案”作记录。</w:t>
      </w:r>
    </w:p>
    <w:p w14:paraId="57136A0A">
      <w:pPr>
        <w:pStyle w:val="67"/>
        <w:spacing w:line="460" w:lineRule="exact"/>
        <w:ind w:firstLine="480" w:firstLineChars="200"/>
        <w:rPr>
          <w:rFonts w:hint="eastAsia" w:hAnsi="宋体"/>
          <w:color w:val="auto"/>
          <w:sz w:val="24"/>
          <w:highlight w:val="none"/>
        </w:rPr>
      </w:pPr>
      <w:r>
        <w:rPr>
          <w:rFonts w:hint="eastAsia" w:hAnsi="宋体"/>
          <w:color w:val="auto"/>
          <w:sz w:val="24"/>
          <w:highlight w:val="none"/>
        </w:rPr>
        <w:t>6.2.2 监理过失事件违约的责任承担</w:t>
      </w:r>
    </w:p>
    <w:p w14:paraId="294B43C7">
      <w:pPr>
        <w:pStyle w:val="67"/>
        <w:spacing w:line="460" w:lineRule="exact"/>
        <w:ind w:firstLine="600" w:firstLineChars="250"/>
        <w:rPr>
          <w:rFonts w:hint="eastAsia" w:hAnsi="宋体"/>
          <w:color w:val="auto"/>
          <w:sz w:val="24"/>
          <w:highlight w:val="none"/>
        </w:rPr>
      </w:pPr>
      <w:r>
        <w:rPr>
          <w:rFonts w:hint="eastAsia" w:hAnsi="宋体"/>
          <w:color w:val="auto"/>
          <w:sz w:val="24"/>
          <w:highlight w:val="none"/>
        </w:rPr>
        <w:t>6.2.2.1 监理人发生监理过失事件违约一次，承担严重违约责任一次，监理人向委托人交纳违约金</w:t>
      </w:r>
      <w:r>
        <w:rPr>
          <w:rFonts w:hint="eastAsia" w:hAnsi="宋体"/>
          <w:color w:val="auto"/>
          <w:sz w:val="24"/>
          <w:highlight w:val="none"/>
          <w:lang w:val="en-US" w:eastAsia="zh-CN"/>
        </w:rPr>
        <w:t>5</w:t>
      </w:r>
      <w:r>
        <w:rPr>
          <w:rFonts w:hint="eastAsia" w:hAnsi="宋体"/>
          <w:color w:val="auto"/>
          <w:sz w:val="24"/>
          <w:highlight w:val="none"/>
        </w:rPr>
        <w:t>000元。</w:t>
      </w:r>
    </w:p>
    <w:p w14:paraId="0E4E3FC4">
      <w:pPr>
        <w:pStyle w:val="67"/>
        <w:spacing w:line="460" w:lineRule="exact"/>
        <w:ind w:firstLine="480" w:firstLineChars="200"/>
        <w:rPr>
          <w:rFonts w:hint="eastAsia" w:hAnsi="宋体"/>
          <w:color w:val="auto"/>
          <w:sz w:val="24"/>
          <w:highlight w:val="none"/>
        </w:rPr>
      </w:pPr>
      <w:r>
        <w:rPr>
          <w:rFonts w:hint="eastAsia" w:hAnsi="宋体"/>
          <w:color w:val="auto"/>
          <w:sz w:val="24"/>
          <w:highlight w:val="none"/>
        </w:rPr>
        <w:t xml:space="preserve">6.2.2.2 如因监理人的原因而造成的经济损失，按如下规定向委托人赔偿： </w:t>
      </w:r>
    </w:p>
    <w:p w14:paraId="499CCC9B">
      <w:pPr>
        <w:pStyle w:val="67"/>
        <w:spacing w:line="460" w:lineRule="exact"/>
        <w:ind w:firstLine="480" w:firstLineChars="200"/>
        <w:rPr>
          <w:rFonts w:hint="eastAsia" w:hAnsi="宋体"/>
          <w:color w:val="auto"/>
          <w:sz w:val="24"/>
          <w:highlight w:val="none"/>
        </w:rPr>
      </w:pPr>
      <w:r>
        <w:rPr>
          <w:rFonts w:hint="eastAsia" w:hAnsi="宋体"/>
          <w:color w:val="auto"/>
          <w:sz w:val="24"/>
          <w:highlight w:val="none"/>
        </w:rPr>
        <w:t>（1）根据损失额（或工程变更引起增加额）与本工程签订的施工合同金额的比例，按相应比例双倍扣减监理酬金；若增加工程投资比例超过施工合同金额的20%时，委托人有权单方解除合同，并要求监理人赔偿委托人由此遭受的实际损失中的50%，累计不超过监理服务费的70%。</w:t>
      </w:r>
    </w:p>
    <w:p w14:paraId="15E547A5">
      <w:pPr>
        <w:pStyle w:val="67"/>
        <w:spacing w:line="460" w:lineRule="exact"/>
        <w:ind w:firstLine="480" w:firstLineChars="200"/>
        <w:rPr>
          <w:rFonts w:hint="eastAsia" w:hAnsi="宋体"/>
          <w:color w:val="auto"/>
          <w:sz w:val="24"/>
          <w:highlight w:val="none"/>
        </w:rPr>
      </w:pPr>
      <w:r>
        <w:rPr>
          <w:rFonts w:hint="eastAsia" w:hAnsi="宋体"/>
          <w:color w:val="auto"/>
          <w:sz w:val="24"/>
          <w:highlight w:val="none"/>
        </w:rPr>
        <w:t>（2）因监理人责任导致工期延误，其中分项工期延误日数占该项总工期的30%时，则委托人有权扣除该分项工程监理酬金的60%；分项工期延误日数达到该项总工期的50%时，则委托人有权单方解除合同。因监理人责任导致工程竣工拖延的，依据拖延的日数，监理人应每日按监理酬金总额的1%向委托人支付违约金。由于监理人责任导致工期延误，致使委托人要承担赔偿第三方责任的，监理人必须承担赔偿委托人由此遭受的实际损失中的50%。</w:t>
      </w:r>
    </w:p>
    <w:p w14:paraId="34467435">
      <w:pPr>
        <w:pStyle w:val="67"/>
        <w:spacing w:line="460" w:lineRule="exact"/>
        <w:ind w:firstLine="600" w:firstLineChars="250"/>
        <w:rPr>
          <w:rFonts w:hint="eastAsia" w:hAnsi="宋体"/>
          <w:color w:val="auto"/>
          <w:sz w:val="24"/>
          <w:highlight w:val="none"/>
        </w:rPr>
      </w:pPr>
      <w:r>
        <w:rPr>
          <w:rFonts w:hint="eastAsia" w:hAnsi="宋体"/>
          <w:color w:val="auto"/>
          <w:sz w:val="24"/>
          <w:highlight w:val="none"/>
        </w:rPr>
        <w:t>6.2.2.3 监理人发生监理过失违约后，当委托人认为监理人无正当理由而又未履行监理义务时，有权部分解除合同或完全解除合同。</w:t>
      </w:r>
    </w:p>
    <w:p w14:paraId="0316EAAD">
      <w:pPr>
        <w:pStyle w:val="67"/>
        <w:spacing w:line="460" w:lineRule="exact"/>
        <w:rPr>
          <w:rFonts w:hint="eastAsia" w:hAnsi="宋体"/>
          <w:b/>
          <w:bCs/>
          <w:color w:val="auto"/>
          <w:sz w:val="24"/>
          <w:highlight w:val="none"/>
        </w:rPr>
      </w:pPr>
      <w:r>
        <w:rPr>
          <w:rFonts w:hint="eastAsia" w:hAnsi="宋体"/>
          <w:color w:val="auto"/>
          <w:sz w:val="24"/>
          <w:highlight w:val="none"/>
        </w:rPr>
        <w:t xml:space="preserve">    </w:t>
      </w:r>
      <w:r>
        <w:rPr>
          <w:rFonts w:hint="eastAsia" w:hAnsi="宋体"/>
          <w:b/>
          <w:bCs/>
          <w:color w:val="auto"/>
          <w:sz w:val="24"/>
          <w:highlight w:val="none"/>
        </w:rPr>
        <w:t>6.3 监理渎职事件违约</w:t>
      </w:r>
    </w:p>
    <w:p w14:paraId="141FA06B">
      <w:pPr>
        <w:pStyle w:val="67"/>
        <w:spacing w:line="460" w:lineRule="exact"/>
        <w:ind w:firstLine="480" w:firstLineChars="200"/>
        <w:rPr>
          <w:rFonts w:hint="eastAsia" w:hAnsi="宋体"/>
          <w:color w:val="auto"/>
          <w:sz w:val="24"/>
          <w:highlight w:val="none"/>
        </w:rPr>
      </w:pPr>
      <w:r>
        <w:rPr>
          <w:rFonts w:hint="eastAsia" w:hAnsi="宋体"/>
          <w:color w:val="auto"/>
          <w:sz w:val="24"/>
          <w:highlight w:val="none"/>
        </w:rPr>
        <w:t>6.3.1 监理渎职事件违约的认定</w:t>
      </w:r>
    </w:p>
    <w:p w14:paraId="717DA5B5">
      <w:pPr>
        <w:pStyle w:val="67"/>
        <w:spacing w:line="460" w:lineRule="exact"/>
        <w:ind w:firstLine="480" w:firstLineChars="200"/>
        <w:rPr>
          <w:rFonts w:hint="eastAsia" w:hAnsi="宋体"/>
          <w:color w:val="auto"/>
          <w:sz w:val="24"/>
          <w:highlight w:val="none"/>
        </w:rPr>
      </w:pPr>
      <w:r>
        <w:rPr>
          <w:rFonts w:hint="eastAsia" w:hAnsi="宋体"/>
          <w:color w:val="auto"/>
          <w:sz w:val="24"/>
          <w:highlight w:val="none"/>
        </w:rPr>
        <w:t>监理人员不按监理合同履行职责，滥用监理职权，或与其他人故意串通，行为恶劣造成严重社会影响的，无论是否造成损失，一经发现并认定为监理渎职违约，并由委托人管理人员在“监理行为记录档案”作记录。</w:t>
      </w:r>
    </w:p>
    <w:p w14:paraId="667AA1D3">
      <w:pPr>
        <w:pStyle w:val="67"/>
        <w:spacing w:line="460" w:lineRule="exact"/>
        <w:ind w:firstLine="480" w:firstLineChars="200"/>
        <w:rPr>
          <w:rFonts w:hint="eastAsia" w:hAnsi="宋体"/>
          <w:color w:val="auto"/>
          <w:sz w:val="24"/>
          <w:highlight w:val="none"/>
        </w:rPr>
      </w:pPr>
      <w:r>
        <w:rPr>
          <w:rFonts w:hint="eastAsia" w:hAnsi="宋体"/>
          <w:color w:val="auto"/>
          <w:sz w:val="24"/>
          <w:highlight w:val="none"/>
        </w:rPr>
        <w:t xml:space="preserve"> 6.3.2监理渎职事件违约的责任承担</w:t>
      </w:r>
    </w:p>
    <w:p w14:paraId="56249DD1">
      <w:pPr>
        <w:pStyle w:val="67"/>
        <w:spacing w:line="460" w:lineRule="exact"/>
        <w:ind w:firstLine="600" w:firstLineChars="250"/>
        <w:rPr>
          <w:rFonts w:hint="eastAsia" w:hAnsi="宋体"/>
          <w:color w:val="auto"/>
          <w:sz w:val="24"/>
          <w:highlight w:val="none"/>
        </w:rPr>
      </w:pPr>
      <w:r>
        <w:rPr>
          <w:rFonts w:hint="eastAsia" w:hAnsi="宋体"/>
          <w:color w:val="auto"/>
          <w:sz w:val="24"/>
          <w:highlight w:val="none"/>
        </w:rPr>
        <w:t>6.3.2.1 监理人发生监理渎职违约一次，承担非常严重违约责任一次，扣除监理人违约金5000元。</w:t>
      </w:r>
    </w:p>
    <w:p w14:paraId="6BA85A70">
      <w:pPr>
        <w:pStyle w:val="67"/>
        <w:spacing w:line="460" w:lineRule="exact"/>
        <w:ind w:firstLine="600" w:firstLineChars="250"/>
        <w:rPr>
          <w:rFonts w:hint="eastAsia" w:hAnsi="宋体"/>
          <w:color w:val="auto"/>
          <w:sz w:val="24"/>
          <w:highlight w:val="none"/>
        </w:rPr>
      </w:pPr>
      <w:r>
        <w:rPr>
          <w:rFonts w:hint="eastAsia" w:hAnsi="宋体"/>
          <w:color w:val="auto"/>
          <w:sz w:val="24"/>
          <w:highlight w:val="none"/>
        </w:rPr>
        <w:t>6.3.2.2 委托人勒令监理人更换监理人员，直至解除合同（合同解除办法同上）。</w:t>
      </w:r>
    </w:p>
    <w:p w14:paraId="134A9175">
      <w:pPr>
        <w:pStyle w:val="67"/>
        <w:spacing w:line="460" w:lineRule="exact"/>
        <w:ind w:firstLine="600" w:firstLineChars="250"/>
        <w:rPr>
          <w:rFonts w:hint="eastAsia" w:hAnsi="宋体"/>
          <w:color w:val="auto"/>
          <w:sz w:val="24"/>
          <w:highlight w:val="none"/>
        </w:rPr>
      </w:pPr>
      <w:r>
        <w:rPr>
          <w:rFonts w:hint="eastAsia" w:hAnsi="宋体"/>
          <w:color w:val="auto"/>
          <w:sz w:val="24"/>
          <w:highlight w:val="none"/>
        </w:rPr>
        <w:t>6.3.2.3 如监理人的原因造成委托人或工程损失的，监理人承担全部赔偿责任。</w:t>
      </w:r>
    </w:p>
    <w:p w14:paraId="318F3568">
      <w:pPr>
        <w:pStyle w:val="67"/>
        <w:spacing w:line="460" w:lineRule="exact"/>
        <w:ind w:firstLine="600" w:firstLineChars="250"/>
        <w:rPr>
          <w:rFonts w:hint="eastAsia" w:hAnsi="宋体"/>
          <w:color w:val="auto"/>
          <w:sz w:val="24"/>
          <w:highlight w:val="none"/>
        </w:rPr>
      </w:pPr>
      <w:r>
        <w:rPr>
          <w:rFonts w:hint="eastAsia" w:hAnsi="宋体"/>
          <w:color w:val="auto"/>
          <w:sz w:val="24"/>
          <w:highlight w:val="none"/>
        </w:rPr>
        <w:t>6.3.2.4 监理人必须加强对监理人员职业操守、廉政建设的培训和教育，本项目监理人员利用职业身份“吃、拿、卡、要”或有其他违反职业操守及廉政建设相关规定的，一经查实，监理人应立即清退该监理人员，并承担1次非常严重违约责任，扣除监理人违约金¥10000元。如监理人违背了以下7款的任何情况，视为非常严重的违约，直接解除合同，不做费用补偿，且对已完成的监理服务，不再支付监理费用，并通报建设行政主管部门：</w:t>
      </w:r>
    </w:p>
    <w:p w14:paraId="677CAEB7">
      <w:pPr>
        <w:pStyle w:val="67"/>
        <w:spacing w:line="460" w:lineRule="exact"/>
        <w:ind w:firstLine="600" w:firstLineChars="250"/>
        <w:rPr>
          <w:rFonts w:hint="eastAsia" w:hAnsi="宋体"/>
          <w:color w:val="auto"/>
          <w:sz w:val="24"/>
          <w:highlight w:val="none"/>
        </w:rPr>
      </w:pPr>
      <w:r>
        <w:rPr>
          <w:rFonts w:hint="eastAsia" w:hAnsi="宋体"/>
          <w:color w:val="auto"/>
          <w:sz w:val="24"/>
          <w:highlight w:val="none"/>
        </w:rPr>
        <w:t>1）禁止向委托人及承包人推销材料、设备，或以倾向性、排他性变相推销；</w:t>
      </w:r>
    </w:p>
    <w:p w14:paraId="7330B46C">
      <w:pPr>
        <w:pStyle w:val="67"/>
        <w:spacing w:line="460" w:lineRule="exact"/>
        <w:ind w:firstLine="600" w:firstLineChars="250"/>
        <w:rPr>
          <w:rFonts w:hint="eastAsia" w:hAnsi="宋体"/>
          <w:color w:val="auto"/>
          <w:sz w:val="24"/>
          <w:highlight w:val="none"/>
        </w:rPr>
      </w:pPr>
      <w:r>
        <w:rPr>
          <w:rFonts w:hint="eastAsia" w:hAnsi="宋体"/>
          <w:color w:val="auto"/>
          <w:sz w:val="24"/>
          <w:highlight w:val="none"/>
        </w:rPr>
        <w:t>2）禁止与承包人串通，对不合格材料、产品、工程进行包庇及验收；</w:t>
      </w:r>
    </w:p>
    <w:p w14:paraId="478DF63A">
      <w:pPr>
        <w:pStyle w:val="67"/>
        <w:spacing w:line="460" w:lineRule="exact"/>
        <w:ind w:firstLine="600" w:firstLineChars="250"/>
        <w:rPr>
          <w:rFonts w:hint="eastAsia" w:hAnsi="宋体"/>
          <w:color w:val="auto"/>
          <w:sz w:val="24"/>
          <w:highlight w:val="none"/>
        </w:rPr>
      </w:pPr>
      <w:r>
        <w:rPr>
          <w:rFonts w:hint="eastAsia" w:hAnsi="宋体"/>
          <w:color w:val="auto"/>
          <w:sz w:val="24"/>
          <w:highlight w:val="none"/>
        </w:rPr>
        <w:t>3）禁止与承包人串通，对材料用量、工程量进行虚假签认；</w:t>
      </w:r>
    </w:p>
    <w:p w14:paraId="55CE4397">
      <w:pPr>
        <w:pStyle w:val="67"/>
        <w:spacing w:line="460" w:lineRule="exact"/>
        <w:ind w:firstLine="600" w:firstLineChars="250"/>
        <w:rPr>
          <w:rFonts w:hint="eastAsia" w:hAnsi="宋体"/>
          <w:color w:val="auto"/>
          <w:sz w:val="24"/>
          <w:highlight w:val="none"/>
        </w:rPr>
      </w:pPr>
      <w:r>
        <w:rPr>
          <w:rFonts w:hint="eastAsia" w:hAnsi="宋体"/>
          <w:color w:val="auto"/>
          <w:sz w:val="24"/>
          <w:highlight w:val="none"/>
        </w:rPr>
        <w:t>4）禁止与承包人串通，不合理提高施工难度及增加材料用量，以增大施工费用，获取不正当收益。</w:t>
      </w:r>
    </w:p>
    <w:p w14:paraId="5BE7D934">
      <w:pPr>
        <w:pStyle w:val="67"/>
        <w:spacing w:line="460" w:lineRule="exact"/>
        <w:ind w:firstLine="600" w:firstLineChars="250"/>
        <w:rPr>
          <w:rFonts w:hint="eastAsia" w:hAnsi="宋体"/>
          <w:color w:val="auto"/>
          <w:sz w:val="24"/>
          <w:highlight w:val="none"/>
        </w:rPr>
      </w:pPr>
      <w:r>
        <w:rPr>
          <w:rFonts w:hint="eastAsia" w:hAnsi="宋体"/>
          <w:color w:val="auto"/>
          <w:sz w:val="24"/>
          <w:highlight w:val="none"/>
        </w:rPr>
        <w:t>5）禁止接受承包人的请吃送礼或变相受礼；</w:t>
      </w:r>
    </w:p>
    <w:p w14:paraId="4958A281">
      <w:pPr>
        <w:pStyle w:val="67"/>
        <w:spacing w:line="460" w:lineRule="exact"/>
        <w:ind w:firstLine="600" w:firstLineChars="250"/>
        <w:rPr>
          <w:rFonts w:hint="eastAsia" w:hAnsi="宋体"/>
          <w:color w:val="auto"/>
          <w:sz w:val="24"/>
          <w:highlight w:val="none"/>
        </w:rPr>
      </w:pPr>
      <w:r>
        <w:rPr>
          <w:rFonts w:hint="eastAsia" w:hAnsi="宋体"/>
          <w:color w:val="auto"/>
          <w:sz w:val="24"/>
          <w:highlight w:val="none"/>
        </w:rPr>
        <w:t>6）禁止向承包人介绍分包或推销材料、设备等；</w:t>
      </w:r>
    </w:p>
    <w:p w14:paraId="63E59BA2">
      <w:pPr>
        <w:pStyle w:val="67"/>
        <w:spacing w:line="460" w:lineRule="exact"/>
        <w:ind w:firstLine="600" w:firstLineChars="250"/>
        <w:rPr>
          <w:rFonts w:hint="eastAsia" w:hAnsi="宋体"/>
          <w:color w:val="auto"/>
          <w:sz w:val="24"/>
          <w:highlight w:val="none"/>
        </w:rPr>
      </w:pPr>
      <w:r>
        <w:rPr>
          <w:rFonts w:hint="eastAsia" w:hAnsi="宋体"/>
          <w:color w:val="auto"/>
          <w:sz w:val="24"/>
          <w:highlight w:val="none"/>
        </w:rPr>
        <w:t>7）禁止故意刁难承包人以谋取私利，损害委托人的合法利益。</w:t>
      </w:r>
    </w:p>
    <w:p w14:paraId="22A09CB1">
      <w:pPr>
        <w:pStyle w:val="67"/>
        <w:spacing w:line="460" w:lineRule="exact"/>
        <w:ind w:firstLine="600" w:firstLineChars="250"/>
        <w:rPr>
          <w:rFonts w:hint="eastAsia" w:hAnsi="宋体"/>
          <w:color w:val="auto"/>
          <w:sz w:val="24"/>
          <w:highlight w:val="none"/>
        </w:rPr>
      </w:pPr>
      <w:r>
        <w:rPr>
          <w:rFonts w:hint="eastAsia" w:hAnsi="宋体"/>
          <w:color w:val="auto"/>
          <w:sz w:val="24"/>
          <w:highlight w:val="none"/>
        </w:rPr>
        <w:t>6.3.2.5 如监理人在投标时根据招标文件《综合评分表》“人员配置”作出了增加人员的承诺，而开工后，实际上没有增加，经发包人要求后，在10天内仍未能配齐增加的造价工程师和专业工程师，则视为非常严重的违约，直接解除合同。</w:t>
      </w:r>
    </w:p>
    <w:p w14:paraId="0C33A9D2">
      <w:pPr>
        <w:pStyle w:val="67"/>
        <w:spacing w:line="460" w:lineRule="exact"/>
        <w:ind w:firstLine="482" w:firstLineChars="200"/>
        <w:rPr>
          <w:rFonts w:hint="eastAsia" w:hAnsi="宋体"/>
          <w:b/>
          <w:bCs/>
          <w:color w:val="auto"/>
          <w:sz w:val="24"/>
          <w:highlight w:val="none"/>
        </w:rPr>
      </w:pPr>
      <w:r>
        <w:rPr>
          <w:rFonts w:hint="eastAsia" w:hAnsi="宋体"/>
          <w:b/>
          <w:bCs/>
          <w:color w:val="auto"/>
          <w:sz w:val="24"/>
          <w:highlight w:val="none"/>
        </w:rPr>
        <w:t>6.4 监理不达标造成的违约</w:t>
      </w:r>
    </w:p>
    <w:p w14:paraId="101F443B">
      <w:pPr>
        <w:pStyle w:val="67"/>
        <w:spacing w:line="460" w:lineRule="exact"/>
        <w:ind w:firstLine="480" w:firstLineChars="200"/>
        <w:rPr>
          <w:rFonts w:hint="eastAsia" w:hAnsi="宋体"/>
          <w:color w:val="auto"/>
          <w:sz w:val="24"/>
          <w:highlight w:val="none"/>
        </w:rPr>
      </w:pPr>
      <w:r>
        <w:rPr>
          <w:rFonts w:hint="eastAsia" w:hAnsi="宋体"/>
          <w:color w:val="auto"/>
          <w:sz w:val="24"/>
          <w:highlight w:val="none"/>
        </w:rPr>
        <w:t>6.4.1 监理不达标违约的认定</w:t>
      </w:r>
    </w:p>
    <w:p w14:paraId="1771CB90">
      <w:pPr>
        <w:pStyle w:val="67"/>
        <w:spacing w:line="460" w:lineRule="exact"/>
        <w:ind w:firstLine="480" w:firstLineChars="200"/>
        <w:rPr>
          <w:rFonts w:hint="eastAsia" w:hAnsi="宋体"/>
          <w:color w:val="auto"/>
          <w:sz w:val="24"/>
          <w:highlight w:val="none"/>
        </w:rPr>
      </w:pPr>
      <w:r>
        <w:rPr>
          <w:rFonts w:hint="eastAsia" w:hAnsi="宋体"/>
          <w:color w:val="auto"/>
          <w:sz w:val="24"/>
          <w:highlight w:val="none"/>
        </w:rPr>
        <w:t>工程竣工结算后，监理协议书第三项监理目标的任何一项目标的不达标，均视为监理人的监理目标违约。</w:t>
      </w:r>
    </w:p>
    <w:p w14:paraId="6DD59B5C">
      <w:pPr>
        <w:pStyle w:val="67"/>
        <w:spacing w:line="460" w:lineRule="exact"/>
        <w:ind w:firstLine="480" w:firstLineChars="200"/>
        <w:rPr>
          <w:rFonts w:hint="eastAsia" w:hAnsi="宋体"/>
          <w:color w:val="auto"/>
          <w:sz w:val="24"/>
          <w:highlight w:val="none"/>
        </w:rPr>
      </w:pPr>
      <w:r>
        <w:rPr>
          <w:rFonts w:hint="eastAsia" w:hAnsi="宋体"/>
          <w:color w:val="auto"/>
          <w:sz w:val="24"/>
          <w:highlight w:val="none"/>
        </w:rPr>
        <w:t>6.4.2 监理目标违约的责任承担</w:t>
      </w:r>
    </w:p>
    <w:p w14:paraId="2EA8D557">
      <w:pPr>
        <w:pStyle w:val="67"/>
        <w:spacing w:line="460" w:lineRule="exact"/>
        <w:rPr>
          <w:rFonts w:hint="eastAsia" w:hAnsi="宋体"/>
          <w:color w:val="auto"/>
          <w:sz w:val="24"/>
          <w:highlight w:val="none"/>
        </w:rPr>
      </w:pPr>
      <w:r>
        <w:rPr>
          <w:rFonts w:hint="eastAsia" w:hAnsi="宋体"/>
          <w:color w:val="auto"/>
          <w:sz w:val="24"/>
          <w:highlight w:val="none"/>
        </w:rPr>
        <w:t xml:space="preserve">    6.4.2.1 质量控制不达标：工程竣工验收质量未达到施工合同等级要求的，不管任何原因，结算扣减监理合同价款的3％。</w:t>
      </w:r>
    </w:p>
    <w:p w14:paraId="1EFA036F">
      <w:pPr>
        <w:pStyle w:val="67"/>
        <w:spacing w:line="460" w:lineRule="exact"/>
        <w:ind w:firstLine="480"/>
        <w:rPr>
          <w:rFonts w:hint="eastAsia" w:hAnsi="宋体"/>
          <w:color w:val="auto"/>
          <w:sz w:val="24"/>
          <w:highlight w:val="none"/>
        </w:rPr>
      </w:pPr>
      <w:r>
        <w:rPr>
          <w:rFonts w:hint="eastAsia" w:hAnsi="宋体"/>
          <w:color w:val="auto"/>
          <w:sz w:val="24"/>
          <w:highlight w:val="none"/>
        </w:rPr>
        <w:t>6.4.2.2 投资控制不达标：由监理单位编制投资控制计划和投资控制措施，报建设单位审核，若监理单位未能落实控制措施，出现投资增加，工程建安费结算价突破投资控制值的，每突破1％，结算扣减监理合同价款的1％。</w:t>
      </w:r>
    </w:p>
    <w:p w14:paraId="1B05263D">
      <w:pPr>
        <w:pStyle w:val="67"/>
        <w:spacing w:line="460" w:lineRule="exact"/>
        <w:ind w:firstLine="480"/>
        <w:rPr>
          <w:rFonts w:hint="eastAsia" w:hAnsi="宋体"/>
          <w:color w:val="auto"/>
          <w:sz w:val="24"/>
          <w:highlight w:val="none"/>
        </w:rPr>
      </w:pPr>
      <w:r>
        <w:rPr>
          <w:rFonts w:hint="eastAsia" w:hAnsi="宋体"/>
          <w:color w:val="auto"/>
          <w:sz w:val="24"/>
          <w:highlight w:val="none"/>
        </w:rPr>
        <w:t>6.4.2.3 进度控制不达标：工程竣工验收通过日延误的，委托人视监理人的责任情况结算扣减监理合同价款的1％－3％。</w:t>
      </w:r>
    </w:p>
    <w:p w14:paraId="47EB0213">
      <w:pPr>
        <w:pStyle w:val="67"/>
        <w:spacing w:line="460" w:lineRule="exact"/>
        <w:rPr>
          <w:rFonts w:hint="eastAsia" w:hAnsi="宋体"/>
          <w:color w:val="auto"/>
          <w:sz w:val="24"/>
          <w:highlight w:val="none"/>
        </w:rPr>
      </w:pPr>
      <w:r>
        <w:rPr>
          <w:rFonts w:hint="eastAsia" w:hAnsi="宋体"/>
          <w:color w:val="auto"/>
          <w:sz w:val="24"/>
          <w:highlight w:val="none"/>
        </w:rPr>
        <w:t xml:space="preserve">    6.4.2.4 安全管理不达标：工程发生一般安全生产事故，或被上级主管部门通报批评、被新闻媒体曝光的，结算扣减监理合同价款的1％；发生较大以上安全质量事故（按国家及合同有关规定界定）的，结算扣减监理合同价款的3％。情节严重的，委托人有权部分或全部解除合同。</w:t>
      </w:r>
    </w:p>
    <w:p w14:paraId="7FAF4CC2">
      <w:pPr>
        <w:pStyle w:val="67"/>
        <w:spacing w:line="460" w:lineRule="exact"/>
        <w:ind w:firstLine="600" w:firstLineChars="250"/>
        <w:rPr>
          <w:rFonts w:hint="eastAsia" w:hAnsi="宋体"/>
          <w:color w:val="auto"/>
          <w:sz w:val="24"/>
          <w:highlight w:val="none"/>
        </w:rPr>
      </w:pPr>
      <w:r>
        <w:rPr>
          <w:rFonts w:hint="eastAsia" w:hAnsi="宋体"/>
          <w:color w:val="auto"/>
          <w:sz w:val="24"/>
          <w:highlight w:val="none"/>
        </w:rPr>
        <w:t>6.4.2.5 监理人应保证每季度进度计量（价）数据的准确性，如发生计量（价）误差＞5%，则视为监理人违约一次，扣除监理人违约金2000/次。</w:t>
      </w:r>
    </w:p>
    <w:p w14:paraId="7BE26912">
      <w:pPr>
        <w:pStyle w:val="67"/>
        <w:spacing w:line="460" w:lineRule="exact"/>
        <w:ind w:firstLine="600" w:firstLineChars="250"/>
        <w:rPr>
          <w:rFonts w:hint="eastAsia" w:hAnsi="宋体"/>
          <w:color w:val="auto"/>
          <w:sz w:val="24"/>
          <w:highlight w:val="none"/>
        </w:rPr>
      </w:pPr>
      <w:r>
        <w:rPr>
          <w:rFonts w:hint="eastAsia" w:hAnsi="宋体"/>
          <w:color w:val="auto"/>
          <w:sz w:val="24"/>
          <w:highlight w:val="none"/>
        </w:rPr>
        <w:t>6.4.2.6 对监理人上述违约处罚，不免除追究当事人和监理人的法律责任和相关赔偿责任。</w:t>
      </w:r>
    </w:p>
    <w:p w14:paraId="5719897F">
      <w:pPr>
        <w:pStyle w:val="67"/>
        <w:spacing w:line="460" w:lineRule="exact"/>
        <w:rPr>
          <w:rFonts w:hint="eastAsia" w:hAnsi="宋体"/>
          <w:color w:val="auto"/>
          <w:sz w:val="24"/>
          <w:highlight w:val="none"/>
        </w:rPr>
      </w:pPr>
      <w:r>
        <w:rPr>
          <w:rFonts w:hint="eastAsia" w:hAnsi="宋体"/>
          <w:color w:val="auto"/>
          <w:sz w:val="24"/>
          <w:highlight w:val="none"/>
        </w:rPr>
        <w:t xml:space="preserve">    </w:t>
      </w:r>
      <w:r>
        <w:rPr>
          <w:rFonts w:hint="eastAsia" w:hAnsi="宋体"/>
          <w:b/>
          <w:bCs/>
          <w:color w:val="auto"/>
          <w:sz w:val="24"/>
          <w:highlight w:val="none"/>
        </w:rPr>
        <w:t>6.5 监理违约的处理程序</w:t>
      </w:r>
    </w:p>
    <w:p w14:paraId="6E748AA5">
      <w:pPr>
        <w:pStyle w:val="67"/>
        <w:spacing w:line="460" w:lineRule="exact"/>
        <w:ind w:firstLine="480" w:firstLineChars="200"/>
        <w:rPr>
          <w:rFonts w:hint="eastAsia" w:hAnsi="宋体"/>
          <w:color w:val="auto"/>
          <w:sz w:val="24"/>
          <w:highlight w:val="none"/>
        </w:rPr>
      </w:pPr>
      <w:r>
        <w:rPr>
          <w:rFonts w:hint="eastAsia" w:hAnsi="宋体"/>
          <w:color w:val="auto"/>
          <w:sz w:val="24"/>
          <w:highlight w:val="none"/>
        </w:rPr>
        <w:t>6.5.1 由委托人管理人员在“监理行为记录档案”中将监理人的具体违约情况记录，并将记录内容书面告知监理人。</w:t>
      </w:r>
    </w:p>
    <w:p w14:paraId="12C07D29">
      <w:pPr>
        <w:pStyle w:val="67"/>
        <w:spacing w:line="460" w:lineRule="exact"/>
        <w:ind w:firstLine="480" w:firstLineChars="200"/>
        <w:rPr>
          <w:rFonts w:hint="eastAsia" w:hAnsi="宋体"/>
          <w:color w:val="auto"/>
          <w:sz w:val="24"/>
          <w:highlight w:val="none"/>
        </w:rPr>
      </w:pPr>
      <w:r>
        <w:rPr>
          <w:rFonts w:hint="eastAsia" w:hAnsi="宋体"/>
          <w:color w:val="auto"/>
          <w:sz w:val="24"/>
          <w:highlight w:val="none"/>
        </w:rPr>
        <w:t>6.5.2 委托人不定期将有关监理人的违约情况以记录、通知、会议纪要等书面形式通知监理人，指明其未能履约的内容和委托人要求其承担违约责任的等级。</w:t>
      </w:r>
    </w:p>
    <w:p w14:paraId="2852DF01">
      <w:pPr>
        <w:pStyle w:val="67"/>
        <w:spacing w:line="460" w:lineRule="exact"/>
        <w:ind w:firstLine="480" w:firstLineChars="200"/>
        <w:rPr>
          <w:rFonts w:hint="eastAsia" w:hAnsi="宋体"/>
          <w:color w:val="auto"/>
          <w:sz w:val="24"/>
          <w:highlight w:val="none"/>
        </w:rPr>
      </w:pPr>
      <w:r>
        <w:rPr>
          <w:rFonts w:hint="eastAsia" w:hAnsi="宋体"/>
          <w:color w:val="auto"/>
          <w:sz w:val="24"/>
          <w:highlight w:val="none"/>
        </w:rPr>
        <w:t>6.5.3 监理人收到书面处理通知后，如有足够证据证明不应由其承担违约责任的，应在收到违约处理决定后3天内以书面形式向委托人提出异议并附上有关证据，委托人在收到监理人的异议后15天内审核完毕且作出书面决定并通知监理人。否则书面通知则作为处理决定。</w:t>
      </w:r>
    </w:p>
    <w:p w14:paraId="3E03E0DD">
      <w:pPr>
        <w:pStyle w:val="67"/>
        <w:spacing w:line="460" w:lineRule="exact"/>
        <w:ind w:firstLine="480" w:firstLineChars="200"/>
        <w:rPr>
          <w:rFonts w:hint="eastAsia" w:hAnsi="宋体"/>
          <w:color w:val="auto"/>
          <w:sz w:val="24"/>
          <w:highlight w:val="none"/>
        </w:rPr>
      </w:pPr>
      <w:r>
        <w:rPr>
          <w:rFonts w:hint="eastAsia" w:hAnsi="宋体"/>
          <w:color w:val="auto"/>
          <w:sz w:val="24"/>
          <w:highlight w:val="none"/>
        </w:rPr>
        <w:t>6.5.4 委托人将进一步将监理人执行国家强制性规范、标准和履行合同、招投标文件义务的情况（包括但不限于由委托人组织的考核、考评通报、违约责任处理决定等）再报当地建设行政主管部门并在媒体上公开披露。</w:t>
      </w:r>
    </w:p>
    <w:p w14:paraId="7BA36212">
      <w:pPr>
        <w:pStyle w:val="67"/>
        <w:spacing w:line="460" w:lineRule="exact"/>
        <w:ind w:firstLine="480" w:firstLineChars="200"/>
        <w:rPr>
          <w:rFonts w:hint="eastAsia" w:hAnsi="宋体"/>
          <w:color w:val="auto"/>
          <w:sz w:val="24"/>
          <w:highlight w:val="none"/>
        </w:rPr>
      </w:pPr>
      <w:r>
        <w:rPr>
          <w:rFonts w:hint="eastAsia" w:hAnsi="宋体"/>
          <w:color w:val="auto"/>
          <w:sz w:val="24"/>
          <w:highlight w:val="none"/>
        </w:rPr>
        <w:t>6.5.5 部分解除合同：委托人向监理人发出部分解除合同的通知后，合同部分解除即生效，监理人必须在3日内停止被解除部分的工作，5日内配合委托人完成现场工作和有关资料的移交，所交接资料必须完整。监理人无特殊原因未在规定期限内完成移交和撤出，或交接资料不完整的，委托人有权处理其留在现场的材料、设备和其他物件，处理费用由监理人承担，委托人有权视情况全部解除合同。因监理人拒交或延误交接现场工作和有关资料而引致委托人工期延误及其他方面的损失，委托人有权要求监理人赔偿有关损失。委托人在发出部分解除合同的通知后，委托人即可委托新的监理人承接该部分工程，监理人不得影响或阻碍新的监理人办理进场手续和相关工作。</w:t>
      </w:r>
    </w:p>
    <w:p w14:paraId="51D4C68F">
      <w:pPr>
        <w:pStyle w:val="67"/>
        <w:spacing w:line="460" w:lineRule="exact"/>
        <w:ind w:firstLine="480" w:firstLineChars="200"/>
        <w:rPr>
          <w:rFonts w:hint="eastAsia" w:hAnsi="宋体"/>
          <w:color w:val="auto"/>
          <w:sz w:val="24"/>
          <w:highlight w:val="none"/>
        </w:rPr>
      </w:pPr>
      <w:r>
        <w:rPr>
          <w:rFonts w:hint="eastAsia" w:hAnsi="宋体"/>
          <w:color w:val="auto"/>
          <w:sz w:val="24"/>
          <w:highlight w:val="none"/>
        </w:rPr>
        <w:t>6.5.6 完全解除合同：委托人向监理人发出解除合同的通知后，合同即解除，监理人必须在3日内停止全部工作，5日内配合委托人完成现场工作和有关资料的移交，并于完成交接工作当日内离场。监理人应保证所移交的资料齐全完整，监理人无特殊原因未在规定期限内完成移交和离场或所移交的资料不完整的，委托人有权处理其留在现场的材料、设备和其他物件，处理费用由监理人承担，如果引致委托人工期延误和其他方面的损失，委托人将要求监理人赔偿有关损失。委托人在发出解除合同的通知后，委托人即可委托新的监理人承接该工程，监理人不得影响或阻碍新的监理人办理进场手续和相关工作。</w:t>
      </w:r>
    </w:p>
    <w:p w14:paraId="4BE14420">
      <w:pPr>
        <w:pStyle w:val="4"/>
        <w:wordWrap w:val="0"/>
        <w:autoSpaceDE/>
        <w:autoSpaceDN/>
        <w:snapToGrid w:val="0"/>
        <w:spacing w:line="440" w:lineRule="exact"/>
        <w:ind w:firstLine="480"/>
        <w:jc w:val="both"/>
        <w:outlineLvl w:val="1"/>
        <w:rPr>
          <w:rFonts w:hint="eastAsia" w:ascii="Times New Roman"/>
          <w:b/>
          <w:snapToGrid w:val="0"/>
          <w:color w:val="auto"/>
          <w:szCs w:val="22"/>
          <w:highlight w:val="none"/>
        </w:rPr>
      </w:pPr>
      <w:bookmarkStart w:id="237" w:name="_Toc21519"/>
      <w:bookmarkStart w:id="238" w:name="_Toc18555"/>
      <w:bookmarkStart w:id="239" w:name="_Toc22285"/>
      <w:bookmarkStart w:id="240" w:name="_Toc15156"/>
      <w:r>
        <w:rPr>
          <w:rFonts w:hint="eastAsia" w:ascii="Times New Roman"/>
          <w:b/>
          <w:snapToGrid w:val="0"/>
          <w:color w:val="auto"/>
          <w:szCs w:val="22"/>
          <w:highlight w:val="none"/>
        </w:rPr>
        <w:t>7. 工程质量、造价、进度控制及安全生产管理</w:t>
      </w:r>
      <w:bookmarkEnd w:id="237"/>
      <w:bookmarkEnd w:id="238"/>
      <w:bookmarkEnd w:id="239"/>
      <w:bookmarkEnd w:id="240"/>
    </w:p>
    <w:p w14:paraId="052B4400">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 工程质量控制：</w:t>
      </w:r>
    </w:p>
    <w:p w14:paraId="17E18D6A">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7.1.1 工程开工前，项目监理机构应审查施工单位现场的质量管理组织机构、管理制度及专职管理人员和特种作业人员的资格。</w:t>
      </w:r>
    </w:p>
    <w:p w14:paraId="455E7DB5">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7.1.2 总监理工程师应组织专业监理工程师审查施工单位报审的施工方案，符合要求后应予以签认。施工方案审查应包括下列基本内容：</w:t>
      </w:r>
    </w:p>
    <w:p w14:paraId="12AD2596">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（1）编审程序应符合相关规定。</w:t>
      </w:r>
    </w:p>
    <w:p w14:paraId="572728C8">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（2）工程质量保证措施应符合有关标准。</w:t>
      </w:r>
    </w:p>
    <w:p w14:paraId="5FD6D4F6">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7.1.3 施工方案报审表应按相应规范的要求填写。</w:t>
      </w:r>
    </w:p>
    <w:p w14:paraId="76AAFF2C">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7.1.4 专业监理工程师应审查施工单位报送的新材料、新工艺、新技术、新设备的质量认证材料和相关验收标准的适用性，必要时，应要求施工单位组织专题论证，审查合格后报总监理工程师签认。</w:t>
      </w:r>
    </w:p>
    <w:p w14:paraId="3D8D68EE">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7.1.5 专业监理工程师应检查、复核施工单位报送的施工控制测量成果及保护措施，签署意见。专业监理工程师应对施工单位在施工过程中报送的施工测量放线成果进行查验。施工控制测量成果及保护措施的检查、复核，应包括下列内容：</w:t>
      </w:r>
    </w:p>
    <w:p w14:paraId="62243F35">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（1）施工单位测量人员的资格证书及测量设备检定证书。</w:t>
      </w:r>
    </w:p>
    <w:p w14:paraId="753C0AC3">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（2）施工平面控制网、高程控制网和临时水准点的测量成果及控制桩的保护措施。</w:t>
      </w:r>
    </w:p>
    <w:p w14:paraId="796848B1">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7.1.6 施工控制测量成果报验表应按相应规范的要求填写。</w:t>
      </w:r>
    </w:p>
    <w:p w14:paraId="2BC25C29">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7.1.7 专业监理工程师应检查施工单位为工程提供服务的试验室。</w:t>
      </w:r>
    </w:p>
    <w:p w14:paraId="4A8D2A78">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试验室的检查应包括下列内容：</w:t>
      </w:r>
    </w:p>
    <w:p w14:paraId="3F1D6990">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（1）试验室的资质等级及试验范围。</w:t>
      </w:r>
    </w:p>
    <w:p w14:paraId="083C22E5">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（2）法定计量部门对试验设备出具的计量检定证明。</w:t>
      </w:r>
    </w:p>
    <w:p w14:paraId="6188EF96">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（3）试验室管理制度。</w:t>
      </w:r>
    </w:p>
    <w:p w14:paraId="7CDC8ED5">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（4）试验人员资格证书。</w:t>
      </w:r>
    </w:p>
    <w:p w14:paraId="17538966">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7.1.8 施工单位的试验室报审表应按相应规范的要求填写。</w:t>
      </w:r>
    </w:p>
    <w:p w14:paraId="08372CDF">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7.1.9 项目监理机构应审查施工单位报送的用于工程的材料、构配件、设备的质量证明文件，并应按有关规定、建设工程监理合同约定，对用于工程的材料进行见证取样、平行检验。项目监理机构对已进场经检验不合格的工程材料、构配件、设备，应要求施工单位限期将其撤出施工现场。工程材料、构配件、设备报审表应按相应规范的要求填写。</w:t>
      </w:r>
    </w:p>
    <w:p w14:paraId="7181CE04">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7.1.10 专业监理工程师应审查施工单位定期提交影响工程质量的计量设备的检查和检定报告。</w:t>
      </w:r>
    </w:p>
    <w:p w14:paraId="0A2DFDB0">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7.1.11 项目监理机构应根据工程特点和施工单位报送的施工组织设计，确定旁站的关键部位、关键工序，安排监理人员进行旁站，并应及时记录旁站情况。旁站记录应按相应规范的要求填写。</w:t>
      </w:r>
    </w:p>
    <w:p w14:paraId="2B9D76A4">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7.1.12 项目监理机构应安排监理人员对工程施工质量进行巡视。巡视应包括下列主要内容：</w:t>
      </w:r>
    </w:p>
    <w:p w14:paraId="61D012E0">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（1）施工单位是否按工程设计文件、工程建设标准和批准的施工组织设计、(专项)施工方案施工。</w:t>
      </w:r>
    </w:p>
    <w:p w14:paraId="52B66411">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（2）使用的工程材料、构配件和设备是否合格。</w:t>
      </w:r>
    </w:p>
    <w:p w14:paraId="42E8248E">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（3）施工现场管理人员，特别是施工质量管理人员是否到位。</w:t>
      </w:r>
    </w:p>
    <w:p w14:paraId="13E44CD5">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（4）特种作业人员是否持证上岗。</w:t>
      </w:r>
    </w:p>
    <w:p w14:paraId="04FF7ABA">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7.1.13 项目监理机构应根据工程特点、专业要求，以及建设工程监理合同约定，对施工质量进行平行检验。</w:t>
      </w:r>
    </w:p>
    <w:p w14:paraId="5848EDAC">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7.1.14 项目监理机构应对施工单位报验的隐蔽工程、检验批、分项工程和分部工程进行验收，对验收合格的应给予签认；对验收不合格的应拒绝签认，同时应要求施工单位在指定的时间内整改并重新报验。对已同意覆盖的工程隐蔽部位质量有疑问的，或发现施工单位私自覆盖工程隐蔽部位的，项目监理机构应要求施工单位对该隐蔽部位进行钻孔探测、剥离或其他方法进行重新检验。隐蔽工程、检验批、分项工程报验表及分部工程报验表应按相应规范的要求填写。</w:t>
      </w:r>
    </w:p>
    <w:p w14:paraId="50897D6F">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7.1.15 项目监理机构发现施工存在质量问题的，或施工单位采用不适当的施工工艺，或施工不当，造成工程质量不合格的，应及时签发监理通知单，要求施工单位整改。整改完毕后，项目监理机构应根据施工单位报送的监理通知回复单对整改情况进行复查，提出复查意见。监理通知单及监理通知回复单应按相应规范的要求填写。</w:t>
      </w:r>
    </w:p>
    <w:p w14:paraId="3C86B229">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7.1.16 对需要返工处理或加固补强的质量缺陷，项目监理机构应要求施工单位报送经设计等相关单位认可的处理方案，并应对质量缺陷的处理过程进行跟踪检查，同时应对处理结果进行验收。</w:t>
      </w:r>
    </w:p>
    <w:p w14:paraId="474DB2EB">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7.1.17 对需要返工处理或加固补强的质量事故，项目监理机构应要求施工单位报送质量事故调查报告和经设计等相关单位认可的处理方案，并应对质量事故的处理过程进行跟踪检查，同时应对处理结果进行验收。项目监理机构应及时向建设单位提交质量事故书面报告，并应将完整的质量事故处理记录整理归档。</w:t>
      </w:r>
    </w:p>
    <w:p w14:paraId="23CA89A8">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7.1.18 项目监理机构应审查施工单位提交的单位工程竣工验收报审表及竣工资料，组织工程竣工预验收。存在问题的，应要求施工单位及时整改；合格的，总监理工程师应签认单位工程竣工验收报审表。单位工程竣工验收报审表应按相应规范的要求填写。</w:t>
      </w:r>
    </w:p>
    <w:p w14:paraId="745CCB0D">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7.1.19 工程竣工预验收合格后，项目监理机构应编写工程质量评估报告，并应经总监理工程师和工程监理单位技术负责人审核签字后报建设单位。</w:t>
      </w:r>
    </w:p>
    <w:p w14:paraId="7D710A54">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7.1.20 项目监理机构应参加由建设单位组织的竣工验收，对验收中提出的整改问题，应督促施工单位及时整改。工程质量符合要求的，总监理工程师应在工程竣工验收报告中签署意见。</w:t>
      </w:r>
    </w:p>
    <w:p w14:paraId="74C6A597">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7.1.21 保修期满后，项目监理机构应参与保修期满质量复检，对复检中发现的问题提出整改意见并督促施工单位整改；整改合格后，总监理工程师在复检报告中签署意见。</w:t>
      </w:r>
    </w:p>
    <w:p w14:paraId="0A757B4C">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7.1.22 项目监理机构受招标人的委托对工程项目实施进行监督与管理，必须按照国家和广东省的有关施工技术规范及现行标准，保证工程达到合格标准，若因中标人原因，工程在竣工验收或分部工程验收时没有达到此标准，项目监理机构按监理按合同价款的</w:t>
      </w:r>
      <w:r>
        <w:rPr>
          <w:rFonts w:hint="eastAsia" w:ascii="Times New Roman"/>
          <w:snapToGrid w:val="0"/>
          <w:color w:val="auto"/>
          <w:kern w:val="0"/>
          <w:highlight w:val="none"/>
          <w:u w:val="single"/>
        </w:rPr>
        <w:t>3%</w:t>
      </w:r>
      <w:r>
        <w:rPr>
          <w:rFonts w:hint="eastAsia" w:ascii="Times New Roman"/>
          <w:snapToGrid w:val="0"/>
          <w:color w:val="auto"/>
          <w:kern w:val="0"/>
          <w:highlight w:val="none"/>
        </w:rPr>
        <w:t>向招标人返纳质量违约金，并无条件免费监理服务至工程质量达到合格止。</w:t>
      </w:r>
    </w:p>
    <w:p w14:paraId="3BCC4A52">
      <w:pPr>
        <w:wordWrap w:val="0"/>
        <w:adjustRightInd w:val="0"/>
        <w:snapToGrid w:val="0"/>
        <w:spacing w:line="440" w:lineRule="exact"/>
        <w:ind w:firstLine="560"/>
        <w:rPr>
          <w:rFonts w:hint="eastAsia" w:ascii="Times New Roman"/>
          <w:b/>
          <w:bCs/>
          <w:snapToGrid w:val="0"/>
          <w:color w:val="auto"/>
          <w:kern w:val="0"/>
          <w:highlight w:val="none"/>
        </w:rPr>
      </w:pPr>
      <w:r>
        <w:rPr>
          <w:rFonts w:hint="eastAsia" w:ascii="Times New Roman"/>
          <w:b/>
          <w:bCs/>
          <w:snapToGrid w:val="0"/>
          <w:color w:val="auto"/>
          <w:kern w:val="0"/>
          <w:highlight w:val="none"/>
        </w:rPr>
        <w:t>7.2 工程造价控制：</w:t>
      </w:r>
    </w:p>
    <w:p w14:paraId="09D5150C">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7.2.1 项目监理机构应按下列程序进行工程计量和付款签证：</w:t>
      </w:r>
    </w:p>
    <w:p w14:paraId="7BBE9D56">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（1）专业监理工程师对施工单位在工程款支付报审表中提交的工程量和支付金额进行复核，确定实际完成的工程量，提出到期应支付给施工单位的金额，并提出相应的支持性材料。</w:t>
      </w:r>
    </w:p>
    <w:p w14:paraId="5DDC9423">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（2）总监理工程师对专业监理工程师的审查意见进行审核，签认后报建设单位审批。</w:t>
      </w:r>
    </w:p>
    <w:p w14:paraId="10CB1303">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（3）总监理工程师根据建设单位的审批意见，向施工单位签发工程款支付证书。</w:t>
      </w:r>
    </w:p>
    <w:p w14:paraId="398555DB">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工程款支付报审表及工程款支付证书应按相应规范的要求填写。</w:t>
      </w:r>
    </w:p>
    <w:p w14:paraId="4F467416">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7.2.2项目监理机构应编制月完成工程量统计表，对实际完成量与计划完成量进行比较分析，发现偏差的，应提出调整建议，并应在监理月报中向建设单位报告。</w:t>
      </w:r>
    </w:p>
    <w:p w14:paraId="7F9C80F2">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7.2.3 项目监理机构应按下列程序进行竣工结算款审核：</w:t>
      </w:r>
    </w:p>
    <w:p w14:paraId="04400670">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（1）专业监理工程师审查施工单位提交的竣工结算款支付申请，提出审查意见。</w:t>
      </w:r>
    </w:p>
    <w:p w14:paraId="60E9BF7E">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2）总监理工程师对专业监理工程师的审查意见进行审核，签认后报建设单位审批，同时抄送施工单位，并就工程竣工结算事宜与建设单位、施工单位协商；达成一致意见的，根据建设单位审批意见向施工单位签发竣工结算款支付证书；不能达成一致意见的，应按施工合同约定处理。工程竣工结算款支付报审表及竣工结算款支付证书应按相应规范的要求填写。</w:t>
      </w:r>
    </w:p>
    <w:p w14:paraId="3FD6459C">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7.2.4项目监理单位应按上述要求和有关规定控制本项目的工程造价，若由于项目监理单位的过失造成工程造价提高，招标人按所提高造价额的50%从监理服务费中扣除，扣除累计不超过监理服务费的70%。</w:t>
      </w:r>
    </w:p>
    <w:p w14:paraId="731AD45B">
      <w:pPr>
        <w:wordWrap w:val="0"/>
        <w:adjustRightInd w:val="0"/>
        <w:snapToGrid w:val="0"/>
        <w:spacing w:line="440" w:lineRule="exact"/>
        <w:ind w:firstLine="560"/>
        <w:rPr>
          <w:rFonts w:hint="eastAsia" w:ascii="Times New Roman"/>
          <w:b/>
          <w:bCs/>
          <w:snapToGrid w:val="0"/>
          <w:color w:val="auto"/>
          <w:kern w:val="0"/>
          <w:highlight w:val="none"/>
        </w:rPr>
      </w:pPr>
      <w:r>
        <w:rPr>
          <w:rFonts w:hint="eastAsia" w:ascii="Times New Roman"/>
          <w:b/>
          <w:bCs/>
          <w:snapToGrid w:val="0"/>
          <w:color w:val="auto"/>
          <w:kern w:val="0"/>
          <w:highlight w:val="none"/>
        </w:rPr>
        <w:t>7.3 工程进度控制：</w:t>
      </w:r>
    </w:p>
    <w:p w14:paraId="3E1AF651">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7.3.1 项目监理机构应审查施工单位报审的施工总进度计划和阶段性施工进度计划，提出审查意见，并应由总监理工程师审核后报建设单位。</w:t>
      </w:r>
    </w:p>
    <w:p w14:paraId="2D59DBCA">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施工进度计划审查应包括下列基本内容：</w:t>
      </w:r>
    </w:p>
    <w:p w14:paraId="7E8FAB13">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（1）施工进度计划应符合施工合同中工期的约定。</w:t>
      </w:r>
    </w:p>
    <w:p w14:paraId="00569D99">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（2）施工进度计划中主要工程项目无遗漏，应满足分批投入试运、分批动用的需要，阶段性施工进度计划应满足总进度控制目标的要求。</w:t>
      </w:r>
    </w:p>
    <w:p w14:paraId="3C861E50">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（3）施工顺序的安排应符合施工工艺要求。</w:t>
      </w:r>
    </w:p>
    <w:p w14:paraId="0BC42DFD">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（4）施工人员、工程材料、施工机械等资源供应计划应满足施工进度计划的需要。</w:t>
      </w:r>
    </w:p>
    <w:p w14:paraId="093B1C0A">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（5）施工进度计划应符合建设单位提供的资金、施工图纸、施工场地、物资等施工条件。</w:t>
      </w:r>
    </w:p>
    <w:p w14:paraId="04961962">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施工进度计划报审表应按相应规范的要求填写。</w:t>
      </w:r>
    </w:p>
    <w:p w14:paraId="32ACB633">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7.3.2项目监理机构应检查施工进度计划的实施情况，发现实际进度严重滞后于计划进度且影响合同工期时，应签发监理通知单，要求施工单位采取调整措施加快施工进度。总监理工程师应向建设单位报告工期延误风险。</w:t>
      </w:r>
    </w:p>
    <w:p w14:paraId="36DEF7B3">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7.3.3 项目监理机构应比较分析工程施工实际进度与计划进度，预测实际进度对工程总工期的影响，并应在监理月报中向建设单位报告工程实际进展情况。</w:t>
      </w:r>
    </w:p>
    <w:p w14:paraId="5ABDE768">
      <w:pPr>
        <w:wordWrap w:val="0"/>
        <w:adjustRightInd w:val="0"/>
        <w:snapToGrid w:val="0"/>
        <w:spacing w:line="440" w:lineRule="exact"/>
        <w:ind w:firstLine="560"/>
        <w:rPr>
          <w:rFonts w:hint="eastAsia" w:ascii="Times New Roman"/>
          <w:b/>
          <w:bCs/>
          <w:snapToGrid w:val="0"/>
          <w:color w:val="auto"/>
          <w:kern w:val="0"/>
          <w:highlight w:val="none"/>
        </w:rPr>
      </w:pPr>
      <w:r>
        <w:rPr>
          <w:rFonts w:hint="eastAsia" w:ascii="Times New Roman"/>
          <w:b/>
          <w:bCs/>
          <w:snapToGrid w:val="0"/>
          <w:color w:val="auto"/>
          <w:kern w:val="0"/>
          <w:highlight w:val="none"/>
        </w:rPr>
        <w:t>7.4 工程安全生产管理：</w:t>
      </w:r>
    </w:p>
    <w:p w14:paraId="15D9AE40">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7.4.1 项目监理机构应根据法律法规、工程建设强制性标准，履行建设工程安全生产管理的监理职责，并应将安全生产管理的监理工作内容、方法和措施纳入监理规划及监理实施细则。</w:t>
      </w:r>
    </w:p>
    <w:p w14:paraId="643B3E7D">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7.4.2 项目监理机构应审查施工单位现场安全生产规章制度的建立和实施情况，并应审查施工单位安全生产许可证及施工单位项目经理、专职安全生产管理人员和特种作业人员的资格，同时应核查施工机械和设施的安全许可验收手续。</w:t>
      </w:r>
    </w:p>
    <w:p w14:paraId="49A0F991">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7.4.3 项目监理机构应审查施工单位报审的专项施工方案，符合要求的，应由总监理工程师签认后报建设单位。超过一定规模的危险性较大的分部分项工程的专项施工方案，应检查施工单位组织专家进行论证、审查的情况，以及是否附具安全验算结果。项目监理机构应要求施工单位按已批准的专项施工方案组织施工。专项施工方案需要调整时，施工单位应按程序重新提交项目监理机构审查。</w:t>
      </w:r>
    </w:p>
    <w:p w14:paraId="7F579011">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专项施工方案审查应包括下列基本内容：</w:t>
      </w:r>
    </w:p>
    <w:p w14:paraId="489ED480">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（1）编审程序应符合相关规定。</w:t>
      </w:r>
    </w:p>
    <w:p w14:paraId="202BF900">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（2）安全技术措施应符合工程建设强制性标准。</w:t>
      </w:r>
    </w:p>
    <w:p w14:paraId="15D61359">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专项施工方案报审表应按相应规范的要求填写。</w:t>
      </w:r>
    </w:p>
    <w:p w14:paraId="02665E5A">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7.4.4项目监理机构应巡视检查危险性较大的分部分项工程专项施工方案实施情况。发现未按专项施工方案实施时，应签发监理通知单，要求施工单位按专项施工方案实施。</w:t>
      </w:r>
    </w:p>
    <w:p w14:paraId="149AB135">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7.4.5 项目监理机构在实施监理过程中，发现工程存在安全事故隐患时，应签发监理通知单，要求施工单位整改；情况严重时，应签发工程暂停令，并应及时报告建设单位。施工单位拒不整改或不停止施工时，项目监理机构应及时向有关主管部门报送监理报告。</w:t>
      </w:r>
    </w:p>
    <w:p w14:paraId="3CBF63ED">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ascii="Times New Roman"/>
          <w:snapToGrid w:val="0"/>
          <w:color w:val="auto"/>
          <w:kern w:val="0"/>
          <w:highlight w:val="none"/>
        </w:rPr>
        <w:t>监理报告应按相应规范的要求填写。</w:t>
      </w:r>
    </w:p>
    <w:p w14:paraId="06BFFCA1">
      <w:pPr>
        <w:pStyle w:val="41"/>
        <w:keepNext w:val="0"/>
        <w:keepLines w:val="0"/>
        <w:pageBreakBefore w:val="0"/>
        <w:kinsoku/>
        <w:overflowPunct/>
        <w:topLinePunct w:val="0"/>
        <w:autoSpaceDE/>
        <w:autoSpaceDN/>
        <w:bidi w:val="0"/>
        <w:spacing w:line="420" w:lineRule="exact"/>
        <w:textAlignment w:val="auto"/>
        <w:rPr>
          <w:rFonts w:ascii="宋体" w:hAnsi="宋体" w:cs="宋体"/>
          <w:snapToGrid w:val="0"/>
          <w:color w:val="auto"/>
          <w:highlight w:val="none"/>
        </w:rPr>
      </w:pPr>
    </w:p>
    <w:p w14:paraId="6D4094DE">
      <w:pPr>
        <w:pStyle w:val="41"/>
        <w:keepNext w:val="0"/>
        <w:keepLines w:val="0"/>
        <w:pageBreakBefore w:val="0"/>
        <w:kinsoku/>
        <w:overflowPunct/>
        <w:topLinePunct w:val="0"/>
        <w:autoSpaceDE/>
        <w:autoSpaceDN/>
        <w:bidi w:val="0"/>
        <w:spacing w:line="420" w:lineRule="exact"/>
        <w:textAlignment w:val="auto"/>
        <w:rPr>
          <w:rFonts w:ascii="宋体" w:hAnsi="宋体" w:cs="宋体"/>
          <w:snapToGrid w:val="0"/>
          <w:color w:val="auto"/>
          <w:highlight w:val="none"/>
        </w:rPr>
      </w:pPr>
    </w:p>
    <w:p w14:paraId="016FEEB7">
      <w:pPr>
        <w:pStyle w:val="41"/>
        <w:keepNext w:val="0"/>
        <w:keepLines w:val="0"/>
        <w:pageBreakBefore w:val="0"/>
        <w:kinsoku/>
        <w:overflowPunct/>
        <w:topLinePunct w:val="0"/>
        <w:autoSpaceDE/>
        <w:autoSpaceDN/>
        <w:bidi w:val="0"/>
        <w:spacing w:line="420" w:lineRule="exact"/>
        <w:textAlignment w:val="auto"/>
        <w:rPr>
          <w:rFonts w:ascii="宋体" w:hAnsi="宋体" w:cs="宋体"/>
          <w:snapToGrid w:val="0"/>
          <w:color w:val="auto"/>
          <w:highlight w:val="none"/>
        </w:rPr>
      </w:pPr>
    </w:p>
    <w:p w14:paraId="3314BF6E">
      <w:pPr>
        <w:pStyle w:val="41"/>
        <w:keepNext w:val="0"/>
        <w:keepLines w:val="0"/>
        <w:pageBreakBefore w:val="0"/>
        <w:kinsoku/>
        <w:overflowPunct/>
        <w:topLinePunct w:val="0"/>
        <w:autoSpaceDE/>
        <w:autoSpaceDN/>
        <w:bidi w:val="0"/>
        <w:spacing w:line="420" w:lineRule="exact"/>
        <w:textAlignment w:val="auto"/>
        <w:rPr>
          <w:rFonts w:ascii="宋体" w:hAnsi="宋体" w:cs="宋体"/>
          <w:snapToGrid w:val="0"/>
          <w:color w:val="auto"/>
          <w:highlight w:val="none"/>
        </w:rPr>
      </w:pPr>
    </w:p>
    <w:p w14:paraId="66DE556B">
      <w:pPr>
        <w:pStyle w:val="41"/>
        <w:keepNext w:val="0"/>
        <w:keepLines w:val="0"/>
        <w:pageBreakBefore w:val="0"/>
        <w:kinsoku/>
        <w:overflowPunct/>
        <w:topLinePunct w:val="0"/>
        <w:autoSpaceDE/>
        <w:autoSpaceDN/>
        <w:bidi w:val="0"/>
        <w:spacing w:line="420" w:lineRule="exact"/>
        <w:textAlignment w:val="auto"/>
        <w:rPr>
          <w:rFonts w:ascii="宋体" w:hAnsi="宋体" w:cs="宋体"/>
          <w:snapToGrid w:val="0"/>
          <w:color w:val="auto"/>
          <w:highlight w:val="none"/>
        </w:rPr>
      </w:pPr>
    </w:p>
    <w:p w14:paraId="693AF343">
      <w:pPr>
        <w:pStyle w:val="41"/>
        <w:keepNext w:val="0"/>
        <w:keepLines w:val="0"/>
        <w:pageBreakBefore w:val="0"/>
        <w:kinsoku/>
        <w:overflowPunct/>
        <w:topLinePunct w:val="0"/>
        <w:autoSpaceDE/>
        <w:autoSpaceDN/>
        <w:bidi w:val="0"/>
        <w:spacing w:line="420" w:lineRule="exact"/>
        <w:textAlignment w:val="auto"/>
        <w:rPr>
          <w:rFonts w:ascii="宋体" w:hAnsi="宋体" w:cs="宋体"/>
          <w:snapToGrid w:val="0"/>
          <w:color w:val="auto"/>
          <w:highlight w:val="none"/>
        </w:rPr>
      </w:pPr>
    </w:p>
    <w:p w14:paraId="6BE3E45B">
      <w:pPr>
        <w:pStyle w:val="41"/>
        <w:keepNext w:val="0"/>
        <w:keepLines w:val="0"/>
        <w:pageBreakBefore w:val="0"/>
        <w:kinsoku/>
        <w:overflowPunct/>
        <w:topLinePunct w:val="0"/>
        <w:autoSpaceDE/>
        <w:autoSpaceDN/>
        <w:bidi w:val="0"/>
        <w:spacing w:line="420" w:lineRule="exact"/>
        <w:textAlignment w:val="auto"/>
        <w:rPr>
          <w:rFonts w:ascii="宋体" w:hAnsi="宋体" w:cs="宋体"/>
          <w:snapToGrid w:val="0"/>
          <w:color w:val="auto"/>
          <w:highlight w:val="none"/>
        </w:rPr>
      </w:pPr>
    </w:p>
    <w:p w14:paraId="34E128E4">
      <w:pPr>
        <w:pStyle w:val="41"/>
        <w:keepNext w:val="0"/>
        <w:keepLines w:val="0"/>
        <w:pageBreakBefore w:val="0"/>
        <w:kinsoku/>
        <w:overflowPunct/>
        <w:topLinePunct w:val="0"/>
        <w:autoSpaceDE/>
        <w:autoSpaceDN/>
        <w:bidi w:val="0"/>
        <w:spacing w:line="420" w:lineRule="exact"/>
        <w:textAlignment w:val="auto"/>
        <w:rPr>
          <w:rFonts w:ascii="宋体" w:hAnsi="宋体" w:cs="宋体"/>
          <w:snapToGrid w:val="0"/>
          <w:color w:val="auto"/>
          <w:highlight w:val="none"/>
        </w:rPr>
      </w:pPr>
    </w:p>
    <w:p w14:paraId="7AB7BD9B">
      <w:pPr>
        <w:pStyle w:val="41"/>
        <w:keepNext w:val="0"/>
        <w:keepLines w:val="0"/>
        <w:pageBreakBefore w:val="0"/>
        <w:kinsoku/>
        <w:overflowPunct/>
        <w:topLinePunct w:val="0"/>
        <w:autoSpaceDE/>
        <w:autoSpaceDN/>
        <w:bidi w:val="0"/>
        <w:spacing w:line="420" w:lineRule="exact"/>
        <w:textAlignment w:val="auto"/>
        <w:rPr>
          <w:rFonts w:ascii="宋体" w:hAnsi="宋体" w:cs="宋体"/>
          <w:snapToGrid w:val="0"/>
          <w:color w:val="auto"/>
          <w:highlight w:val="none"/>
        </w:rPr>
      </w:pPr>
    </w:p>
    <w:p w14:paraId="3296E77F">
      <w:pPr>
        <w:pStyle w:val="41"/>
        <w:keepNext w:val="0"/>
        <w:keepLines w:val="0"/>
        <w:pageBreakBefore w:val="0"/>
        <w:kinsoku/>
        <w:overflowPunct/>
        <w:topLinePunct w:val="0"/>
        <w:autoSpaceDE/>
        <w:autoSpaceDN/>
        <w:bidi w:val="0"/>
        <w:spacing w:line="420" w:lineRule="exact"/>
        <w:textAlignment w:val="auto"/>
        <w:rPr>
          <w:rFonts w:ascii="宋体" w:hAnsi="宋体" w:cs="宋体"/>
          <w:snapToGrid w:val="0"/>
          <w:color w:val="auto"/>
          <w:highlight w:val="none"/>
        </w:rPr>
      </w:pPr>
    </w:p>
    <w:p w14:paraId="183EBD19">
      <w:pPr>
        <w:pStyle w:val="41"/>
        <w:keepNext w:val="0"/>
        <w:keepLines w:val="0"/>
        <w:pageBreakBefore w:val="0"/>
        <w:kinsoku/>
        <w:overflowPunct/>
        <w:topLinePunct w:val="0"/>
        <w:autoSpaceDE/>
        <w:autoSpaceDN/>
        <w:bidi w:val="0"/>
        <w:spacing w:line="420" w:lineRule="exact"/>
        <w:textAlignment w:val="auto"/>
        <w:rPr>
          <w:rFonts w:ascii="宋体" w:hAnsi="宋体" w:cs="宋体"/>
          <w:snapToGrid w:val="0"/>
          <w:color w:val="auto"/>
          <w:highlight w:val="none"/>
        </w:rPr>
      </w:pPr>
    </w:p>
    <w:p w14:paraId="1AE5DD62">
      <w:pPr>
        <w:pStyle w:val="41"/>
        <w:keepNext w:val="0"/>
        <w:keepLines w:val="0"/>
        <w:pageBreakBefore w:val="0"/>
        <w:kinsoku/>
        <w:overflowPunct/>
        <w:topLinePunct w:val="0"/>
        <w:autoSpaceDE/>
        <w:autoSpaceDN/>
        <w:bidi w:val="0"/>
        <w:spacing w:line="420" w:lineRule="exact"/>
        <w:textAlignment w:val="auto"/>
        <w:rPr>
          <w:rFonts w:ascii="宋体" w:hAnsi="宋体" w:cs="宋体"/>
          <w:snapToGrid w:val="0"/>
          <w:color w:val="auto"/>
          <w:highlight w:val="none"/>
        </w:rPr>
      </w:pPr>
    </w:p>
    <w:p w14:paraId="7DA9969B">
      <w:pPr>
        <w:pStyle w:val="41"/>
        <w:keepNext w:val="0"/>
        <w:keepLines w:val="0"/>
        <w:pageBreakBefore w:val="0"/>
        <w:kinsoku/>
        <w:overflowPunct/>
        <w:topLinePunct w:val="0"/>
        <w:autoSpaceDE/>
        <w:autoSpaceDN/>
        <w:bidi w:val="0"/>
        <w:spacing w:line="420" w:lineRule="exact"/>
        <w:textAlignment w:val="auto"/>
        <w:rPr>
          <w:rFonts w:ascii="宋体" w:hAnsi="宋体" w:cs="宋体"/>
          <w:snapToGrid w:val="0"/>
          <w:color w:val="auto"/>
          <w:highlight w:val="none"/>
        </w:rPr>
      </w:pPr>
    </w:p>
    <w:bookmarkEnd w:id="179"/>
    <w:p w14:paraId="00DFB3FB">
      <w:pPr>
        <w:pStyle w:val="3"/>
        <w:tabs>
          <w:tab w:val="left" w:pos="885"/>
        </w:tabs>
        <w:wordWrap w:val="0"/>
        <w:autoSpaceDE/>
        <w:autoSpaceDN/>
        <w:snapToGrid w:val="0"/>
        <w:spacing w:line="440" w:lineRule="exact"/>
        <w:ind w:left="885" w:hanging="885"/>
        <w:jc w:val="center"/>
        <w:rPr>
          <w:rFonts w:ascii="Times New Roman"/>
          <w:b/>
          <w:snapToGrid w:val="0"/>
          <w:color w:val="auto"/>
          <w:sz w:val="32"/>
          <w:szCs w:val="22"/>
          <w:highlight w:val="none"/>
        </w:rPr>
      </w:pPr>
      <w:bookmarkStart w:id="241" w:name="_Toc21669"/>
      <w:bookmarkStart w:id="242" w:name="_Toc11137"/>
      <w:bookmarkStart w:id="243" w:name="_Toc12650"/>
      <w:bookmarkStart w:id="244" w:name="_Hlt69698796"/>
      <w:r>
        <w:rPr>
          <w:rFonts w:hint="eastAsia" w:ascii="Times New Roman"/>
          <w:b/>
          <w:snapToGrid w:val="0"/>
          <w:color w:val="auto"/>
          <w:sz w:val="32"/>
          <w:szCs w:val="22"/>
          <w:highlight w:val="none"/>
        </w:rPr>
        <w:t>第四章</w:t>
      </w:r>
      <w:bookmarkStart w:id="245" w:name="_Hlt87793853"/>
      <w:bookmarkEnd w:id="245"/>
      <w:r>
        <w:rPr>
          <w:rFonts w:hint="eastAsia" w:ascii="Times New Roman"/>
          <w:b/>
          <w:snapToGrid w:val="0"/>
          <w:color w:val="auto"/>
          <w:sz w:val="32"/>
          <w:szCs w:val="22"/>
          <w:highlight w:val="none"/>
        </w:rPr>
        <w:t xml:space="preserve"> 技术要求</w:t>
      </w:r>
      <w:bookmarkEnd w:id="241"/>
      <w:bookmarkEnd w:id="242"/>
      <w:bookmarkEnd w:id="243"/>
    </w:p>
    <w:bookmarkEnd w:id="244"/>
    <w:p w14:paraId="69F644B1">
      <w:pPr>
        <w:wordWrap w:val="0"/>
        <w:adjustRightInd w:val="0"/>
        <w:snapToGrid w:val="0"/>
        <w:spacing w:line="440" w:lineRule="exact"/>
        <w:rPr>
          <w:rFonts w:hint="eastAsia" w:hAnsi="宋体" w:cs="宋体"/>
          <w:bCs/>
          <w:snapToGrid w:val="0"/>
          <w:color w:val="auto"/>
          <w:kern w:val="0"/>
          <w:highlight w:val="none"/>
        </w:rPr>
      </w:pPr>
      <w:bookmarkStart w:id="246" w:name="_Hlt69359335"/>
      <w:bookmarkEnd w:id="246"/>
      <w:bookmarkStart w:id="247" w:name="_Hlt75685840"/>
      <w:bookmarkEnd w:id="247"/>
      <w:bookmarkStart w:id="248" w:name="_Hlt69358207"/>
      <w:bookmarkEnd w:id="248"/>
      <w:bookmarkStart w:id="249" w:name="_Hlt87793370"/>
      <w:bookmarkEnd w:id="249"/>
      <w:bookmarkStart w:id="250" w:name="_Hlt66104926"/>
      <w:bookmarkEnd w:id="250"/>
      <w:bookmarkStart w:id="251" w:name="_Hlt69265216"/>
      <w:bookmarkEnd w:id="251"/>
      <w:bookmarkStart w:id="252" w:name="_Hlt68774758"/>
      <w:bookmarkEnd w:id="252"/>
      <w:bookmarkStart w:id="253" w:name="_Hlt69357851"/>
      <w:bookmarkEnd w:id="253"/>
      <w:bookmarkStart w:id="254" w:name="_Hlt80411122"/>
      <w:bookmarkEnd w:id="254"/>
      <w:bookmarkStart w:id="255" w:name="_Hlt87793346"/>
      <w:bookmarkEnd w:id="255"/>
      <w:bookmarkStart w:id="256" w:name="_Hlt69116854"/>
      <w:bookmarkEnd w:id="256"/>
      <w:bookmarkStart w:id="257" w:name="_Toc2392"/>
      <w:bookmarkStart w:id="258" w:name="_Toc7515"/>
    </w:p>
    <w:bookmarkEnd w:id="257"/>
    <w:bookmarkEnd w:id="258"/>
    <w:p w14:paraId="1ECFD6A4">
      <w:pPr>
        <w:keepNext w:val="0"/>
        <w:keepLines w:val="0"/>
        <w:pageBreakBefore w:val="0"/>
        <w:kinsoku/>
        <w:wordWrap w:val="0"/>
        <w:overflowPunct/>
        <w:topLinePunct w:val="0"/>
        <w:bidi w:val="0"/>
        <w:adjustRightInd w:val="0"/>
        <w:snapToGrid w:val="0"/>
        <w:spacing w:line="500" w:lineRule="exact"/>
        <w:ind w:firstLine="482" w:firstLineChars="200"/>
        <w:outlineLvl w:val="9"/>
        <w:rPr>
          <w:rFonts w:hint="eastAsia" w:ascii="宋体" w:hAnsi="宋体" w:eastAsia="宋体" w:cs="宋体"/>
          <w:b/>
          <w:snapToGrid w:val="0"/>
          <w:color w:val="auto"/>
          <w:kern w:val="0"/>
          <w:highlight w:val="none"/>
        </w:rPr>
      </w:pPr>
      <w:bookmarkStart w:id="259" w:name="_Hlt69635247"/>
      <w:bookmarkEnd w:id="259"/>
      <w:bookmarkStart w:id="260" w:name="_Hlt69338190"/>
      <w:bookmarkEnd w:id="260"/>
      <w:bookmarkStart w:id="261" w:name="_Hlt69358336"/>
      <w:bookmarkEnd w:id="261"/>
      <w:bookmarkStart w:id="262" w:name="_Hlt69116863"/>
      <w:bookmarkEnd w:id="262"/>
      <w:bookmarkStart w:id="263" w:name="_Hlt69265207"/>
      <w:bookmarkEnd w:id="263"/>
      <w:bookmarkStart w:id="264" w:name="_Hlt66848640"/>
      <w:bookmarkEnd w:id="264"/>
      <w:bookmarkStart w:id="265" w:name="_Toc29899"/>
      <w:bookmarkStart w:id="266" w:name="_Toc22126"/>
      <w:bookmarkStart w:id="267" w:name="_Toc29213"/>
      <w:bookmarkStart w:id="268" w:name="_Toc25992"/>
      <w:bookmarkStart w:id="269" w:name="_Toc16011"/>
      <w:bookmarkStart w:id="270" w:name="_Hlt69698785"/>
      <w:r>
        <w:rPr>
          <w:rFonts w:hint="eastAsia" w:ascii="宋体" w:hAnsi="宋体" w:eastAsia="宋体" w:cs="宋体"/>
          <w:b/>
          <w:snapToGrid w:val="0"/>
          <w:color w:val="auto"/>
          <w:kern w:val="0"/>
          <w:highlight w:val="none"/>
        </w:rPr>
        <w:t>1．房屋建筑工程建设项目</w:t>
      </w:r>
      <w:bookmarkEnd w:id="265"/>
      <w:bookmarkEnd w:id="266"/>
      <w:bookmarkEnd w:id="267"/>
      <w:bookmarkEnd w:id="268"/>
    </w:p>
    <w:p w14:paraId="4B9FF912">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lang w:eastAsia="zh-CN"/>
        </w:rPr>
      </w:pPr>
      <w:bookmarkStart w:id="271" w:name="_Hlt69359245"/>
      <w:bookmarkEnd w:id="271"/>
      <w:bookmarkStart w:id="272" w:name="_Hlt69359243"/>
      <w:bookmarkEnd w:id="272"/>
      <w:bookmarkStart w:id="273" w:name="_Hlt69359086"/>
      <w:bookmarkEnd w:id="273"/>
      <w:bookmarkStart w:id="274" w:name="_Hlt78709799"/>
      <w:bookmarkEnd w:id="274"/>
      <w:bookmarkStart w:id="275" w:name="_Hlt69358458"/>
      <w:bookmarkEnd w:id="275"/>
      <w:bookmarkStart w:id="276" w:name="_Hlt69635252"/>
      <w:bookmarkEnd w:id="276"/>
      <w:bookmarkStart w:id="277" w:name="_Hlt69116858"/>
      <w:bookmarkEnd w:id="277"/>
      <w:r>
        <w:rPr>
          <w:rFonts w:hint="eastAsia" w:ascii="宋体" w:hAnsi="宋体" w:eastAsia="宋体" w:cs="宋体"/>
          <w:b w:val="0"/>
          <w:bCs/>
          <w:caps w:val="0"/>
          <w:smallCaps w:val="0"/>
          <w:snapToGrid w:val="0"/>
          <w:color w:val="auto"/>
          <w:spacing w:val="0"/>
          <w:kern w:val="0"/>
          <w:highlight w:val="none"/>
          <w:lang w:eastAsia="zh-CN"/>
        </w:rPr>
        <w:t>房屋建筑工程建设项目必须执行的现行技术规范，包括且不限于：</w:t>
      </w:r>
    </w:p>
    <w:p w14:paraId="6EFD45B4">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1</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《建筑工程施工质量验收统一标准》；</w:t>
      </w:r>
    </w:p>
    <w:p w14:paraId="2AFE1AB6">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2</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《建筑地基基础工程施工质量验收规范》；</w:t>
      </w:r>
    </w:p>
    <w:p w14:paraId="2382E13A">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3</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《砌体工程施工质量验收规范》；</w:t>
      </w:r>
    </w:p>
    <w:p w14:paraId="2A76B625">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4</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《混凝土结构工程施工质量验收规范》；</w:t>
      </w:r>
    </w:p>
    <w:p w14:paraId="5ED1B4E9">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5</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《屋面工程质量验收规范》；</w:t>
      </w:r>
    </w:p>
    <w:p w14:paraId="33A489D3">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6</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《地下防水工程质量验收规范》；</w:t>
      </w:r>
    </w:p>
    <w:p w14:paraId="4E6FF6BF">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7</w:t>
      </w:r>
      <w:r>
        <w:rPr>
          <w:rFonts w:hint="eastAsia" w:ascii="宋体" w:hAnsi="宋体" w:eastAsia="宋体" w:cs="宋体"/>
          <w:b w:val="0"/>
          <w:bCs/>
          <w:caps w:val="0"/>
          <w:smallCaps w:val="0"/>
          <w:snapToGrid w:val="0"/>
          <w:color w:val="auto"/>
          <w:spacing w:val="0"/>
          <w:kern w:val="0"/>
          <w:highlight w:val="none"/>
          <w:lang w:eastAsia="zh-CN"/>
        </w:rPr>
        <w:t>）</w:t>
      </w:r>
      <w:bookmarkStart w:id="278" w:name="_Hlt78795211"/>
      <w:bookmarkEnd w:id="278"/>
      <w:r>
        <w:rPr>
          <w:rFonts w:hint="eastAsia" w:ascii="宋体" w:hAnsi="宋体" w:eastAsia="宋体" w:cs="宋体"/>
          <w:b w:val="0"/>
          <w:bCs/>
          <w:caps w:val="0"/>
          <w:smallCaps w:val="0"/>
          <w:snapToGrid w:val="0"/>
          <w:color w:val="auto"/>
          <w:spacing w:val="0"/>
          <w:kern w:val="0"/>
          <w:highlight w:val="none"/>
        </w:rPr>
        <w:t>《建筑地面工程施工质量验收规范》；</w:t>
      </w:r>
    </w:p>
    <w:p w14:paraId="39CE731D">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8</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《建筑装饰装修工程施工质量验收规范》；</w:t>
      </w:r>
    </w:p>
    <w:p w14:paraId="7C04B749">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9</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《建筑给排水及采暖工程施工质量验收规范》；</w:t>
      </w:r>
    </w:p>
    <w:p w14:paraId="1A832710">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10</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《建筑电气工程施工质量验收规范》；</w:t>
      </w:r>
    </w:p>
    <w:p w14:paraId="3E48EFCD">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lang w:val="en-US" w:eastAsia="zh-CN"/>
        </w:rPr>
      </w:pPr>
      <w:r>
        <w:rPr>
          <w:rFonts w:hint="eastAsia" w:ascii="宋体" w:hAnsi="宋体" w:eastAsia="宋体" w:cs="宋体"/>
          <w:b w:val="0"/>
          <w:bCs/>
          <w:caps w:val="0"/>
          <w:smallCaps w:val="0"/>
          <w:snapToGrid w:val="0"/>
          <w:color w:val="auto"/>
          <w:spacing w:val="0"/>
          <w:kern w:val="0"/>
          <w:highlight w:val="none"/>
          <w:lang w:val="en-US" w:eastAsia="zh-CN"/>
        </w:rPr>
        <w:t>（11）《住建部绿色建筑评价标准》；</w:t>
      </w:r>
    </w:p>
    <w:p w14:paraId="51C413A4">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lang w:val="en-US" w:eastAsia="zh-CN"/>
        </w:rPr>
      </w:pPr>
      <w:r>
        <w:rPr>
          <w:rFonts w:hint="eastAsia" w:ascii="宋体" w:hAnsi="宋体" w:eastAsia="宋体" w:cs="宋体"/>
          <w:b w:val="0"/>
          <w:bCs/>
          <w:caps w:val="0"/>
          <w:smallCaps w:val="0"/>
          <w:snapToGrid w:val="0"/>
          <w:color w:val="auto"/>
          <w:spacing w:val="0"/>
          <w:kern w:val="0"/>
          <w:highlight w:val="none"/>
          <w:lang w:val="en-US" w:eastAsia="zh-CN"/>
        </w:rPr>
        <w:t>（12）《建筑节能与可再生能源利用通用规范》（GB55015-2021）；</w:t>
      </w:r>
    </w:p>
    <w:p w14:paraId="42DB23AA">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lang w:val="en-US" w:eastAsia="zh-CN"/>
        </w:rPr>
      </w:pPr>
      <w:r>
        <w:rPr>
          <w:rFonts w:hint="eastAsia" w:ascii="宋体" w:hAnsi="宋体" w:eastAsia="宋体" w:cs="宋体"/>
          <w:b w:val="0"/>
          <w:bCs/>
          <w:caps w:val="0"/>
          <w:smallCaps w:val="0"/>
          <w:snapToGrid w:val="0"/>
          <w:color w:val="auto"/>
          <w:spacing w:val="0"/>
          <w:kern w:val="0"/>
          <w:highlight w:val="none"/>
          <w:lang w:val="en-US" w:eastAsia="zh-CN"/>
        </w:rPr>
        <w:t>（13）《建筑环境通用规范》；</w:t>
      </w:r>
    </w:p>
    <w:p w14:paraId="37CBC5FF">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lang w:val="en-US" w:eastAsia="zh-CN"/>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14</w:t>
      </w:r>
      <w:r>
        <w:rPr>
          <w:rFonts w:hint="eastAsia" w:ascii="宋体" w:hAnsi="宋体" w:eastAsia="宋体" w:cs="宋体"/>
          <w:b w:val="0"/>
          <w:bCs/>
          <w:caps w:val="0"/>
          <w:smallCaps w:val="0"/>
          <w:snapToGrid w:val="0"/>
          <w:color w:val="auto"/>
          <w:spacing w:val="0"/>
          <w:kern w:val="0"/>
          <w:highlight w:val="none"/>
          <w:lang w:eastAsia="zh-CN"/>
        </w:rPr>
        <w:t>）《广东省住房和城乡建设厅绿色施工导则》；</w:t>
      </w:r>
    </w:p>
    <w:p w14:paraId="45C90515">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lang w:eastAsia="zh-CN"/>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15</w:t>
      </w:r>
      <w:r>
        <w:rPr>
          <w:rFonts w:hint="eastAsia" w:ascii="宋体" w:hAnsi="宋体" w:eastAsia="宋体" w:cs="宋体"/>
          <w:b w:val="0"/>
          <w:bCs/>
          <w:caps w:val="0"/>
          <w:smallCaps w:val="0"/>
          <w:snapToGrid w:val="0"/>
          <w:color w:val="auto"/>
          <w:spacing w:val="0"/>
          <w:kern w:val="0"/>
          <w:highlight w:val="none"/>
          <w:lang w:eastAsia="zh-CN"/>
        </w:rPr>
        <w:t>）《广东省建筑工程绿色施工评价标准》；</w:t>
      </w:r>
    </w:p>
    <w:p w14:paraId="56DD4586">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lang w:val="en-US" w:eastAsia="zh-CN"/>
        </w:rPr>
      </w:pPr>
      <w:r>
        <w:rPr>
          <w:rFonts w:hint="eastAsia" w:ascii="宋体" w:hAnsi="宋体" w:eastAsia="宋体" w:cs="宋体"/>
          <w:b w:val="0"/>
          <w:bCs/>
          <w:caps w:val="0"/>
          <w:smallCaps w:val="0"/>
          <w:snapToGrid w:val="0"/>
          <w:color w:val="auto"/>
          <w:spacing w:val="0"/>
          <w:kern w:val="0"/>
          <w:highlight w:val="none"/>
          <w:lang w:val="en-US" w:eastAsia="zh-CN"/>
        </w:rPr>
        <w:t>（16）《广东省建筑节能与绿色建筑工程施工质量验收规范》</w:t>
      </w:r>
    </w:p>
    <w:p w14:paraId="45654C5C">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Cs/>
          <w:snapToGrid w:val="0"/>
          <w:color w:val="auto"/>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17</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其他现行国家</w:t>
      </w:r>
      <w:r>
        <w:rPr>
          <w:rFonts w:hint="eastAsia" w:ascii="宋体" w:hAnsi="宋体" w:eastAsia="宋体" w:cs="宋体"/>
          <w:b w:val="0"/>
          <w:bCs/>
          <w:caps w:val="0"/>
          <w:smallCaps w:val="0"/>
          <w:snapToGrid w:val="0"/>
          <w:color w:val="auto"/>
          <w:spacing w:val="0"/>
          <w:kern w:val="0"/>
          <w:highlight w:val="none"/>
          <w:lang w:eastAsia="zh-CN"/>
        </w:rPr>
        <w:t>、广东省关于房建工程的</w:t>
      </w:r>
      <w:r>
        <w:rPr>
          <w:rFonts w:hint="eastAsia" w:ascii="宋体" w:hAnsi="宋体" w:eastAsia="宋体" w:cs="宋体"/>
          <w:b w:val="0"/>
          <w:bCs/>
          <w:caps w:val="0"/>
          <w:smallCaps w:val="0"/>
          <w:snapToGrid w:val="0"/>
          <w:color w:val="auto"/>
          <w:spacing w:val="0"/>
          <w:kern w:val="0"/>
          <w:highlight w:val="none"/>
        </w:rPr>
        <w:t>施工</w:t>
      </w:r>
      <w:r>
        <w:rPr>
          <w:rFonts w:hint="eastAsia" w:ascii="宋体" w:hAnsi="宋体" w:eastAsia="宋体" w:cs="宋体"/>
          <w:b w:val="0"/>
          <w:bCs/>
          <w:caps w:val="0"/>
          <w:smallCaps w:val="0"/>
          <w:snapToGrid w:val="0"/>
          <w:color w:val="auto"/>
          <w:spacing w:val="0"/>
          <w:kern w:val="0"/>
          <w:highlight w:val="none"/>
          <w:lang w:eastAsia="zh-CN"/>
        </w:rPr>
        <w:t>及验收</w:t>
      </w:r>
      <w:r>
        <w:rPr>
          <w:rFonts w:hint="eastAsia" w:ascii="宋体" w:hAnsi="宋体" w:eastAsia="宋体" w:cs="宋体"/>
          <w:b w:val="0"/>
          <w:bCs/>
          <w:caps w:val="0"/>
          <w:smallCaps w:val="0"/>
          <w:snapToGrid w:val="0"/>
          <w:color w:val="auto"/>
          <w:spacing w:val="0"/>
          <w:kern w:val="0"/>
          <w:highlight w:val="none"/>
        </w:rPr>
        <w:t>规范</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定额、</w:t>
      </w:r>
      <w:r>
        <w:rPr>
          <w:rFonts w:hint="eastAsia" w:ascii="宋体" w:hAnsi="宋体" w:eastAsia="宋体" w:cs="宋体"/>
          <w:b w:val="0"/>
          <w:bCs/>
          <w:caps w:val="0"/>
          <w:smallCaps w:val="0"/>
          <w:snapToGrid w:val="0"/>
          <w:color w:val="auto"/>
          <w:spacing w:val="0"/>
          <w:kern w:val="0"/>
          <w:highlight w:val="none"/>
          <w:lang w:eastAsia="zh-CN"/>
        </w:rPr>
        <w:t>规程、</w:t>
      </w:r>
      <w:r>
        <w:rPr>
          <w:rFonts w:hint="eastAsia" w:ascii="宋体" w:hAnsi="宋体" w:eastAsia="宋体" w:cs="宋体"/>
          <w:b w:val="0"/>
          <w:bCs/>
          <w:caps w:val="0"/>
          <w:smallCaps w:val="0"/>
          <w:snapToGrid w:val="0"/>
          <w:color w:val="auto"/>
          <w:spacing w:val="0"/>
          <w:kern w:val="0"/>
          <w:highlight w:val="none"/>
        </w:rPr>
        <w:t>标准。</w:t>
      </w:r>
    </w:p>
    <w:p w14:paraId="019DA053">
      <w:pPr>
        <w:keepNext w:val="0"/>
        <w:keepLines w:val="0"/>
        <w:pageBreakBefore w:val="0"/>
        <w:kinsoku/>
        <w:wordWrap w:val="0"/>
        <w:overflowPunct/>
        <w:topLinePunct w:val="0"/>
        <w:bidi w:val="0"/>
        <w:adjustRightInd w:val="0"/>
        <w:snapToGrid w:val="0"/>
        <w:spacing w:line="500" w:lineRule="exact"/>
        <w:ind w:firstLine="482" w:firstLineChars="200"/>
        <w:outlineLvl w:val="9"/>
        <w:rPr>
          <w:rFonts w:hint="eastAsia" w:ascii="宋体" w:hAnsi="宋体" w:eastAsia="宋体" w:cs="宋体"/>
          <w:bCs/>
          <w:snapToGrid w:val="0"/>
          <w:color w:val="auto"/>
          <w:kern w:val="0"/>
          <w:highlight w:val="none"/>
        </w:rPr>
      </w:pPr>
      <w:bookmarkStart w:id="279" w:name="_Toc16196"/>
      <w:bookmarkStart w:id="280" w:name="_Toc2706"/>
      <w:bookmarkStart w:id="281" w:name="_Toc23789"/>
      <w:bookmarkStart w:id="282" w:name="_Toc3631"/>
      <w:r>
        <w:rPr>
          <w:rFonts w:hint="eastAsia" w:ascii="宋体" w:hAnsi="宋体" w:eastAsia="宋体" w:cs="宋体"/>
          <w:b/>
          <w:snapToGrid w:val="0"/>
          <w:color w:val="auto"/>
          <w:kern w:val="0"/>
          <w:highlight w:val="none"/>
        </w:rPr>
        <w:t>2．市政基础设施工程建设项目</w:t>
      </w:r>
      <w:bookmarkEnd w:id="279"/>
      <w:bookmarkEnd w:id="280"/>
      <w:bookmarkEnd w:id="281"/>
      <w:bookmarkEnd w:id="282"/>
    </w:p>
    <w:p w14:paraId="499DBC66">
      <w:pPr>
        <w:keepNext w:val="0"/>
        <w:keepLines w:val="0"/>
        <w:pageBreakBefore w:val="0"/>
        <w:kinsoku/>
        <w:wordWrap w:val="0"/>
        <w:overflowPunct/>
        <w:topLinePunct w:val="0"/>
        <w:bidi w:val="0"/>
        <w:adjustRightInd w:val="0"/>
        <w:snapToGrid w:val="0"/>
        <w:spacing w:line="500" w:lineRule="exact"/>
        <w:ind w:firstLine="480" w:firstLineChars="200"/>
        <w:rPr>
          <w:rFonts w:hint="eastAsia" w:ascii="宋体" w:hAnsi="宋体" w:eastAsia="宋体" w:cs="宋体"/>
          <w:b w:val="0"/>
          <w:bCs/>
          <w:snapToGrid w:val="0"/>
          <w:color w:val="auto"/>
          <w:kern w:val="0"/>
          <w:szCs w:val="28"/>
          <w:highlight w:val="none"/>
        </w:rPr>
      </w:pPr>
      <w:r>
        <w:rPr>
          <w:rFonts w:hint="eastAsia" w:ascii="宋体" w:hAnsi="宋体" w:eastAsia="宋体" w:cs="宋体"/>
          <w:b w:val="0"/>
          <w:bCs/>
          <w:snapToGrid w:val="0"/>
          <w:color w:val="auto"/>
          <w:kern w:val="0"/>
          <w:highlight w:val="none"/>
        </w:rPr>
        <w:t>市政基础设施工程建设项目必须执行的现行技术规范，包括且不限于：</w:t>
      </w:r>
    </w:p>
    <w:p w14:paraId="444FEA19">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szCs w:val="28"/>
          <w:highlight w:val="none"/>
          <w:lang w:eastAsia="zh-CN"/>
        </w:rPr>
        <w:t>（</w:t>
      </w:r>
      <w:r>
        <w:rPr>
          <w:rFonts w:hint="eastAsia" w:ascii="宋体" w:hAnsi="宋体" w:eastAsia="宋体" w:cs="宋体"/>
          <w:b w:val="0"/>
          <w:bCs/>
          <w:caps w:val="0"/>
          <w:smallCaps w:val="0"/>
          <w:snapToGrid w:val="0"/>
          <w:color w:val="auto"/>
          <w:spacing w:val="0"/>
          <w:kern w:val="0"/>
          <w:szCs w:val="28"/>
          <w:highlight w:val="none"/>
          <w:lang w:val="en-US" w:eastAsia="zh-CN"/>
        </w:rPr>
        <w:t>1</w:t>
      </w:r>
      <w:r>
        <w:rPr>
          <w:rFonts w:hint="eastAsia" w:ascii="宋体" w:hAnsi="宋体" w:eastAsia="宋体" w:cs="宋体"/>
          <w:b w:val="0"/>
          <w:bCs/>
          <w:caps w:val="0"/>
          <w:smallCaps w:val="0"/>
          <w:snapToGrid w:val="0"/>
          <w:color w:val="auto"/>
          <w:spacing w:val="0"/>
          <w:kern w:val="0"/>
          <w:szCs w:val="28"/>
          <w:highlight w:val="none"/>
          <w:lang w:eastAsia="zh-CN"/>
        </w:rPr>
        <w:t>）</w:t>
      </w:r>
      <w:r>
        <w:rPr>
          <w:rFonts w:hint="eastAsia" w:ascii="宋体" w:hAnsi="宋体" w:eastAsia="宋体" w:cs="宋体"/>
          <w:b w:val="0"/>
          <w:bCs/>
          <w:caps w:val="0"/>
          <w:smallCaps w:val="0"/>
          <w:snapToGrid w:val="0"/>
          <w:color w:val="auto"/>
          <w:spacing w:val="0"/>
          <w:kern w:val="0"/>
          <w:szCs w:val="28"/>
          <w:highlight w:val="none"/>
        </w:rPr>
        <w:t>《公路路基施工技术规范》</w:t>
      </w:r>
      <w:r>
        <w:rPr>
          <w:rFonts w:hint="eastAsia" w:ascii="宋体" w:hAnsi="宋体" w:eastAsia="宋体" w:cs="宋体"/>
          <w:b w:val="0"/>
          <w:bCs/>
          <w:caps w:val="0"/>
          <w:smallCaps w:val="0"/>
          <w:snapToGrid w:val="0"/>
          <w:color w:val="auto"/>
          <w:spacing w:val="0"/>
          <w:kern w:val="0"/>
          <w:highlight w:val="none"/>
        </w:rPr>
        <w:t>；</w:t>
      </w:r>
    </w:p>
    <w:p w14:paraId="308030B2">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2</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《市政道路工程质量检验评定标准》；</w:t>
      </w:r>
    </w:p>
    <w:p w14:paraId="40CE13C2">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3</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《市政排水管渠工程质量检验评定标准》；</w:t>
      </w:r>
    </w:p>
    <w:p w14:paraId="0BBF4B9D">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4</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《给水排水管道工程施工及验收规范》；</w:t>
      </w:r>
    </w:p>
    <w:p w14:paraId="45EE277A">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5</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《城市道路路基工程施工及验收规范》；</w:t>
      </w:r>
    </w:p>
    <w:p w14:paraId="3F50DB65">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6</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《水泥砼路面施工及验收规范》；</w:t>
      </w:r>
    </w:p>
    <w:p w14:paraId="08D3BB49">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7</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《公路水泥砼路面施工技术规范》；</w:t>
      </w:r>
    </w:p>
    <w:p w14:paraId="1D6C46CE">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8</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《埋地硬聚氯乙烯排水管道工程技术规程》；</w:t>
      </w:r>
    </w:p>
    <w:p w14:paraId="6CA9A664">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9</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《沥青路面施工及验收规范》；</w:t>
      </w:r>
    </w:p>
    <w:p w14:paraId="750FA0F9">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10</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《广东省</w:t>
      </w:r>
      <w:r>
        <w:rPr>
          <w:rFonts w:hint="eastAsia" w:ascii="宋体" w:hAnsi="宋体" w:eastAsia="宋体" w:cs="宋体"/>
          <w:b w:val="0"/>
          <w:bCs/>
          <w:caps w:val="0"/>
          <w:smallCaps w:val="0"/>
          <w:snapToGrid w:val="0"/>
          <w:color w:val="auto"/>
          <w:spacing w:val="0"/>
          <w:kern w:val="0"/>
          <w:highlight w:val="none"/>
          <w:lang w:eastAsia="zh-CN"/>
        </w:rPr>
        <w:t>市政</w:t>
      </w:r>
      <w:r>
        <w:rPr>
          <w:rFonts w:hint="eastAsia" w:ascii="宋体" w:hAnsi="宋体" w:eastAsia="宋体" w:cs="宋体"/>
          <w:b w:val="0"/>
          <w:bCs/>
          <w:caps w:val="0"/>
          <w:smallCaps w:val="0"/>
          <w:snapToGrid w:val="0"/>
          <w:color w:val="auto"/>
          <w:spacing w:val="0"/>
          <w:kern w:val="0"/>
          <w:highlight w:val="none"/>
        </w:rPr>
        <w:t>工程施工质量技术资料统一用表》。</w:t>
      </w:r>
    </w:p>
    <w:p w14:paraId="27EDDC28">
      <w:pPr>
        <w:keepNext w:val="0"/>
        <w:keepLines w:val="0"/>
        <w:pageBreakBefore w:val="0"/>
        <w:widowControl/>
        <w:tabs>
          <w:tab w:val="left" w:pos="567"/>
        </w:tabs>
        <w:kinsoku/>
        <w:overflowPunct/>
        <w:topLinePunct w:val="0"/>
        <w:autoSpaceDE w:val="0"/>
        <w:autoSpaceDN w:val="0"/>
        <w:bidi w:val="0"/>
        <w:spacing w:line="500" w:lineRule="exact"/>
        <w:ind w:firstLine="480" w:firstLineChars="200"/>
        <w:jc w:val="left"/>
        <w:textAlignment w:val="bottom"/>
        <w:outlineLvl w:val="9"/>
        <w:rPr>
          <w:rFonts w:hint="eastAsia" w:ascii="宋体" w:hAnsi="宋体" w:eastAsia="宋体" w:cs="宋体"/>
          <w:b w:val="0"/>
          <w:bCs/>
          <w:i w:val="0"/>
          <w:iCs w:val="0"/>
          <w:color w:val="auto"/>
          <w:kern w:val="0"/>
          <w:szCs w:val="21"/>
          <w:highlight w:val="none"/>
        </w:rPr>
      </w:pPr>
      <w:bookmarkStart w:id="283" w:name="_Toc8840"/>
      <w:bookmarkStart w:id="284" w:name="_Toc20464"/>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11</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i w:val="0"/>
          <w:iCs w:val="0"/>
          <w:color w:val="auto"/>
          <w:kern w:val="0"/>
          <w:szCs w:val="21"/>
          <w:highlight w:val="none"/>
        </w:rPr>
        <w:t>《城市道路照明设计标准》（CJJ45-2015）；</w:t>
      </w:r>
      <w:bookmarkEnd w:id="283"/>
      <w:bookmarkEnd w:id="284"/>
    </w:p>
    <w:p w14:paraId="01A36CBB">
      <w:pPr>
        <w:keepNext w:val="0"/>
        <w:keepLines w:val="0"/>
        <w:pageBreakBefore w:val="0"/>
        <w:widowControl/>
        <w:tabs>
          <w:tab w:val="left" w:pos="567"/>
        </w:tabs>
        <w:kinsoku/>
        <w:overflowPunct/>
        <w:topLinePunct w:val="0"/>
        <w:autoSpaceDE w:val="0"/>
        <w:autoSpaceDN w:val="0"/>
        <w:bidi w:val="0"/>
        <w:spacing w:line="500" w:lineRule="exact"/>
        <w:ind w:firstLine="480" w:firstLineChars="200"/>
        <w:jc w:val="left"/>
        <w:textAlignment w:val="bottom"/>
        <w:outlineLvl w:val="9"/>
        <w:rPr>
          <w:rFonts w:hint="eastAsia" w:ascii="宋体" w:hAnsi="宋体" w:eastAsia="宋体" w:cs="宋体"/>
          <w:b w:val="0"/>
          <w:bCs/>
          <w:i w:val="0"/>
          <w:iCs w:val="0"/>
          <w:color w:val="auto"/>
          <w:szCs w:val="21"/>
          <w:highlight w:val="none"/>
        </w:rPr>
      </w:pPr>
      <w:bookmarkStart w:id="285" w:name="_Toc8828"/>
      <w:bookmarkStart w:id="286" w:name="_Toc12769"/>
      <w:r>
        <w:rPr>
          <w:rFonts w:hint="eastAsia" w:ascii="宋体" w:hAnsi="宋体" w:eastAsia="宋体" w:cs="宋体"/>
          <w:b w:val="0"/>
          <w:bCs/>
          <w:i w:val="0"/>
          <w:iCs w:val="0"/>
          <w:color w:val="auto"/>
          <w:kern w:val="0"/>
          <w:szCs w:val="21"/>
          <w:highlight w:val="none"/>
          <w:lang w:eastAsia="zh-CN"/>
        </w:rPr>
        <w:t>（</w:t>
      </w:r>
      <w:r>
        <w:rPr>
          <w:rFonts w:hint="eastAsia" w:ascii="宋体" w:hAnsi="宋体" w:eastAsia="宋体" w:cs="宋体"/>
          <w:b w:val="0"/>
          <w:bCs/>
          <w:i w:val="0"/>
          <w:iCs w:val="0"/>
          <w:color w:val="auto"/>
          <w:kern w:val="0"/>
          <w:szCs w:val="21"/>
          <w:highlight w:val="none"/>
          <w:lang w:val="en-US" w:eastAsia="zh-CN"/>
        </w:rPr>
        <w:t>12</w:t>
      </w:r>
      <w:r>
        <w:rPr>
          <w:rFonts w:hint="eastAsia" w:ascii="宋体" w:hAnsi="宋体" w:eastAsia="宋体" w:cs="宋体"/>
          <w:b w:val="0"/>
          <w:bCs/>
          <w:i w:val="0"/>
          <w:iCs w:val="0"/>
          <w:color w:val="auto"/>
          <w:kern w:val="0"/>
          <w:szCs w:val="21"/>
          <w:highlight w:val="none"/>
          <w:lang w:eastAsia="zh-CN"/>
        </w:rPr>
        <w:t>）</w:t>
      </w:r>
      <w:r>
        <w:rPr>
          <w:rFonts w:hint="eastAsia" w:ascii="宋体" w:hAnsi="宋体" w:eastAsia="宋体" w:cs="宋体"/>
          <w:b w:val="0"/>
          <w:bCs/>
          <w:i w:val="0"/>
          <w:iCs w:val="0"/>
          <w:color w:val="auto"/>
          <w:kern w:val="0"/>
          <w:szCs w:val="21"/>
          <w:highlight w:val="none"/>
        </w:rPr>
        <w:t>《低压配电设计规范》（GB50054-2011）；</w:t>
      </w:r>
      <w:bookmarkEnd w:id="285"/>
      <w:bookmarkEnd w:id="286"/>
    </w:p>
    <w:p w14:paraId="59EE4D3F">
      <w:pPr>
        <w:keepNext w:val="0"/>
        <w:keepLines w:val="0"/>
        <w:pageBreakBefore w:val="0"/>
        <w:widowControl/>
        <w:tabs>
          <w:tab w:val="left" w:pos="567"/>
        </w:tabs>
        <w:kinsoku/>
        <w:overflowPunct/>
        <w:topLinePunct w:val="0"/>
        <w:autoSpaceDE w:val="0"/>
        <w:autoSpaceDN w:val="0"/>
        <w:bidi w:val="0"/>
        <w:spacing w:line="500" w:lineRule="exact"/>
        <w:ind w:firstLine="480" w:firstLineChars="200"/>
        <w:jc w:val="left"/>
        <w:textAlignment w:val="bottom"/>
        <w:outlineLvl w:val="9"/>
        <w:rPr>
          <w:rFonts w:hint="eastAsia" w:ascii="宋体" w:hAnsi="宋体" w:eastAsia="宋体" w:cs="宋体"/>
          <w:b w:val="0"/>
          <w:bCs/>
          <w:i w:val="0"/>
          <w:iCs w:val="0"/>
          <w:color w:val="auto"/>
          <w:kern w:val="0"/>
          <w:szCs w:val="21"/>
          <w:highlight w:val="none"/>
        </w:rPr>
      </w:pPr>
      <w:bookmarkStart w:id="287" w:name="_Toc5338"/>
      <w:bookmarkStart w:id="288" w:name="_Toc17054"/>
      <w:r>
        <w:rPr>
          <w:rFonts w:hint="eastAsia" w:ascii="宋体" w:hAnsi="宋体" w:eastAsia="宋体" w:cs="宋体"/>
          <w:b w:val="0"/>
          <w:bCs/>
          <w:i w:val="0"/>
          <w:iCs w:val="0"/>
          <w:color w:val="auto"/>
          <w:kern w:val="0"/>
          <w:szCs w:val="21"/>
          <w:highlight w:val="none"/>
          <w:lang w:eastAsia="zh-CN"/>
        </w:rPr>
        <w:t>（</w:t>
      </w:r>
      <w:r>
        <w:rPr>
          <w:rFonts w:hint="eastAsia" w:ascii="宋体" w:hAnsi="宋体" w:eastAsia="宋体" w:cs="宋体"/>
          <w:b w:val="0"/>
          <w:bCs/>
          <w:i w:val="0"/>
          <w:iCs w:val="0"/>
          <w:color w:val="auto"/>
          <w:kern w:val="0"/>
          <w:szCs w:val="21"/>
          <w:highlight w:val="none"/>
          <w:lang w:val="en-US" w:eastAsia="zh-CN"/>
        </w:rPr>
        <w:t>13</w:t>
      </w:r>
      <w:r>
        <w:rPr>
          <w:rFonts w:hint="eastAsia" w:ascii="宋体" w:hAnsi="宋体" w:eastAsia="宋体" w:cs="宋体"/>
          <w:b w:val="0"/>
          <w:bCs/>
          <w:i w:val="0"/>
          <w:iCs w:val="0"/>
          <w:color w:val="auto"/>
          <w:kern w:val="0"/>
          <w:szCs w:val="21"/>
          <w:highlight w:val="none"/>
          <w:lang w:eastAsia="zh-CN"/>
        </w:rPr>
        <w:t>）</w:t>
      </w:r>
      <w:r>
        <w:rPr>
          <w:rFonts w:hint="eastAsia" w:ascii="宋体" w:hAnsi="宋体" w:eastAsia="宋体" w:cs="宋体"/>
          <w:b w:val="0"/>
          <w:bCs/>
          <w:i w:val="0"/>
          <w:iCs w:val="0"/>
          <w:color w:val="auto"/>
          <w:kern w:val="0"/>
          <w:szCs w:val="21"/>
          <w:highlight w:val="none"/>
        </w:rPr>
        <w:t>《城市道路照明工程施工及验收规程》（CJJ89-2012）；</w:t>
      </w:r>
      <w:bookmarkEnd w:id="287"/>
      <w:bookmarkEnd w:id="288"/>
    </w:p>
    <w:p w14:paraId="17E5A6B8">
      <w:pPr>
        <w:keepNext w:val="0"/>
        <w:keepLines w:val="0"/>
        <w:pageBreakBefore w:val="0"/>
        <w:widowControl/>
        <w:tabs>
          <w:tab w:val="left" w:pos="567"/>
        </w:tabs>
        <w:kinsoku/>
        <w:overflowPunct/>
        <w:topLinePunct w:val="0"/>
        <w:autoSpaceDE w:val="0"/>
        <w:autoSpaceDN w:val="0"/>
        <w:bidi w:val="0"/>
        <w:spacing w:line="500" w:lineRule="exact"/>
        <w:ind w:firstLine="480" w:firstLineChars="200"/>
        <w:jc w:val="left"/>
        <w:textAlignment w:val="bottom"/>
        <w:outlineLvl w:val="9"/>
        <w:rPr>
          <w:rFonts w:hint="eastAsia" w:ascii="宋体" w:hAnsi="宋体" w:eastAsia="宋体" w:cs="宋体"/>
          <w:b w:val="0"/>
          <w:bCs/>
          <w:i w:val="0"/>
          <w:iCs w:val="0"/>
          <w:color w:val="auto"/>
          <w:kern w:val="0"/>
          <w:szCs w:val="21"/>
          <w:highlight w:val="none"/>
          <w:lang w:val="en-US" w:eastAsia="zh-CN"/>
        </w:rPr>
      </w:pPr>
      <w:bookmarkStart w:id="289" w:name="_Toc15704"/>
      <w:bookmarkStart w:id="290" w:name="_Toc17302"/>
      <w:r>
        <w:rPr>
          <w:rFonts w:hint="eastAsia" w:ascii="宋体" w:hAnsi="宋体" w:eastAsia="宋体" w:cs="宋体"/>
          <w:b w:val="0"/>
          <w:bCs/>
          <w:i w:val="0"/>
          <w:iCs w:val="0"/>
          <w:color w:val="auto"/>
          <w:kern w:val="0"/>
          <w:szCs w:val="21"/>
          <w:highlight w:val="none"/>
          <w:lang w:eastAsia="zh-CN"/>
        </w:rPr>
        <w:t>（</w:t>
      </w:r>
      <w:r>
        <w:rPr>
          <w:rFonts w:hint="eastAsia" w:ascii="宋体" w:hAnsi="宋体" w:eastAsia="宋体" w:cs="宋体"/>
          <w:b w:val="0"/>
          <w:bCs/>
          <w:i w:val="0"/>
          <w:iCs w:val="0"/>
          <w:color w:val="auto"/>
          <w:kern w:val="0"/>
          <w:szCs w:val="21"/>
          <w:highlight w:val="none"/>
          <w:lang w:val="en-US" w:eastAsia="zh-CN"/>
        </w:rPr>
        <w:t>14</w:t>
      </w:r>
      <w:r>
        <w:rPr>
          <w:rFonts w:hint="eastAsia" w:ascii="宋体" w:hAnsi="宋体" w:eastAsia="宋体" w:cs="宋体"/>
          <w:b w:val="0"/>
          <w:bCs/>
          <w:i w:val="0"/>
          <w:iCs w:val="0"/>
          <w:color w:val="auto"/>
          <w:kern w:val="0"/>
          <w:szCs w:val="21"/>
          <w:highlight w:val="none"/>
          <w:lang w:eastAsia="zh-CN"/>
        </w:rPr>
        <w:t>）《</w:t>
      </w:r>
      <w:r>
        <w:rPr>
          <w:rFonts w:hint="eastAsia" w:ascii="宋体" w:hAnsi="宋体" w:eastAsia="宋体" w:cs="宋体"/>
          <w:b w:val="0"/>
          <w:bCs/>
          <w:i w:val="0"/>
          <w:iCs w:val="0"/>
          <w:color w:val="auto"/>
          <w:kern w:val="0"/>
          <w:szCs w:val="21"/>
          <w:highlight w:val="none"/>
          <w:lang w:val="en-US" w:eastAsia="zh-CN"/>
        </w:rPr>
        <w:t>LED道路照明工程技术规范</w:t>
      </w:r>
      <w:r>
        <w:rPr>
          <w:rFonts w:hint="eastAsia" w:ascii="宋体" w:hAnsi="宋体" w:eastAsia="宋体" w:cs="宋体"/>
          <w:b w:val="0"/>
          <w:bCs/>
          <w:i w:val="0"/>
          <w:iCs w:val="0"/>
          <w:color w:val="auto"/>
          <w:kern w:val="0"/>
          <w:szCs w:val="21"/>
          <w:highlight w:val="none"/>
          <w:lang w:eastAsia="zh-CN"/>
        </w:rPr>
        <w:t>》（</w:t>
      </w:r>
      <w:r>
        <w:rPr>
          <w:rFonts w:hint="eastAsia" w:ascii="宋体" w:hAnsi="宋体" w:eastAsia="宋体" w:cs="宋体"/>
          <w:b w:val="0"/>
          <w:bCs/>
          <w:i w:val="0"/>
          <w:iCs w:val="0"/>
          <w:color w:val="auto"/>
          <w:kern w:val="0"/>
          <w:szCs w:val="21"/>
          <w:highlight w:val="none"/>
          <w:lang w:val="en-US" w:eastAsia="zh-CN"/>
        </w:rPr>
        <w:t>DB44/T 1898-2016</w:t>
      </w:r>
      <w:r>
        <w:rPr>
          <w:rFonts w:hint="eastAsia" w:ascii="宋体" w:hAnsi="宋体" w:eastAsia="宋体" w:cs="宋体"/>
          <w:b w:val="0"/>
          <w:bCs/>
          <w:i w:val="0"/>
          <w:iCs w:val="0"/>
          <w:color w:val="auto"/>
          <w:kern w:val="0"/>
          <w:szCs w:val="21"/>
          <w:highlight w:val="none"/>
          <w:lang w:eastAsia="zh-CN"/>
        </w:rPr>
        <w:t>）</w:t>
      </w:r>
      <w:r>
        <w:rPr>
          <w:rFonts w:hint="eastAsia" w:ascii="宋体" w:hAnsi="宋体" w:eastAsia="宋体" w:cs="宋体"/>
          <w:b w:val="0"/>
          <w:bCs/>
          <w:i w:val="0"/>
          <w:iCs w:val="0"/>
          <w:color w:val="auto"/>
          <w:kern w:val="0"/>
          <w:szCs w:val="21"/>
          <w:highlight w:val="none"/>
          <w:lang w:val="en-US" w:eastAsia="zh-CN"/>
        </w:rPr>
        <w:t>；</w:t>
      </w:r>
      <w:bookmarkEnd w:id="289"/>
      <w:bookmarkEnd w:id="290"/>
    </w:p>
    <w:p w14:paraId="0F08A875">
      <w:pPr>
        <w:pStyle w:val="155"/>
        <w:keepNext w:val="0"/>
        <w:keepLines w:val="0"/>
        <w:pageBreakBefore w:val="0"/>
        <w:kinsoku/>
        <w:overflowPunct/>
        <w:topLinePunct w:val="0"/>
        <w:bidi w:val="0"/>
        <w:spacing w:line="500" w:lineRule="exact"/>
        <w:ind w:left="0" w:leftChars="0" w:firstLine="480" w:firstLineChars="200"/>
        <w:rPr>
          <w:rFonts w:hint="eastAsia" w:ascii="宋体" w:hAnsi="宋体" w:eastAsia="宋体" w:cs="宋体"/>
          <w:b w:val="0"/>
          <w:bCs/>
          <w:i w:val="0"/>
          <w:iCs w:val="0"/>
          <w:color w:val="auto"/>
          <w:kern w:val="0"/>
          <w:szCs w:val="21"/>
          <w:highlight w:val="none"/>
          <w:lang w:val="en-US" w:eastAsia="zh-CN"/>
        </w:rPr>
      </w:pPr>
      <w:r>
        <w:rPr>
          <w:rFonts w:hint="eastAsia" w:ascii="宋体" w:hAnsi="宋体" w:eastAsia="宋体" w:cs="宋体"/>
          <w:b w:val="0"/>
          <w:bCs/>
          <w:i w:val="0"/>
          <w:iCs w:val="0"/>
          <w:color w:val="auto"/>
          <w:kern w:val="0"/>
          <w:szCs w:val="21"/>
          <w:highlight w:val="none"/>
          <w:lang w:eastAsia="zh-CN"/>
        </w:rPr>
        <w:t>（</w:t>
      </w:r>
      <w:r>
        <w:rPr>
          <w:rFonts w:hint="eastAsia" w:ascii="宋体" w:hAnsi="宋体" w:eastAsia="宋体" w:cs="宋体"/>
          <w:b w:val="0"/>
          <w:bCs/>
          <w:i w:val="0"/>
          <w:iCs w:val="0"/>
          <w:color w:val="auto"/>
          <w:kern w:val="0"/>
          <w:szCs w:val="21"/>
          <w:highlight w:val="none"/>
          <w:lang w:val="en-US" w:eastAsia="zh-CN"/>
        </w:rPr>
        <w:t>15</w:t>
      </w:r>
      <w:r>
        <w:rPr>
          <w:rFonts w:hint="eastAsia" w:ascii="宋体" w:hAnsi="宋体" w:eastAsia="宋体" w:cs="宋体"/>
          <w:b w:val="0"/>
          <w:bCs/>
          <w:i w:val="0"/>
          <w:iCs w:val="0"/>
          <w:color w:val="auto"/>
          <w:kern w:val="0"/>
          <w:szCs w:val="21"/>
          <w:highlight w:val="none"/>
          <w:lang w:eastAsia="zh-CN"/>
        </w:rPr>
        <w:t>）《灯具第</w:t>
      </w:r>
      <w:r>
        <w:rPr>
          <w:rFonts w:hint="eastAsia" w:ascii="宋体" w:hAnsi="宋体" w:eastAsia="宋体" w:cs="宋体"/>
          <w:b w:val="0"/>
          <w:bCs/>
          <w:i w:val="0"/>
          <w:iCs w:val="0"/>
          <w:color w:val="auto"/>
          <w:kern w:val="0"/>
          <w:szCs w:val="21"/>
          <w:highlight w:val="none"/>
          <w:lang w:val="en-US" w:eastAsia="zh-CN"/>
        </w:rPr>
        <w:t>1部分：一般要求与试验</w:t>
      </w:r>
      <w:r>
        <w:rPr>
          <w:rFonts w:hint="eastAsia" w:ascii="宋体" w:hAnsi="宋体" w:eastAsia="宋体" w:cs="宋体"/>
          <w:b w:val="0"/>
          <w:bCs/>
          <w:i w:val="0"/>
          <w:iCs w:val="0"/>
          <w:color w:val="auto"/>
          <w:kern w:val="0"/>
          <w:szCs w:val="21"/>
          <w:highlight w:val="none"/>
          <w:lang w:eastAsia="zh-CN"/>
        </w:rPr>
        <w:t>》（</w:t>
      </w:r>
      <w:r>
        <w:rPr>
          <w:rFonts w:hint="eastAsia" w:ascii="宋体" w:hAnsi="宋体" w:eastAsia="宋体" w:cs="宋体"/>
          <w:b w:val="0"/>
          <w:bCs/>
          <w:i w:val="0"/>
          <w:iCs w:val="0"/>
          <w:color w:val="auto"/>
          <w:kern w:val="0"/>
          <w:szCs w:val="21"/>
          <w:highlight w:val="none"/>
          <w:lang w:val="en-US" w:eastAsia="zh-CN"/>
        </w:rPr>
        <w:t>GB7000.1-2015</w:t>
      </w:r>
      <w:r>
        <w:rPr>
          <w:rFonts w:hint="eastAsia" w:ascii="宋体" w:hAnsi="宋体" w:eastAsia="宋体" w:cs="宋体"/>
          <w:b w:val="0"/>
          <w:bCs/>
          <w:i w:val="0"/>
          <w:iCs w:val="0"/>
          <w:color w:val="auto"/>
          <w:kern w:val="0"/>
          <w:szCs w:val="21"/>
          <w:highlight w:val="none"/>
          <w:lang w:eastAsia="zh-CN"/>
        </w:rPr>
        <w:t>）</w:t>
      </w:r>
      <w:r>
        <w:rPr>
          <w:rFonts w:hint="eastAsia" w:ascii="宋体" w:hAnsi="宋体" w:eastAsia="宋体" w:cs="宋体"/>
          <w:b w:val="0"/>
          <w:bCs/>
          <w:i w:val="0"/>
          <w:iCs w:val="0"/>
          <w:color w:val="auto"/>
          <w:kern w:val="0"/>
          <w:szCs w:val="21"/>
          <w:highlight w:val="none"/>
          <w:lang w:val="en-US" w:eastAsia="zh-CN"/>
        </w:rPr>
        <w:t>；</w:t>
      </w:r>
    </w:p>
    <w:p w14:paraId="64E0630B">
      <w:pPr>
        <w:keepNext w:val="0"/>
        <w:keepLines w:val="0"/>
        <w:pageBreakBefore w:val="0"/>
        <w:widowControl w:val="0"/>
        <w:kinsoku/>
        <w:wordWrap w:val="0"/>
        <w:overflowPunct/>
        <w:topLinePunct w:val="0"/>
        <w:autoSpaceDE/>
        <w:autoSpaceDN/>
        <w:bidi w:val="0"/>
        <w:adjustRightInd w:val="0"/>
        <w:snapToGrid w:val="0"/>
        <w:spacing w:before="0" w:after="0" w:line="500" w:lineRule="exact"/>
        <w:ind w:right="0" w:rightChars="0" w:firstLine="480" w:firstLineChars="200"/>
        <w:textAlignment w:val="auto"/>
        <w:rPr>
          <w:rFonts w:hint="eastAsia" w:ascii="宋体" w:hAnsi="宋体" w:eastAsia="宋体" w:cs="宋体"/>
          <w:b w:val="0"/>
          <w:bCs/>
          <w:i w:val="0"/>
          <w:iCs w:val="0"/>
          <w:color w:val="auto"/>
          <w:kern w:val="0"/>
          <w:szCs w:val="21"/>
          <w:highlight w:val="none"/>
          <w:lang w:val="en-US" w:eastAsia="zh-CN"/>
        </w:rPr>
      </w:pPr>
      <w:r>
        <w:rPr>
          <w:rFonts w:hint="eastAsia" w:ascii="宋体" w:hAnsi="宋体" w:eastAsia="宋体" w:cs="宋体"/>
          <w:b w:val="0"/>
          <w:bCs/>
          <w:i w:val="0"/>
          <w:iCs w:val="0"/>
          <w:color w:val="auto"/>
          <w:kern w:val="0"/>
          <w:szCs w:val="21"/>
          <w:highlight w:val="none"/>
          <w:lang w:eastAsia="zh-CN"/>
        </w:rPr>
        <w:t>（</w:t>
      </w:r>
      <w:r>
        <w:rPr>
          <w:rFonts w:hint="eastAsia" w:ascii="宋体" w:hAnsi="宋体" w:eastAsia="宋体" w:cs="宋体"/>
          <w:b w:val="0"/>
          <w:bCs/>
          <w:i w:val="0"/>
          <w:iCs w:val="0"/>
          <w:color w:val="auto"/>
          <w:kern w:val="0"/>
          <w:szCs w:val="21"/>
          <w:highlight w:val="none"/>
          <w:lang w:val="en-US" w:eastAsia="zh-CN"/>
        </w:rPr>
        <w:t>16</w:t>
      </w:r>
      <w:r>
        <w:rPr>
          <w:rFonts w:hint="eastAsia" w:ascii="宋体" w:hAnsi="宋体" w:eastAsia="宋体" w:cs="宋体"/>
          <w:b w:val="0"/>
          <w:bCs/>
          <w:i w:val="0"/>
          <w:iCs w:val="0"/>
          <w:color w:val="auto"/>
          <w:kern w:val="0"/>
          <w:szCs w:val="21"/>
          <w:highlight w:val="none"/>
          <w:lang w:eastAsia="zh-CN"/>
        </w:rPr>
        <w:t>）《电缆工程电缆设计标准》（</w:t>
      </w:r>
      <w:r>
        <w:rPr>
          <w:rFonts w:hint="eastAsia" w:ascii="宋体" w:hAnsi="宋体" w:eastAsia="宋体" w:cs="宋体"/>
          <w:b w:val="0"/>
          <w:bCs/>
          <w:i w:val="0"/>
          <w:iCs w:val="0"/>
          <w:color w:val="auto"/>
          <w:kern w:val="0"/>
          <w:szCs w:val="21"/>
          <w:highlight w:val="none"/>
          <w:lang w:val="en-US" w:eastAsia="zh-CN"/>
        </w:rPr>
        <w:t>GB50217-2018</w:t>
      </w:r>
      <w:r>
        <w:rPr>
          <w:rFonts w:hint="eastAsia" w:ascii="宋体" w:hAnsi="宋体" w:eastAsia="宋体" w:cs="宋体"/>
          <w:b w:val="0"/>
          <w:bCs/>
          <w:i w:val="0"/>
          <w:iCs w:val="0"/>
          <w:color w:val="auto"/>
          <w:kern w:val="0"/>
          <w:szCs w:val="21"/>
          <w:highlight w:val="none"/>
          <w:lang w:eastAsia="zh-CN"/>
        </w:rPr>
        <w:t>）；</w:t>
      </w:r>
    </w:p>
    <w:p w14:paraId="2BD73719">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snapToGrid w:val="0"/>
          <w:color w:val="auto"/>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17</w:t>
      </w:r>
      <w:r>
        <w:rPr>
          <w:rFonts w:hint="eastAsia" w:ascii="宋体" w:hAnsi="宋体" w:eastAsia="宋体" w:cs="宋体"/>
          <w:b w:val="0"/>
          <w:bCs/>
          <w:caps w:val="0"/>
          <w:smallCaps w:val="0"/>
          <w:snapToGrid w:val="0"/>
          <w:color w:val="auto"/>
          <w:spacing w:val="0"/>
          <w:kern w:val="0"/>
          <w:highlight w:val="none"/>
          <w:lang w:eastAsia="zh-CN"/>
        </w:rPr>
        <w:t>）其他现行国家、广东省关于市政工程的技术及验收规范、</w:t>
      </w:r>
      <w:r>
        <w:rPr>
          <w:rFonts w:hint="eastAsia" w:ascii="宋体" w:hAnsi="宋体" w:eastAsia="宋体" w:cs="宋体"/>
          <w:b w:val="0"/>
          <w:bCs/>
          <w:caps w:val="0"/>
          <w:smallCaps w:val="0"/>
          <w:snapToGrid w:val="0"/>
          <w:color w:val="auto"/>
          <w:spacing w:val="0"/>
          <w:kern w:val="0"/>
          <w:highlight w:val="none"/>
          <w:lang w:val="en-US" w:eastAsia="zh-CN"/>
        </w:rPr>
        <w:t>定额、</w:t>
      </w:r>
      <w:r>
        <w:rPr>
          <w:rFonts w:hint="eastAsia" w:ascii="宋体" w:hAnsi="宋体" w:eastAsia="宋体" w:cs="宋体"/>
          <w:b w:val="0"/>
          <w:bCs/>
          <w:caps w:val="0"/>
          <w:smallCaps w:val="0"/>
          <w:snapToGrid w:val="0"/>
          <w:color w:val="auto"/>
          <w:spacing w:val="0"/>
          <w:kern w:val="0"/>
          <w:highlight w:val="none"/>
          <w:lang w:eastAsia="zh-CN"/>
        </w:rPr>
        <w:t>规程、标准。</w:t>
      </w:r>
    </w:p>
    <w:p w14:paraId="20839665">
      <w:pPr>
        <w:keepNext w:val="0"/>
        <w:keepLines w:val="0"/>
        <w:pageBreakBefore w:val="0"/>
        <w:kinsoku/>
        <w:wordWrap w:val="0"/>
        <w:overflowPunct/>
        <w:topLinePunct w:val="0"/>
        <w:bidi w:val="0"/>
        <w:adjustRightInd w:val="0"/>
        <w:snapToGrid w:val="0"/>
        <w:spacing w:line="500" w:lineRule="exact"/>
        <w:ind w:firstLine="482" w:firstLineChars="200"/>
        <w:outlineLvl w:val="9"/>
        <w:rPr>
          <w:rFonts w:hint="eastAsia" w:ascii="宋体" w:hAnsi="宋体" w:eastAsia="宋体" w:cs="宋体"/>
          <w:b/>
          <w:snapToGrid w:val="0"/>
          <w:color w:val="auto"/>
          <w:kern w:val="0"/>
          <w:highlight w:val="none"/>
        </w:rPr>
      </w:pPr>
      <w:bookmarkStart w:id="291" w:name="_Toc20571"/>
      <w:bookmarkStart w:id="292" w:name="_Toc5246"/>
      <w:r>
        <w:rPr>
          <w:rFonts w:hint="eastAsia" w:ascii="宋体" w:hAnsi="宋体" w:eastAsia="宋体" w:cs="宋体"/>
          <w:b/>
          <w:snapToGrid w:val="0"/>
          <w:color w:val="auto"/>
          <w:kern w:val="0"/>
          <w:highlight w:val="none"/>
        </w:rPr>
        <w:t>3．备查要求</w:t>
      </w:r>
      <w:bookmarkEnd w:id="291"/>
      <w:bookmarkEnd w:id="292"/>
    </w:p>
    <w:p w14:paraId="06C3D4AC">
      <w:pPr>
        <w:keepNext w:val="0"/>
        <w:keepLines w:val="0"/>
        <w:pageBreakBefore w:val="0"/>
        <w:kinsoku/>
        <w:wordWrap w:val="0"/>
        <w:overflowPunct/>
        <w:topLinePunct w:val="0"/>
        <w:bidi w:val="0"/>
        <w:adjustRightInd w:val="0"/>
        <w:snapToGrid w:val="0"/>
        <w:spacing w:line="500" w:lineRule="exact"/>
        <w:ind w:firstLine="560"/>
        <w:rPr>
          <w:rFonts w:hint="eastAsia" w:ascii="宋体" w:hAnsi="宋体" w:eastAsia="宋体" w:cs="宋体"/>
          <w:strike/>
          <w:snapToGrid w:val="0"/>
          <w:color w:val="auto"/>
          <w:kern w:val="0"/>
          <w:highlight w:val="none"/>
        </w:rPr>
        <w:sectPr>
          <w:endnotePr>
            <w:numFmt w:val="decimal"/>
          </w:endnotePr>
          <w:pgSz w:w="11906" w:h="16838"/>
          <w:pgMar w:top="1417" w:right="1417" w:bottom="1417" w:left="1417" w:header="850" w:footer="992" w:gutter="0"/>
          <w:pgNumType w:fmt="decimal"/>
          <w:cols w:space="0" w:num="1"/>
          <w:rtlGutter w:val="0"/>
          <w:docGrid w:linePitch="327" w:charSpace="0"/>
        </w:sectPr>
      </w:pPr>
      <w:r>
        <w:rPr>
          <w:rFonts w:hint="eastAsia" w:ascii="宋体" w:hAnsi="宋体" w:eastAsia="宋体" w:cs="宋体"/>
          <w:b w:val="0"/>
          <w:bCs/>
          <w:snapToGrid w:val="0"/>
          <w:color w:val="auto"/>
          <w:kern w:val="0"/>
          <w:highlight w:val="none"/>
        </w:rPr>
        <w:t>监理人必须在施工现场准备至少一套上述规范，委托人可随时检</w:t>
      </w:r>
      <w:r>
        <w:rPr>
          <w:rFonts w:hint="eastAsia" w:ascii="宋体" w:hAnsi="宋体" w:eastAsia="宋体" w:cs="宋体"/>
          <w:bCs/>
          <w:snapToGrid w:val="0"/>
          <w:color w:val="auto"/>
          <w:kern w:val="0"/>
          <w:highlight w:val="none"/>
        </w:rPr>
        <w:t>查监理人的上述规范，并监督监理人按规范要求执行。</w:t>
      </w:r>
      <w:bookmarkStart w:id="293" w:name="_Hlt69670335"/>
      <w:bookmarkEnd w:id="293"/>
    </w:p>
    <w:p w14:paraId="2C01AB53">
      <w:pPr>
        <w:pStyle w:val="3"/>
        <w:wordWrap w:val="0"/>
        <w:autoSpaceDE/>
        <w:autoSpaceDN/>
        <w:snapToGrid w:val="0"/>
        <w:spacing w:line="440" w:lineRule="exact"/>
        <w:jc w:val="center"/>
        <w:rPr>
          <w:rFonts w:ascii="Times New Roman"/>
          <w:b/>
          <w:snapToGrid w:val="0"/>
          <w:color w:val="auto"/>
          <w:sz w:val="32"/>
          <w:szCs w:val="22"/>
          <w:highlight w:val="none"/>
        </w:rPr>
      </w:pPr>
      <w:bookmarkStart w:id="294" w:name="_Toc27904"/>
      <w:r>
        <w:rPr>
          <w:rFonts w:hint="eastAsia" w:ascii="Times New Roman"/>
          <w:b/>
          <w:snapToGrid w:val="0"/>
          <w:color w:val="auto"/>
          <w:sz w:val="32"/>
          <w:szCs w:val="22"/>
          <w:highlight w:val="none"/>
        </w:rPr>
        <w:t xml:space="preserve">第五章 </w:t>
      </w:r>
      <w:bookmarkStart w:id="295" w:name="_Hlt75747044"/>
      <w:bookmarkEnd w:id="295"/>
      <w:r>
        <w:rPr>
          <w:rFonts w:hint="eastAsia" w:ascii="Times New Roman"/>
          <w:b/>
          <w:snapToGrid w:val="0"/>
          <w:color w:val="auto"/>
          <w:sz w:val="32"/>
          <w:szCs w:val="22"/>
          <w:highlight w:val="none"/>
        </w:rPr>
        <w:t>投标文件格式</w:t>
      </w:r>
      <w:bookmarkEnd w:id="269"/>
      <w:bookmarkEnd w:id="294"/>
    </w:p>
    <w:bookmarkEnd w:id="270"/>
    <w:p w14:paraId="7A6D8682">
      <w:pPr>
        <w:pStyle w:val="73"/>
        <w:keepNext w:val="0"/>
        <w:keepLines w:val="0"/>
        <w:widowControl w:val="0"/>
        <w:wordWrap w:val="0"/>
        <w:adjustRightInd w:val="0"/>
        <w:snapToGrid w:val="0"/>
        <w:spacing w:before="0" w:after="0" w:line="240" w:lineRule="auto"/>
        <w:ind w:left="3640" w:leftChars="15" w:hanging="3604" w:hangingChars="1496"/>
        <w:jc w:val="both"/>
        <w:outlineLvl w:val="9"/>
        <w:rPr>
          <w:rFonts w:ascii="Times New Roman"/>
          <w:b/>
          <w:snapToGrid w:val="0"/>
          <w:color w:val="auto"/>
          <w:highlight w:val="none"/>
        </w:rPr>
      </w:pPr>
      <w:bookmarkStart w:id="296" w:name="_附件二：近三年度主要施工项目（竣工及在建）一览表"/>
      <w:bookmarkEnd w:id="296"/>
      <w:bookmarkStart w:id="297" w:name="_附件二：工期承诺书"/>
      <w:bookmarkEnd w:id="297"/>
      <w:bookmarkStart w:id="298" w:name="_附件一：对招标文件条款自愿接受承诺书"/>
      <w:bookmarkEnd w:id="298"/>
      <w:bookmarkStart w:id="299" w:name="_附件一：投标函"/>
      <w:bookmarkEnd w:id="299"/>
      <w:bookmarkStart w:id="300" w:name="_附件四：工期承诺书"/>
      <w:bookmarkEnd w:id="300"/>
      <w:bookmarkStart w:id="301" w:name="_附件五：综合评审合理低价法"/>
      <w:bookmarkEnd w:id="301"/>
      <w:bookmarkStart w:id="302" w:name="_Toc66849200"/>
      <w:bookmarkStart w:id="303" w:name="_Toc200338097"/>
      <w:bookmarkStart w:id="304" w:name="_Toc137621693"/>
      <w:bookmarkStart w:id="305" w:name="_Hlt66847557"/>
    </w:p>
    <w:p w14:paraId="605BD047">
      <w:pPr>
        <w:pStyle w:val="73"/>
        <w:keepNext w:val="0"/>
        <w:keepLines w:val="0"/>
        <w:widowControl w:val="0"/>
        <w:wordWrap w:val="0"/>
        <w:adjustRightInd w:val="0"/>
        <w:snapToGrid w:val="0"/>
        <w:spacing w:before="0" w:after="0" w:line="240" w:lineRule="auto"/>
        <w:ind w:left="3640" w:leftChars="15" w:hanging="3604" w:hangingChars="1496"/>
        <w:jc w:val="both"/>
        <w:outlineLvl w:val="1"/>
        <w:rPr>
          <w:rFonts w:ascii="Times New Roman"/>
          <w:b/>
          <w:snapToGrid w:val="0"/>
          <w:color w:val="auto"/>
          <w:highlight w:val="none"/>
        </w:rPr>
      </w:pPr>
      <w:bookmarkStart w:id="306" w:name="_Toc63"/>
      <w:bookmarkStart w:id="307" w:name="_Toc31809"/>
      <w:r>
        <w:rPr>
          <w:rFonts w:hint="eastAsia" w:ascii="Times New Roman"/>
          <w:b/>
          <w:snapToGrid w:val="0"/>
          <w:color w:val="auto"/>
          <w:highlight w:val="none"/>
        </w:rPr>
        <w:t>格式一 封面</w:t>
      </w:r>
      <w:bookmarkEnd w:id="306"/>
      <w:bookmarkEnd w:id="307"/>
    </w:p>
    <w:p w14:paraId="5DF40F53">
      <w:pPr>
        <w:pStyle w:val="74"/>
        <w:widowControl w:val="0"/>
        <w:wordWrap w:val="0"/>
        <w:adjustRightInd w:val="0"/>
        <w:snapToGrid w:val="0"/>
        <w:spacing w:line="240" w:lineRule="auto"/>
        <w:rPr>
          <w:rFonts w:ascii="Times New Roman"/>
          <w:b/>
          <w:snapToGrid w:val="0"/>
          <w:color w:val="auto"/>
          <w:sz w:val="24"/>
          <w:highlight w:val="none"/>
        </w:rPr>
      </w:pPr>
    </w:p>
    <w:p w14:paraId="6FBB4A80">
      <w:pPr>
        <w:pStyle w:val="74"/>
        <w:widowControl w:val="0"/>
        <w:wordWrap w:val="0"/>
        <w:adjustRightInd w:val="0"/>
        <w:snapToGrid w:val="0"/>
        <w:spacing w:line="240" w:lineRule="auto"/>
        <w:jc w:val="right"/>
        <w:rPr>
          <w:rFonts w:ascii="Times New Roman"/>
          <w:b/>
          <w:snapToGrid w:val="0"/>
          <w:color w:val="auto"/>
          <w:sz w:val="24"/>
          <w:highlight w:val="none"/>
        </w:rPr>
      </w:pPr>
    </w:p>
    <w:p w14:paraId="59746A92">
      <w:pPr>
        <w:pStyle w:val="74"/>
        <w:widowControl w:val="0"/>
        <w:wordWrap w:val="0"/>
        <w:adjustRightInd w:val="0"/>
        <w:snapToGrid w:val="0"/>
        <w:spacing w:line="240" w:lineRule="auto"/>
        <w:rPr>
          <w:rFonts w:ascii="Times New Roman"/>
          <w:b/>
          <w:snapToGrid w:val="0"/>
          <w:color w:val="auto"/>
          <w:sz w:val="24"/>
          <w:highlight w:val="none"/>
        </w:rPr>
      </w:pPr>
    </w:p>
    <w:p w14:paraId="0294BCEE">
      <w:pPr>
        <w:pStyle w:val="74"/>
        <w:widowControl w:val="0"/>
        <w:wordWrap w:val="0"/>
        <w:adjustRightInd w:val="0"/>
        <w:snapToGrid w:val="0"/>
        <w:spacing w:line="240" w:lineRule="auto"/>
        <w:rPr>
          <w:rFonts w:ascii="Times New Roman"/>
          <w:b/>
          <w:snapToGrid w:val="0"/>
          <w:color w:val="auto"/>
          <w:sz w:val="24"/>
          <w:highlight w:val="none"/>
        </w:rPr>
      </w:pPr>
    </w:p>
    <w:p w14:paraId="7513099E">
      <w:pPr>
        <w:pStyle w:val="74"/>
        <w:widowControl w:val="0"/>
        <w:wordWrap w:val="0"/>
        <w:adjustRightInd w:val="0"/>
        <w:snapToGrid w:val="0"/>
        <w:spacing w:line="240" w:lineRule="auto"/>
        <w:rPr>
          <w:rFonts w:ascii="Times New Roman"/>
          <w:b/>
          <w:snapToGrid w:val="0"/>
          <w:color w:val="auto"/>
          <w:sz w:val="24"/>
          <w:highlight w:val="none"/>
        </w:rPr>
      </w:pPr>
    </w:p>
    <w:p w14:paraId="4875FFE9">
      <w:pPr>
        <w:pStyle w:val="74"/>
        <w:widowControl w:val="0"/>
        <w:wordWrap w:val="0"/>
        <w:adjustRightInd w:val="0"/>
        <w:snapToGrid w:val="0"/>
        <w:spacing w:line="240" w:lineRule="auto"/>
        <w:rPr>
          <w:rFonts w:ascii="Times New Roman"/>
          <w:b/>
          <w:snapToGrid w:val="0"/>
          <w:color w:val="auto"/>
          <w:sz w:val="24"/>
          <w:highlight w:val="none"/>
        </w:rPr>
      </w:pPr>
    </w:p>
    <w:p w14:paraId="2D9D39D4">
      <w:pPr>
        <w:pStyle w:val="74"/>
        <w:widowControl w:val="0"/>
        <w:wordWrap w:val="0"/>
        <w:adjustRightInd w:val="0"/>
        <w:snapToGrid w:val="0"/>
        <w:spacing w:line="240" w:lineRule="auto"/>
        <w:rPr>
          <w:rFonts w:ascii="Times New Roman"/>
          <w:b/>
          <w:snapToGrid w:val="0"/>
          <w:color w:val="auto"/>
          <w:sz w:val="24"/>
          <w:highlight w:val="none"/>
        </w:rPr>
      </w:pPr>
    </w:p>
    <w:p w14:paraId="5F4307BB">
      <w:pPr>
        <w:pStyle w:val="74"/>
        <w:widowControl w:val="0"/>
        <w:wordWrap w:val="0"/>
        <w:adjustRightInd w:val="0"/>
        <w:snapToGrid w:val="0"/>
        <w:spacing w:line="240" w:lineRule="auto"/>
        <w:rPr>
          <w:rFonts w:ascii="Times New Roman"/>
          <w:b/>
          <w:snapToGrid w:val="0"/>
          <w:color w:val="auto"/>
          <w:sz w:val="24"/>
          <w:highlight w:val="none"/>
        </w:rPr>
      </w:pPr>
    </w:p>
    <w:p w14:paraId="0005A7BA">
      <w:pPr>
        <w:pStyle w:val="74"/>
        <w:widowControl w:val="0"/>
        <w:wordWrap w:val="0"/>
        <w:adjustRightInd w:val="0"/>
        <w:snapToGrid w:val="0"/>
        <w:spacing w:line="240" w:lineRule="auto"/>
        <w:rPr>
          <w:rFonts w:ascii="Times New Roman"/>
          <w:b/>
          <w:snapToGrid w:val="0"/>
          <w:color w:val="auto"/>
          <w:sz w:val="24"/>
          <w:highlight w:val="none"/>
        </w:rPr>
      </w:pPr>
    </w:p>
    <w:p w14:paraId="38D03B0C">
      <w:pPr>
        <w:pStyle w:val="74"/>
        <w:widowControl w:val="0"/>
        <w:wordWrap w:val="0"/>
        <w:adjustRightInd w:val="0"/>
        <w:snapToGrid w:val="0"/>
        <w:spacing w:line="240" w:lineRule="auto"/>
        <w:rPr>
          <w:rFonts w:ascii="Times New Roman"/>
          <w:b/>
          <w:snapToGrid w:val="0"/>
          <w:color w:val="auto"/>
          <w:sz w:val="24"/>
          <w:highlight w:val="none"/>
        </w:rPr>
      </w:pPr>
    </w:p>
    <w:p w14:paraId="01F56212">
      <w:pPr>
        <w:pStyle w:val="74"/>
        <w:widowControl w:val="0"/>
        <w:wordWrap w:val="0"/>
        <w:adjustRightInd w:val="0"/>
        <w:snapToGrid w:val="0"/>
        <w:spacing w:line="240" w:lineRule="auto"/>
        <w:ind w:firstLine="0"/>
        <w:jc w:val="center"/>
        <w:rPr>
          <w:rFonts w:ascii="Times New Roman"/>
          <w:b/>
          <w:snapToGrid w:val="0"/>
          <w:color w:val="auto"/>
          <w:sz w:val="48"/>
          <w:szCs w:val="48"/>
          <w:highlight w:val="none"/>
        </w:rPr>
      </w:pPr>
      <w:r>
        <w:rPr>
          <w:rFonts w:hint="eastAsia" w:ascii="Times New Roman"/>
          <w:bCs/>
          <w:snapToGrid w:val="0"/>
          <w:color w:val="auto"/>
          <w:sz w:val="48"/>
          <w:szCs w:val="48"/>
          <w:highlight w:val="none"/>
          <w:u w:val="single"/>
        </w:rPr>
        <w:t xml:space="preserve">             </w:t>
      </w:r>
      <w:r>
        <w:rPr>
          <w:rFonts w:hint="eastAsia" w:ascii="Times New Roman"/>
          <w:b/>
          <w:snapToGrid w:val="0"/>
          <w:color w:val="auto"/>
          <w:sz w:val="48"/>
          <w:szCs w:val="48"/>
          <w:highlight w:val="none"/>
        </w:rPr>
        <w:t>（项目名称）招标</w:t>
      </w:r>
    </w:p>
    <w:p w14:paraId="3BD1E3C7">
      <w:pPr>
        <w:pStyle w:val="74"/>
        <w:widowControl w:val="0"/>
        <w:wordWrap w:val="0"/>
        <w:adjustRightInd w:val="0"/>
        <w:snapToGrid w:val="0"/>
        <w:spacing w:line="240" w:lineRule="auto"/>
        <w:ind w:firstLine="0"/>
        <w:jc w:val="center"/>
        <w:rPr>
          <w:rFonts w:ascii="Times New Roman"/>
          <w:b/>
          <w:snapToGrid w:val="0"/>
          <w:color w:val="auto"/>
          <w:sz w:val="32"/>
          <w:highlight w:val="none"/>
        </w:rPr>
      </w:pPr>
    </w:p>
    <w:p w14:paraId="3D2A6112">
      <w:pPr>
        <w:pStyle w:val="74"/>
        <w:widowControl w:val="0"/>
        <w:wordWrap w:val="0"/>
        <w:adjustRightInd w:val="0"/>
        <w:snapToGrid w:val="0"/>
        <w:spacing w:line="240" w:lineRule="auto"/>
        <w:ind w:firstLine="0"/>
        <w:jc w:val="center"/>
        <w:rPr>
          <w:rFonts w:ascii="Times New Roman"/>
          <w:b/>
          <w:snapToGrid w:val="0"/>
          <w:color w:val="auto"/>
          <w:sz w:val="72"/>
          <w:highlight w:val="none"/>
        </w:rPr>
      </w:pPr>
      <w:r>
        <w:rPr>
          <w:rFonts w:hint="eastAsia" w:ascii="Times New Roman"/>
          <w:b/>
          <w:snapToGrid w:val="0"/>
          <w:color w:val="auto"/>
          <w:sz w:val="72"/>
          <w:highlight w:val="none"/>
        </w:rPr>
        <w:t>投  标  文  件</w:t>
      </w:r>
    </w:p>
    <w:p w14:paraId="5A4D8E98">
      <w:pPr>
        <w:pStyle w:val="74"/>
        <w:widowControl w:val="0"/>
        <w:wordWrap w:val="0"/>
        <w:adjustRightInd w:val="0"/>
        <w:snapToGrid w:val="0"/>
        <w:spacing w:line="240" w:lineRule="auto"/>
        <w:ind w:firstLine="0"/>
        <w:jc w:val="center"/>
        <w:rPr>
          <w:rFonts w:ascii="Times New Roman"/>
          <w:b/>
          <w:snapToGrid w:val="0"/>
          <w:color w:val="auto"/>
          <w:sz w:val="32"/>
          <w:highlight w:val="none"/>
        </w:rPr>
      </w:pPr>
    </w:p>
    <w:p w14:paraId="189B292E">
      <w:pPr>
        <w:pStyle w:val="74"/>
        <w:widowControl w:val="0"/>
        <w:wordWrap w:val="0"/>
        <w:adjustRightInd w:val="0"/>
        <w:snapToGrid w:val="0"/>
        <w:spacing w:line="240" w:lineRule="auto"/>
        <w:ind w:firstLine="0"/>
        <w:jc w:val="center"/>
        <w:rPr>
          <w:rFonts w:ascii="Times New Roman"/>
          <w:b/>
          <w:snapToGrid w:val="0"/>
          <w:color w:val="auto"/>
          <w:sz w:val="48"/>
          <w:szCs w:val="48"/>
          <w:highlight w:val="none"/>
        </w:rPr>
      </w:pPr>
      <w:r>
        <w:rPr>
          <w:rFonts w:hint="eastAsia" w:ascii="Times New Roman"/>
          <w:b/>
          <w:snapToGrid w:val="0"/>
          <w:color w:val="auto"/>
          <w:sz w:val="48"/>
          <w:szCs w:val="48"/>
          <w:highlight w:val="none"/>
        </w:rPr>
        <w:t>（商务标书／监理大纲）</w:t>
      </w:r>
    </w:p>
    <w:p w14:paraId="21D0A39E">
      <w:pPr>
        <w:pStyle w:val="74"/>
        <w:widowControl w:val="0"/>
        <w:wordWrap w:val="0"/>
        <w:adjustRightInd w:val="0"/>
        <w:snapToGrid w:val="0"/>
        <w:spacing w:line="240" w:lineRule="auto"/>
        <w:rPr>
          <w:rFonts w:ascii="Times New Roman"/>
          <w:b/>
          <w:snapToGrid w:val="0"/>
          <w:color w:val="auto"/>
          <w:highlight w:val="none"/>
        </w:rPr>
      </w:pPr>
    </w:p>
    <w:p w14:paraId="47BA86B9">
      <w:pPr>
        <w:pStyle w:val="74"/>
        <w:widowControl w:val="0"/>
        <w:wordWrap w:val="0"/>
        <w:adjustRightInd w:val="0"/>
        <w:snapToGrid w:val="0"/>
        <w:spacing w:line="240" w:lineRule="auto"/>
        <w:rPr>
          <w:rFonts w:ascii="Times New Roman"/>
          <w:b/>
          <w:snapToGrid w:val="0"/>
          <w:color w:val="auto"/>
          <w:sz w:val="32"/>
          <w:highlight w:val="none"/>
        </w:rPr>
      </w:pPr>
    </w:p>
    <w:p w14:paraId="65C3F1D5">
      <w:pPr>
        <w:pStyle w:val="74"/>
        <w:widowControl w:val="0"/>
        <w:wordWrap w:val="0"/>
        <w:adjustRightInd w:val="0"/>
        <w:snapToGrid w:val="0"/>
        <w:spacing w:line="240" w:lineRule="auto"/>
        <w:rPr>
          <w:rFonts w:ascii="Times New Roman"/>
          <w:b/>
          <w:snapToGrid w:val="0"/>
          <w:color w:val="auto"/>
          <w:sz w:val="32"/>
          <w:highlight w:val="none"/>
        </w:rPr>
      </w:pPr>
    </w:p>
    <w:p w14:paraId="04CF17A0">
      <w:pPr>
        <w:pStyle w:val="74"/>
        <w:widowControl w:val="0"/>
        <w:wordWrap w:val="0"/>
        <w:adjustRightInd w:val="0"/>
        <w:snapToGrid w:val="0"/>
        <w:spacing w:line="240" w:lineRule="auto"/>
        <w:rPr>
          <w:rFonts w:ascii="Times New Roman"/>
          <w:b/>
          <w:snapToGrid w:val="0"/>
          <w:color w:val="auto"/>
          <w:sz w:val="32"/>
          <w:highlight w:val="none"/>
        </w:rPr>
      </w:pPr>
    </w:p>
    <w:p w14:paraId="70B9E93C">
      <w:pPr>
        <w:pStyle w:val="74"/>
        <w:widowControl w:val="0"/>
        <w:wordWrap w:val="0"/>
        <w:adjustRightInd w:val="0"/>
        <w:snapToGrid w:val="0"/>
        <w:spacing w:line="240" w:lineRule="auto"/>
        <w:rPr>
          <w:rFonts w:ascii="Times New Roman"/>
          <w:b/>
          <w:snapToGrid w:val="0"/>
          <w:color w:val="auto"/>
          <w:sz w:val="32"/>
          <w:highlight w:val="none"/>
        </w:rPr>
      </w:pPr>
    </w:p>
    <w:p w14:paraId="1ECCE2FB">
      <w:pPr>
        <w:pStyle w:val="74"/>
        <w:widowControl w:val="0"/>
        <w:wordWrap w:val="0"/>
        <w:adjustRightInd w:val="0"/>
        <w:snapToGrid w:val="0"/>
        <w:spacing w:line="240" w:lineRule="auto"/>
        <w:rPr>
          <w:rFonts w:ascii="Times New Roman"/>
          <w:b/>
          <w:snapToGrid w:val="0"/>
          <w:color w:val="auto"/>
          <w:sz w:val="32"/>
          <w:highlight w:val="none"/>
        </w:rPr>
      </w:pPr>
    </w:p>
    <w:p w14:paraId="1EB2808C">
      <w:pPr>
        <w:pStyle w:val="74"/>
        <w:widowControl w:val="0"/>
        <w:wordWrap w:val="0"/>
        <w:adjustRightInd w:val="0"/>
        <w:snapToGrid w:val="0"/>
        <w:spacing w:line="240" w:lineRule="auto"/>
        <w:rPr>
          <w:rFonts w:ascii="Times New Roman"/>
          <w:b/>
          <w:snapToGrid w:val="0"/>
          <w:color w:val="auto"/>
          <w:sz w:val="32"/>
          <w:highlight w:val="none"/>
        </w:rPr>
      </w:pPr>
    </w:p>
    <w:p w14:paraId="759F596E">
      <w:pPr>
        <w:pStyle w:val="74"/>
        <w:widowControl w:val="0"/>
        <w:wordWrap w:val="0"/>
        <w:adjustRightInd w:val="0"/>
        <w:snapToGrid w:val="0"/>
        <w:spacing w:line="240" w:lineRule="auto"/>
        <w:rPr>
          <w:rFonts w:ascii="Times New Roman"/>
          <w:b/>
          <w:snapToGrid w:val="0"/>
          <w:color w:val="auto"/>
          <w:sz w:val="32"/>
          <w:highlight w:val="none"/>
        </w:rPr>
      </w:pPr>
    </w:p>
    <w:p w14:paraId="146D5E17">
      <w:pPr>
        <w:pStyle w:val="74"/>
        <w:widowControl w:val="0"/>
        <w:wordWrap w:val="0"/>
        <w:adjustRightInd w:val="0"/>
        <w:snapToGrid w:val="0"/>
        <w:spacing w:line="240" w:lineRule="auto"/>
        <w:rPr>
          <w:rFonts w:ascii="Times New Roman"/>
          <w:b/>
          <w:snapToGrid w:val="0"/>
          <w:color w:val="auto"/>
          <w:sz w:val="32"/>
          <w:highlight w:val="none"/>
        </w:rPr>
      </w:pPr>
    </w:p>
    <w:p w14:paraId="6742C860">
      <w:pPr>
        <w:pStyle w:val="74"/>
        <w:widowControl w:val="0"/>
        <w:wordWrap w:val="0"/>
        <w:adjustRightInd w:val="0"/>
        <w:snapToGrid w:val="0"/>
        <w:spacing w:line="240" w:lineRule="auto"/>
        <w:ind w:firstLine="0"/>
        <w:jc w:val="center"/>
        <w:rPr>
          <w:rFonts w:ascii="Times New Roman"/>
          <w:bCs/>
          <w:snapToGrid w:val="0"/>
          <w:color w:val="auto"/>
          <w:sz w:val="32"/>
          <w:highlight w:val="none"/>
        </w:rPr>
      </w:pPr>
      <w:r>
        <w:rPr>
          <w:rFonts w:hint="eastAsia" w:ascii="Times New Roman"/>
          <w:bCs/>
          <w:snapToGrid w:val="0"/>
          <w:color w:val="auto"/>
          <w:sz w:val="32"/>
          <w:highlight w:val="none"/>
        </w:rPr>
        <w:t>投标人：</w:t>
      </w:r>
      <w:r>
        <w:rPr>
          <w:rFonts w:hint="eastAsia" w:ascii="Times New Roman"/>
          <w:bCs/>
          <w:snapToGrid w:val="0"/>
          <w:color w:val="auto"/>
          <w:sz w:val="32"/>
          <w:highlight w:val="none"/>
          <w:u w:val="single"/>
        </w:rPr>
        <w:t xml:space="preserve">                                    </w:t>
      </w:r>
      <w:r>
        <w:rPr>
          <w:rFonts w:hint="eastAsia" w:ascii="Times New Roman"/>
          <w:bCs/>
          <w:snapToGrid w:val="0"/>
          <w:color w:val="auto"/>
          <w:sz w:val="32"/>
          <w:highlight w:val="none"/>
        </w:rPr>
        <w:t>（盖单位章）</w:t>
      </w:r>
    </w:p>
    <w:p w14:paraId="4DAF0F5D">
      <w:pPr>
        <w:pStyle w:val="74"/>
        <w:widowControl w:val="0"/>
        <w:wordWrap w:val="0"/>
        <w:adjustRightInd w:val="0"/>
        <w:snapToGrid w:val="0"/>
        <w:spacing w:line="240" w:lineRule="auto"/>
        <w:ind w:firstLine="0"/>
        <w:jc w:val="center"/>
        <w:rPr>
          <w:rFonts w:ascii="Times New Roman"/>
          <w:bCs/>
          <w:snapToGrid w:val="0"/>
          <w:color w:val="auto"/>
          <w:sz w:val="32"/>
          <w:highlight w:val="none"/>
        </w:rPr>
      </w:pPr>
    </w:p>
    <w:p w14:paraId="0642C6A2">
      <w:pPr>
        <w:pStyle w:val="74"/>
        <w:widowControl w:val="0"/>
        <w:wordWrap w:val="0"/>
        <w:adjustRightInd w:val="0"/>
        <w:snapToGrid w:val="0"/>
        <w:spacing w:line="240" w:lineRule="auto"/>
        <w:ind w:firstLine="0"/>
        <w:jc w:val="center"/>
        <w:rPr>
          <w:rFonts w:ascii="Times New Roman"/>
          <w:bCs/>
          <w:snapToGrid w:val="0"/>
          <w:color w:val="auto"/>
          <w:sz w:val="32"/>
          <w:highlight w:val="none"/>
        </w:rPr>
      </w:pPr>
    </w:p>
    <w:p w14:paraId="60435907">
      <w:pPr>
        <w:pStyle w:val="74"/>
        <w:widowControl w:val="0"/>
        <w:wordWrap w:val="0"/>
        <w:adjustRightInd w:val="0"/>
        <w:snapToGrid w:val="0"/>
        <w:spacing w:line="240" w:lineRule="auto"/>
        <w:ind w:firstLine="0"/>
        <w:jc w:val="center"/>
        <w:rPr>
          <w:rFonts w:ascii="Times New Roman"/>
          <w:bCs/>
          <w:snapToGrid w:val="0"/>
          <w:color w:val="auto"/>
          <w:sz w:val="32"/>
          <w:highlight w:val="none"/>
        </w:rPr>
      </w:pPr>
    </w:p>
    <w:p w14:paraId="6A449385">
      <w:pPr>
        <w:pStyle w:val="74"/>
        <w:widowControl w:val="0"/>
        <w:wordWrap w:val="0"/>
        <w:adjustRightInd w:val="0"/>
        <w:snapToGrid w:val="0"/>
        <w:spacing w:line="240" w:lineRule="auto"/>
        <w:ind w:firstLine="0"/>
        <w:jc w:val="center"/>
        <w:rPr>
          <w:rFonts w:ascii="Times New Roman"/>
          <w:bCs/>
          <w:snapToGrid w:val="0"/>
          <w:color w:val="auto"/>
          <w:sz w:val="32"/>
          <w:highlight w:val="none"/>
        </w:rPr>
      </w:pPr>
      <w:r>
        <w:rPr>
          <w:rFonts w:hint="eastAsia" w:ascii="Times New Roman"/>
          <w:bCs/>
          <w:snapToGrid w:val="0"/>
          <w:color w:val="auto"/>
          <w:sz w:val="32"/>
          <w:highlight w:val="none"/>
        </w:rPr>
        <w:t>法定代表人或其委托代理人：</w:t>
      </w:r>
      <w:r>
        <w:rPr>
          <w:rFonts w:hint="eastAsia" w:ascii="Times New Roman"/>
          <w:bCs/>
          <w:snapToGrid w:val="0"/>
          <w:color w:val="auto"/>
          <w:sz w:val="32"/>
          <w:highlight w:val="none"/>
          <w:u w:val="single"/>
        </w:rPr>
        <w:t xml:space="preserve">                 </w:t>
      </w:r>
      <w:r>
        <w:rPr>
          <w:rFonts w:hint="eastAsia" w:ascii="Times New Roman"/>
          <w:bCs/>
          <w:snapToGrid w:val="0"/>
          <w:color w:val="auto"/>
          <w:sz w:val="32"/>
          <w:highlight w:val="none"/>
        </w:rPr>
        <w:t>（签字或盖章）</w:t>
      </w:r>
    </w:p>
    <w:p w14:paraId="234CEA92">
      <w:pPr>
        <w:pStyle w:val="74"/>
        <w:widowControl w:val="0"/>
        <w:wordWrap w:val="0"/>
        <w:adjustRightInd w:val="0"/>
        <w:snapToGrid w:val="0"/>
        <w:spacing w:line="240" w:lineRule="auto"/>
        <w:ind w:firstLine="0"/>
        <w:jc w:val="center"/>
        <w:rPr>
          <w:rFonts w:ascii="Times New Roman"/>
          <w:bCs/>
          <w:snapToGrid w:val="0"/>
          <w:color w:val="auto"/>
          <w:sz w:val="32"/>
          <w:highlight w:val="none"/>
        </w:rPr>
      </w:pPr>
    </w:p>
    <w:p w14:paraId="565FD46B">
      <w:pPr>
        <w:pStyle w:val="74"/>
        <w:widowControl w:val="0"/>
        <w:wordWrap w:val="0"/>
        <w:adjustRightInd w:val="0"/>
        <w:snapToGrid w:val="0"/>
        <w:spacing w:line="240" w:lineRule="auto"/>
        <w:ind w:firstLine="0"/>
        <w:jc w:val="center"/>
        <w:rPr>
          <w:rFonts w:ascii="Times New Roman"/>
          <w:bCs/>
          <w:snapToGrid w:val="0"/>
          <w:color w:val="auto"/>
          <w:sz w:val="32"/>
          <w:highlight w:val="none"/>
          <w:u w:val="single"/>
        </w:rPr>
      </w:pPr>
    </w:p>
    <w:p w14:paraId="1A771D3C">
      <w:pPr>
        <w:pStyle w:val="74"/>
        <w:widowControl w:val="0"/>
        <w:wordWrap w:val="0"/>
        <w:adjustRightInd w:val="0"/>
        <w:snapToGrid w:val="0"/>
        <w:spacing w:line="240" w:lineRule="auto"/>
        <w:ind w:firstLine="0"/>
        <w:jc w:val="center"/>
        <w:rPr>
          <w:rFonts w:ascii="Times New Roman"/>
          <w:b/>
          <w:snapToGrid w:val="0"/>
          <w:color w:val="auto"/>
          <w:highlight w:val="none"/>
        </w:rPr>
      </w:pPr>
      <w:r>
        <w:rPr>
          <w:rFonts w:hint="eastAsia" w:ascii="Times New Roman"/>
          <w:bCs/>
          <w:snapToGrid w:val="0"/>
          <w:color w:val="auto"/>
          <w:sz w:val="32"/>
          <w:highlight w:val="none"/>
          <w:u w:val="single"/>
        </w:rPr>
        <w:t xml:space="preserve">         </w:t>
      </w:r>
      <w:r>
        <w:rPr>
          <w:rFonts w:hint="eastAsia" w:ascii="Times New Roman"/>
          <w:bCs/>
          <w:snapToGrid w:val="0"/>
          <w:color w:val="auto"/>
          <w:sz w:val="32"/>
          <w:highlight w:val="none"/>
        </w:rPr>
        <w:t>年</w:t>
      </w:r>
      <w:r>
        <w:rPr>
          <w:rFonts w:hint="eastAsia" w:ascii="Times New Roman"/>
          <w:bCs/>
          <w:snapToGrid w:val="0"/>
          <w:color w:val="auto"/>
          <w:sz w:val="32"/>
          <w:highlight w:val="none"/>
          <w:u w:val="single"/>
        </w:rPr>
        <w:t xml:space="preserve">      </w:t>
      </w:r>
      <w:r>
        <w:rPr>
          <w:rFonts w:hint="eastAsia" w:ascii="Times New Roman"/>
          <w:bCs/>
          <w:snapToGrid w:val="0"/>
          <w:color w:val="auto"/>
          <w:sz w:val="32"/>
          <w:highlight w:val="none"/>
        </w:rPr>
        <w:t>月</w:t>
      </w:r>
      <w:r>
        <w:rPr>
          <w:rFonts w:hint="eastAsia" w:ascii="Times New Roman"/>
          <w:bCs/>
          <w:snapToGrid w:val="0"/>
          <w:color w:val="auto"/>
          <w:sz w:val="32"/>
          <w:highlight w:val="none"/>
          <w:u w:val="single"/>
        </w:rPr>
        <w:t xml:space="preserve">      </w:t>
      </w:r>
      <w:r>
        <w:rPr>
          <w:rFonts w:hint="eastAsia" w:ascii="Times New Roman"/>
          <w:bCs/>
          <w:snapToGrid w:val="0"/>
          <w:color w:val="auto"/>
          <w:sz w:val="32"/>
          <w:highlight w:val="none"/>
        </w:rPr>
        <w:t>日</w:t>
      </w:r>
    </w:p>
    <w:p w14:paraId="2B7C22CA">
      <w:pPr>
        <w:pStyle w:val="74"/>
        <w:widowControl w:val="0"/>
        <w:wordWrap w:val="0"/>
        <w:adjustRightInd w:val="0"/>
        <w:snapToGrid w:val="0"/>
        <w:rPr>
          <w:rFonts w:ascii="Times New Roman"/>
          <w:b/>
          <w:snapToGrid w:val="0"/>
          <w:color w:val="auto"/>
          <w:highlight w:val="none"/>
        </w:rPr>
      </w:pPr>
    </w:p>
    <w:p w14:paraId="60968DD1">
      <w:pPr>
        <w:pStyle w:val="74"/>
        <w:widowControl w:val="0"/>
        <w:wordWrap w:val="0"/>
        <w:adjustRightInd w:val="0"/>
        <w:snapToGrid w:val="0"/>
        <w:rPr>
          <w:rFonts w:ascii="Times New Roman"/>
          <w:b/>
          <w:snapToGrid w:val="0"/>
          <w:color w:val="auto"/>
          <w:highlight w:val="none"/>
        </w:rPr>
      </w:pPr>
    </w:p>
    <w:p w14:paraId="20B8FB5C">
      <w:pPr>
        <w:pStyle w:val="74"/>
        <w:widowControl w:val="0"/>
        <w:wordWrap w:val="0"/>
        <w:adjustRightInd w:val="0"/>
        <w:snapToGrid w:val="0"/>
        <w:rPr>
          <w:rFonts w:ascii="Times New Roman"/>
          <w:b/>
          <w:snapToGrid w:val="0"/>
          <w:color w:val="auto"/>
          <w:highlight w:val="none"/>
        </w:rPr>
        <w:sectPr>
          <w:endnotePr>
            <w:numFmt w:val="decimal"/>
          </w:endnotePr>
          <w:pgSz w:w="11906" w:h="16838"/>
          <w:pgMar w:top="1417" w:right="1417" w:bottom="1417" w:left="1417" w:header="850" w:footer="992" w:gutter="0"/>
          <w:pgNumType w:fmt="decimal"/>
          <w:cols w:space="0" w:num="1"/>
          <w:docGrid w:linePitch="327" w:charSpace="0"/>
        </w:sectPr>
      </w:pPr>
    </w:p>
    <w:p w14:paraId="15A266C5">
      <w:pPr>
        <w:pStyle w:val="4"/>
        <w:wordWrap w:val="0"/>
        <w:autoSpaceDE/>
        <w:autoSpaceDN/>
        <w:snapToGrid w:val="0"/>
        <w:spacing w:line="440" w:lineRule="exact"/>
        <w:rPr>
          <w:rFonts w:ascii="Times New Roman"/>
          <w:b/>
          <w:snapToGrid w:val="0"/>
          <w:color w:val="auto"/>
          <w:highlight w:val="none"/>
        </w:rPr>
      </w:pPr>
      <w:bookmarkStart w:id="308" w:name="_Toc29299"/>
      <w:bookmarkStart w:id="309" w:name="_Toc21838"/>
      <w:bookmarkStart w:id="310" w:name="_Toc104711098"/>
      <w:bookmarkStart w:id="311" w:name="_Toc106418843"/>
      <w:r>
        <w:rPr>
          <w:rFonts w:hint="eastAsia" w:ascii="Times New Roman"/>
          <w:b/>
          <w:snapToGrid w:val="0"/>
          <w:color w:val="auto"/>
          <w:highlight w:val="none"/>
        </w:rPr>
        <w:t>格式</w:t>
      </w:r>
      <w:bookmarkStart w:id="312" w:name="_Hlt97526007"/>
      <w:bookmarkEnd w:id="312"/>
      <w:r>
        <w:rPr>
          <w:rFonts w:hint="eastAsia" w:ascii="Times New Roman"/>
          <w:b/>
          <w:snapToGrid w:val="0"/>
          <w:color w:val="auto"/>
          <w:highlight w:val="none"/>
        </w:rPr>
        <w:t>二 投标函</w:t>
      </w:r>
      <w:bookmarkEnd w:id="308"/>
      <w:bookmarkEnd w:id="309"/>
    </w:p>
    <w:p w14:paraId="47DFBF08">
      <w:pPr>
        <w:wordWrap w:val="0"/>
        <w:adjustRightInd w:val="0"/>
        <w:snapToGrid w:val="0"/>
        <w:spacing w:before="260" w:after="260" w:line="440" w:lineRule="exact"/>
        <w:jc w:val="center"/>
        <w:rPr>
          <w:rFonts w:ascii="Times New Roman"/>
          <w:b/>
          <w:snapToGrid w:val="0"/>
          <w:color w:val="auto"/>
          <w:kern w:val="0"/>
          <w:highlight w:val="none"/>
        </w:rPr>
      </w:pPr>
      <w:r>
        <w:rPr>
          <w:rFonts w:hint="eastAsia" w:ascii="Times New Roman"/>
          <w:b/>
          <w:snapToGrid w:val="0"/>
          <w:color w:val="auto"/>
          <w:kern w:val="0"/>
          <w:sz w:val="30"/>
          <w:highlight w:val="none"/>
        </w:rPr>
        <w:t>投</w:t>
      </w:r>
      <w:r>
        <w:rPr>
          <w:rFonts w:ascii="Times New Roman"/>
          <w:b/>
          <w:snapToGrid w:val="0"/>
          <w:color w:val="auto"/>
          <w:kern w:val="0"/>
          <w:sz w:val="30"/>
          <w:highlight w:val="none"/>
        </w:rPr>
        <w:t xml:space="preserve">  </w:t>
      </w:r>
      <w:r>
        <w:rPr>
          <w:rFonts w:hint="eastAsia" w:ascii="Times New Roman"/>
          <w:b/>
          <w:snapToGrid w:val="0"/>
          <w:color w:val="auto"/>
          <w:kern w:val="0"/>
          <w:sz w:val="30"/>
          <w:highlight w:val="none"/>
        </w:rPr>
        <w:t>标</w:t>
      </w:r>
      <w:r>
        <w:rPr>
          <w:rFonts w:ascii="Times New Roman"/>
          <w:b/>
          <w:snapToGrid w:val="0"/>
          <w:color w:val="auto"/>
          <w:kern w:val="0"/>
          <w:sz w:val="30"/>
          <w:highlight w:val="none"/>
        </w:rPr>
        <w:t xml:space="preserve">  </w:t>
      </w:r>
      <w:r>
        <w:rPr>
          <w:rFonts w:hint="eastAsia" w:ascii="Times New Roman"/>
          <w:b/>
          <w:snapToGrid w:val="0"/>
          <w:color w:val="auto"/>
          <w:kern w:val="0"/>
          <w:sz w:val="30"/>
          <w:highlight w:val="none"/>
        </w:rPr>
        <w:t>函</w:t>
      </w:r>
      <w:bookmarkEnd w:id="310"/>
      <w:bookmarkEnd w:id="311"/>
    </w:p>
    <w:p w14:paraId="7699421D">
      <w:pPr>
        <w:wordWrap w:val="0"/>
        <w:adjustRightInd w:val="0"/>
        <w:snapToGrid w:val="0"/>
        <w:spacing w:line="440" w:lineRule="exact"/>
        <w:jc w:val="center"/>
        <w:rPr>
          <w:rFonts w:ascii="Times New Roman"/>
          <w:b/>
          <w:snapToGrid w:val="0"/>
          <w:color w:val="auto"/>
          <w:kern w:val="0"/>
          <w:highlight w:val="none"/>
        </w:rPr>
      </w:pPr>
    </w:p>
    <w:p w14:paraId="6A37BA44">
      <w:pPr>
        <w:wordWrap w:val="0"/>
        <w:adjustRightInd w:val="0"/>
        <w:snapToGrid w:val="0"/>
        <w:spacing w:line="440" w:lineRule="exact"/>
        <w:rPr>
          <w:rFonts w:ascii="Times New Roman"/>
          <w:snapToGrid w:val="0"/>
          <w:color w:val="auto"/>
          <w:kern w:val="0"/>
          <w:highlight w:val="none"/>
        </w:rPr>
      </w:pPr>
      <w:r>
        <w:rPr>
          <w:rFonts w:hint="eastAsia" w:ascii="Times New Roman"/>
          <w:snapToGrid w:val="0"/>
          <w:color w:val="auto"/>
          <w:kern w:val="0"/>
          <w:highlight w:val="none"/>
        </w:rPr>
        <w:t>致：</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（招标人名称）</w:t>
      </w:r>
    </w:p>
    <w:p w14:paraId="72F2551D">
      <w:pPr>
        <w:wordWrap w:val="0"/>
        <w:adjustRightInd w:val="0"/>
        <w:snapToGrid w:val="0"/>
        <w:spacing w:line="500" w:lineRule="exact"/>
        <w:ind w:firstLine="570"/>
        <w:rPr>
          <w:rFonts w:hAnsi="宋体" w:cs="宋体"/>
          <w:snapToGrid w:val="0"/>
          <w:color w:val="auto"/>
          <w:kern w:val="0"/>
          <w:highlight w:val="none"/>
          <w:u w:val="single"/>
        </w:rPr>
      </w:pPr>
      <w:r>
        <w:rPr>
          <w:rFonts w:hint="eastAsia" w:hAnsi="宋体" w:cs="宋体"/>
          <w:snapToGrid w:val="0"/>
          <w:color w:val="auto"/>
          <w:kern w:val="0"/>
          <w:highlight w:val="none"/>
        </w:rPr>
        <w:t xml:space="preserve">1. </w:t>
      </w:r>
      <w:r>
        <w:rPr>
          <w:rFonts w:hint="eastAsia" w:hAnsi="宋体" w:cs="宋体"/>
          <w:snapToGrid w:val="0"/>
          <w:color w:val="auto"/>
          <w:kern w:val="0"/>
          <w:szCs w:val="22"/>
          <w:highlight w:val="none"/>
        </w:rPr>
        <w:t>我方在仔细研究</w:t>
      </w:r>
      <w:r>
        <w:rPr>
          <w:rFonts w:hint="eastAsia" w:hAnsi="宋体" w:cs="宋体"/>
          <w:snapToGrid w:val="0"/>
          <w:color w:val="auto"/>
          <w:kern w:val="0"/>
          <w:szCs w:val="22"/>
          <w:highlight w:val="none"/>
          <w:u w:val="single"/>
        </w:rPr>
        <w:t xml:space="preserve">              </w:t>
      </w:r>
      <w:r>
        <w:rPr>
          <w:rFonts w:hint="eastAsia" w:hAnsi="宋体" w:cs="宋体"/>
          <w:snapToGrid w:val="0"/>
          <w:color w:val="auto"/>
          <w:kern w:val="0"/>
          <w:szCs w:val="22"/>
          <w:highlight w:val="none"/>
        </w:rPr>
        <w:t>（项目名称）（以下简称“本项目”）监理招标文件的全部内容后，结合自身资质、能力和特点，愿意接受招标文件的全部内容和条件。兹以人民币（大写）：</w:t>
      </w:r>
      <w:r>
        <w:rPr>
          <w:rFonts w:hint="eastAsia" w:hAnsi="宋体" w:cs="宋体"/>
          <w:snapToGrid w:val="0"/>
          <w:color w:val="auto"/>
          <w:kern w:val="0"/>
          <w:szCs w:val="22"/>
          <w:highlight w:val="none"/>
          <w:u w:val="single"/>
        </w:rPr>
        <w:t xml:space="preserve">           </w:t>
      </w:r>
      <w:r>
        <w:rPr>
          <w:rFonts w:hint="eastAsia" w:hAnsi="宋体" w:cs="宋体"/>
          <w:snapToGrid w:val="0"/>
          <w:color w:val="auto"/>
          <w:kern w:val="0"/>
          <w:szCs w:val="22"/>
          <w:highlight w:val="none"/>
        </w:rPr>
        <w:t xml:space="preserve">（小写）：（¥ </w:t>
      </w:r>
      <w:r>
        <w:rPr>
          <w:rFonts w:hint="eastAsia" w:hAnsi="宋体" w:cs="宋体"/>
          <w:snapToGrid w:val="0"/>
          <w:color w:val="auto"/>
          <w:kern w:val="0"/>
          <w:szCs w:val="22"/>
          <w:highlight w:val="none"/>
          <w:u w:val="single"/>
        </w:rPr>
        <w:t xml:space="preserve">        </w:t>
      </w:r>
      <w:r>
        <w:rPr>
          <w:rFonts w:hint="eastAsia" w:hAnsi="宋体" w:cs="宋体"/>
          <w:snapToGrid w:val="0"/>
          <w:color w:val="auto"/>
          <w:kern w:val="0"/>
          <w:szCs w:val="22"/>
          <w:highlight w:val="none"/>
        </w:rPr>
        <w:t>）的投标总价（其中，增值税税率为</w:t>
      </w:r>
      <w:r>
        <w:rPr>
          <w:rFonts w:hint="eastAsia" w:hAnsi="宋体" w:cs="宋体"/>
          <w:snapToGrid w:val="0"/>
          <w:color w:val="auto"/>
          <w:kern w:val="0"/>
          <w:szCs w:val="22"/>
          <w:highlight w:val="none"/>
          <w:u w:val="single"/>
        </w:rPr>
        <w:t xml:space="preserve">    </w:t>
      </w:r>
      <w:r>
        <w:rPr>
          <w:rFonts w:hint="eastAsia" w:hAnsi="宋体" w:cs="宋体"/>
          <w:snapToGrid w:val="0"/>
          <w:color w:val="auto"/>
          <w:kern w:val="0"/>
          <w:szCs w:val="22"/>
          <w:highlight w:val="none"/>
        </w:rPr>
        <w:t>）竞投本项目监理及相关服务</w:t>
      </w:r>
      <w:r>
        <w:rPr>
          <w:rFonts w:hint="eastAsia" w:hAnsi="宋体" w:cs="宋体"/>
          <w:snapToGrid w:val="0"/>
          <w:color w:val="auto"/>
          <w:kern w:val="0"/>
          <w:szCs w:val="22"/>
          <w:highlight w:val="none"/>
          <w:lang w:eastAsia="zh-CN"/>
        </w:rPr>
        <w:t>，投标取费费率为</w:t>
      </w:r>
      <w:r>
        <w:rPr>
          <w:rFonts w:hint="eastAsia" w:hAnsi="宋体" w:cs="宋体"/>
          <w:snapToGrid w:val="0"/>
          <w:color w:val="auto"/>
          <w:kern w:val="0"/>
          <w:szCs w:val="22"/>
          <w:highlight w:val="none"/>
          <w:u w:val="single"/>
          <w:lang w:eastAsia="zh-CN"/>
        </w:rPr>
        <w:t xml:space="preserve">     </w:t>
      </w:r>
      <w:r>
        <w:rPr>
          <w:rFonts w:hint="eastAsia" w:hAnsi="宋体" w:cs="宋体"/>
          <w:snapToGrid w:val="0"/>
          <w:color w:val="auto"/>
          <w:kern w:val="0"/>
          <w:szCs w:val="22"/>
          <w:highlight w:val="none"/>
          <w:lang w:eastAsia="zh-CN"/>
        </w:rPr>
        <w:t>%</w:t>
      </w:r>
      <w:r>
        <w:rPr>
          <w:rFonts w:hint="eastAsia" w:hAnsi="宋体" w:cs="宋体"/>
          <w:snapToGrid w:val="0"/>
          <w:color w:val="auto"/>
          <w:kern w:val="0"/>
          <w:szCs w:val="22"/>
          <w:highlight w:val="none"/>
        </w:rPr>
        <w:t>。</w:t>
      </w:r>
    </w:p>
    <w:p w14:paraId="00F3B9EA">
      <w:pPr>
        <w:wordWrap w:val="0"/>
        <w:adjustRightInd w:val="0"/>
        <w:snapToGrid w:val="0"/>
        <w:spacing w:line="440" w:lineRule="exact"/>
        <w:ind w:firstLine="570"/>
        <w:rPr>
          <w:rFonts w:hAnsi="宋体" w:cs="宋体"/>
          <w:snapToGrid w:val="0"/>
          <w:color w:val="auto"/>
          <w:kern w:val="0"/>
          <w:highlight w:val="none"/>
        </w:rPr>
      </w:pPr>
      <w:r>
        <w:rPr>
          <w:rFonts w:hint="eastAsia" w:hAnsi="宋体" w:cs="宋体"/>
          <w:snapToGrid w:val="0"/>
          <w:color w:val="auto"/>
          <w:kern w:val="0"/>
          <w:highlight w:val="none"/>
        </w:rPr>
        <w:t>2. 如果我方中标，我方保证按照委托人发出的开始监理通知中写明的日期开始本项目的</w:t>
      </w:r>
      <w:r>
        <w:rPr>
          <w:rFonts w:hint="eastAsia" w:hAnsi="宋体" w:cs="宋体"/>
          <w:snapToGrid w:val="0"/>
          <w:color w:val="auto"/>
          <w:kern w:val="0"/>
          <w:highlight w:val="none"/>
          <w:u w:val="single"/>
        </w:rPr>
        <w:t xml:space="preserve"> 监理及相关服务 </w:t>
      </w:r>
      <w:r>
        <w:rPr>
          <w:rFonts w:hint="eastAsia" w:hAnsi="宋体" w:cs="宋体"/>
          <w:snapToGrid w:val="0"/>
          <w:color w:val="auto"/>
          <w:kern w:val="0"/>
          <w:highlight w:val="none"/>
        </w:rPr>
        <w:t>，并在合同约定的服务期限内完成合同规定的全部义务。</w:t>
      </w:r>
    </w:p>
    <w:p w14:paraId="15BBEB3D">
      <w:pPr>
        <w:wordWrap w:val="0"/>
        <w:adjustRightInd w:val="0"/>
        <w:snapToGrid w:val="0"/>
        <w:spacing w:line="440" w:lineRule="exact"/>
        <w:ind w:firstLine="570"/>
        <w:rPr>
          <w:rFonts w:hAnsi="宋体" w:cs="宋体"/>
          <w:snapToGrid w:val="0"/>
          <w:color w:val="auto"/>
          <w:kern w:val="0"/>
          <w:highlight w:val="none"/>
        </w:rPr>
      </w:pPr>
      <w:r>
        <w:rPr>
          <w:rFonts w:hint="eastAsia" w:hAnsi="宋体" w:cs="宋体"/>
          <w:snapToGrid w:val="0"/>
          <w:color w:val="auto"/>
          <w:kern w:val="0"/>
          <w:highlight w:val="none"/>
        </w:rPr>
        <w:t>3. 本投标函在你方接收我方递交的投标文件之日起、到招标文件规定的投标有效期期满前对我方具有约束力。我方随时准备接受你方发出的中标通知书。</w:t>
      </w:r>
    </w:p>
    <w:p w14:paraId="3731041C">
      <w:pPr>
        <w:wordWrap w:val="0"/>
        <w:adjustRightInd w:val="0"/>
        <w:snapToGrid w:val="0"/>
        <w:spacing w:line="440" w:lineRule="exact"/>
        <w:ind w:firstLine="570"/>
        <w:rPr>
          <w:rFonts w:hAnsi="宋体" w:cs="宋体"/>
          <w:snapToGrid w:val="0"/>
          <w:color w:val="auto"/>
          <w:kern w:val="0"/>
          <w:highlight w:val="none"/>
        </w:rPr>
      </w:pPr>
      <w:r>
        <w:rPr>
          <w:rFonts w:hint="eastAsia" w:hAnsi="宋体" w:cs="宋体"/>
          <w:snapToGrid w:val="0"/>
          <w:color w:val="auto"/>
          <w:kern w:val="0"/>
          <w:highlight w:val="none"/>
        </w:rPr>
        <w:t>4．我方在此声明，我方不存在本项目招标文件第一章第三节第</w:t>
      </w:r>
      <w:r>
        <w:rPr>
          <w:rFonts w:hint="eastAsia" w:hAnsi="宋体" w:cs="宋体"/>
          <w:b/>
          <w:bCs/>
          <w:snapToGrid w:val="0"/>
          <w:color w:val="auto"/>
          <w:kern w:val="0"/>
          <w:highlight w:val="none"/>
        </w:rPr>
        <w:t>2.4</w:t>
      </w:r>
      <w:r>
        <w:rPr>
          <w:rFonts w:hint="eastAsia" w:hAnsi="宋体" w:cs="宋体"/>
          <w:snapToGrid w:val="0"/>
          <w:color w:val="auto"/>
          <w:kern w:val="0"/>
          <w:highlight w:val="none"/>
        </w:rPr>
        <w:t>条“禁止投标条款”所列出的任何一种情形，并愿意承担因我方就此弄虚作假所引起的一切法律后果。</w:t>
      </w:r>
    </w:p>
    <w:p w14:paraId="50382544">
      <w:pPr>
        <w:wordWrap w:val="0"/>
        <w:adjustRightInd w:val="0"/>
        <w:snapToGrid w:val="0"/>
        <w:spacing w:line="440" w:lineRule="exact"/>
        <w:ind w:firstLine="570"/>
        <w:rPr>
          <w:rFonts w:hAnsi="宋体" w:cs="宋体"/>
          <w:snapToGrid w:val="0"/>
          <w:color w:val="auto"/>
          <w:kern w:val="0"/>
          <w:highlight w:val="none"/>
        </w:rPr>
      </w:pPr>
      <w:r>
        <w:rPr>
          <w:rFonts w:hint="eastAsia" w:hAnsi="宋体" w:cs="宋体"/>
          <w:snapToGrid w:val="0"/>
          <w:color w:val="auto"/>
          <w:kern w:val="0"/>
          <w:highlight w:val="none"/>
        </w:rPr>
        <w:t>5．我方在此承诺，所递交投标文件的全部内容均为真实、有效、准确的，并愿意承担因我方就此弄虚作假所引起的一切法律后果，同时理解和同意有可能被要求提供更多的资料。</w:t>
      </w:r>
    </w:p>
    <w:p w14:paraId="076EB960">
      <w:pPr>
        <w:wordWrap w:val="0"/>
        <w:adjustRightInd w:val="0"/>
        <w:snapToGrid w:val="0"/>
        <w:spacing w:line="440" w:lineRule="exact"/>
        <w:ind w:firstLine="570"/>
        <w:rPr>
          <w:rFonts w:hAnsi="宋体" w:cs="宋体"/>
          <w:snapToGrid w:val="0"/>
          <w:color w:val="auto"/>
          <w:kern w:val="0"/>
          <w:highlight w:val="none"/>
        </w:rPr>
      </w:pPr>
      <w:bookmarkStart w:id="313" w:name="_Hlt68771070"/>
      <w:bookmarkEnd w:id="313"/>
      <w:r>
        <w:rPr>
          <w:rFonts w:hint="eastAsia" w:hAnsi="宋体" w:cs="宋体"/>
          <w:snapToGrid w:val="0"/>
          <w:color w:val="auto"/>
          <w:kern w:val="0"/>
          <w:highlight w:val="none"/>
        </w:rPr>
        <w:t>6. 我方理解你方不一定要接纳收到的最低投标总价或任何投标总价的投标人中标，也不要求你方解释我方是否中标的原因。</w:t>
      </w:r>
    </w:p>
    <w:p w14:paraId="1AF7B45F">
      <w:pPr>
        <w:wordWrap w:val="0"/>
        <w:adjustRightInd w:val="0"/>
        <w:snapToGrid w:val="0"/>
        <w:spacing w:line="440" w:lineRule="exact"/>
        <w:ind w:firstLine="570"/>
        <w:rPr>
          <w:rFonts w:ascii="Times New Roman"/>
          <w:snapToGrid w:val="0"/>
          <w:color w:val="auto"/>
          <w:kern w:val="0"/>
          <w:highlight w:val="none"/>
        </w:rPr>
      </w:pPr>
      <w:r>
        <w:rPr>
          <w:rFonts w:hint="eastAsia" w:ascii="Times New Roman"/>
          <w:snapToGrid w:val="0"/>
          <w:color w:val="auto"/>
          <w:kern w:val="0"/>
          <w:highlight w:val="none"/>
        </w:rPr>
        <w:t xml:space="preserve">  </w:t>
      </w:r>
    </w:p>
    <w:p w14:paraId="428C057D">
      <w:pPr>
        <w:wordWrap w:val="0"/>
        <w:adjustRightInd w:val="0"/>
        <w:snapToGrid w:val="0"/>
        <w:spacing w:line="440" w:lineRule="exact"/>
        <w:rPr>
          <w:rFonts w:ascii="Times New Roman"/>
          <w:snapToGrid w:val="0"/>
          <w:color w:val="auto"/>
          <w:kern w:val="0"/>
          <w:highlight w:val="none"/>
        </w:rPr>
      </w:pPr>
    </w:p>
    <w:p w14:paraId="276EABA1">
      <w:pPr>
        <w:wordWrap w:val="0"/>
        <w:adjustRightInd w:val="0"/>
        <w:snapToGrid w:val="0"/>
        <w:spacing w:line="440" w:lineRule="exact"/>
        <w:jc w:val="right"/>
        <w:rPr>
          <w:rFonts w:ascii="Times New Roman"/>
          <w:snapToGrid w:val="0"/>
          <w:color w:val="auto"/>
          <w:kern w:val="0"/>
          <w:highlight w:val="none"/>
        </w:rPr>
      </w:pPr>
      <w:r>
        <w:rPr>
          <w:rFonts w:hint="eastAsia" w:ascii="Times New Roman"/>
          <w:snapToGrid w:val="0"/>
          <w:color w:val="auto"/>
          <w:kern w:val="0"/>
          <w:highlight w:val="none"/>
        </w:rPr>
        <w:t xml:space="preserve">    投标人：</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（盖单位章）</w:t>
      </w:r>
    </w:p>
    <w:p w14:paraId="4CA7B314">
      <w:pPr>
        <w:wordWrap w:val="0"/>
        <w:adjustRightInd w:val="0"/>
        <w:snapToGrid w:val="0"/>
        <w:spacing w:line="440" w:lineRule="exact"/>
        <w:jc w:val="right"/>
        <w:rPr>
          <w:rFonts w:ascii="Times New Roman"/>
          <w:snapToGrid w:val="0"/>
          <w:color w:val="auto"/>
          <w:kern w:val="0"/>
          <w:highlight w:val="none"/>
        </w:rPr>
      </w:pPr>
    </w:p>
    <w:p w14:paraId="387ED88C">
      <w:pPr>
        <w:wordWrap w:val="0"/>
        <w:adjustRightInd w:val="0"/>
        <w:snapToGrid w:val="0"/>
        <w:spacing w:line="440" w:lineRule="exact"/>
        <w:ind w:firstLine="480" w:firstLineChars="200"/>
        <w:jc w:val="right"/>
        <w:rPr>
          <w:rFonts w:ascii="Times New Roman"/>
          <w:snapToGrid w:val="0"/>
          <w:color w:val="auto"/>
          <w:kern w:val="0"/>
          <w:highlight w:val="none"/>
        </w:rPr>
      </w:pPr>
      <w:r>
        <w:rPr>
          <w:rFonts w:hint="eastAsia" w:ascii="Times New Roman"/>
          <w:snapToGrid w:val="0"/>
          <w:color w:val="auto"/>
          <w:kern w:val="0"/>
          <w:highlight w:val="none"/>
        </w:rPr>
        <w:t>法定代表人或其委托代理人：</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（签字或盖章）</w:t>
      </w:r>
    </w:p>
    <w:p w14:paraId="54249B59">
      <w:pPr>
        <w:wordWrap w:val="0"/>
        <w:adjustRightInd w:val="0"/>
        <w:snapToGrid w:val="0"/>
        <w:spacing w:line="440" w:lineRule="exact"/>
        <w:ind w:firstLine="480" w:firstLineChars="200"/>
        <w:jc w:val="right"/>
        <w:rPr>
          <w:rFonts w:ascii="Times New Roman"/>
          <w:snapToGrid w:val="0"/>
          <w:color w:val="auto"/>
          <w:kern w:val="0"/>
          <w:highlight w:val="none"/>
        </w:rPr>
      </w:pPr>
    </w:p>
    <w:p w14:paraId="28DC9D94">
      <w:pPr>
        <w:wordWrap w:val="0"/>
        <w:adjustRightInd w:val="0"/>
        <w:snapToGrid w:val="0"/>
        <w:spacing w:line="440" w:lineRule="exact"/>
        <w:jc w:val="left"/>
        <w:rPr>
          <w:rFonts w:ascii="Times New Roman"/>
          <w:snapToGrid w:val="0"/>
          <w:color w:val="auto"/>
          <w:kern w:val="0"/>
          <w:highlight w:val="none"/>
        </w:rPr>
        <w:sectPr>
          <w:endnotePr>
            <w:numFmt w:val="decimal"/>
          </w:endnotePr>
          <w:pgSz w:w="11906" w:h="16838"/>
          <w:pgMar w:top="1417" w:right="1417" w:bottom="1417" w:left="1417" w:header="850" w:footer="992" w:gutter="0"/>
          <w:pgNumType w:fmt="decimal"/>
          <w:cols w:space="0" w:num="1"/>
          <w:docGrid w:linePitch="327" w:charSpace="0"/>
        </w:sectPr>
      </w:pPr>
      <w:r>
        <w:rPr>
          <w:rFonts w:hint="eastAsia" w:ascii="Times New Roman"/>
          <w:snapToGrid w:val="0"/>
          <w:color w:val="auto"/>
          <w:kern w:val="0"/>
          <w:highlight w:val="none"/>
        </w:rPr>
        <w:t xml:space="preserve">                                       </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年</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月</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日</w:t>
      </w:r>
    </w:p>
    <w:p w14:paraId="25B8347D">
      <w:pPr>
        <w:pStyle w:val="74"/>
        <w:widowControl w:val="0"/>
        <w:wordWrap w:val="0"/>
        <w:adjustRightInd w:val="0"/>
        <w:snapToGrid w:val="0"/>
        <w:spacing w:line="400" w:lineRule="exact"/>
        <w:ind w:firstLine="0"/>
        <w:outlineLvl w:val="1"/>
        <w:rPr>
          <w:rFonts w:hAnsi="宋体" w:cs="宋体"/>
          <w:b/>
          <w:snapToGrid w:val="0"/>
          <w:color w:val="auto"/>
          <w:sz w:val="24"/>
          <w:highlight w:val="none"/>
        </w:rPr>
      </w:pPr>
      <w:bookmarkStart w:id="314" w:name="_Toc1644"/>
      <w:r>
        <w:rPr>
          <w:rFonts w:hint="eastAsia" w:hAnsi="宋体" w:cs="宋体"/>
          <w:b/>
          <w:snapToGrid w:val="0"/>
          <w:color w:val="auto"/>
          <w:sz w:val="24"/>
          <w:highlight w:val="none"/>
        </w:rPr>
        <w:t>格式三 各项承诺一览表</w:t>
      </w:r>
      <w:bookmarkEnd w:id="314"/>
    </w:p>
    <w:p w14:paraId="20B05016">
      <w:pPr>
        <w:pStyle w:val="73"/>
        <w:keepNext w:val="0"/>
        <w:keepLines w:val="0"/>
        <w:widowControl w:val="0"/>
        <w:wordWrap w:val="0"/>
        <w:adjustRightInd w:val="0"/>
        <w:snapToGrid w:val="0"/>
        <w:spacing w:before="260" w:after="260" w:line="440" w:lineRule="exact"/>
        <w:ind w:firstLine="0"/>
        <w:outlineLvl w:val="9"/>
        <w:rPr>
          <w:rFonts w:hAnsi="宋体" w:cs="宋体"/>
          <w:b/>
          <w:snapToGrid w:val="0"/>
          <w:color w:val="auto"/>
          <w:highlight w:val="none"/>
        </w:rPr>
      </w:pPr>
      <w:bookmarkStart w:id="315" w:name="_Toc24548"/>
      <w:bookmarkStart w:id="316" w:name="_Toc7685"/>
      <w:bookmarkStart w:id="317" w:name="_Toc18253"/>
      <w:bookmarkStart w:id="318" w:name="_Toc27092"/>
      <w:bookmarkStart w:id="319" w:name="_Toc11270"/>
      <w:r>
        <w:rPr>
          <w:rFonts w:hint="eastAsia" w:hAnsi="宋体" w:cs="宋体"/>
          <w:b/>
          <w:snapToGrid w:val="0"/>
          <w:color w:val="auto"/>
          <w:sz w:val="30"/>
          <w:highlight w:val="none"/>
        </w:rPr>
        <w:t>各项承诺一览表</w:t>
      </w:r>
      <w:bookmarkEnd w:id="315"/>
      <w:bookmarkEnd w:id="316"/>
      <w:bookmarkEnd w:id="317"/>
      <w:bookmarkEnd w:id="318"/>
      <w:bookmarkEnd w:id="319"/>
    </w:p>
    <w:tbl>
      <w:tblPr>
        <w:tblStyle w:val="31"/>
        <w:tblW w:w="92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16"/>
        <w:gridCol w:w="1573"/>
        <w:gridCol w:w="2923"/>
        <w:gridCol w:w="4019"/>
      </w:tblGrid>
      <w:tr w14:paraId="4A976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8" w:hRule="atLeast"/>
          <w:jc w:val="center"/>
        </w:trPr>
        <w:tc>
          <w:tcPr>
            <w:tcW w:w="716" w:type="dxa"/>
            <w:tcBorders>
              <w:tl2br w:val="nil"/>
              <w:tr2bl w:val="nil"/>
            </w:tcBorders>
            <w:vAlign w:val="center"/>
          </w:tcPr>
          <w:p w14:paraId="4B001337">
            <w:pPr>
              <w:pStyle w:val="75"/>
              <w:wordWrap w:val="0"/>
              <w:adjustRightInd w:val="0"/>
              <w:snapToGrid w:val="0"/>
              <w:spacing w:line="380" w:lineRule="exact"/>
              <w:jc w:val="center"/>
              <w:rPr>
                <w:rFonts w:hAnsi="宋体" w:cs="宋体"/>
                <w:b/>
                <w:bCs w:val="0"/>
                <w:snapToGrid w:val="0"/>
                <w:color w:val="auto"/>
                <w:kern w:val="0"/>
                <w:szCs w:val="21"/>
                <w:highlight w:val="none"/>
              </w:rPr>
            </w:pPr>
            <w:r>
              <w:rPr>
                <w:rFonts w:hint="eastAsia" w:hAnsi="宋体" w:cs="宋体"/>
                <w:b/>
                <w:bCs w:val="0"/>
                <w:snapToGrid w:val="0"/>
                <w:color w:val="auto"/>
                <w:kern w:val="0"/>
                <w:szCs w:val="21"/>
                <w:highlight w:val="none"/>
              </w:rPr>
              <w:t>序号</w:t>
            </w:r>
          </w:p>
        </w:tc>
        <w:tc>
          <w:tcPr>
            <w:tcW w:w="1573" w:type="dxa"/>
            <w:tcBorders>
              <w:tl2br w:val="nil"/>
              <w:tr2bl w:val="nil"/>
            </w:tcBorders>
            <w:vAlign w:val="center"/>
          </w:tcPr>
          <w:p w14:paraId="0DD645C3">
            <w:pPr>
              <w:pStyle w:val="75"/>
              <w:wordWrap w:val="0"/>
              <w:adjustRightInd w:val="0"/>
              <w:snapToGrid w:val="0"/>
              <w:spacing w:line="380" w:lineRule="exact"/>
              <w:jc w:val="center"/>
              <w:rPr>
                <w:rFonts w:hAnsi="宋体" w:cs="宋体"/>
                <w:b/>
                <w:bCs w:val="0"/>
                <w:snapToGrid w:val="0"/>
                <w:color w:val="auto"/>
                <w:kern w:val="0"/>
                <w:szCs w:val="21"/>
                <w:highlight w:val="none"/>
              </w:rPr>
            </w:pPr>
            <w:r>
              <w:rPr>
                <w:rFonts w:hint="eastAsia" w:hAnsi="宋体" w:cs="宋体"/>
                <w:b/>
                <w:bCs w:val="0"/>
                <w:snapToGrid w:val="0"/>
                <w:color w:val="auto"/>
                <w:kern w:val="0"/>
                <w:szCs w:val="21"/>
                <w:highlight w:val="none"/>
              </w:rPr>
              <w:t>承诺事项</w:t>
            </w:r>
          </w:p>
        </w:tc>
        <w:tc>
          <w:tcPr>
            <w:tcW w:w="2923" w:type="dxa"/>
            <w:tcBorders>
              <w:tl2br w:val="nil"/>
              <w:tr2bl w:val="nil"/>
            </w:tcBorders>
            <w:vAlign w:val="center"/>
          </w:tcPr>
          <w:p w14:paraId="286917BA">
            <w:pPr>
              <w:pStyle w:val="75"/>
              <w:wordWrap w:val="0"/>
              <w:adjustRightInd w:val="0"/>
              <w:snapToGrid w:val="0"/>
              <w:spacing w:line="380" w:lineRule="exact"/>
              <w:jc w:val="center"/>
              <w:rPr>
                <w:rFonts w:hAnsi="宋体" w:cs="宋体"/>
                <w:b/>
                <w:bCs w:val="0"/>
                <w:snapToGrid w:val="0"/>
                <w:color w:val="auto"/>
                <w:kern w:val="0"/>
                <w:szCs w:val="21"/>
                <w:highlight w:val="none"/>
              </w:rPr>
            </w:pPr>
            <w:r>
              <w:rPr>
                <w:rFonts w:hint="eastAsia" w:hAnsi="宋体" w:cs="宋体"/>
                <w:b/>
                <w:bCs w:val="0"/>
                <w:snapToGrid w:val="0"/>
                <w:color w:val="auto"/>
                <w:kern w:val="0"/>
                <w:szCs w:val="21"/>
                <w:highlight w:val="none"/>
              </w:rPr>
              <w:t>承诺内容</w:t>
            </w:r>
          </w:p>
        </w:tc>
        <w:tc>
          <w:tcPr>
            <w:tcW w:w="4019" w:type="dxa"/>
            <w:tcBorders>
              <w:tl2br w:val="nil"/>
              <w:tr2bl w:val="nil"/>
            </w:tcBorders>
            <w:vAlign w:val="center"/>
          </w:tcPr>
          <w:p w14:paraId="5A051E55">
            <w:pPr>
              <w:pStyle w:val="75"/>
              <w:wordWrap w:val="0"/>
              <w:adjustRightInd w:val="0"/>
              <w:snapToGrid w:val="0"/>
              <w:spacing w:line="380" w:lineRule="exact"/>
              <w:jc w:val="center"/>
              <w:rPr>
                <w:rFonts w:hAnsi="宋体" w:cs="宋体"/>
                <w:b/>
                <w:bCs w:val="0"/>
                <w:snapToGrid w:val="0"/>
                <w:color w:val="auto"/>
                <w:kern w:val="0"/>
                <w:szCs w:val="21"/>
                <w:highlight w:val="none"/>
              </w:rPr>
            </w:pPr>
            <w:r>
              <w:rPr>
                <w:rFonts w:hint="eastAsia" w:hAnsi="宋体" w:cs="宋体"/>
                <w:b/>
                <w:bCs w:val="0"/>
                <w:snapToGrid w:val="0"/>
                <w:color w:val="auto"/>
                <w:kern w:val="0"/>
                <w:szCs w:val="21"/>
                <w:highlight w:val="none"/>
              </w:rPr>
              <w:t>违约承诺</w:t>
            </w:r>
          </w:p>
        </w:tc>
      </w:tr>
      <w:tr w14:paraId="26E71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55" w:hRule="atLeast"/>
          <w:jc w:val="center"/>
        </w:trPr>
        <w:tc>
          <w:tcPr>
            <w:tcW w:w="716" w:type="dxa"/>
            <w:tcBorders>
              <w:tl2br w:val="nil"/>
              <w:tr2bl w:val="nil"/>
            </w:tcBorders>
            <w:vAlign w:val="center"/>
          </w:tcPr>
          <w:p w14:paraId="50B6AAF4">
            <w:pPr>
              <w:pStyle w:val="75"/>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1</w:t>
            </w:r>
          </w:p>
        </w:tc>
        <w:tc>
          <w:tcPr>
            <w:tcW w:w="1573" w:type="dxa"/>
            <w:tcBorders>
              <w:tl2br w:val="nil"/>
              <w:tr2bl w:val="nil"/>
            </w:tcBorders>
            <w:vAlign w:val="center"/>
          </w:tcPr>
          <w:p w14:paraId="746B30D1">
            <w:pPr>
              <w:pStyle w:val="78"/>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自愿接受招标</w:t>
            </w:r>
          </w:p>
          <w:p w14:paraId="71ED28BC">
            <w:pPr>
              <w:pStyle w:val="78"/>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文件条款的承诺</w:t>
            </w:r>
          </w:p>
        </w:tc>
        <w:tc>
          <w:tcPr>
            <w:tcW w:w="2923" w:type="dxa"/>
            <w:tcBorders>
              <w:tl2br w:val="nil"/>
              <w:tr2bl w:val="nil"/>
            </w:tcBorders>
            <w:vAlign w:val="center"/>
          </w:tcPr>
          <w:p w14:paraId="2D307866">
            <w:pPr>
              <w:pStyle w:val="78"/>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我方自愿接受招标文件的所有条款，所递交的投标文件已经充分响应招标文件的实质性要求。</w:t>
            </w:r>
          </w:p>
        </w:tc>
        <w:tc>
          <w:tcPr>
            <w:tcW w:w="4019" w:type="dxa"/>
            <w:tcBorders>
              <w:tl2br w:val="nil"/>
              <w:tr2bl w:val="nil"/>
            </w:tcBorders>
            <w:vAlign w:val="center"/>
          </w:tcPr>
          <w:p w14:paraId="7541C798">
            <w:pPr>
              <w:pStyle w:val="78"/>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如果我方的投标文件未响应、违反、偏离招标文件的实质性要求，我方接受招标人或其授权的招标代理机构或其组建的评标委员会依据招标文件作出的相应处理，包括否决投标。</w:t>
            </w:r>
          </w:p>
        </w:tc>
      </w:tr>
      <w:tr w14:paraId="2B888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75" w:hRule="atLeast"/>
          <w:jc w:val="center"/>
        </w:trPr>
        <w:tc>
          <w:tcPr>
            <w:tcW w:w="716" w:type="dxa"/>
            <w:tcBorders>
              <w:tl2br w:val="nil"/>
              <w:tr2bl w:val="nil"/>
            </w:tcBorders>
            <w:vAlign w:val="center"/>
          </w:tcPr>
          <w:p w14:paraId="12659488">
            <w:pPr>
              <w:pStyle w:val="75"/>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2</w:t>
            </w:r>
          </w:p>
        </w:tc>
        <w:tc>
          <w:tcPr>
            <w:tcW w:w="1573" w:type="dxa"/>
            <w:tcBorders>
              <w:tl2br w:val="nil"/>
              <w:tr2bl w:val="nil"/>
            </w:tcBorders>
            <w:vAlign w:val="center"/>
          </w:tcPr>
          <w:p w14:paraId="4E13328C">
            <w:pPr>
              <w:pStyle w:val="78"/>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无禁止投标</w:t>
            </w:r>
          </w:p>
          <w:p w14:paraId="2E04458C">
            <w:pPr>
              <w:pStyle w:val="78"/>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情形的承诺</w:t>
            </w:r>
          </w:p>
        </w:tc>
        <w:tc>
          <w:tcPr>
            <w:tcW w:w="2923" w:type="dxa"/>
            <w:tcBorders>
              <w:tl2br w:val="nil"/>
              <w:tr2bl w:val="nil"/>
            </w:tcBorders>
            <w:vAlign w:val="center"/>
          </w:tcPr>
          <w:p w14:paraId="6A2783C9">
            <w:pPr>
              <w:pStyle w:val="78"/>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我方不存在招标文件第一章第三节第</w:t>
            </w:r>
            <w:r>
              <w:rPr>
                <w:rFonts w:hint="eastAsia" w:hAnsi="宋体" w:cs="宋体"/>
                <w:b/>
                <w:bCs/>
                <w:snapToGrid w:val="0"/>
                <w:color w:val="auto"/>
                <w:kern w:val="0"/>
                <w:sz w:val="21"/>
                <w:szCs w:val="21"/>
                <w:highlight w:val="none"/>
              </w:rPr>
              <w:t>2.4</w:t>
            </w:r>
            <w:r>
              <w:rPr>
                <w:rFonts w:hint="eastAsia" w:hAnsi="宋体" w:cs="宋体"/>
                <w:snapToGrid w:val="0"/>
                <w:color w:val="auto"/>
                <w:kern w:val="0"/>
                <w:sz w:val="21"/>
                <w:szCs w:val="21"/>
                <w:highlight w:val="none"/>
              </w:rPr>
              <w:t>条“禁止投标条款”规定的任何一种情形。</w:t>
            </w:r>
          </w:p>
        </w:tc>
        <w:tc>
          <w:tcPr>
            <w:tcW w:w="4019" w:type="dxa"/>
            <w:tcBorders>
              <w:tl2br w:val="nil"/>
              <w:tr2bl w:val="nil"/>
            </w:tcBorders>
            <w:vAlign w:val="center"/>
          </w:tcPr>
          <w:p w14:paraId="60B01B1E">
            <w:pPr>
              <w:pStyle w:val="78"/>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如果我方有招标文件第一章第三节第</w:t>
            </w:r>
            <w:r>
              <w:rPr>
                <w:rFonts w:hint="eastAsia" w:hAnsi="宋体" w:cs="宋体"/>
                <w:b/>
                <w:bCs/>
                <w:snapToGrid w:val="0"/>
                <w:color w:val="auto"/>
                <w:kern w:val="0"/>
                <w:sz w:val="21"/>
                <w:szCs w:val="21"/>
                <w:highlight w:val="none"/>
              </w:rPr>
              <w:t>2.4</w:t>
            </w:r>
            <w:r>
              <w:rPr>
                <w:rFonts w:hint="eastAsia" w:hAnsi="宋体" w:cs="宋体"/>
                <w:snapToGrid w:val="0"/>
                <w:color w:val="auto"/>
                <w:kern w:val="0"/>
                <w:sz w:val="21"/>
                <w:szCs w:val="21"/>
                <w:highlight w:val="none"/>
              </w:rPr>
              <w:t>条“禁止投标条款”规定的任何一种情形，我方接受招标人或其授权的招标代理机构或其组建的评标委员会依据招标文件作出的相应处理以及有关监督部门作出的行政处罚，并承担由此引起的一切法律后果。</w:t>
            </w:r>
          </w:p>
        </w:tc>
      </w:tr>
      <w:tr w14:paraId="6E900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10" w:hRule="atLeast"/>
          <w:jc w:val="center"/>
        </w:trPr>
        <w:tc>
          <w:tcPr>
            <w:tcW w:w="716" w:type="dxa"/>
            <w:tcBorders>
              <w:tl2br w:val="nil"/>
              <w:tr2bl w:val="nil"/>
            </w:tcBorders>
            <w:vAlign w:val="center"/>
          </w:tcPr>
          <w:p w14:paraId="04B047BD">
            <w:pPr>
              <w:pStyle w:val="75"/>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3</w:t>
            </w:r>
          </w:p>
        </w:tc>
        <w:tc>
          <w:tcPr>
            <w:tcW w:w="1573" w:type="dxa"/>
            <w:tcBorders>
              <w:tl2br w:val="nil"/>
              <w:tr2bl w:val="nil"/>
            </w:tcBorders>
            <w:vAlign w:val="center"/>
          </w:tcPr>
          <w:p w14:paraId="7327796A">
            <w:pPr>
              <w:pStyle w:val="78"/>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自觉抵制围标</w:t>
            </w:r>
          </w:p>
          <w:p w14:paraId="6537DAA0">
            <w:pPr>
              <w:pStyle w:val="78"/>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串标和弄虚</w:t>
            </w:r>
          </w:p>
          <w:p w14:paraId="3A865B06">
            <w:pPr>
              <w:pStyle w:val="78"/>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作假行为的承诺</w:t>
            </w:r>
          </w:p>
        </w:tc>
        <w:tc>
          <w:tcPr>
            <w:tcW w:w="2923" w:type="dxa"/>
            <w:tcBorders>
              <w:tl2br w:val="nil"/>
              <w:tr2bl w:val="nil"/>
            </w:tcBorders>
            <w:vAlign w:val="center"/>
          </w:tcPr>
          <w:p w14:paraId="1074D0F2">
            <w:pPr>
              <w:pStyle w:val="78"/>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我方合法正当、诚实守信地参与投标，不组织、不参加围标串标违法行为，不通过弄虚作假行为骗取中标。</w:t>
            </w:r>
          </w:p>
        </w:tc>
        <w:tc>
          <w:tcPr>
            <w:tcW w:w="4019" w:type="dxa"/>
            <w:tcBorders>
              <w:tl2br w:val="nil"/>
              <w:tr2bl w:val="nil"/>
            </w:tcBorders>
            <w:vAlign w:val="center"/>
          </w:tcPr>
          <w:p w14:paraId="0E604D83">
            <w:pPr>
              <w:pStyle w:val="78"/>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如果我方组织或参加围标串标违法行为或通过弄虚作假行为骗取中标，我方接受招标人或其授权的招标代理机构或其组建的评标委员会依据招标文件作出的相应处理以及有关监督部门作出的行政处罚，并承担由此引起的一切法律后果。</w:t>
            </w:r>
          </w:p>
        </w:tc>
      </w:tr>
      <w:tr w14:paraId="13989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90" w:hRule="atLeast"/>
          <w:jc w:val="center"/>
        </w:trPr>
        <w:tc>
          <w:tcPr>
            <w:tcW w:w="716" w:type="dxa"/>
            <w:tcBorders>
              <w:tl2br w:val="nil"/>
              <w:tr2bl w:val="nil"/>
            </w:tcBorders>
            <w:vAlign w:val="center"/>
          </w:tcPr>
          <w:p w14:paraId="4E26FD04">
            <w:pPr>
              <w:pStyle w:val="75"/>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4</w:t>
            </w:r>
          </w:p>
        </w:tc>
        <w:tc>
          <w:tcPr>
            <w:tcW w:w="1573" w:type="dxa"/>
            <w:tcBorders>
              <w:tl2br w:val="nil"/>
              <w:tr2bl w:val="nil"/>
            </w:tcBorders>
            <w:vAlign w:val="center"/>
          </w:tcPr>
          <w:p w14:paraId="754EDB94">
            <w:pPr>
              <w:pStyle w:val="78"/>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总监理工程师</w:t>
            </w:r>
          </w:p>
          <w:p w14:paraId="4D5B47CB">
            <w:pPr>
              <w:pStyle w:val="78"/>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任职承诺</w:t>
            </w:r>
          </w:p>
        </w:tc>
        <w:tc>
          <w:tcPr>
            <w:tcW w:w="2923" w:type="dxa"/>
            <w:tcBorders>
              <w:tl2br w:val="nil"/>
              <w:tr2bl w:val="nil"/>
            </w:tcBorders>
            <w:vAlign w:val="center"/>
          </w:tcPr>
          <w:p w14:paraId="0015B20B">
            <w:pPr>
              <w:pStyle w:val="78"/>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 xml:space="preserve">    我方拟派总监理工程师现阶段担任总监理工程师的在施（包括已中标未开工、已开工未竣工）建设工程项目不超过2个，经任职项目的建设单位同意，参加本项目投标。</w:t>
            </w:r>
          </w:p>
        </w:tc>
        <w:tc>
          <w:tcPr>
            <w:tcW w:w="4019" w:type="dxa"/>
            <w:tcBorders>
              <w:tl2br w:val="nil"/>
              <w:tr2bl w:val="nil"/>
            </w:tcBorders>
            <w:vAlign w:val="center"/>
          </w:tcPr>
          <w:p w14:paraId="25D3446D">
            <w:pPr>
              <w:pStyle w:val="78"/>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如果我方拟派总监理工程师在本项目招标投标活动期间担任总监理工程师的在施（包括已中标未开工、已开工未竣工）建设工程项目超过2个，或其参加本项目投标未得到任职项目的建设单位同意，我方接受招标人或其授权的招标代理机构或其组建的评标委员会依据招标文件作出的相应处理以及有关监督部门作出的行政处罚，并承担由此引起的一切法律后果。</w:t>
            </w:r>
          </w:p>
        </w:tc>
      </w:tr>
      <w:tr w14:paraId="5C953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5" w:hRule="atLeast"/>
          <w:jc w:val="center"/>
        </w:trPr>
        <w:tc>
          <w:tcPr>
            <w:tcW w:w="716" w:type="dxa"/>
            <w:tcBorders>
              <w:tl2br w:val="nil"/>
              <w:tr2bl w:val="nil"/>
            </w:tcBorders>
            <w:vAlign w:val="center"/>
          </w:tcPr>
          <w:p w14:paraId="6161C08F">
            <w:pPr>
              <w:pStyle w:val="75"/>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5</w:t>
            </w:r>
          </w:p>
        </w:tc>
        <w:tc>
          <w:tcPr>
            <w:tcW w:w="1573" w:type="dxa"/>
            <w:tcBorders>
              <w:tl2br w:val="nil"/>
              <w:tr2bl w:val="nil"/>
            </w:tcBorders>
            <w:vAlign w:val="center"/>
          </w:tcPr>
          <w:p w14:paraId="003F6C1C">
            <w:pPr>
              <w:pStyle w:val="78"/>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投标文件</w:t>
            </w:r>
          </w:p>
          <w:p w14:paraId="56563611">
            <w:pPr>
              <w:pStyle w:val="78"/>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真实性承诺</w:t>
            </w:r>
          </w:p>
        </w:tc>
        <w:tc>
          <w:tcPr>
            <w:tcW w:w="2923" w:type="dxa"/>
            <w:tcBorders>
              <w:tl2br w:val="nil"/>
              <w:tr2bl w:val="nil"/>
            </w:tcBorders>
            <w:vAlign w:val="center"/>
          </w:tcPr>
          <w:p w14:paraId="3AAF78A2">
            <w:pPr>
              <w:pStyle w:val="78"/>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我方所递交投标文件的全部内容均为真实、有效、准确的。</w:t>
            </w:r>
          </w:p>
        </w:tc>
        <w:tc>
          <w:tcPr>
            <w:tcW w:w="4019" w:type="dxa"/>
            <w:tcBorders>
              <w:tl2br w:val="nil"/>
              <w:tr2bl w:val="nil"/>
            </w:tcBorders>
            <w:vAlign w:val="center"/>
          </w:tcPr>
          <w:p w14:paraId="537798B9">
            <w:pPr>
              <w:pStyle w:val="78"/>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如果我方递交的投标文件任何内容不真实或无效或不准确，我方接受招标人或其授权的招标代理机构或其组建的评标委员会依据招标文件作出的相应处理，包括否决投标。</w:t>
            </w:r>
          </w:p>
        </w:tc>
      </w:tr>
      <w:tr w14:paraId="4EF07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16" w:type="dxa"/>
            <w:tcBorders>
              <w:tl2br w:val="nil"/>
              <w:tr2bl w:val="nil"/>
            </w:tcBorders>
            <w:vAlign w:val="center"/>
          </w:tcPr>
          <w:p w14:paraId="35D8F9CC">
            <w:pPr>
              <w:pStyle w:val="75"/>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6</w:t>
            </w:r>
          </w:p>
        </w:tc>
        <w:tc>
          <w:tcPr>
            <w:tcW w:w="1573" w:type="dxa"/>
            <w:tcBorders>
              <w:tl2br w:val="nil"/>
              <w:tr2bl w:val="nil"/>
            </w:tcBorders>
            <w:vAlign w:val="center"/>
          </w:tcPr>
          <w:p w14:paraId="4626B0C9">
            <w:pPr>
              <w:pStyle w:val="78"/>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投标文件</w:t>
            </w:r>
          </w:p>
          <w:p w14:paraId="3294E70E">
            <w:pPr>
              <w:pStyle w:val="78"/>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信息公开承诺</w:t>
            </w:r>
          </w:p>
        </w:tc>
        <w:tc>
          <w:tcPr>
            <w:tcW w:w="2923" w:type="dxa"/>
            <w:tcBorders>
              <w:tl2br w:val="nil"/>
              <w:tr2bl w:val="nil"/>
            </w:tcBorders>
            <w:vAlign w:val="center"/>
          </w:tcPr>
          <w:p w14:paraId="0BD5A69B">
            <w:pPr>
              <w:pStyle w:val="78"/>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我方提供完整的电子文件。如果我方成为本招标项目中标候选人，我方同意并授权招标人在评标结果公示期内公开我方商务标书的全部内容。</w:t>
            </w:r>
          </w:p>
        </w:tc>
        <w:tc>
          <w:tcPr>
            <w:tcW w:w="4019" w:type="dxa"/>
            <w:tcBorders>
              <w:tl2br w:val="nil"/>
              <w:tr2bl w:val="nil"/>
            </w:tcBorders>
            <w:vAlign w:val="center"/>
          </w:tcPr>
          <w:p w14:paraId="47B1FADB">
            <w:pPr>
              <w:pStyle w:val="78"/>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left"/>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 xml:space="preserve">    /</w:t>
            </w:r>
          </w:p>
        </w:tc>
      </w:tr>
      <w:tr w14:paraId="51315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16" w:type="dxa"/>
            <w:tcBorders>
              <w:tl2br w:val="nil"/>
              <w:tr2bl w:val="nil"/>
            </w:tcBorders>
            <w:vAlign w:val="center"/>
          </w:tcPr>
          <w:p w14:paraId="4A4C9368">
            <w:pPr>
              <w:pStyle w:val="75"/>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int="eastAsia" w:hAnsi="宋体" w:eastAsia="宋体" w:cs="宋体"/>
                <w:snapToGrid w:val="0"/>
                <w:color w:val="auto"/>
                <w:kern w:val="0"/>
                <w:sz w:val="21"/>
                <w:szCs w:val="21"/>
                <w:highlight w:val="none"/>
                <w:lang w:eastAsia="zh-CN"/>
              </w:rPr>
            </w:pPr>
            <w:r>
              <w:rPr>
                <w:rFonts w:hint="eastAsia" w:hAnsi="宋体" w:cs="宋体"/>
                <w:snapToGrid w:val="0"/>
                <w:color w:val="auto"/>
                <w:kern w:val="0"/>
                <w:sz w:val="21"/>
                <w:szCs w:val="21"/>
                <w:highlight w:val="none"/>
                <w:lang w:val="en-US" w:eastAsia="zh-CN"/>
              </w:rPr>
              <w:t>7</w:t>
            </w:r>
          </w:p>
        </w:tc>
        <w:tc>
          <w:tcPr>
            <w:tcW w:w="1573" w:type="dxa"/>
            <w:tcBorders>
              <w:tl2br w:val="nil"/>
              <w:tr2bl w:val="nil"/>
            </w:tcBorders>
            <w:vAlign w:val="center"/>
          </w:tcPr>
          <w:p w14:paraId="7E0FB442">
            <w:pPr>
              <w:pStyle w:val="78"/>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按时签订合同</w:t>
            </w:r>
          </w:p>
          <w:p w14:paraId="3DA87571">
            <w:pPr>
              <w:pStyle w:val="78"/>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的承诺</w:t>
            </w:r>
          </w:p>
        </w:tc>
        <w:tc>
          <w:tcPr>
            <w:tcW w:w="2923" w:type="dxa"/>
            <w:tcBorders>
              <w:tl2br w:val="nil"/>
              <w:tr2bl w:val="nil"/>
            </w:tcBorders>
            <w:vAlign w:val="center"/>
          </w:tcPr>
          <w:p w14:paraId="108034DD">
            <w:pPr>
              <w:pStyle w:val="78"/>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如果我方中标，我方保证在招标文件规定的时限内与招标人签订合同，不提出违背或超出招标文件、中标文件的要求。</w:t>
            </w:r>
          </w:p>
        </w:tc>
        <w:tc>
          <w:tcPr>
            <w:tcW w:w="4019" w:type="dxa"/>
            <w:tcBorders>
              <w:tl2br w:val="nil"/>
              <w:tr2bl w:val="nil"/>
            </w:tcBorders>
            <w:vAlign w:val="center"/>
          </w:tcPr>
          <w:p w14:paraId="244FAAC1">
            <w:pPr>
              <w:pStyle w:val="78"/>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如果我方未在招标文件规定的时限内与招标人签订合同，或我方在签订合同过程中提出违背或超出招标文件、中标文件的要求。我方接受招标人依据招标文件作出的相应处理以及有关监督部门作出的行政处罚，并承担由此引起的一切法律后果。</w:t>
            </w:r>
          </w:p>
        </w:tc>
      </w:tr>
    </w:tbl>
    <w:p w14:paraId="7E4EC132">
      <w:pPr>
        <w:pStyle w:val="75"/>
        <w:wordWrap w:val="0"/>
        <w:adjustRightInd w:val="0"/>
        <w:snapToGrid w:val="0"/>
        <w:spacing w:line="420" w:lineRule="exact"/>
        <w:jc w:val="left"/>
        <w:rPr>
          <w:rFonts w:hAnsi="宋体" w:cs="宋体"/>
          <w:snapToGrid w:val="0"/>
          <w:color w:val="auto"/>
          <w:kern w:val="0"/>
          <w:highlight w:val="none"/>
        </w:rPr>
      </w:pPr>
    </w:p>
    <w:p w14:paraId="4B6FF6DB">
      <w:pPr>
        <w:pStyle w:val="75"/>
        <w:wordWrap w:val="0"/>
        <w:adjustRightInd w:val="0"/>
        <w:snapToGrid w:val="0"/>
        <w:spacing w:line="420" w:lineRule="exact"/>
        <w:jc w:val="left"/>
        <w:rPr>
          <w:rFonts w:hAnsi="宋体" w:cs="宋体"/>
          <w:snapToGrid w:val="0"/>
          <w:color w:val="auto"/>
          <w:kern w:val="0"/>
          <w:highlight w:val="none"/>
        </w:rPr>
      </w:pPr>
    </w:p>
    <w:p w14:paraId="148553C2">
      <w:pPr>
        <w:pStyle w:val="17"/>
        <w:wordWrap w:val="0"/>
        <w:adjustRightInd w:val="0"/>
        <w:snapToGrid w:val="0"/>
        <w:spacing w:line="420" w:lineRule="exact"/>
        <w:ind w:firstLine="480" w:firstLineChars="200"/>
        <w:jc w:val="right"/>
        <w:rPr>
          <w:rFonts w:hAnsi="宋体" w:cs="宋体"/>
          <w:snapToGrid w:val="0"/>
          <w:color w:val="auto"/>
          <w:kern w:val="0"/>
          <w:szCs w:val="24"/>
          <w:highlight w:val="none"/>
        </w:rPr>
      </w:pPr>
      <w:r>
        <w:rPr>
          <w:rFonts w:hint="eastAsia" w:hAnsi="宋体" w:cs="宋体"/>
          <w:snapToGrid w:val="0"/>
          <w:color w:val="auto"/>
          <w:kern w:val="0"/>
          <w:szCs w:val="24"/>
          <w:highlight w:val="none"/>
        </w:rPr>
        <w:t>投标人：</w:t>
      </w:r>
      <w:r>
        <w:rPr>
          <w:rFonts w:hint="eastAsia" w:hAnsi="宋体" w:cs="宋体"/>
          <w:snapToGrid w:val="0"/>
          <w:color w:val="auto"/>
          <w:kern w:val="0"/>
          <w:szCs w:val="24"/>
          <w:highlight w:val="none"/>
          <w:u w:val="single"/>
        </w:rPr>
        <w:t xml:space="preserve">                                   </w:t>
      </w:r>
      <w:r>
        <w:rPr>
          <w:rFonts w:hint="eastAsia" w:hAnsi="宋体" w:cs="宋体"/>
          <w:snapToGrid w:val="0"/>
          <w:color w:val="auto"/>
          <w:kern w:val="0"/>
          <w:szCs w:val="24"/>
          <w:highlight w:val="none"/>
        </w:rPr>
        <w:t>（盖单位章）</w:t>
      </w:r>
    </w:p>
    <w:p w14:paraId="28CA7502">
      <w:pPr>
        <w:pStyle w:val="17"/>
        <w:wordWrap w:val="0"/>
        <w:adjustRightInd w:val="0"/>
        <w:snapToGrid w:val="0"/>
        <w:spacing w:line="420" w:lineRule="exact"/>
        <w:ind w:firstLine="480" w:firstLineChars="200"/>
        <w:jc w:val="right"/>
        <w:rPr>
          <w:rFonts w:hAnsi="宋体" w:cs="宋体"/>
          <w:snapToGrid w:val="0"/>
          <w:color w:val="auto"/>
          <w:kern w:val="0"/>
          <w:szCs w:val="24"/>
          <w:highlight w:val="none"/>
        </w:rPr>
      </w:pPr>
    </w:p>
    <w:p w14:paraId="0BE8168B">
      <w:pPr>
        <w:pStyle w:val="17"/>
        <w:wordWrap w:val="0"/>
        <w:adjustRightInd w:val="0"/>
        <w:snapToGrid w:val="0"/>
        <w:spacing w:line="420" w:lineRule="exact"/>
        <w:ind w:firstLine="480" w:firstLineChars="200"/>
        <w:jc w:val="right"/>
        <w:rPr>
          <w:rFonts w:hAnsi="宋体" w:cs="宋体"/>
          <w:snapToGrid w:val="0"/>
          <w:color w:val="auto"/>
          <w:kern w:val="0"/>
          <w:szCs w:val="24"/>
          <w:highlight w:val="none"/>
        </w:rPr>
      </w:pPr>
    </w:p>
    <w:p w14:paraId="0172B28D">
      <w:pPr>
        <w:pStyle w:val="17"/>
        <w:wordWrap w:val="0"/>
        <w:adjustRightInd w:val="0"/>
        <w:snapToGrid w:val="0"/>
        <w:spacing w:line="420" w:lineRule="exact"/>
        <w:ind w:firstLine="480" w:firstLineChars="200"/>
        <w:jc w:val="right"/>
        <w:rPr>
          <w:rFonts w:hAnsi="宋体" w:cs="宋体"/>
          <w:snapToGrid w:val="0"/>
          <w:color w:val="auto"/>
          <w:kern w:val="0"/>
          <w:szCs w:val="24"/>
          <w:highlight w:val="none"/>
        </w:rPr>
      </w:pPr>
      <w:r>
        <w:rPr>
          <w:rFonts w:hint="eastAsia" w:hAnsi="宋体" w:cs="宋体"/>
          <w:snapToGrid w:val="0"/>
          <w:color w:val="auto"/>
          <w:kern w:val="0"/>
          <w:szCs w:val="24"/>
          <w:highlight w:val="none"/>
        </w:rPr>
        <w:t>法定代表人或其委托代理人：</w:t>
      </w:r>
      <w:r>
        <w:rPr>
          <w:rFonts w:hint="eastAsia" w:hAnsi="宋体" w:cs="宋体"/>
          <w:snapToGrid w:val="0"/>
          <w:color w:val="auto"/>
          <w:kern w:val="0"/>
          <w:szCs w:val="24"/>
          <w:highlight w:val="none"/>
          <w:u w:val="single"/>
        </w:rPr>
        <w:t xml:space="preserve">               </w:t>
      </w:r>
      <w:r>
        <w:rPr>
          <w:rFonts w:hint="eastAsia" w:hAnsi="宋体" w:cs="宋体"/>
          <w:snapToGrid w:val="0"/>
          <w:color w:val="auto"/>
          <w:kern w:val="0"/>
          <w:szCs w:val="24"/>
          <w:highlight w:val="none"/>
        </w:rPr>
        <w:t>（签字或盖章）</w:t>
      </w:r>
    </w:p>
    <w:p w14:paraId="40FD3ED2">
      <w:pPr>
        <w:pStyle w:val="17"/>
        <w:wordWrap w:val="0"/>
        <w:adjustRightInd w:val="0"/>
        <w:snapToGrid w:val="0"/>
        <w:spacing w:line="420" w:lineRule="exact"/>
        <w:ind w:firstLine="480" w:firstLineChars="200"/>
        <w:rPr>
          <w:rFonts w:hAnsi="宋体" w:cs="宋体"/>
          <w:snapToGrid w:val="0"/>
          <w:color w:val="auto"/>
          <w:kern w:val="0"/>
          <w:szCs w:val="24"/>
          <w:highlight w:val="none"/>
        </w:rPr>
      </w:pPr>
    </w:p>
    <w:p w14:paraId="498998F1">
      <w:pPr>
        <w:pStyle w:val="17"/>
        <w:wordWrap w:val="0"/>
        <w:adjustRightInd w:val="0"/>
        <w:snapToGrid w:val="0"/>
        <w:spacing w:line="420" w:lineRule="exact"/>
        <w:ind w:firstLine="480" w:firstLineChars="200"/>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 xml:space="preserve">                      </w:t>
      </w:r>
      <w:r>
        <w:rPr>
          <w:rFonts w:hint="eastAsia" w:hAnsi="宋体" w:cs="宋体"/>
          <w:snapToGrid w:val="0"/>
          <w:color w:val="auto"/>
          <w:kern w:val="0"/>
          <w:szCs w:val="24"/>
          <w:highlight w:val="none"/>
          <w:u w:val="single"/>
        </w:rPr>
        <w:t xml:space="preserve">        </w:t>
      </w:r>
      <w:r>
        <w:rPr>
          <w:rFonts w:hint="eastAsia" w:hAnsi="宋体" w:cs="宋体"/>
          <w:snapToGrid w:val="0"/>
          <w:color w:val="auto"/>
          <w:kern w:val="0"/>
          <w:szCs w:val="24"/>
          <w:highlight w:val="none"/>
        </w:rPr>
        <w:t>年</w:t>
      </w:r>
      <w:r>
        <w:rPr>
          <w:rFonts w:hint="eastAsia" w:hAnsi="宋体" w:cs="宋体"/>
          <w:snapToGrid w:val="0"/>
          <w:color w:val="auto"/>
          <w:kern w:val="0"/>
          <w:szCs w:val="24"/>
          <w:highlight w:val="none"/>
          <w:u w:val="single"/>
        </w:rPr>
        <w:t xml:space="preserve">    </w:t>
      </w:r>
      <w:r>
        <w:rPr>
          <w:rFonts w:hint="eastAsia" w:hAnsi="宋体" w:cs="宋体"/>
          <w:snapToGrid w:val="0"/>
          <w:color w:val="auto"/>
          <w:kern w:val="0"/>
          <w:szCs w:val="24"/>
          <w:highlight w:val="none"/>
        </w:rPr>
        <w:t>月</w:t>
      </w:r>
      <w:r>
        <w:rPr>
          <w:rFonts w:hint="eastAsia" w:hAnsi="宋体" w:cs="宋体"/>
          <w:snapToGrid w:val="0"/>
          <w:color w:val="auto"/>
          <w:kern w:val="0"/>
          <w:szCs w:val="24"/>
          <w:highlight w:val="none"/>
          <w:u w:val="single"/>
        </w:rPr>
        <w:t xml:space="preserve">    </w:t>
      </w:r>
      <w:r>
        <w:rPr>
          <w:rFonts w:hint="eastAsia" w:hAnsi="宋体" w:cs="宋体"/>
          <w:snapToGrid w:val="0"/>
          <w:color w:val="auto"/>
          <w:kern w:val="0"/>
          <w:szCs w:val="24"/>
          <w:highlight w:val="none"/>
        </w:rPr>
        <w:t>日</w:t>
      </w:r>
    </w:p>
    <w:p w14:paraId="3E8D0F6D">
      <w:pPr>
        <w:wordWrap w:val="0"/>
        <w:adjustRightInd w:val="0"/>
        <w:snapToGrid w:val="0"/>
        <w:spacing w:line="420" w:lineRule="exact"/>
        <w:jc w:val="left"/>
        <w:rPr>
          <w:rFonts w:hAnsi="宋体" w:cs="宋体"/>
          <w:b/>
          <w:snapToGrid w:val="0"/>
          <w:color w:val="auto"/>
          <w:kern w:val="0"/>
          <w:highlight w:val="none"/>
        </w:rPr>
        <w:sectPr>
          <w:endnotePr>
            <w:numFmt w:val="decimal"/>
          </w:endnotePr>
          <w:pgSz w:w="11906" w:h="16838"/>
          <w:pgMar w:top="1417" w:right="1417" w:bottom="1417" w:left="1417" w:header="850" w:footer="992" w:gutter="0"/>
          <w:pgNumType w:fmt="decimal"/>
          <w:cols w:space="0" w:num="1"/>
          <w:docGrid w:linePitch="327" w:charSpace="0"/>
        </w:sectPr>
      </w:pPr>
    </w:p>
    <w:p w14:paraId="1E8EBA5D">
      <w:pPr>
        <w:wordWrap w:val="0"/>
        <w:adjustRightInd w:val="0"/>
        <w:snapToGrid w:val="0"/>
        <w:spacing w:line="440" w:lineRule="exact"/>
        <w:outlineLvl w:val="1"/>
        <w:rPr>
          <w:rFonts w:hAnsi="宋体" w:cs="宋体"/>
          <w:b/>
          <w:bCs/>
          <w:snapToGrid w:val="0"/>
          <w:color w:val="auto"/>
          <w:kern w:val="0"/>
          <w:szCs w:val="24"/>
          <w:highlight w:val="none"/>
        </w:rPr>
      </w:pPr>
      <w:bookmarkStart w:id="320" w:name="_Toc32644"/>
      <w:r>
        <w:rPr>
          <w:rFonts w:hint="eastAsia" w:hAnsi="宋体" w:cs="宋体"/>
          <w:b/>
          <w:bCs/>
          <w:snapToGrid w:val="0"/>
          <w:color w:val="auto"/>
          <w:kern w:val="0"/>
          <w:szCs w:val="24"/>
          <w:highlight w:val="none"/>
        </w:rPr>
        <w:t>格式四 授权委托书</w:t>
      </w:r>
      <w:bookmarkEnd w:id="320"/>
    </w:p>
    <w:p w14:paraId="759A7BEF">
      <w:pPr>
        <w:wordWrap w:val="0"/>
        <w:adjustRightInd w:val="0"/>
        <w:snapToGrid w:val="0"/>
        <w:spacing w:line="440" w:lineRule="exact"/>
        <w:rPr>
          <w:rFonts w:hAnsi="宋体" w:cs="宋体"/>
          <w:b/>
          <w:bCs/>
          <w:snapToGrid w:val="0"/>
          <w:color w:val="auto"/>
          <w:kern w:val="0"/>
          <w:szCs w:val="24"/>
          <w:highlight w:val="none"/>
        </w:rPr>
      </w:pPr>
    </w:p>
    <w:p w14:paraId="1D02247C">
      <w:pPr>
        <w:wordWrap w:val="0"/>
        <w:adjustRightInd w:val="0"/>
        <w:snapToGrid w:val="0"/>
        <w:spacing w:before="260" w:after="260" w:line="440" w:lineRule="exact"/>
        <w:jc w:val="center"/>
        <w:rPr>
          <w:rFonts w:hAnsi="宋体" w:cs="宋体"/>
          <w:b/>
          <w:snapToGrid w:val="0"/>
          <w:color w:val="auto"/>
          <w:kern w:val="0"/>
          <w:highlight w:val="none"/>
        </w:rPr>
      </w:pPr>
      <w:r>
        <w:rPr>
          <w:rFonts w:hint="eastAsia" w:hAnsi="宋体" w:cs="宋体"/>
          <w:b/>
          <w:snapToGrid w:val="0"/>
          <w:color w:val="auto"/>
          <w:kern w:val="0"/>
          <w:sz w:val="30"/>
          <w:highlight w:val="none"/>
        </w:rPr>
        <w:t>授权委托书</w:t>
      </w:r>
    </w:p>
    <w:p w14:paraId="2077EBE8">
      <w:pPr>
        <w:wordWrap w:val="0"/>
        <w:adjustRightInd w:val="0"/>
        <w:snapToGrid w:val="0"/>
        <w:spacing w:line="440" w:lineRule="exact"/>
        <w:rPr>
          <w:rFonts w:hAnsi="宋体" w:cs="宋体"/>
          <w:snapToGrid w:val="0"/>
          <w:color w:val="auto"/>
          <w:kern w:val="0"/>
          <w:szCs w:val="28"/>
          <w:highlight w:val="none"/>
        </w:rPr>
      </w:pPr>
    </w:p>
    <w:p w14:paraId="30754A58">
      <w:pPr>
        <w:wordWrap w:val="0"/>
        <w:adjustRightInd w:val="0"/>
        <w:snapToGrid w:val="0"/>
        <w:spacing w:line="440" w:lineRule="exact"/>
        <w:rPr>
          <w:rFonts w:hAnsi="宋体" w:cs="宋体"/>
          <w:snapToGrid w:val="0"/>
          <w:color w:val="auto"/>
          <w:kern w:val="0"/>
          <w:szCs w:val="21"/>
          <w:highlight w:val="none"/>
        </w:rPr>
      </w:pPr>
      <w:r>
        <w:rPr>
          <w:rFonts w:hint="eastAsia" w:hAnsi="宋体" w:cs="宋体"/>
          <w:snapToGrid w:val="0"/>
          <w:color w:val="auto"/>
          <w:kern w:val="0"/>
          <w:szCs w:val="21"/>
          <w:highlight w:val="none"/>
        </w:rPr>
        <w:t xml:space="preserve">    本人</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（姓名）系</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（投标人名称）的法定代表人，现委托</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（姓名）为我方代理人。代理人根据授权，以我方名义签署、澄清、说明、补正、递交、撤回、修改</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（项目名称）监理投标文件、签订合同和处理有关事宜，其法律后果由我方承担。</w:t>
      </w:r>
    </w:p>
    <w:p w14:paraId="3A2A096D">
      <w:pPr>
        <w:wordWrap w:val="0"/>
        <w:adjustRightInd w:val="0"/>
        <w:snapToGrid w:val="0"/>
        <w:spacing w:line="440" w:lineRule="exact"/>
        <w:ind w:firstLine="480" w:firstLineChars="200"/>
        <w:rPr>
          <w:rFonts w:hAnsi="宋体" w:cs="宋体"/>
          <w:snapToGrid w:val="0"/>
          <w:color w:val="auto"/>
          <w:kern w:val="0"/>
          <w:szCs w:val="21"/>
          <w:highlight w:val="none"/>
        </w:rPr>
      </w:pPr>
      <w:r>
        <w:rPr>
          <w:rFonts w:hint="eastAsia" w:hAnsi="宋体" w:cs="宋体"/>
          <w:snapToGrid w:val="0"/>
          <w:color w:val="auto"/>
          <w:kern w:val="0"/>
          <w:szCs w:val="21"/>
          <w:highlight w:val="none"/>
        </w:rPr>
        <w:t>委托期限：至</w:t>
      </w:r>
      <w:r>
        <w:rPr>
          <w:rFonts w:hint="eastAsia" w:hAnsi="宋体" w:cs="宋体"/>
          <w:snapToGrid w:val="0"/>
          <w:color w:val="auto"/>
          <w:kern w:val="0"/>
          <w:szCs w:val="21"/>
          <w:highlight w:val="none"/>
          <w:u w:val="single"/>
        </w:rPr>
        <w:t xml:space="preserve">     年   月   日</w:t>
      </w:r>
      <w:r>
        <w:rPr>
          <w:rFonts w:hint="eastAsia" w:hAnsi="宋体" w:cs="宋体"/>
          <w:i/>
          <w:iCs/>
          <w:snapToGrid w:val="0"/>
          <w:color w:val="auto"/>
          <w:kern w:val="0"/>
          <w:szCs w:val="21"/>
          <w:highlight w:val="none"/>
          <w:u w:val="single"/>
        </w:rPr>
        <w:t>（不得短于招标文件规定的投标有效期）</w:t>
      </w:r>
      <w:r>
        <w:rPr>
          <w:rFonts w:hint="eastAsia" w:hAnsi="宋体" w:cs="宋体"/>
          <w:snapToGrid w:val="0"/>
          <w:color w:val="auto"/>
          <w:kern w:val="0"/>
          <w:szCs w:val="21"/>
          <w:highlight w:val="none"/>
        </w:rPr>
        <w:t xml:space="preserve"> 。</w:t>
      </w:r>
    </w:p>
    <w:p w14:paraId="58D17578">
      <w:pPr>
        <w:wordWrap w:val="0"/>
        <w:adjustRightInd w:val="0"/>
        <w:snapToGrid w:val="0"/>
        <w:spacing w:line="440" w:lineRule="exact"/>
        <w:rPr>
          <w:rFonts w:hAnsi="宋体" w:cs="宋体"/>
          <w:snapToGrid w:val="0"/>
          <w:color w:val="auto"/>
          <w:kern w:val="0"/>
          <w:szCs w:val="21"/>
          <w:highlight w:val="none"/>
        </w:rPr>
      </w:pPr>
      <w:r>
        <w:rPr>
          <w:rFonts w:hint="eastAsia" w:hAnsi="宋体" w:cs="宋体"/>
          <w:snapToGrid w:val="0"/>
          <w:color w:val="auto"/>
          <w:kern w:val="0"/>
          <w:szCs w:val="21"/>
          <w:highlight w:val="none"/>
        </w:rPr>
        <w:t xml:space="preserve">    代理人无转委托权。</w:t>
      </w:r>
    </w:p>
    <w:p w14:paraId="1B59B3DA">
      <w:pPr>
        <w:wordWrap w:val="0"/>
        <w:adjustRightInd w:val="0"/>
        <w:snapToGrid w:val="0"/>
        <w:spacing w:line="440" w:lineRule="exact"/>
        <w:ind w:firstLine="480" w:firstLineChars="200"/>
        <w:rPr>
          <w:rFonts w:hAnsi="宋体" w:cs="宋体"/>
          <w:snapToGrid w:val="0"/>
          <w:color w:val="auto"/>
          <w:kern w:val="0"/>
          <w:szCs w:val="21"/>
          <w:highlight w:val="none"/>
        </w:rPr>
      </w:pPr>
    </w:p>
    <w:p w14:paraId="2168011B">
      <w:pPr>
        <w:wordWrap w:val="0"/>
        <w:adjustRightInd w:val="0"/>
        <w:snapToGrid w:val="0"/>
        <w:spacing w:line="440" w:lineRule="exact"/>
        <w:ind w:firstLine="480" w:firstLineChars="200"/>
        <w:rPr>
          <w:rFonts w:hAnsi="宋体" w:cs="宋体"/>
          <w:snapToGrid w:val="0"/>
          <w:color w:val="auto"/>
          <w:kern w:val="0"/>
          <w:szCs w:val="21"/>
          <w:highlight w:val="none"/>
        </w:rPr>
      </w:pPr>
    </w:p>
    <w:p w14:paraId="5D117B02">
      <w:pPr>
        <w:wordWrap w:val="0"/>
        <w:adjustRightInd w:val="0"/>
        <w:snapToGrid w:val="0"/>
        <w:spacing w:line="440" w:lineRule="exact"/>
        <w:ind w:firstLine="480" w:firstLineChars="200"/>
        <w:rPr>
          <w:rFonts w:hAnsi="宋体" w:cs="宋体"/>
          <w:snapToGrid w:val="0"/>
          <w:color w:val="auto"/>
          <w:kern w:val="0"/>
          <w:szCs w:val="21"/>
          <w:highlight w:val="none"/>
        </w:rPr>
      </w:pPr>
      <w:r>
        <w:rPr>
          <w:rFonts w:hint="eastAsia" w:hAnsi="宋体" w:cs="宋体"/>
          <w:snapToGrid w:val="0"/>
          <w:color w:val="auto"/>
          <w:kern w:val="0"/>
          <w:szCs w:val="21"/>
          <w:highlight w:val="none"/>
        </w:rPr>
        <w:t>　　　　　　　　　　　投  标  人：</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（盖单位章）</w:t>
      </w:r>
    </w:p>
    <w:p w14:paraId="657F48EA">
      <w:pPr>
        <w:wordWrap w:val="0"/>
        <w:adjustRightInd w:val="0"/>
        <w:snapToGrid w:val="0"/>
        <w:spacing w:line="440" w:lineRule="exact"/>
        <w:ind w:firstLine="480" w:firstLineChars="200"/>
        <w:rPr>
          <w:rFonts w:hAnsi="宋体" w:cs="宋体"/>
          <w:snapToGrid w:val="0"/>
          <w:color w:val="auto"/>
          <w:kern w:val="0"/>
          <w:szCs w:val="21"/>
          <w:highlight w:val="none"/>
        </w:rPr>
      </w:pPr>
      <w:r>
        <w:rPr>
          <w:rFonts w:hint="eastAsia" w:hAnsi="宋体" w:cs="宋体"/>
          <w:snapToGrid w:val="0"/>
          <w:color w:val="auto"/>
          <w:kern w:val="0"/>
          <w:szCs w:val="21"/>
          <w:highlight w:val="none"/>
        </w:rPr>
        <w:t>　　　　　　　　　　　　　　　　　</w:t>
      </w:r>
    </w:p>
    <w:p w14:paraId="5A982326">
      <w:pPr>
        <w:wordWrap w:val="0"/>
        <w:adjustRightInd w:val="0"/>
        <w:snapToGrid w:val="0"/>
        <w:spacing w:line="440" w:lineRule="exact"/>
        <w:ind w:firstLine="480" w:firstLineChars="200"/>
        <w:rPr>
          <w:rFonts w:hAnsi="宋体" w:cs="宋体"/>
          <w:snapToGrid w:val="0"/>
          <w:color w:val="auto"/>
          <w:kern w:val="0"/>
          <w:szCs w:val="21"/>
          <w:highlight w:val="none"/>
        </w:rPr>
      </w:pPr>
    </w:p>
    <w:p w14:paraId="47DE65D3">
      <w:pPr>
        <w:wordWrap w:val="0"/>
        <w:adjustRightInd w:val="0"/>
        <w:snapToGrid w:val="0"/>
        <w:spacing w:line="440" w:lineRule="exact"/>
        <w:ind w:firstLine="480" w:firstLineChars="200"/>
        <w:rPr>
          <w:rFonts w:hAnsi="宋体" w:cs="宋体"/>
          <w:snapToGrid w:val="0"/>
          <w:color w:val="auto"/>
          <w:kern w:val="0"/>
          <w:szCs w:val="21"/>
          <w:highlight w:val="none"/>
        </w:rPr>
      </w:pPr>
      <w:r>
        <w:rPr>
          <w:rFonts w:hint="eastAsia" w:hAnsi="宋体" w:cs="宋体"/>
          <w:snapToGrid w:val="0"/>
          <w:color w:val="auto"/>
          <w:kern w:val="0"/>
          <w:szCs w:val="21"/>
          <w:highlight w:val="none"/>
        </w:rPr>
        <w:t>　　　　　　　　　　　法定代表人：</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（签字或盖章）</w:t>
      </w:r>
    </w:p>
    <w:p w14:paraId="6F4080A1">
      <w:pPr>
        <w:wordWrap w:val="0"/>
        <w:adjustRightInd w:val="0"/>
        <w:snapToGrid w:val="0"/>
        <w:spacing w:line="440" w:lineRule="exact"/>
        <w:ind w:firstLine="480" w:firstLineChars="200"/>
        <w:rPr>
          <w:rFonts w:hAnsi="宋体" w:cs="宋体"/>
          <w:snapToGrid w:val="0"/>
          <w:color w:val="auto"/>
          <w:kern w:val="0"/>
          <w:szCs w:val="21"/>
          <w:highlight w:val="none"/>
        </w:rPr>
      </w:pPr>
    </w:p>
    <w:p w14:paraId="636F6053">
      <w:pPr>
        <w:wordWrap w:val="0"/>
        <w:adjustRightInd w:val="0"/>
        <w:snapToGrid w:val="0"/>
        <w:spacing w:line="440" w:lineRule="exact"/>
        <w:ind w:firstLine="480" w:firstLineChars="200"/>
        <w:rPr>
          <w:rFonts w:hAnsi="宋体" w:cs="宋体"/>
          <w:snapToGrid w:val="0"/>
          <w:color w:val="auto"/>
          <w:kern w:val="0"/>
          <w:szCs w:val="21"/>
          <w:highlight w:val="none"/>
        </w:rPr>
      </w:pPr>
      <w:r>
        <w:rPr>
          <w:rFonts w:hint="eastAsia" w:hAnsi="宋体" w:cs="宋体"/>
          <w:snapToGrid w:val="0"/>
          <w:color w:val="auto"/>
          <w:kern w:val="0"/>
          <w:szCs w:val="21"/>
          <w:highlight w:val="none"/>
        </w:rPr>
        <w:t>　　　　　　　　　　　　　　　　　　　　　　　　　　　　　　　　　　　　 　　　　　　　　　　 委托代理人：</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（签字或盖章）</w:t>
      </w:r>
    </w:p>
    <w:p w14:paraId="516C980D">
      <w:pPr>
        <w:wordWrap w:val="0"/>
        <w:adjustRightInd w:val="0"/>
        <w:snapToGrid w:val="0"/>
        <w:spacing w:line="440" w:lineRule="exact"/>
        <w:ind w:firstLine="480" w:firstLineChars="200"/>
        <w:rPr>
          <w:rFonts w:hAnsi="宋体" w:cs="宋体"/>
          <w:snapToGrid w:val="0"/>
          <w:color w:val="auto"/>
          <w:kern w:val="0"/>
          <w:szCs w:val="21"/>
          <w:highlight w:val="none"/>
        </w:rPr>
      </w:pPr>
      <w:r>
        <w:rPr>
          <w:rFonts w:hint="eastAsia" w:hAnsi="宋体" w:cs="宋体"/>
          <w:snapToGrid w:val="0"/>
          <w:color w:val="auto"/>
          <w:kern w:val="0"/>
          <w:szCs w:val="21"/>
          <w:highlight w:val="none"/>
        </w:rPr>
        <w:t>　　　　　　　　　　　　　　　　　　　　　　　　　　　　　　　　　　</w:t>
      </w:r>
    </w:p>
    <w:p w14:paraId="07FCA71E">
      <w:pPr>
        <w:wordWrap w:val="0"/>
        <w:adjustRightInd w:val="0"/>
        <w:snapToGrid w:val="0"/>
        <w:spacing w:line="440" w:lineRule="exact"/>
        <w:ind w:firstLine="480" w:firstLineChars="200"/>
        <w:rPr>
          <w:rFonts w:hAnsi="宋体" w:cs="宋体"/>
          <w:snapToGrid w:val="0"/>
          <w:color w:val="auto"/>
          <w:kern w:val="0"/>
          <w:szCs w:val="21"/>
          <w:highlight w:val="none"/>
        </w:rPr>
      </w:pPr>
      <w:r>
        <w:rPr>
          <w:rFonts w:hint="eastAsia" w:hAnsi="宋体" w:cs="宋体"/>
          <w:snapToGrid w:val="0"/>
          <w:color w:val="auto"/>
          <w:kern w:val="0"/>
          <w:szCs w:val="21"/>
          <w:highlight w:val="none"/>
        </w:rPr>
        <w:t>　　　　　　　　　　　　　 　　</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年</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月</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日</w:t>
      </w:r>
    </w:p>
    <w:p w14:paraId="764F8561">
      <w:pPr>
        <w:wordWrap w:val="0"/>
        <w:adjustRightInd w:val="0"/>
        <w:snapToGrid w:val="0"/>
        <w:spacing w:line="440" w:lineRule="exact"/>
        <w:ind w:firstLine="480" w:firstLineChars="200"/>
        <w:rPr>
          <w:rFonts w:hAnsi="宋体" w:cs="宋体"/>
          <w:snapToGrid w:val="0"/>
          <w:color w:val="auto"/>
          <w:kern w:val="0"/>
          <w:szCs w:val="21"/>
          <w:highlight w:val="none"/>
        </w:rPr>
      </w:pPr>
    </w:p>
    <w:p w14:paraId="79AD2214">
      <w:pPr>
        <w:wordWrap w:val="0"/>
        <w:adjustRightInd w:val="0"/>
        <w:snapToGrid w:val="0"/>
        <w:spacing w:line="440" w:lineRule="exact"/>
        <w:ind w:firstLine="480" w:firstLineChars="200"/>
        <w:rPr>
          <w:rFonts w:hAnsi="宋体" w:cs="宋体"/>
          <w:snapToGrid w:val="0"/>
          <w:color w:val="auto"/>
          <w:kern w:val="0"/>
          <w:szCs w:val="21"/>
          <w:highlight w:val="none"/>
        </w:rPr>
      </w:pPr>
    </w:p>
    <w:p w14:paraId="523F244E">
      <w:pPr>
        <w:wordWrap w:val="0"/>
        <w:adjustRightInd w:val="0"/>
        <w:snapToGrid w:val="0"/>
        <w:ind w:firstLine="6440" w:firstLineChars="2300"/>
        <w:rPr>
          <w:rFonts w:hAnsi="宋体" w:cs="宋体"/>
          <w:snapToGrid w:val="0"/>
          <w:color w:val="auto"/>
          <w:kern w:val="0"/>
          <w:szCs w:val="24"/>
          <w:highlight w:val="none"/>
        </w:rPr>
      </w:pPr>
      <w:r>
        <w:rPr>
          <w:rFonts w:hint="eastAsia" w:hAnsi="宋体" w:cs="宋体"/>
          <w:snapToGrid w:val="0"/>
          <w:color w:val="auto"/>
          <w:kern w:val="0"/>
          <w:sz w:val="28"/>
          <w:szCs w:val="28"/>
          <w:highlight w:val="none"/>
          <w:u w:val="single"/>
        </w:rPr>
        <mc:AlternateContent>
          <mc:Choice Requires="wps">
            <w:drawing>
              <wp:anchor distT="0" distB="0" distL="114300" distR="114300" simplePos="0" relativeHeight="251661312" behindDoc="0" locked="0" layoutInCell="1" allowOverlap="1">
                <wp:simplePos x="0" y="0"/>
                <wp:positionH relativeFrom="column">
                  <wp:posOffset>1466850</wp:posOffset>
                </wp:positionH>
                <wp:positionV relativeFrom="paragraph">
                  <wp:posOffset>33020</wp:posOffset>
                </wp:positionV>
                <wp:extent cx="3190875" cy="1584325"/>
                <wp:effectExtent l="4445" t="4445" r="5080" b="11430"/>
                <wp:wrapNone/>
                <wp:docPr id="3" name="自选图形 19"/>
                <wp:cNvGraphicFramePr/>
                <a:graphic xmlns:a="http://schemas.openxmlformats.org/drawingml/2006/main">
                  <a:graphicData uri="http://schemas.microsoft.com/office/word/2010/wordprocessingShape">
                    <wps:wsp>
                      <wps:cNvSpPr/>
                      <wps:spPr>
                        <a:xfrm>
                          <a:off x="0" y="0"/>
                          <a:ext cx="319087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609B45C8">
                            <w:pPr>
                              <w:jc w:val="center"/>
                              <w:rPr>
                                <w:szCs w:val="21"/>
                              </w:rPr>
                            </w:pPr>
                          </w:p>
                          <w:p w14:paraId="4D35F59F">
                            <w:pPr>
                              <w:jc w:val="center"/>
                              <w:rPr>
                                <w:szCs w:val="21"/>
                              </w:rPr>
                            </w:pPr>
                          </w:p>
                          <w:p w14:paraId="09C12398">
                            <w:pPr>
                              <w:jc w:val="center"/>
                              <w:rPr>
                                <w:szCs w:val="21"/>
                              </w:rPr>
                            </w:pPr>
                            <w:r>
                              <w:rPr>
                                <w:rFonts w:hint="eastAsia"/>
                                <w:szCs w:val="21"/>
                              </w:rPr>
                              <w:t>委托代理人身份证彩色扫描件正、反面</w:t>
                            </w:r>
                          </w:p>
                        </w:txbxContent>
                      </wps:txbx>
                      <wps:bodyPr wrap="square" upright="1"/>
                    </wps:wsp>
                  </a:graphicData>
                </a:graphic>
              </wp:anchor>
            </w:drawing>
          </mc:Choice>
          <mc:Fallback>
            <w:pict>
              <v:shape id="自选图形 19" o:spid="_x0000_s1026" o:spt="176" type="#_x0000_t176" style="position:absolute;left:0pt;margin-left:115.5pt;margin-top:2.6pt;height:124.75pt;width:251.25pt;z-index:251661312;mso-width-relative:page;mso-height-relative:page;" fillcolor="#FFFFFF" filled="t" stroked="t" coordsize="21600,21600" o:gfxdata="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Gsn06zYAAAACQEAAA8AAAAAAAAAAQAgAAAAIgAAAGRycy9kb3ducmV2LnhtbFBLAQIUABQAAAAI&#10;AIdO4kBaUS9UJgIAAFQEAAAOAAAAAAAAAAEAIAAAACcBAABkcnMvZTJvRG9jLnhtbFBLBQYAAAAA&#10;BgAGAFkBAAC/BQAAAAA=&#10;">
                <v:fill on="t" focussize="0,0"/>
                <v:stroke color="#000000" joinstyle="miter"/>
                <v:imagedata o:title=""/>
                <o:lock v:ext="edit" aspectratio="f"/>
                <v:textbox>
                  <w:txbxContent>
                    <w:p w14:paraId="609B45C8">
                      <w:pPr>
                        <w:jc w:val="center"/>
                        <w:rPr>
                          <w:szCs w:val="21"/>
                        </w:rPr>
                      </w:pPr>
                    </w:p>
                    <w:p w14:paraId="4D35F59F">
                      <w:pPr>
                        <w:jc w:val="center"/>
                        <w:rPr>
                          <w:szCs w:val="21"/>
                        </w:rPr>
                      </w:pPr>
                    </w:p>
                    <w:p w14:paraId="09C12398">
                      <w:pPr>
                        <w:jc w:val="center"/>
                        <w:rPr>
                          <w:szCs w:val="21"/>
                        </w:rPr>
                      </w:pPr>
                      <w:r>
                        <w:rPr>
                          <w:rFonts w:hint="eastAsia"/>
                          <w:szCs w:val="21"/>
                        </w:rPr>
                        <w:t>委托代理人身份证彩色扫描件正、反面</w:t>
                      </w:r>
                    </w:p>
                  </w:txbxContent>
                </v:textbox>
              </v:shape>
            </w:pict>
          </mc:Fallback>
        </mc:AlternateContent>
      </w:r>
    </w:p>
    <w:p w14:paraId="79563FD3">
      <w:pPr>
        <w:pStyle w:val="12"/>
        <w:wordWrap w:val="0"/>
        <w:adjustRightInd w:val="0"/>
        <w:snapToGrid w:val="0"/>
        <w:rPr>
          <w:rFonts w:hAnsi="宋体" w:cs="宋体"/>
          <w:snapToGrid w:val="0"/>
          <w:color w:val="auto"/>
          <w:kern w:val="0"/>
          <w:szCs w:val="24"/>
          <w:highlight w:val="none"/>
        </w:rPr>
      </w:pPr>
    </w:p>
    <w:p w14:paraId="3DEB4B42">
      <w:pPr>
        <w:bidi w:val="0"/>
        <w:rPr>
          <w:color w:val="auto"/>
          <w:highlight w:val="none"/>
        </w:rPr>
      </w:pPr>
    </w:p>
    <w:p w14:paraId="4EE63B06">
      <w:pPr>
        <w:wordWrap w:val="0"/>
        <w:adjustRightInd w:val="0"/>
        <w:snapToGrid w:val="0"/>
        <w:rPr>
          <w:rFonts w:hAnsi="宋体" w:cs="宋体"/>
          <w:snapToGrid w:val="0"/>
          <w:color w:val="auto"/>
          <w:kern w:val="0"/>
          <w:highlight w:val="none"/>
        </w:rPr>
        <w:sectPr>
          <w:endnotePr>
            <w:numFmt w:val="decimal"/>
          </w:endnotePr>
          <w:pgSz w:w="11906" w:h="16838"/>
          <w:pgMar w:top="1417" w:right="1417" w:bottom="1417" w:left="1417" w:header="850" w:footer="992" w:gutter="0"/>
          <w:pgNumType w:fmt="decimal"/>
          <w:cols w:space="0" w:num="1"/>
          <w:docGrid w:linePitch="327" w:charSpace="0"/>
        </w:sectPr>
      </w:pPr>
    </w:p>
    <w:p w14:paraId="047810DC">
      <w:pPr>
        <w:wordWrap w:val="0"/>
        <w:adjustRightInd w:val="0"/>
        <w:snapToGrid w:val="0"/>
        <w:spacing w:line="440" w:lineRule="exact"/>
        <w:outlineLvl w:val="1"/>
        <w:rPr>
          <w:rFonts w:hAnsi="宋体" w:cs="宋体"/>
          <w:b/>
          <w:snapToGrid w:val="0"/>
          <w:color w:val="auto"/>
          <w:kern w:val="0"/>
          <w:highlight w:val="none"/>
        </w:rPr>
      </w:pPr>
      <w:bookmarkStart w:id="321" w:name="_Toc27423"/>
      <w:r>
        <w:rPr>
          <w:rFonts w:hint="eastAsia" w:hAnsi="宋体" w:cs="宋体"/>
          <w:b/>
          <w:snapToGrid w:val="0"/>
          <w:color w:val="auto"/>
          <w:kern w:val="0"/>
          <w:highlight w:val="none"/>
        </w:rPr>
        <w:t>格式五 法定代表人身份证明</w:t>
      </w:r>
      <w:bookmarkEnd w:id="321"/>
    </w:p>
    <w:p w14:paraId="6BB79DDB">
      <w:pPr>
        <w:wordWrap w:val="0"/>
        <w:adjustRightInd w:val="0"/>
        <w:snapToGrid w:val="0"/>
        <w:spacing w:line="440" w:lineRule="exact"/>
        <w:rPr>
          <w:rFonts w:hAnsi="宋体" w:cs="宋体"/>
          <w:b/>
          <w:snapToGrid w:val="0"/>
          <w:color w:val="auto"/>
          <w:kern w:val="0"/>
          <w:highlight w:val="none"/>
        </w:rPr>
      </w:pPr>
    </w:p>
    <w:p w14:paraId="16729C42">
      <w:pPr>
        <w:wordWrap w:val="0"/>
        <w:adjustRightInd w:val="0"/>
        <w:snapToGrid w:val="0"/>
        <w:spacing w:before="260" w:after="260" w:line="440" w:lineRule="exact"/>
        <w:jc w:val="center"/>
        <w:rPr>
          <w:rFonts w:hAnsi="宋体" w:cs="宋体"/>
          <w:b/>
          <w:snapToGrid w:val="0"/>
          <w:color w:val="auto"/>
          <w:kern w:val="0"/>
          <w:highlight w:val="none"/>
        </w:rPr>
      </w:pPr>
      <w:r>
        <w:rPr>
          <w:rFonts w:hint="eastAsia" w:hAnsi="宋体" w:cs="宋体"/>
          <w:b/>
          <w:snapToGrid w:val="0"/>
          <w:color w:val="auto"/>
          <w:kern w:val="0"/>
          <w:sz w:val="30"/>
          <w:highlight w:val="none"/>
        </w:rPr>
        <w:t>法定代表人身份证明</w:t>
      </w:r>
    </w:p>
    <w:p w14:paraId="2FF4BF41">
      <w:pPr>
        <w:wordWrap w:val="0"/>
        <w:adjustRightInd w:val="0"/>
        <w:snapToGrid w:val="0"/>
        <w:spacing w:line="440" w:lineRule="exact"/>
        <w:rPr>
          <w:rFonts w:hAnsi="宋体" w:cs="宋体"/>
          <w:snapToGrid w:val="0"/>
          <w:color w:val="auto"/>
          <w:kern w:val="0"/>
          <w:szCs w:val="21"/>
          <w:highlight w:val="none"/>
        </w:rPr>
      </w:pPr>
    </w:p>
    <w:p w14:paraId="7DB8BCD1">
      <w:pPr>
        <w:wordWrap w:val="0"/>
        <w:adjustRightInd w:val="0"/>
        <w:snapToGrid w:val="0"/>
        <w:spacing w:line="440" w:lineRule="exact"/>
        <w:rPr>
          <w:rFonts w:hAnsi="宋体" w:cs="宋体"/>
          <w:snapToGrid w:val="0"/>
          <w:color w:val="auto"/>
          <w:kern w:val="0"/>
          <w:szCs w:val="21"/>
          <w:highlight w:val="none"/>
          <w:u w:val="single"/>
        </w:rPr>
      </w:pPr>
      <w:r>
        <w:rPr>
          <w:rFonts w:hint="eastAsia" w:hAnsi="宋体" w:cs="宋体"/>
          <w:snapToGrid w:val="0"/>
          <w:color w:val="auto"/>
          <w:kern w:val="0"/>
          <w:szCs w:val="21"/>
          <w:highlight w:val="none"/>
        </w:rPr>
        <w:t>投标人名称：</w:t>
      </w:r>
      <w:r>
        <w:rPr>
          <w:rFonts w:hint="eastAsia" w:hAnsi="宋体" w:cs="宋体"/>
          <w:snapToGrid w:val="0"/>
          <w:color w:val="auto"/>
          <w:kern w:val="0"/>
          <w:szCs w:val="21"/>
          <w:highlight w:val="none"/>
          <w:u w:val="single"/>
        </w:rPr>
        <w:t xml:space="preserve">                  </w:t>
      </w:r>
    </w:p>
    <w:p w14:paraId="5F87A2BE">
      <w:pPr>
        <w:wordWrap w:val="0"/>
        <w:adjustRightInd w:val="0"/>
        <w:snapToGrid w:val="0"/>
        <w:spacing w:line="440" w:lineRule="exact"/>
        <w:rPr>
          <w:rFonts w:hAnsi="宋体" w:cs="宋体"/>
          <w:snapToGrid w:val="0"/>
          <w:color w:val="auto"/>
          <w:kern w:val="0"/>
          <w:szCs w:val="21"/>
          <w:highlight w:val="none"/>
          <w:u w:val="single"/>
        </w:rPr>
      </w:pPr>
      <w:r>
        <w:rPr>
          <w:rFonts w:hint="eastAsia" w:hAnsi="宋体" w:cs="宋体"/>
          <w:snapToGrid w:val="0"/>
          <w:color w:val="auto"/>
          <w:kern w:val="0"/>
          <w:szCs w:val="21"/>
          <w:highlight w:val="none"/>
        </w:rPr>
        <w:t>姓名：</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性别：</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年龄：</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职务：</w:t>
      </w:r>
      <w:r>
        <w:rPr>
          <w:rFonts w:hint="eastAsia" w:hAnsi="宋体" w:cs="宋体"/>
          <w:snapToGrid w:val="0"/>
          <w:color w:val="auto"/>
          <w:kern w:val="0"/>
          <w:szCs w:val="21"/>
          <w:highlight w:val="none"/>
          <w:u w:val="single"/>
        </w:rPr>
        <w:t xml:space="preserve">           </w:t>
      </w:r>
    </w:p>
    <w:p w14:paraId="49E9994E">
      <w:pPr>
        <w:wordWrap w:val="0"/>
        <w:adjustRightInd w:val="0"/>
        <w:snapToGrid w:val="0"/>
        <w:spacing w:line="440" w:lineRule="exact"/>
        <w:rPr>
          <w:rFonts w:hAnsi="宋体" w:cs="宋体"/>
          <w:snapToGrid w:val="0"/>
          <w:color w:val="auto"/>
          <w:kern w:val="0"/>
          <w:szCs w:val="21"/>
          <w:highlight w:val="none"/>
        </w:rPr>
      </w:pPr>
      <w:r>
        <w:rPr>
          <w:rFonts w:hint="eastAsia" w:hAnsi="宋体" w:cs="宋体"/>
          <w:snapToGrid w:val="0"/>
          <w:color w:val="auto"/>
          <w:kern w:val="0"/>
          <w:szCs w:val="21"/>
          <w:highlight w:val="none"/>
        </w:rPr>
        <w:t>系</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（投标人名称）的法定代表人。</w:t>
      </w:r>
    </w:p>
    <w:p w14:paraId="0EC840B0">
      <w:pPr>
        <w:wordWrap w:val="0"/>
        <w:adjustRightInd w:val="0"/>
        <w:snapToGrid w:val="0"/>
        <w:spacing w:line="440" w:lineRule="exact"/>
        <w:rPr>
          <w:rFonts w:hAnsi="宋体" w:cs="宋体"/>
          <w:snapToGrid w:val="0"/>
          <w:color w:val="auto"/>
          <w:kern w:val="0"/>
          <w:szCs w:val="21"/>
          <w:highlight w:val="none"/>
        </w:rPr>
      </w:pPr>
      <w:r>
        <w:rPr>
          <w:rFonts w:hint="eastAsia" w:hAnsi="宋体" w:cs="宋体"/>
          <w:snapToGrid w:val="0"/>
          <w:color w:val="auto"/>
          <w:kern w:val="0"/>
          <w:szCs w:val="21"/>
          <w:highlight w:val="none"/>
        </w:rPr>
        <w:t xml:space="preserve">    特此证明。</w:t>
      </w:r>
    </w:p>
    <w:p w14:paraId="6BD5A741">
      <w:pPr>
        <w:wordWrap w:val="0"/>
        <w:adjustRightInd w:val="0"/>
        <w:snapToGrid w:val="0"/>
        <w:spacing w:line="440" w:lineRule="exact"/>
        <w:rPr>
          <w:rFonts w:hAnsi="宋体" w:cs="宋体"/>
          <w:snapToGrid w:val="0"/>
          <w:color w:val="auto"/>
          <w:kern w:val="0"/>
          <w:szCs w:val="21"/>
          <w:highlight w:val="none"/>
        </w:rPr>
      </w:pPr>
    </w:p>
    <w:p w14:paraId="2E95E920">
      <w:pPr>
        <w:wordWrap w:val="0"/>
        <w:adjustRightInd w:val="0"/>
        <w:snapToGrid w:val="0"/>
        <w:spacing w:line="440" w:lineRule="exact"/>
        <w:rPr>
          <w:rFonts w:hAnsi="宋体" w:cs="宋体"/>
          <w:snapToGrid w:val="0"/>
          <w:color w:val="auto"/>
          <w:kern w:val="0"/>
          <w:szCs w:val="21"/>
          <w:highlight w:val="none"/>
        </w:rPr>
      </w:pPr>
    </w:p>
    <w:p w14:paraId="2BAF37F3">
      <w:pPr>
        <w:wordWrap w:val="0"/>
        <w:adjustRightInd w:val="0"/>
        <w:snapToGrid w:val="0"/>
        <w:spacing w:line="440" w:lineRule="exact"/>
        <w:jc w:val="right"/>
        <w:rPr>
          <w:rFonts w:hAnsi="宋体" w:cs="宋体"/>
          <w:snapToGrid w:val="0"/>
          <w:color w:val="auto"/>
          <w:kern w:val="0"/>
          <w:szCs w:val="21"/>
          <w:highlight w:val="none"/>
        </w:rPr>
      </w:pPr>
      <w:r>
        <w:rPr>
          <w:rFonts w:hint="eastAsia" w:hAnsi="宋体" w:cs="宋体"/>
          <w:snapToGrid w:val="0"/>
          <w:color w:val="auto"/>
          <w:kern w:val="0"/>
          <w:szCs w:val="21"/>
          <w:highlight w:val="none"/>
        </w:rPr>
        <w:t>投标人：</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（盖单位章）</w:t>
      </w:r>
    </w:p>
    <w:p w14:paraId="15931070">
      <w:pPr>
        <w:wordWrap w:val="0"/>
        <w:adjustRightInd w:val="0"/>
        <w:snapToGrid w:val="0"/>
        <w:spacing w:line="440" w:lineRule="exact"/>
        <w:jc w:val="right"/>
        <w:rPr>
          <w:rFonts w:hAnsi="宋体" w:cs="宋体"/>
          <w:snapToGrid w:val="0"/>
          <w:color w:val="auto"/>
          <w:kern w:val="0"/>
          <w:szCs w:val="21"/>
          <w:highlight w:val="none"/>
        </w:rPr>
      </w:pPr>
    </w:p>
    <w:p w14:paraId="4E9E006A">
      <w:pPr>
        <w:wordWrap w:val="0"/>
        <w:adjustRightInd w:val="0"/>
        <w:snapToGrid w:val="0"/>
        <w:spacing w:line="440" w:lineRule="exact"/>
        <w:jc w:val="right"/>
        <w:rPr>
          <w:rFonts w:hAnsi="宋体" w:cs="宋体"/>
          <w:snapToGrid w:val="0"/>
          <w:color w:val="auto"/>
          <w:kern w:val="0"/>
          <w:szCs w:val="21"/>
          <w:highlight w:val="none"/>
        </w:rPr>
      </w:pPr>
    </w:p>
    <w:p w14:paraId="6E1D2B4A">
      <w:pPr>
        <w:wordWrap w:val="0"/>
        <w:adjustRightInd w:val="0"/>
        <w:snapToGrid w:val="0"/>
        <w:spacing w:line="440" w:lineRule="exact"/>
        <w:jc w:val="right"/>
        <w:rPr>
          <w:rFonts w:hAnsi="宋体" w:cs="宋体"/>
          <w:snapToGrid w:val="0"/>
          <w:color w:val="auto"/>
          <w:kern w:val="0"/>
          <w:szCs w:val="21"/>
          <w:highlight w:val="none"/>
        </w:rPr>
      </w:pPr>
      <w:r>
        <w:rPr>
          <w:rFonts w:hint="eastAsia" w:hAnsi="宋体" w:cs="宋体"/>
          <w:snapToGrid w:val="0"/>
          <w:color w:val="auto"/>
          <w:kern w:val="0"/>
          <w:szCs w:val="21"/>
          <w:highlight w:val="none"/>
        </w:rPr>
        <w:t xml:space="preserve">                           法定代表人：</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（签字或盖章）</w:t>
      </w:r>
    </w:p>
    <w:p w14:paraId="7C11D6D8">
      <w:pPr>
        <w:wordWrap w:val="0"/>
        <w:adjustRightInd w:val="0"/>
        <w:snapToGrid w:val="0"/>
        <w:spacing w:line="440" w:lineRule="exact"/>
        <w:jc w:val="center"/>
        <w:rPr>
          <w:rFonts w:hAnsi="宋体" w:cs="宋体"/>
          <w:snapToGrid w:val="0"/>
          <w:color w:val="auto"/>
          <w:kern w:val="0"/>
          <w:szCs w:val="21"/>
          <w:highlight w:val="none"/>
        </w:rPr>
      </w:pPr>
      <w:r>
        <w:rPr>
          <w:rFonts w:hint="eastAsia" w:hAnsi="宋体" w:cs="宋体"/>
          <w:snapToGrid w:val="0"/>
          <w:color w:val="auto"/>
          <w:kern w:val="0"/>
          <w:szCs w:val="21"/>
          <w:highlight w:val="none"/>
        </w:rPr>
        <w:t xml:space="preserve">                        </w:t>
      </w:r>
    </w:p>
    <w:p w14:paraId="4649928B">
      <w:pPr>
        <w:wordWrap w:val="0"/>
        <w:adjustRightInd w:val="0"/>
        <w:snapToGrid w:val="0"/>
        <w:spacing w:line="440" w:lineRule="exact"/>
        <w:jc w:val="center"/>
        <w:rPr>
          <w:rFonts w:hAnsi="宋体" w:cs="宋体"/>
          <w:snapToGrid w:val="0"/>
          <w:color w:val="auto"/>
          <w:kern w:val="0"/>
          <w:szCs w:val="21"/>
          <w:highlight w:val="none"/>
        </w:rPr>
      </w:pPr>
      <w:r>
        <w:rPr>
          <w:rFonts w:hint="eastAsia" w:hAnsi="宋体" w:cs="宋体"/>
          <w:snapToGrid w:val="0"/>
          <w:color w:val="auto"/>
          <w:kern w:val="0"/>
          <w:szCs w:val="21"/>
          <w:highlight w:val="none"/>
        </w:rPr>
        <w:t xml:space="preserve">                            </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年</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月</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 xml:space="preserve">日       </w:t>
      </w:r>
    </w:p>
    <w:p w14:paraId="5AC0A295">
      <w:pPr>
        <w:wordWrap w:val="0"/>
        <w:adjustRightInd w:val="0"/>
        <w:snapToGrid w:val="0"/>
        <w:spacing w:line="440" w:lineRule="exact"/>
        <w:ind w:firstLine="240" w:firstLineChars="100"/>
        <w:rPr>
          <w:rFonts w:hAnsi="宋体" w:cs="宋体"/>
          <w:snapToGrid w:val="0"/>
          <w:color w:val="auto"/>
          <w:kern w:val="0"/>
          <w:szCs w:val="21"/>
          <w:highlight w:val="none"/>
        </w:rPr>
      </w:pPr>
      <w:r>
        <w:rPr>
          <w:rFonts w:hint="eastAsia" w:hAnsi="宋体" w:cs="宋体"/>
          <w:snapToGrid w:val="0"/>
          <w:color w:val="auto"/>
          <w:kern w:val="0"/>
          <w:szCs w:val="21"/>
          <w:highlight w:val="none"/>
        </w:rPr>
        <w:t xml:space="preserve">     </w:t>
      </w:r>
    </w:p>
    <w:p w14:paraId="76CD658E">
      <w:pPr>
        <w:wordWrap w:val="0"/>
        <w:adjustRightInd w:val="0"/>
        <w:snapToGrid w:val="0"/>
        <w:spacing w:line="440" w:lineRule="exact"/>
        <w:ind w:firstLine="240" w:firstLineChars="100"/>
        <w:rPr>
          <w:rFonts w:hAnsi="宋体" w:cs="宋体"/>
          <w:snapToGrid w:val="0"/>
          <w:color w:val="auto"/>
          <w:kern w:val="0"/>
          <w:szCs w:val="21"/>
          <w:highlight w:val="none"/>
        </w:rPr>
      </w:pPr>
    </w:p>
    <w:p w14:paraId="658B356B">
      <w:pPr>
        <w:wordWrap w:val="0"/>
        <w:adjustRightInd w:val="0"/>
        <w:snapToGrid w:val="0"/>
        <w:spacing w:line="440" w:lineRule="exact"/>
        <w:ind w:firstLine="240" w:firstLineChars="100"/>
        <w:rPr>
          <w:rFonts w:hAnsi="宋体" w:cs="宋体"/>
          <w:snapToGrid w:val="0"/>
          <w:color w:val="auto"/>
          <w:kern w:val="0"/>
          <w:szCs w:val="21"/>
          <w:highlight w:val="none"/>
        </w:rPr>
      </w:pPr>
    </w:p>
    <w:p w14:paraId="5B344952">
      <w:pPr>
        <w:wordWrap w:val="0"/>
        <w:adjustRightInd w:val="0"/>
        <w:snapToGrid w:val="0"/>
        <w:spacing w:line="440" w:lineRule="exact"/>
        <w:ind w:firstLine="720" w:firstLineChars="300"/>
        <w:rPr>
          <w:rFonts w:hAnsi="宋体" w:cs="宋体"/>
          <w:b/>
          <w:snapToGrid w:val="0"/>
          <w:color w:val="auto"/>
          <w:kern w:val="0"/>
          <w:szCs w:val="21"/>
          <w:highlight w:val="none"/>
        </w:rPr>
      </w:pPr>
      <w:r>
        <w:rPr>
          <w:rFonts w:hint="eastAsia" w:hAnsi="宋体" w:cs="宋体"/>
          <w:snapToGrid w:val="0"/>
          <w:color w:val="auto"/>
          <w:kern w:val="0"/>
          <w:szCs w:val="21"/>
          <w:highlight w:val="none"/>
        </w:rPr>
        <w:t xml:space="preserve">  </w:t>
      </w:r>
      <w:r>
        <w:rPr>
          <w:rFonts w:hint="eastAsia" w:hAnsi="宋体" w:cs="宋体"/>
          <w:i/>
          <w:iCs/>
          <w:snapToGrid w:val="0"/>
          <w:color w:val="auto"/>
          <w:kern w:val="0"/>
          <w:szCs w:val="21"/>
          <w:highlight w:val="none"/>
        </w:rPr>
        <w:t xml:space="preserve"> </w:t>
      </w:r>
    </w:p>
    <w:p w14:paraId="1F32B462">
      <w:pPr>
        <w:wordWrap w:val="0"/>
        <w:adjustRightInd w:val="0"/>
        <w:snapToGrid w:val="0"/>
        <w:rPr>
          <w:rFonts w:hAnsi="宋体" w:cs="宋体"/>
          <w:b/>
          <w:snapToGrid w:val="0"/>
          <w:color w:val="auto"/>
          <w:kern w:val="0"/>
          <w:szCs w:val="21"/>
          <w:highlight w:val="none"/>
        </w:rPr>
      </w:pPr>
      <w:r>
        <w:rPr>
          <w:rFonts w:hint="eastAsia" w:hAnsi="宋体" w:cs="宋体"/>
          <w:b/>
          <w:snapToGrid w:val="0"/>
          <w:color w:val="auto"/>
          <w:kern w:val="0"/>
          <w:szCs w:val="21"/>
          <w:highlight w:val="none"/>
        </w:rPr>
        <mc:AlternateContent>
          <mc:Choice Requires="wps">
            <w:drawing>
              <wp:anchor distT="0" distB="0" distL="114300" distR="114300" simplePos="0" relativeHeight="251660288" behindDoc="0" locked="0" layoutInCell="1" allowOverlap="1">
                <wp:simplePos x="0" y="0"/>
                <wp:positionH relativeFrom="column">
                  <wp:posOffset>1191260</wp:posOffset>
                </wp:positionH>
                <wp:positionV relativeFrom="paragraph">
                  <wp:posOffset>20320</wp:posOffset>
                </wp:positionV>
                <wp:extent cx="3253105" cy="1584325"/>
                <wp:effectExtent l="4445" t="4445" r="19050" b="11430"/>
                <wp:wrapNone/>
                <wp:docPr id="1" name="自选图形 18"/>
                <wp:cNvGraphicFramePr/>
                <a:graphic xmlns:a="http://schemas.openxmlformats.org/drawingml/2006/main">
                  <a:graphicData uri="http://schemas.microsoft.com/office/word/2010/wordprocessingShape">
                    <wps:wsp>
                      <wps:cNvSpPr/>
                      <wps:spPr>
                        <a:xfrm>
                          <a:off x="0" y="0"/>
                          <a:ext cx="325310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681BDD3D">
                            <w:pPr>
                              <w:jc w:val="center"/>
                              <w:rPr>
                                <w:szCs w:val="21"/>
                              </w:rPr>
                            </w:pPr>
                          </w:p>
                          <w:p w14:paraId="1920F1CC">
                            <w:pPr>
                              <w:jc w:val="center"/>
                              <w:rPr>
                                <w:szCs w:val="21"/>
                              </w:rPr>
                            </w:pPr>
                          </w:p>
                          <w:p w14:paraId="5C1C5126">
                            <w:pPr>
                              <w:jc w:val="center"/>
                              <w:rPr>
                                <w:szCs w:val="21"/>
                              </w:rPr>
                            </w:pPr>
                            <w:r>
                              <w:rPr>
                                <w:rFonts w:hint="eastAsia"/>
                                <w:szCs w:val="21"/>
                              </w:rPr>
                              <w:t>法定代表人身份证彩色扫描件正、反面</w:t>
                            </w:r>
                          </w:p>
                        </w:txbxContent>
                      </wps:txbx>
                      <wps:bodyPr wrap="square" upright="1"/>
                    </wps:wsp>
                  </a:graphicData>
                </a:graphic>
              </wp:anchor>
            </w:drawing>
          </mc:Choice>
          <mc:Fallback>
            <w:pict>
              <v:shape id="自选图形 18" o:spid="_x0000_s1026" o:spt="176" type="#_x0000_t176" style="position:absolute;left:0pt;margin-left:93.8pt;margin-top:1.6pt;height:124.75pt;width:256.15pt;z-index:251660288;mso-width-relative:page;mso-height-relative:page;" fillcolor="#FFFFFF" filled="t" stroked="t" coordsize="21600,21600" o:gfxdata="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KDs&#10;wm7XAAAACQEAAA8AAAAAAAAAAQAgAAAAIgAAAGRycy9kb3ducmV2LnhtbFBLAQIUABQAAAAIAIdO&#10;4kCgE5luJAIAAFQEAAAOAAAAAAAAAAEAIAAAACYBAABkcnMvZTJvRG9jLnhtbFBLBQYAAAAABgAG&#10;AFkBAAC8BQAAAAA=&#10;">
                <v:fill on="t" focussize="0,0"/>
                <v:stroke color="#000000" joinstyle="miter"/>
                <v:imagedata o:title=""/>
                <o:lock v:ext="edit" aspectratio="f"/>
                <v:textbox>
                  <w:txbxContent>
                    <w:p w14:paraId="681BDD3D">
                      <w:pPr>
                        <w:jc w:val="center"/>
                        <w:rPr>
                          <w:szCs w:val="21"/>
                        </w:rPr>
                      </w:pPr>
                    </w:p>
                    <w:p w14:paraId="1920F1CC">
                      <w:pPr>
                        <w:jc w:val="center"/>
                        <w:rPr>
                          <w:szCs w:val="21"/>
                        </w:rPr>
                      </w:pPr>
                    </w:p>
                    <w:p w14:paraId="5C1C5126">
                      <w:pPr>
                        <w:jc w:val="center"/>
                        <w:rPr>
                          <w:szCs w:val="21"/>
                        </w:rPr>
                      </w:pPr>
                      <w:r>
                        <w:rPr>
                          <w:rFonts w:hint="eastAsia"/>
                          <w:szCs w:val="21"/>
                        </w:rPr>
                        <w:t>法定代表人身份证彩色扫描件正、反面</w:t>
                      </w:r>
                    </w:p>
                  </w:txbxContent>
                </v:textbox>
              </v:shape>
            </w:pict>
          </mc:Fallback>
        </mc:AlternateContent>
      </w:r>
    </w:p>
    <w:p w14:paraId="7B058A6C">
      <w:pPr>
        <w:tabs>
          <w:tab w:val="left" w:pos="654"/>
          <w:tab w:val="left" w:pos="1734"/>
          <w:tab w:val="left" w:pos="2814"/>
          <w:tab w:val="left" w:pos="3894"/>
          <w:tab w:val="left" w:pos="5334"/>
          <w:tab w:val="left" w:pos="6414"/>
          <w:tab w:val="left" w:pos="7254"/>
          <w:tab w:val="left" w:pos="8574"/>
          <w:tab w:val="left" w:pos="9654"/>
        </w:tabs>
        <w:wordWrap w:val="0"/>
        <w:adjustRightInd w:val="0"/>
        <w:snapToGrid w:val="0"/>
        <w:rPr>
          <w:rFonts w:hAnsi="宋体" w:cs="宋体"/>
          <w:snapToGrid w:val="0"/>
          <w:color w:val="auto"/>
          <w:kern w:val="0"/>
          <w:sz w:val="28"/>
          <w:szCs w:val="28"/>
          <w:highlight w:val="none"/>
        </w:rPr>
      </w:pPr>
    </w:p>
    <w:p w14:paraId="42859630">
      <w:pPr>
        <w:wordWrap w:val="0"/>
        <w:adjustRightInd w:val="0"/>
        <w:snapToGrid w:val="0"/>
        <w:spacing w:line="480" w:lineRule="exact"/>
        <w:jc w:val="center"/>
        <w:rPr>
          <w:rFonts w:hAnsi="宋体" w:cs="宋体"/>
          <w:b/>
          <w:snapToGrid w:val="0"/>
          <w:color w:val="auto"/>
          <w:kern w:val="0"/>
          <w:sz w:val="28"/>
          <w:szCs w:val="28"/>
          <w:highlight w:val="none"/>
        </w:rPr>
      </w:pPr>
    </w:p>
    <w:p w14:paraId="67FF2234">
      <w:pPr>
        <w:wordWrap w:val="0"/>
        <w:adjustRightInd w:val="0"/>
        <w:snapToGrid w:val="0"/>
        <w:spacing w:line="480" w:lineRule="exact"/>
        <w:jc w:val="center"/>
        <w:rPr>
          <w:rFonts w:hAnsi="宋体" w:cs="宋体"/>
          <w:b/>
          <w:snapToGrid w:val="0"/>
          <w:color w:val="auto"/>
          <w:kern w:val="0"/>
          <w:sz w:val="28"/>
          <w:szCs w:val="28"/>
          <w:highlight w:val="none"/>
        </w:rPr>
      </w:pPr>
    </w:p>
    <w:p w14:paraId="75D1150B">
      <w:pPr>
        <w:wordWrap w:val="0"/>
        <w:adjustRightInd w:val="0"/>
        <w:snapToGrid w:val="0"/>
        <w:spacing w:line="480" w:lineRule="exact"/>
        <w:jc w:val="center"/>
        <w:rPr>
          <w:rFonts w:hAnsi="宋体" w:cs="宋体"/>
          <w:b/>
          <w:snapToGrid w:val="0"/>
          <w:color w:val="auto"/>
          <w:kern w:val="0"/>
          <w:sz w:val="28"/>
          <w:szCs w:val="28"/>
          <w:highlight w:val="none"/>
        </w:rPr>
        <w:sectPr>
          <w:endnotePr>
            <w:numFmt w:val="decimal"/>
          </w:endnotePr>
          <w:pgSz w:w="11906" w:h="16838"/>
          <w:pgMar w:top="1417" w:right="1417" w:bottom="1417" w:left="1417" w:header="850" w:footer="992" w:gutter="0"/>
          <w:pgNumType w:fmt="decimal"/>
          <w:cols w:space="0" w:num="1"/>
          <w:docGrid w:linePitch="327" w:charSpace="0"/>
        </w:sectPr>
      </w:pPr>
    </w:p>
    <w:p w14:paraId="27DA5F30">
      <w:pPr>
        <w:wordWrap w:val="0"/>
        <w:adjustRightInd w:val="0"/>
        <w:snapToGrid w:val="0"/>
        <w:spacing w:line="440" w:lineRule="exact"/>
        <w:outlineLvl w:val="1"/>
        <w:rPr>
          <w:rFonts w:hAnsi="宋体" w:cs="宋体"/>
          <w:b/>
          <w:bCs/>
          <w:snapToGrid w:val="0"/>
          <w:color w:val="auto"/>
          <w:kern w:val="0"/>
          <w:szCs w:val="24"/>
          <w:highlight w:val="none"/>
        </w:rPr>
      </w:pPr>
      <w:bookmarkStart w:id="322" w:name="_Toc474"/>
      <w:r>
        <w:rPr>
          <w:rFonts w:hint="eastAsia" w:hAnsi="宋体" w:cs="宋体"/>
          <w:b/>
          <w:bCs/>
          <w:snapToGrid w:val="0"/>
          <w:color w:val="auto"/>
          <w:kern w:val="0"/>
          <w:szCs w:val="24"/>
          <w:highlight w:val="none"/>
        </w:rPr>
        <w:t>格式六 投标人基本情况表</w:t>
      </w:r>
      <w:bookmarkEnd w:id="322"/>
    </w:p>
    <w:p w14:paraId="3C45457B">
      <w:pPr>
        <w:pStyle w:val="74"/>
        <w:widowControl w:val="0"/>
        <w:wordWrap w:val="0"/>
        <w:adjustRightInd w:val="0"/>
        <w:snapToGrid w:val="0"/>
        <w:spacing w:before="260" w:after="260" w:line="400" w:lineRule="exact"/>
        <w:ind w:firstLine="0"/>
        <w:jc w:val="center"/>
        <w:rPr>
          <w:rFonts w:hAnsi="宋体" w:cs="宋体"/>
          <w:snapToGrid w:val="0"/>
          <w:color w:val="auto"/>
          <w:sz w:val="24"/>
          <w:highlight w:val="none"/>
        </w:rPr>
      </w:pPr>
      <w:r>
        <w:rPr>
          <w:rFonts w:hint="eastAsia" w:hAnsi="宋体" w:cs="宋体"/>
          <w:b/>
          <w:snapToGrid w:val="0"/>
          <w:color w:val="auto"/>
          <w:sz w:val="30"/>
          <w:highlight w:val="none"/>
        </w:rPr>
        <w:t>投标人基本情况表</w:t>
      </w:r>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5"/>
        <w:gridCol w:w="897"/>
        <w:gridCol w:w="1689"/>
        <w:gridCol w:w="803"/>
        <w:gridCol w:w="286"/>
        <w:gridCol w:w="960"/>
        <w:gridCol w:w="260"/>
        <w:gridCol w:w="709"/>
        <w:gridCol w:w="1416"/>
      </w:tblGrid>
      <w:tr w14:paraId="395DE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Align w:val="center"/>
          </w:tcPr>
          <w:p w14:paraId="40F35340">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投标人名称</w:t>
            </w:r>
          </w:p>
        </w:tc>
        <w:tc>
          <w:tcPr>
            <w:tcW w:w="7020" w:type="dxa"/>
            <w:gridSpan w:val="8"/>
            <w:vAlign w:val="center"/>
          </w:tcPr>
          <w:p w14:paraId="29F5C9C3">
            <w:pPr>
              <w:pStyle w:val="138"/>
              <w:wordWrap w:val="0"/>
              <w:adjustRightInd w:val="0"/>
              <w:snapToGrid w:val="0"/>
              <w:jc w:val="center"/>
              <w:rPr>
                <w:rFonts w:ascii="宋体" w:hAnsi="宋体" w:cs="宋体"/>
                <w:snapToGrid w:val="0"/>
                <w:color w:val="auto"/>
                <w:kern w:val="0"/>
                <w:szCs w:val="21"/>
                <w:highlight w:val="none"/>
              </w:rPr>
            </w:pPr>
          </w:p>
        </w:tc>
      </w:tr>
      <w:tr w14:paraId="0C689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Align w:val="center"/>
          </w:tcPr>
          <w:p w14:paraId="356E481A">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注册地址</w:t>
            </w:r>
          </w:p>
        </w:tc>
        <w:tc>
          <w:tcPr>
            <w:tcW w:w="3389" w:type="dxa"/>
            <w:gridSpan w:val="3"/>
            <w:vAlign w:val="center"/>
          </w:tcPr>
          <w:p w14:paraId="41522393">
            <w:pPr>
              <w:pStyle w:val="138"/>
              <w:wordWrap w:val="0"/>
              <w:adjustRightInd w:val="0"/>
              <w:snapToGrid w:val="0"/>
              <w:jc w:val="center"/>
              <w:rPr>
                <w:rFonts w:ascii="宋体" w:hAnsi="宋体" w:cs="宋体"/>
                <w:snapToGrid w:val="0"/>
                <w:color w:val="auto"/>
                <w:kern w:val="0"/>
                <w:szCs w:val="21"/>
                <w:highlight w:val="none"/>
              </w:rPr>
            </w:pPr>
          </w:p>
        </w:tc>
        <w:tc>
          <w:tcPr>
            <w:tcW w:w="1246" w:type="dxa"/>
            <w:gridSpan w:val="2"/>
            <w:vAlign w:val="center"/>
          </w:tcPr>
          <w:p w14:paraId="0BEA5ED6">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邮政编码</w:t>
            </w:r>
          </w:p>
        </w:tc>
        <w:tc>
          <w:tcPr>
            <w:tcW w:w="2385" w:type="dxa"/>
            <w:gridSpan w:val="3"/>
            <w:vAlign w:val="center"/>
          </w:tcPr>
          <w:p w14:paraId="515E2314">
            <w:pPr>
              <w:pStyle w:val="138"/>
              <w:wordWrap w:val="0"/>
              <w:adjustRightInd w:val="0"/>
              <w:snapToGrid w:val="0"/>
              <w:jc w:val="center"/>
              <w:rPr>
                <w:rFonts w:ascii="宋体" w:hAnsi="宋体" w:cs="宋体"/>
                <w:snapToGrid w:val="0"/>
                <w:color w:val="auto"/>
                <w:kern w:val="0"/>
                <w:szCs w:val="21"/>
                <w:highlight w:val="none"/>
              </w:rPr>
            </w:pPr>
          </w:p>
        </w:tc>
      </w:tr>
      <w:tr w14:paraId="53D32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Merge w:val="restart"/>
            <w:vAlign w:val="center"/>
          </w:tcPr>
          <w:p w14:paraId="70B2C20F">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联系方式</w:t>
            </w:r>
          </w:p>
        </w:tc>
        <w:tc>
          <w:tcPr>
            <w:tcW w:w="897" w:type="dxa"/>
            <w:vAlign w:val="center"/>
          </w:tcPr>
          <w:p w14:paraId="75946708">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联系人</w:t>
            </w:r>
          </w:p>
        </w:tc>
        <w:tc>
          <w:tcPr>
            <w:tcW w:w="2492" w:type="dxa"/>
            <w:gridSpan w:val="2"/>
            <w:vAlign w:val="center"/>
          </w:tcPr>
          <w:p w14:paraId="164B535F">
            <w:pPr>
              <w:pStyle w:val="138"/>
              <w:wordWrap w:val="0"/>
              <w:adjustRightInd w:val="0"/>
              <w:snapToGrid w:val="0"/>
              <w:jc w:val="center"/>
              <w:rPr>
                <w:rFonts w:ascii="宋体" w:hAnsi="宋体" w:cs="宋体"/>
                <w:snapToGrid w:val="0"/>
                <w:color w:val="auto"/>
                <w:kern w:val="0"/>
                <w:szCs w:val="21"/>
                <w:highlight w:val="none"/>
              </w:rPr>
            </w:pPr>
          </w:p>
        </w:tc>
        <w:tc>
          <w:tcPr>
            <w:tcW w:w="1246" w:type="dxa"/>
            <w:gridSpan w:val="2"/>
            <w:vAlign w:val="center"/>
          </w:tcPr>
          <w:p w14:paraId="67B9898D">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电  话</w:t>
            </w:r>
          </w:p>
        </w:tc>
        <w:tc>
          <w:tcPr>
            <w:tcW w:w="2385" w:type="dxa"/>
            <w:gridSpan w:val="3"/>
            <w:vAlign w:val="center"/>
          </w:tcPr>
          <w:p w14:paraId="137FBF1E">
            <w:pPr>
              <w:pStyle w:val="138"/>
              <w:wordWrap w:val="0"/>
              <w:adjustRightInd w:val="0"/>
              <w:snapToGrid w:val="0"/>
              <w:jc w:val="center"/>
              <w:rPr>
                <w:rFonts w:ascii="宋体" w:hAnsi="宋体" w:cs="宋体"/>
                <w:snapToGrid w:val="0"/>
                <w:color w:val="auto"/>
                <w:kern w:val="0"/>
                <w:szCs w:val="21"/>
                <w:highlight w:val="none"/>
              </w:rPr>
            </w:pPr>
          </w:p>
        </w:tc>
      </w:tr>
      <w:tr w14:paraId="7908A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Merge w:val="continue"/>
            <w:vAlign w:val="center"/>
          </w:tcPr>
          <w:p w14:paraId="7C95A589">
            <w:pPr>
              <w:pStyle w:val="138"/>
              <w:wordWrap w:val="0"/>
              <w:adjustRightInd w:val="0"/>
              <w:snapToGrid w:val="0"/>
              <w:jc w:val="center"/>
              <w:rPr>
                <w:rFonts w:ascii="宋体" w:hAnsi="宋体" w:cs="宋体"/>
                <w:snapToGrid w:val="0"/>
                <w:color w:val="auto"/>
                <w:kern w:val="0"/>
                <w:szCs w:val="21"/>
                <w:highlight w:val="none"/>
              </w:rPr>
            </w:pPr>
          </w:p>
        </w:tc>
        <w:tc>
          <w:tcPr>
            <w:tcW w:w="897" w:type="dxa"/>
            <w:vAlign w:val="center"/>
          </w:tcPr>
          <w:p w14:paraId="321DEB84">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传  真</w:t>
            </w:r>
          </w:p>
        </w:tc>
        <w:tc>
          <w:tcPr>
            <w:tcW w:w="2492" w:type="dxa"/>
            <w:gridSpan w:val="2"/>
            <w:vAlign w:val="center"/>
          </w:tcPr>
          <w:p w14:paraId="4DCC7DF0">
            <w:pPr>
              <w:pStyle w:val="138"/>
              <w:wordWrap w:val="0"/>
              <w:adjustRightInd w:val="0"/>
              <w:snapToGrid w:val="0"/>
              <w:jc w:val="center"/>
              <w:rPr>
                <w:rFonts w:ascii="宋体" w:hAnsi="宋体" w:cs="宋体"/>
                <w:snapToGrid w:val="0"/>
                <w:color w:val="auto"/>
                <w:kern w:val="0"/>
                <w:szCs w:val="21"/>
                <w:highlight w:val="none"/>
              </w:rPr>
            </w:pPr>
          </w:p>
        </w:tc>
        <w:tc>
          <w:tcPr>
            <w:tcW w:w="1246" w:type="dxa"/>
            <w:gridSpan w:val="2"/>
            <w:vAlign w:val="center"/>
          </w:tcPr>
          <w:p w14:paraId="60A861B3">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电子邮箱</w:t>
            </w:r>
          </w:p>
        </w:tc>
        <w:tc>
          <w:tcPr>
            <w:tcW w:w="2385" w:type="dxa"/>
            <w:gridSpan w:val="3"/>
            <w:vAlign w:val="center"/>
          </w:tcPr>
          <w:p w14:paraId="2B81EB7B">
            <w:pPr>
              <w:pStyle w:val="138"/>
              <w:wordWrap w:val="0"/>
              <w:adjustRightInd w:val="0"/>
              <w:snapToGrid w:val="0"/>
              <w:jc w:val="center"/>
              <w:rPr>
                <w:rFonts w:ascii="宋体" w:hAnsi="宋体" w:cs="宋体"/>
                <w:snapToGrid w:val="0"/>
                <w:color w:val="auto"/>
                <w:kern w:val="0"/>
                <w:szCs w:val="21"/>
                <w:highlight w:val="none"/>
              </w:rPr>
            </w:pPr>
          </w:p>
        </w:tc>
      </w:tr>
      <w:tr w14:paraId="2879D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Align w:val="center"/>
          </w:tcPr>
          <w:p w14:paraId="21DA3CAA">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法定代表人</w:t>
            </w:r>
          </w:p>
        </w:tc>
        <w:tc>
          <w:tcPr>
            <w:tcW w:w="897" w:type="dxa"/>
            <w:vAlign w:val="center"/>
          </w:tcPr>
          <w:p w14:paraId="7308E285">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姓名</w:t>
            </w:r>
          </w:p>
        </w:tc>
        <w:tc>
          <w:tcPr>
            <w:tcW w:w="1689" w:type="dxa"/>
            <w:vAlign w:val="center"/>
          </w:tcPr>
          <w:p w14:paraId="01032AE9">
            <w:pPr>
              <w:pStyle w:val="138"/>
              <w:wordWrap w:val="0"/>
              <w:adjustRightInd w:val="0"/>
              <w:snapToGrid w:val="0"/>
              <w:jc w:val="center"/>
              <w:rPr>
                <w:rFonts w:ascii="宋体" w:hAnsi="宋体" w:cs="宋体"/>
                <w:snapToGrid w:val="0"/>
                <w:color w:val="auto"/>
                <w:kern w:val="0"/>
                <w:szCs w:val="21"/>
                <w:highlight w:val="none"/>
              </w:rPr>
            </w:pPr>
          </w:p>
        </w:tc>
        <w:tc>
          <w:tcPr>
            <w:tcW w:w="1089" w:type="dxa"/>
            <w:gridSpan w:val="2"/>
            <w:vAlign w:val="center"/>
          </w:tcPr>
          <w:p w14:paraId="07229148">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技术职称</w:t>
            </w:r>
          </w:p>
        </w:tc>
        <w:tc>
          <w:tcPr>
            <w:tcW w:w="1220" w:type="dxa"/>
            <w:gridSpan w:val="2"/>
            <w:vAlign w:val="center"/>
          </w:tcPr>
          <w:p w14:paraId="7AD6FF43">
            <w:pPr>
              <w:pStyle w:val="138"/>
              <w:wordWrap w:val="0"/>
              <w:adjustRightInd w:val="0"/>
              <w:snapToGrid w:val="0"/>
              <w:jc w:val="center"/>
              <w:rPr>
                <w:rFonts w:ascii="宋体" w:hAnsi="宋体" w:cs="宋体"/>
                <w:snapToGrid w:val="0"/>
                <w:color w:val="auto"/>
                <w:kern w:val="0"/>
                <w:szCs w:val="21"/>
                <w:highlight w:val="none"/>
              </w:rPr>
            </w:pPr>
          </w:p>
        </w:tc>
        <w:tc>
          <w:tcPr>
            <w:tcW w:w="709" w:type="dxa"/>
            <w:vAlign w:val="center"/>
          </w:tcPr>
          <w:p w14:paraId="6E7CBB9E">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电话</w:t>
            </w:r>
          </w:p>
        </w:tc>
        <w:tc>
          <w:tcPr>
            <w:tcW w:w="1416" w:type="dxa"/>
            <w:vAlign w:val="center"/>
          </w:tcPr>
          <w:p w14:paraId="44831199">
            <w:pPr>
              <w:pStyle w:val="138"/>
              <w:wordWrap w:val="0"/>
              <w:adjustRightInd w:val="0"/>
              <w:snapToGrid w:val="0"/>
              <w:jc w:val="center"/>
              <w:rPr>
                <w:rFonts w:ascii="宋体" w:hAnsi="宋体" w:cs="宋体"/>
                <w:snapToGrid w:val="0"/>
                <w:color w:val="auto"/>
                <w:kern w:val="0"/>
                <w:szCs w:val="21"/>
                <w:highlight w:val="none"/>
              </w:rPr>
            </w:pPr>
          </w:p>
        </w:tc>
      </w:tr>
      <w:tr w14:paraId="220E2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Align w:val="center"/>
          </w:tcPr>
          <w:p w14:paraId="15C530F8">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技术负责人</w:t>
            </w:r>
          </w:p>
        </w:tc>
        <w:tc>
          <w:tcPr>
            <w:tcW w:w="897" w:type="dxa"/>
            <w:vAlign w:val="center"/>
          </w:tcPr>
          <w:p w14:paraId="2CF40332">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姓名</w:t>
            </w:r>
          </w:p>
        </w:tc>
        <w:tc>
          <w:tcPr>
            <w:tcW w:w="1689" w:type="dxa"/>
            <w:vAlign w:val="center"/>
          </w:tcPr>
          <w:p w14:paraId="4F32A38E">
            <w:pPr>
              <w:pStyle w:val="138"/>
              <w:wordWrap w:val="0"/>
              <w:adjustRightInd w:val="0"/>
              <w:snapToGrid w:val="0"/>
              <w:jc w:val="center"/>
              <w:rPr>
                <w:rFonts w:ascii="宋体" w:hAnsi="宋体" w:cs="宋体"/>
                <w:snapToGrid w:val="0"/>
                <w:color w:val="auto"/>
                <w:kern w:val="0"/>
                <w:szCs w:val="21"/>
                <w:highlight w:val="none"/>
              </w:rPr>
            </w:pPr>
          </w:p>
        </w:tc>
        <w:tc>
          <w:tcPr>
            <w:tcW w:w="1089" w:type="dxa"/>
            <w:gridSpan w:val="2"/>
            <w:vAlign w:val="center"/>
          </w:tcPr>
          <w:p w14:paraId="76373BE1">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技术职称</w:t>
            </w:r>
          </w:p>
        </w:tc>
        <w:tc>
          <w:tcPr>
            <w:tcW w:w="1220" w:type="dxa"/>
            <w:gridSpan w:val="2"/>
            <w:vAlign w:val="center"/>
          </w:tcPr>
          <w:p w14:paraId="414D5E8B">
            <w:pPr>
              <w:pStyle w:val="138"/>
              <w:wordWrap w:val="0"/>
              <w:adjustRightInd w:val="0"/>
              <w:snapToGrid w:val="0"/>
              <w:jc w:val="center"/>
              <w:rPr>
                <w:rFonts w:ascii="宋体" w:hAnsi="宋体" w:cs="宋体"/>
                <w:snapToGrid w:val="0"/>
                <w:color w:val="auto"/>
                <w:kern w:val="0"/>
                <w:szCs w:val="21"/>
                <w:highlight w:val="none"/>
              </w:rPr>
            </w:pPr>
          </w:p>
        </w:tc>
        <w:tc>
          <w:tcPr>
            <w:tcW w:w="709" w:type="dxa"/>
            <w:vAlign w:val="center"/>
          </w:tcPr>
          <w:p w14:paraId="25D85234">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电话</w:t>
            </w:r>
          </w:p>
        </w:tc>
        <w:tc>
          <w:tcPr>
            <w:tcW w:w="1416" w:type="dxa"/>
            <w:vAlign w:val="center"/>
          </w:tcPr>
          <w:p w14:paraId="300E4877">
            <w:pPr>
              <w:pStyle w:val="138"/>
              <w:wordWrap w:val="0"/>
              <w:adjustRightInd w:val="0"/>
              <w:snapToGrid w:val="0"/>
              <w:jc w:val="center"/>
              <w:rPr>
                <w:rFonts w:ascii="宋体" w:hAnsi="宋体" w:cs="宋体"/>
                <w:snapToGrid w:val="0"/>
                <w:color w:val="auto"/>
                <w:kern w:val="0"/>
                <w:szCs w:val="21"/>
                <w:highlight w:val="none"/>
              </w:rPr>
            </w:pPr>
          </w:p>
        </w:tc>
      </w:tr>
      <w:tr w14:paraId="16E52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Align w:val="center"/>
          </w:tcPr>
          <w:p w14:paraId="116ADC64">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成立日期</w:t>
            </w:r>
          </w:p>
        </w:tc>
        <w:tc>
          <w:tcPr>
            <w:tcW w:w="2586" w:type="dxa"/>
            <w:gridSpan w:val="2"/>
            <w:vAlign w:val="center"/>
          </w:tcPr>
          <w:p w14:paraId="31845C08">
            <w:pPr>
              <w:pStyle w:val="138"/>
              <w:wordWrap w:val="0"/>
              <w:adjustRightInd w:val="0"/>
              <w:snapToGrid w:val="0"/>
              <w:jc w:val="center"/>
              <w:rPr>
                <w:rFonts w:ascii="宋体" w:hAnsi="宋体" w:cs="宋体"/>
                <w:snapToGrid w:val="0"/>
                <w:color w:val="auto"/>
                <w:kern w:val="0"/>
                <w:szCs w:val="21"/>
                <w:highlight w:val="none"/>
              </w:rPr>
            </w:pPr>
          </w:p>
        </w:tc>
        <w:tc>
          <w:tcPr>
            <w:tcW w:w="4434" w:type="dxa"/>
            <w:gridSpan w:val="6"/>
            <w:vAlign w:val="center"/>
          </w:tcPr>
          <w:p w14:paraId="5488CAEC">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员工总人数（个）：</w:t>
            </w:r>
          </w:p>
        </w:tc>
      </w:tr>
      <w:tr w14:paraId="24FF7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5" w:type="dxa"/>
            <w:vAlign w:val="center"/>
          </w:tcPr>
          <w:p w14:paraId="5F649C41">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企业资质</w:t>
            </w:r>
          </w:p>
          <w:p w14:paraId="70FDE49A">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类型和等级</w:t>
            </w:r>
          </w:p>
        </w:tc>
        <w:tc>
          <w:tcPr>
            <w:tcW w:w="2586" w:type="dxa"/>
            <w:gridSpan w:val="2"/>
            <w:vAlign w:val="center"/>
          </w:tcPr>
          <w:p w14:paraId="3FBBCF9F">
            <w:pPr>
              <w:pStyle w:val="138"/>
              <w:wordWrap w:val="0"/>
              <w:adjustRightInd w:val="0"/>
              <w:snapToGrid w:val="0"/>
              <w:jc w:val="left"/>
              <w:rPr>
                <w:rFonts w:ascii="宋体" w:hAnsi="宋体" w:cs="宋体"/>
                <w:snapToGrid w:val="0"/>
                <w:color w:val="auto"/>
                <w:kern w:val="0"/>
                <w:szCs w:val="21"/>
                <w:highlight w:val="none"/>
              </w:rPr>
            </w:pPr>
          </w:p>
        </w:tc>
        <w:tc>
          <w:tcPr>
            <w:tcW w:w="1089" w:type="dxa"/>
            <w:gridSpan w:val="2"/>
            <w:vMerge w:val="restart"/>
            <w:vAlign w:val="center"/>
          </w:tcPr>
          <w:p w14:paraId="53F8BA96">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其中</w:t>
            </w:r>
          </w:p>
        </w:tc>
        <w:tc>
          <w:tcPr>
            <w:tcW w:w="1929" w:type="dxa"/>
            <w:gridSpan w:val="3"/>
            <w:vAlign w:val="center"/>
          </w:tcPr>
          <w:p w14:paraId="13106D98">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各类注册人员</w:t>
            </w:r>
          </w:p>
        </w:tc>
        <w:tc>
          <w:tcPr>
            <w:tcW w:w="1416" w:type="dxa"/>
            <w:vAlign w:val="center"/>
          </w:tcPr>
          <w:p w14:paraId="66A45836">
            <w:pPr>
              <w:pStyle w:val="138"/>
              <w:wordWrap w:val="0"/>
              <w:adjustRightInd w:val="0"/>
              <w:snapToGrid w:val="0"/>
              <w:jc w:val="center"/>
              <w:rPr>
                <w:rFonts w:ascii="宋体" w:hAnsi="宋体" w:cs="宋体"/>
                <w:snapToGrid w:val="0"/>
                <w:color w:val="auto"/>
                <w:kern w:val="0"/>
                <w:szCs w:val="21"/>
                <w:highlight w:val="none"/>
              </w:rPr>
            </w:pPr>
          </w:p>
        </w:tc>
      </w:tr>
      <w:tr w14:paraId="13561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5" w:type="dxa"/>
            <w:vAlign w:val="center"/>
          </w:tcPr>
          <w:p w14:paraId="75484E10">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营业执照号</w:t>
            </w:r>
          </w:p>
        </w:tc>
        <w:tc>
          <w:tcPr>
            <w:tcW w:w="2586" w:type="dxa"/>
            <w:gridSpan w:val="2"/>
            <w:vAlign w:val="center"/>
          </w:tcPr>
          <w:p w14:paraId="537F167F">
            <w:pPr>
              <w:pStyle w:val="138"/>
              <w:wordWrap w:val="0"/>
              <w:adjustRightInd w:val="0"/>
              <w:snapToGrid w:val="0"/>
              <w:jc w:val="center"/>
              <w:rPr>
                <w:rFonts w:ascii="宋体" w:hAnsi="宋体" w:cs="宋体"/>
                <w:snapToGrid w:val="0"/>
                <w:color w:val="auto"/>
                <w:kern w:val="0"/>
                <w:szCs w:val="21"/>
                <w:highlight w:val="none"/>
              </w:rPr>
            </w:pPr>
          </w:p>
        </w:tc>
        <w:tc>
          <w:tcPr>
            <w:tcW w:w="1089" w:type="dxa"/>
            <w:gridSpan w:val="2"/>
            <w:vMerge w:val="continue"/>
            <w:vAlign w:val="center"/>
          </w:tcPr>
          <w:p w14:paraId="2FE95C77">
            <w:pPr>
              <w:pStyle w:val="138"/>
              <w:wordWrap w:val="0"/>
              <w:adjustRightInd w:val="0"/>
              <w:snapToGrid w:val="0"/>
              <w:jc w:val="center"/>
              <w:rPr>
                <w:rFonts w:ascii="宋体" w:hAnsi="宋体" w:cs="宋体"/>
                <w:snapToGrid w:val="0"/>
                <w:color w:val="auto"/>
                <w:kern w:val="0"/>
                <w:szCs w:val="21"/>
                <w:highlight w:val="none"/>
              </w:rPr>
            </w:pPr>
          </w:p>
        </w:tc>
        <w:tc>
          <w:tcPr>
            <w:tcW w:w="1929" w:type="dxa"/>
            <w:gridSpan w:val="3"/>
            <w:vAlign w:val="center"/>
          </w:tcPr>
          <w:p w14:paraId="58F77C7C">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高级职称人员</w:t>
            </w:r>
          </w:p>
        </w:tc>
        <w:tc>
          <w:tcPr>
            <w:tcW w:w="1416" w:type="dxa"/>
            <w:vAlign w:val="center"/>
          </w:tcPr>
          <w:p w14:paraId="6727EBCF">
            <w:pPr>
              <w:pStyle w:val="138"/>
              <w:wordWrap w:val="0"/>
              <w:adjustRightInd w:val="0"/>
              <w:snapToGrid w:val="0"/>
              <w:jc w:val="center"/>
              <w:rPr>
                <w:rFonts w:ascii="宋体" w:hAnsi="宋体" w:cs="宋体"/>
                <w:snapToGrid w:val="0"/>
                <w:color w:val="auto"/>
                <w:kern w:val="0"/>
                <w:szCs w:val="21"/>
                <w:highlight w:val="none"/>
              </w:rPr>
            </w:pPr>
          </w:p>
        </w:tc>
      </w:tr>
      <w:tr w14:paraId="5AFAC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5" w:type="dxa"/>
            <w:vAlign w:val="center"/>
          </w:tcPr>
          <w:p w14:paraId="70FF2694">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注册资金</w:t>
            </w:r>
          </w:p>
        </w:tc>
        <w:tc>
          <w:tcPr>
            <w:tcW w:w="2586" w:type="dxa"/>
            <w:gridSpan w:val="2"/>
            <w:vAlign w:val="center"/>
          </w:tcPr>
          <w:p w14:paraId="6B4F28EE">
            <w:pPr>
              <w:pStyle w:val="138"/>
              <w:wordWrap w:val="0"/>
              <w:adjustRightInd w:val="0"/>
              <w:snapToGrid w:val="0"/>
              <w:jc w:val="center"/>
              <w:rPr>
                <w:rFonts w:ascii="宋体" w:hAnsi="宋体" w:cs="宋体"/>
                <w:snapToGrid w:val="0"/>
                <w:color w:val="auto"/>
                <w:kern w:val="0"/>
                <w:szCs w:val="21"/>
                <w:highlight w:val="none"/>
              </w:rPr>
            </w:pPr>
          </w:p>
        </w:tc>
        <w:tc>
          <w:tcPr>
            <w:tcW w:w="1089" w:type="dxa"/>
            <w:gridSpan w:val="2"/>
            <w:vMerge w:val="continue"/>
            <w:vAlign w:val="center"/>
          </w:tcPr>
          <w:p w14:paraId="339F6456">
            <w:pPr>
              <w:pStyle w:val="138"/>
              <w:wordWrap w:val="0"/>
              <w:adjustRightInd w:val="0"/>
              <w:snapToGrid w:val="0"/>
              <w:jc w:val="center"/>
              <w:rPr>
                <w:rFonts w:ascii="宋体" w:hAnsi="宋体" w:cs="宋体"/>
                <w:snapToGrid w:val="0"/>
                <w:color w:val="auto"/>
                <w:kern w:val="0"/>
                <w:szCs w:val="21"/>
                <w:highlight w:val="none"/>
              </w:rPr>
            </w:pPr>
          </w:p>
        </w:tc>
        <w:tc>
          <w:tcPr>
            <w:tcW w:w="1929" w:type="dxa"/>
            <w:gridSpan w:val="3"/>
            <w:vAlign w:val="center"/>
          </w:tcPr>
          <w:p w14:paraId="099C1C60">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中级职称人员</w:t>
            </w:r>
          </w:p>
        </w:tc>
        <w:tc>
          <w:tcPr>
            <w:tcW w:w="1416" w:type="dxa"/>
            <w:vAlign w:val="center"/>
          </w:tcPr>
          <w:p w14:paraId="5467645F">
            <w:pPr>
              <w:pStyle w:val="138"/>
              <w:wordWrap w:val="0"/>
              <w:adjustRightInd w:val="0"/>
              <w:snapToGrid w:val="0"/>
              <w:jc w:val="center"/>
              <w:rPr>
                <w:rFonts w:ascii="宋体" w:hAnsi="宋体" w:cs="宋体"/>
                <w:snapToGrid w:val="0"/>
                <w:color w:val="auto"/>
                <w:kern w:val="0"/>
                <w:szCs w:val="21"/>
                <w:highlight w:val="none"/>
              </w:rPr>
            </w:pPr>
          </w:p>
        </w:tc>
      </w:tr>
      <w:tr w14:paraId="29792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5" w:type="dxa"/>
            <w:vAlign w:val="center"/>
          </w:tcPr>
          <w:p w14:paraId="55C3C131">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基本账户</w:t>
            </w:r>
          </w:p>
          <w:p w14:paraId="66D98136">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开户银行</w:t>
            </w:r>
          </w:p>
        </w:tc>
        <w:tc>
          <w:tcPr>
            <w:tcW w:w="2586" w:type="dxa"/>
            <w:gridSpan w:val="2"/>
            <w:vAlign w:val="center"/>
          </w:tcPr>
          <w:p w14:paraId="531EB950">
            <w:pPr>
              <w:pStyle w:val="138"/>
              <w:wordWrap w:val="0"/>
              <w:adjustRightInd w:val="0"/>
              <w:snapToGrid w:val="0"/>
              <w:jc w:val="center"/>
              <w:rPr>
                <w:rFonts w:ascii="宋体" w:hAnsi="宋体" w:cs="宋体"/>
                <w:snapToGrid w:val="0"/>
                <w:color w:val="auto"/>
                <w:kern w:val="0"/>
                <w:szCs w:val="21"/>
                <w:highlight w:val="none"/>
              </w:rPr>
            </w:pPr>
          </w:p>
        </w:tc>
        <w:tc>
          <w:tcPr>
            <w:tcW w:w="1089" w:type="dxa"/>
            <w:gridSpan w:val="2"/>
            <w:vMerge w:val="continue"/>
            <w:vAlign w:val="center"/>
          </w:tcPr>
          <w:p w14:paraId="6FB92093">
            <w:pPr>
              <w:pStyle w:val="138"/>
              <w:wordWrap w:val="0"/>
              <w:adjustRightInd w:val="0"/>
              <w:snapToGrid w:val="0"/>
              <w:jc w:val="center"/>
              <w:rPr>
                <w:rFonts w:ascii="宋体" w:hAnsi="宋体" w:cs="宋体"/>
                <w:snapToGrid w:val="0"/>
                <w:color w:val="auto"/>
                <w:kern w:val="0"/>
                <w:szCs w:val="21"/>
                <w:highlight w:val="none"/>
              </w:rPr>
            </w:pPr>
          </w:p>
        </w:tc>
        <w:tc>
          <w:tcPr>
            <w:tcW w:w="1929" w:type="dxa"/>
            <w:gridSpan w:val="3"/>
            <w:vAlign w:val="center"/>
          </w:tcPr>
          <w:p w14:paraId="7786B5B6">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初级职称人员</w:t>
            </w:r>
          </w:p>
        </w:tc>
        <w:tc>
          <w:tcPr>
            <w:tcW w:w="1416" w:type="dxa"/>
            <w:vAlign w:val="center"/>
          </w:tcPr>
          <w:p w14:paraId="5AAF3BA2">
            <w:pPr>
              <w:pStyle w:val="138"/>
              <w:wordWrap w:val="0"/>
              <w:adjustRightInd w:val="0"/>
              <w:snapToGrid w:val="0"/>
              <w:jc w:val="center"/>
              <w:rPr>
                <w:rFonts w:ascii="宋体" w:hAnsi="宋体" w:cs="宋体"/>
                <w:snapToGrid w:val="0"/>
                <w:color w:val="auto"/>
                <w:kern w:val="0"/>
                <w:szCs w:val="21"/>
                <w:highlight w:val="none"/>
              </w:rPr>
            </w:pPr>
          </w:p>
        </w:tc>
      </w:tr>
      <w:tr w14:paraId="5D7F4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5" w:type="dxa"/>
            <w:vAlign w:val="center"/>
          </w:tcPr>
          <w:p w14:paraId="01ACC4B2">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基本账户</w:t>
            </w:r>
          </w:p>
          <w:p w14:paraId="41FAD386">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银行账号</w:t>
            </w:r>
          </w:p>
        </w:tc>
        <w:tc>
          <w:tcPr>
            <w:tcW w:w="2586" w:type="dxa"/>
            <w:gridSpan w:val="2"/>
            <w:vAlign w:val="center"/>
          </w:tcPr>
          <w:p w14:paraId="5F82E5BB">
            <w:pPr>
              <w:pStyle w:val="138"/>
              <w:wordWrap w:val="0"/>
              <w:adjustRightInd w:val="0"/>
              <w:snapToGrid w:val="0"/>
              <w:jc w:val="center"/>
              <w:rPr>
                <w:rFonts w:ascii="宋体" w:hAnsi="宋体" w:cs="宋体"/>
                <w:snapToGrid w:val="0"/>
                <w:color w:val="auto"/>
                <w:kern w:val="0"/>
                <w:szCs w:val="21"/>
                <w:highlight w:val="none"/>
              </w:rPr>
            </w:pPr>
          </w:p>
        </w:tc>
        <w:tc>
          <w:tcPr>
            <w:tcW w:w="1089" w:type="dxa"/>
            <w:gridSpan w:val="2"/>
            <w:vMerge w:val="continue"/>
            <w:vAlign w:val="center"/>
          </w:tcPr>
          <w:p w14:paraId="4376DF60">
            <w:pPr>
              <w:pStyle w:val="138"/>
              <w:wordWrap w:val="0"/>
              <w:adjustRightInd w:val="0"/>
              <w:snapToGrid w:val="0"/>
              <w:jc w:val="center"/>
              <w:rPr>
                <w:rFonts w:ascii="宋体" w:hAnsi="宋体" w:cs="宋体"/>
                <w:snapToGrid w:val="0"/>
                <w:color w:val="auto"/>
                <w:kern w:val="0"/>
                <w:szCs w:val="21"/>
                <w:highlight w:val="none"/>
              </w:rPr>
            </w:pPr>
          </w:p>
        </w:tc>
        <w:tc>
          <w:tcPr>
            <w:tcW w:w="1929" w:type="dxa"/>
            <w:gridSpan w:val="3"/>
            <w:vAlign w:val="center"/>
          </w:tcPr>
          <w:p w14:paraId="4671252B">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技术员</w:t>
            </w:r>
          </w:p>
        </w:tc>
        <w:tc>
          <w:tcPr>
            <w:tcW w:w="1416" w:type="dxa"/>
            <w:vAlign w:val="center"/>
          </w:tcPr>
          <w:p w14:paraId="5F52F934">
            <w:pPr>
              <w:pStyle w:val="138"/>
              <w:wordWrap w:val="0"/>
              <w:adjustRightInd w:val="0"/>
              <w:snapToGrid w:val="0"/>
              <w:jc w:val="center"/>
              <w:rPr>
                <w:rFonts w:ascii="宋体" w:hAnsi="宋体" w:cs="宋体"/>
                <w:snapToGrid w:val="0"/>
                <w:color w:val="auto"/>
                <w:kern w:val="0"/>
                <w:szCs w:val="21"/>
                <w:highlight w:val="none"/>
              </w:rPr>
            </w:pPr>
          </w:p>
        </w:tc>
      </w:tr>
      <w:tr w14:paraId="16150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4" w:hRule="exact"/>
          <w:jc w:val="center"/>
        </w:trPr>
        <w:tc>
          <w:tcPr>
            <w:tcW w:w="1485" w:type="dxa"/>
            <w:vAlign w:val="center"/>
          </w:tcPr>
          <w:p w14:paraId="6E2692A4">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经营范围</w:t>
            </w:r>
          </w:p>
        </w:tc>
        <w:tc>
          <w:tcPr>
            <w:tcW w:w="7020" w:type="dxa"/>
            <w:gridSpan w:val="8"/>
            <w:vAlign w:val="center"/>
          </w:tcPr>
          <w:p w14:paraId="28B3173C">
            <w:pPr>
              <w:pStyle w:val="138"/>
              <w:wordWrap w:val="0"/>
              <w:adjustRightInd w:val="0"/>
              <w:snapToGrid w:val="0"/>
              <w:jc w:val="center"/>
              <w:rPr>
                <w:rFonts w:ascii="宋体" w:hAnsi="宋体" w:cs="宋体"/>
                <w:snapToGrid w:val="0"/>
                <w:color w:val="auto"/>
                <w:kern w:val="0"/>
                <w:szCs w:val="21"/>
                <w:highlight w:val="none"/>
              </w:rPr>
            </w:pPr>
          </w:p>
        </w:tc>
      </w:tr>
      <w:tr w14:paraId="3CF22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9" w:hRule="exact"/>
          <w:jc w:val="center"/>
        </w:trPr>
        <w:tc>
          <w:tcPr>
            <w:tcW w:w="1485" w:type="dxa"/>
            <w:vAlign w:val="center"/>
          </w:tcPr>
          <w:p w14:paraId="6F334C7C">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关联企业情况</w:t>
            </w:r>
          </w:p>
        </w:tc>
        <w:tc>
          <w:tcPr>
            <w:tcW w:w="7020" w:type="dxa"/>
            <w:gridSpan w:val="8"/>
            <w:vAlign w:val="center"/>
          </w:tcPr>
          <w:p w14:paraId="627CBE37">
            <w:pPr>
              <w:pStyle w:val="138"/>
              <w:wordWrap w:val="0"/>
              <w:adjustRightInd w:val="0"/>
              <w:snapToGrid w:val="0"/>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包括但不限于与投标人存在以下关系的不同单位：</w:t>
            </w:r>
          </w:p>
          <w:p w14:paraId="78866B0F">
            <w:pPr>
              <w:pStyle w:val="138"/>
              <w:wordWrap w:val="0"/>
              <w:adjustRightInd w:val="0"/>
              <w:snapToGrid w:val="0"/>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1．法定代表人为同一人的。</w:t>
            </w:r>
          </w:p>
          <w:p w14:paraId="2B8DF13B">
            <w:pPr>
              <w:pStyle w:val="138"/>
              <w:wordWrap w:val="0"/>
              <w:adjustRightInd w:val="0"/>
              <w:snapToGrid w:val="0"/>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2．存在控股、管理关系的。</w:t>
            </w:r>
          </w:p>
          <w:p w14:paraId="78C5A631">
            <w:pPr>
              <w:pStyle w:val="138"/>
              <w:wordWrap w:val="0"/>
              <w:adjustRightInd w:val="0"/>
              <w:snapToGrid w:val="0"/>
              <w:jc w:val="left"/>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3．主要人员相互任职的。</w:t>
            </w:r>
          </w:p>
        </w:tc>
      </w:tr>
      <w:tr w14:paraId="0DFFB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exact"/>
          <w:jc w:val="center"/>
        </w:trPr>
        <w:tc>
          <w:tcPr>
            <w:tcW w:w="1485" w:type="dxa"/>
            <w:vAlign w:val="center"/>
          </w:tcPr>
          <w:p w14:paraId="66B1DD7A">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备注</w:t>
            </w:r>
          </w:p>
        </w:tc>
        <w:tc>
          <w:tcPr>
            <w:tcW w:w="7020" w:type="dxa"/>
            <w:gridSpan w:val="8"/>
            <w:vAlign w:val="center"/>
          </w:tcPr>
          <w:p w14:paraId="0B7A9410">
            <w:pPr>
              <w:pStyle w:val="138"/>
              <w:wordWrap w:val="0"/>
              <w:adjustRightInd w:val="0"/>
              <w:snapToGrid w:val="0"/>
              <w:jc w:val="center"/>
              <w:rPr>
                <w:rFonts w:ascii="宋体" w:hAnsi="宋体" w:cs="宋体"/>
                <w:snapToGrid w:val="0"/>
                <w:color w:val="auto"/>
                <w:kern w:val="0"/>
                <w:szCs w:val="21"/>
                <w:highlight w:val="none"/>
              </w:rPr>
            </w:pPr>
          </w:p>
        </w:tc>
      </w:tr>
    </w:tbl>
    <w:p w14:paraId="31CF04E5">
      <w:pPr>
        <w:pStyle w:val="138"/>
        <w:wordWrap w:val="0"/>
        <w:adjustRightInd w:val="0"/>
        <w:snapToGrid w:val="0"/>
        <w:spacing w:line="400" w:lineRule="exact"/>
        <w:ind w:firstLine="420" w:firstLineChars="200"/>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说明：</w:t>
      </w:r>
    </w:p>
    <w:p w14:paraId="48B0DF88">
      <w:pPr>
        <w:pStyle w:val="138"/>
        <w:wordWrap w:val="0"/>
        <w:adjustRightInd w:val="0"/>
        <w:snapToGrid w:val="0"/>
        <w:spacing w:line="400" w:lineRule="exact"/>
        <w:ind w:firstLine="420" w:firstLineChars="200"/>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1．《投标人基本情况表》后应附以下资料：</w:t>
      </w:r>
    </w:p>
    <w:p w14:paraId="77700285">
      <w:pPr>
        <w:pStyle w:val="138"/>
        <w:wordWrap w:val="0"/>
        <w:adjustRightInd w:val="0"/>
        <w:snapToGrid w:val="0"/>
        <w:spacing w:line="400" w:lineRule="exact"/>
        <w:ind w:firstLine="420" w:firstLineChars="200"/>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（1）企业营业执照、资质证书</w:t>
      </w:r>
      <w:r>
        <w:rPr>
          <w:rFonts w:hint="eastAsia" w:ascii="宋体" w:hAnsi="宋体" w:cs="宋体"/>
          <w:snapToGrid w:val="0"/>
          <w:color w:val="auto"/>
          <w:kern w:val="0"/>
          <w:szCs w:val="21"/>
          <w:highlight w:val="none"/>
          <w:lang w:val="en-US" w:eastAsia="zh-CN"/>
        </w:rPr>
        <w:t>彩色</w:t>
      </w:r>
      <w:r>
        <w:rPr>
          <w:rFonts w:hint="eastAsia" w:ascii="宋体" w:hAnsi="宋体" w:cs="宋体"/>
          <w:snapToGrid w:val="0"/>
          <w:color w:val="auto"/>
          <w:kern w:val="0"/>
          <w:szCs w:val="21"/>
          <w:highlight w:val="none"/>
        </w:rPr>
        <w:t>扫描件（因推行电子证照，企业的营业执照、资质证书等可以提供电子证照）；</w:t>
      </w:r>
    </w:p>
    <w:p w14:paraId="3B9DB170">
      <w:pPr>
        <w:pStyle w:val="138"/>
        <w:wordWrap w:val="0"/>
        <w:adjustRightInd w:val="0"/>
        <w:snapToGrid w:val="0"/>
        <w:spacing w:line="400" w:lineRule="exact"/>
        <w:ind w:firstLine="420" w:firstLineChars="200"/>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（2）</w:t>
      </w:r>
      <w:r>
        <w:rPr>
          <w:rFonts w:hint="eastAsia" w:ascii="宋体" w:hAnsi="宋体" w:cs="宋体"/>
          <w:snapToGrid w:val="0"/>
          <w:color w:val="auto"/>
          <w:kern w:val="0"/>
          <w:highlight w:val="none"/>
        </w:rPr>
        <w:t>“进粤企业和人员诚信信息登记平台”企业信息情况打印页。（适用于省外企业）</w:t>
      </w:r>
      <w:r>
        <w:rPr>
          <w:rFonts w:hint="eastAsia" w:ascii="宋体" w:hAnsi="宋体" w:cs="宋体"/>
          <w:snapToGrid w:val="0"/>
          <w:color w:val="auto"/>
          <w:kern w:val="0"/>
          <w:szCs w:val="21"/>
          <w:highlight w:val="none"/>
        </w:rPr>
        <w:t>。</w:t>
      </w:r>
    </w:p>
    <w:p w14:paraId="6A573612">
      <w:pPr>
        <w:pStyle w:val="74"/>
        <w:widowControl w:val="0"/>
        <w:wordWrap w:val="0"/>
        <w:adjustRightInd w:val="0"/>
        <w:snapToGrid w:val="0"/>
        <w:spacing w:line="400" w:lineRule="exact"/>
        <w:rPr>
          <w:rFonts w:hAnsi="宋体" w:cs="宋体"/>
          <w:snapToGrid w:val="0"/>
          <w:color w:val="auto"/>
          <w:sz w:val="21"/>
          <w:szCs w:val="21"/>
          <w:highlight w:val="none"/>
        </w:rPr>
      </w:pPr>
      <w:r>
        <w:rPr>
          <w:rFonts w:hint="eastAsia" w:hAnsi="宋体" w:cs="宋体"/>
          <w:snapToGrid w:val="0"/>
          <w:color w:val="auto"/>
          <w:sz w:val="21"/>
          <w:szCs w:val="21"/>
          <w:highlight w:val="none"/>
        </w:rPr>
        <w:t>（3）《法人和非法人组织公共信用信息报告》打印件(在“信用中国”网站企业查询界面中下载) 。</w:t>
      </w:r>
    </w:p>
    <w:p w14:paraId="286E4BB9">
      <w:pPr>
        <w:wordWrap w:val="0"/>
        <w:adjustRightInd w:val="0"/>
        <w:snapToGrid w:val="0"/>
        <w:spacing w:line="440" w:lineRule="exact"/>
        <w:jc w:val="left"/>
        <w:outlineLvl w:val="1"/>
        <w:rPr>
          <w:rFonts w:hAnsi="宋体" w:cs="宋体"/>
          <w:b/>
          <w:snapToGrid w:val="0"/>
          <w:color w:val="auto"/>
          <w:kern w:val="0"/>
          <w:highlight w:val="none"/>
        </w:rPr>
      </w:pPr>
      <w:bookmarkStart w:id="323" w:name="_Toc22135"/>
      <w:r>
        <w:rPr>
          <w:rFonts w:hint="eastAsia" w:hAnsi="宋体" w:cs="宋体"/>
          <w:b/>
          <w:snapToGrid w:val="0"/>
          <w:color w:val="auto"/>
          <w:kern w:val="0"/>
          <w:highlight w:val="none"/>
        </w:rPr>
        <w:t>格式七 总监理工程师任职声明（适用于无任职项目）</w:t>
      </w:r>
      <w:bookmarkEnd w:id="323"/>
    </w:p>
    <w:p w14:paraId="6FD021E2">
      <w:pPr>
        <w:wordWrap w:val="0"/>
        <w:adjustRightInd w:val="0"/>
        <w:snapToGrid w:val="0"/>
        <w:spacing w:line="440" w:lineRule="exact"/>
        <w:jc w:val="left"/>
        <w:rPr>
          <w:rFonts w:hAnsi="宋体" w:cs="宋体"/>
          <w:b/>
          <w:snapToGrid w:val="0"/>
          <w:color w:val="auto"/>
          <w:kern w:val="0"/>
          <w:highlight w:val="none"/>
        </w:rPr>
      </w:pPr>
    </w:p>
    <w:p w14:paraId="7734BDAC">
      <w:pPr>
        <w:wordWrap w:val="0"/>
        <w:adjustRightInd w:val="0"/>
        <w:snapToGrid w:val="0"/>
        <w:spacing w:before="260" w:after="260" w:line="440" w:lineRule="exact"/>
        <w:jc w:val="center"/>
        <w:rPr>
          <w:rFonts w:hAnsi="宋体" w:cs="宋体"/>
          <w:snapToGrid w:val="0"/>
          <w:color w:val="auto"/>
          <w:kern w:val="0"/>
          <w:szCs w:val="28"/>
          <w:highlight w:val="none"/>
        </w:rPr>
      </w:pPr>
      <w:r>
        <w:rPr>
          <w:rFonts w:hint="eastAsia" w:hAnsi="宋体" w:cs="宋体"/>
          <w:b/>
          <w:snapToGrid w:val="0"/>
          <w:color w:val="auto"/>
          <w:kern w:val="0"/>
          <w:sz w:val="30"/>
          <w:highlight w:val="none"/>
        </w:rPr>
        <w:t>总监理工程师任职声明</w:t>
      </w:r>
    </w:p>
    <w:p w14:paraId="2F3A4633">
      <w:pPr>
        <w:wordWrap w:val="0"/>
        <w:adjustRightInd w:val="0"/>
        <w:snapToGrid w:val="0"/>
        <w:spacing w:line="440" w:lineRule="exact"/>
        <w:jc w:val="center"/>
        <w:rPr>
          <w:rFonts w:hAnsi="宋体" w:cs="宋体"/>
          <w:snapToGrid w:val="0"/>
          <w:color w:val="auto"/>
          <w:kern w:val="0"/>
          <w:szCs w:val="28"/>
          <w:highlight w:val="none"/>
        </w:rPr>
      </w:pPr>
    </w:p>
    <w:p w14:paraId="14B6B195">
      <w:pPr>
        <w:wordWrap w:val="0"/>
        <w:adjustRightInd w:val="0"/>
        <w:snapToGrid w:val="0"/>
        <w:spacing w:line="440" w:lineRule="exact"/>
        <w:rPr>
          <w:rFonts w:hAnsi="宋体" w:cs="宋体"/>
          <w:snapToGrid w:val="0"/>
          <w:color w:val="auto"/>
          <w:kern w:val="0"/>
          <w:szCs w:val="28"/>
          <w:highlight w:val="none"/>
        </w:rPr>
      </w:pPr>
      <w:r>
        <w:rPr>
          <w:rFonts w:hint="eastAsia" w:hAnsi="宋体" w:cs="宋体"/>
          <w:snapToGrid w:val="0"/>
          <w:color w:val="auto"/>
          <w:kern w:val="0"/>
          <w:szCs w:val="28"/>
          <w:highlight w:val="none"/>
        </w:rPr>
        <w:t>致：</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（招标人名称）：</w:t>
      </w:r>
    </w:p>
    <w:p w14:paraId="392868E0">
      <w:pPr>
        <w:wordWrap w:val="0"/>
        <w:adjustRightInd w:val="0"/>
        <w:snapToGrid w:val="0"/>
        <w:spacing w:line="440" w:lineRule="exact"/>
        <w:ind w:firstLine="480" w:firstLineChars="200"/>
        <w:rPr>
          <w:rFonts w:hAnsi="宋体" w:cs="宋体"/>
          <w:snapToGrid w:val="0"/>
          <w:color w:val="auto"/>
          <w:kern w:val="0"/>
          <w:szCs w:val="28"/>
          <w:highlight w:val="none"/>
        </w:rPr>
      </w:pPr>
      <w:r>
        <w:rPr>
          <w:rFonts w:hint="eastAsia" w:hAnsi="宋体" w:cs="宋体"/>
          <w:snapToGrid w:val="0"/>
          <w:color w:val="auto"/>
          <w:kern w:val="0"/>
          <w:szCs w:val="28"/>
          <w:highlight w:val="none"/>
        </w:rPr>
        <w:t>我方在此声明，我方拟派往</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（项目名称）的总监理工程师</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（总监理工程师姓名）现阶段未担任任何在施（包括已中标未开工、已开工未竣工）建设工程项目的总监理工程师。</w:t>
      </w:r>
    </w:p>
    <w:p w14:paraId="5C57411E">
      <w:pPr>
        <w:wordWrap w:val="0"/>
        <w:adjustRightInd w:val="0"/>
        <w:snapToGrid w:val="0"/>
        <w:spacing w:line="440" w:lineRule="exact"/>
        <w:ind w:firstLine="480"/>
        <w:rPr>
          <w:rFonts w:hAnsi="宋体" w:cs="宋体"/>
          <w:snapToGrid w:val="0"/>
          <w:color w:val="auto"/>
          <w:kern w:val="0"/>
          <w:szCs w:val="28"/>
          <w:highlight w:val="none"/>
        </w:rPr>
      </w:pPr>
      <w:r>
        <w:rPr>
          <w:rFonts w:hint="eastAsia" w:hAnsi="宋体" w:cs="宋体"/>
          <w:snapToGrid w:val="0"/>
          <w:color w:val="auto"/>
          <w:kern w:val="0"/>
          <w:szCs w:val="28"/>
          <w:highlight w:val="none"/>
        </w:rPr>
        <w:t>我方保证上述信息的真实和准确，并愿意承担因我方就此弄虚作假所引起的一切法律后果。</w:t>
      </w:r>
    </w:p>
    <w:p w14:paraId="568537D9">
      <w:pPr>
        <w:wordWrap w:val="0"/>
        <w:adjustRightInd w:val="0"/>
        <w:snapToGrid w:val="0"/>
        <w:spacing w:line="440" w:lineRule="exact"/>
        <w:ind w:firstLine="480"/>
        <w:rPr>
          <w:rFonts w:hAnsi="宋体" w:cs="宋体"/>
          <w:snapToGrid w:val="0"/>
          <w:color w:val="auto"/>
          <w:kern w:val="0"/>
          <w:szCs w:val="28"/>
          <w:highlight w:val="none"/>
        </w:rPr>
      </w:pPr>
      <w:r>
        <w:rPr>
          <w:rFonts w:hint="eastAsia" w:hAnsi="宋体" w:cs="宋体"/>
          <w:snapToGrid w:val="0"/>
          <w:color w:val="auto"/>
          <w:kern w:val="0"/>
          <w:szCs w:val="28"/>
          <w:highlight w:val="none"/>
        </w:rPr>
        <w:t>　　</w:t>
      </w:r>
    </w:p>
    <w:p w14:paraId="36EB755F">
      <w:pPr>
        <w:wordWrap w:val="0"/>
        <w:adjustRightInd w:val="0"/>
        <w:snapToGrid w:val="0"/>
        <w:spacing w:line="440" w:lineRule="exact"/>
        <w:rPr>
          <w:rFonts w:hAnsi="宋体" w:cs="宋体"/>
          <w:snapToGrid w:val="0"/>
          <w:color w:val="auto"/>
          <w:kern w:val="0"/>
          <w:szCs w:val="28"/>
          <w:highlight w:val="none"/>
        </w:rPr>
      </w:pPr>
      <w:r>
        <w:rPr>
          <w:rFonts w:hint="eastAsia" w:hAnsi="宋体" w:cs="宋体"/>
          <w:snapToGrid w:val="0"/>
          <w:color w:val="auto"/>
          <w:kern w:val="0"/>
          <w:szCs w:val="28"/>
          <w:highlight w:val="none"/>
        </w:rPr>
        <w:t>　　特此承诺　　</w:t>
      </w:r>
    </w:p>
    <w:p w14:paraId="699B7C56">
      <w:pPr>
        <w:wordWrap w:val="0"/>
        <w:adjustRightInd w:val="0"/>
        <w:snapToGrid w:val="0"/>
        <w:spacing w:line="440" w:lineRule="exact"/>
        <w:rPr>
          <w:rFonts w:hAnsi="宋体" w:cs="宋体"/>
          <w:snapToGrid w:val="0"/>
          <w:color w:val="auto"/>
          <w:kern w:val="0"/>
          <w:szCs w:val="28"/>
          <w:highlight w:val="none"/>
        </w:rPr>
      </w:pPr>
      <w:r>
        <w:rPr>
          <w:rFonts w:hint="eastAsia" w:hAnsi="宋体" w:cs="宋体"/>
          <w:snapToGrid w:val="0"/>
          <w:color w:val="auto"/>
          <w:kern w:val="0"/>
          <w:szCs w:val="28"/>
          <w:highlight w:val="none"/>
        </w:rPr>
        <w:t>　　</w:t>
      </w:r>
    </w:p>
    <w:p w14:paraId="5244A9EE">
      <w:pPr>
        <w:wordWrap w:val="0"/>
        <w:adjustRightInd w:val="0"/>
        <w:snapToGrid w:val="0"/>
        <w:spacing w:line="440" w:lineRule="exact"/>
        <w:rPr>
          <w:rFonts w:hAnsi="宋体" w:cs="宋体"/>
          <w:snapToGrid w:val="0"/>
          <w:color w:val="auto"/>
          <w:kern w:val="0"/>
          <w:szCs w:val="28"/>
          <w:highlight w:val="none"/>
        </w:rPr>
      </w:pPr>
      <w:r>
        <w:rPr>
          <w:rFonts w:hint="eastAsia" w:hAnsi="宋体" w:cs="宋体"/>
          <w:snapToGrid w:val="0"/>
          <w:color w:val="auto"/>
          <w:kern w:val="0"/>
          <w:szCs w:val="28"/>
          <w:highlight w:val="none"/>
        </w:rPr>
        <w:t>　　</w:t>
      </w:r>
    </w:p>
    <w:p w14:paraId="5FB105EA">
      <w:pPr>
        <w:wordWrap w:val="0"/>
        <w:adjustRightInd w:val="0"/>
        <w:snapToGrid w:val="0"/>
        <w:spacing w:line="440" w:lineRule="exact"/>
        <w:jc w:val="right"/>
        <w:rPr>
          <w:rFonts w:hAnsi="宋体" w:cs="宋体"/>
          <w:snapToGrid w:val="0"/>
          <w:color w:val="auto"/>
          <w:kern w:val="0"/>
          <w:szCs w:val="28"/>
          <w:highlight w:val="none"/>
        </w:rPr>
      </w:pPr>
      <w:r>
        <w:rPr>
          <w:rFonts w:hint="eastAsia" w:hAnsi="宋体" w:cs="宋体"/>
          <w:snapToGrid w:val="0"/>
          <w:color w:val="auto"/>
          <w:kern w:val="0"/>
          <w:szCs w:val="28"/>
          <w:highlight w:val="none"/>
        </w:rPr>
        <w:t>投标人：</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（盖单位章）</w:t>
      </w:r>
    </w:p>
    <w:p w14:paraId="2A604D50">
      <w:pPr>
        <w:wordWrap w:val="0"/>
        <w:adjustRightInd w:val="0"/>
        <w:snapToGrid w:val="0"/>
        <w:spacing w:line="440" w:lineRule="exact"/>
        <w:jc w:val="right"/>
        <w:rPr>
          <w:rFonts w:hAnsi="宋体" w:cs="宋体"/>
          <w:snapToGrid w:val="0"/>
          <w:color w:val="auto"/>
          <w:kern w:val="0"/>
          <w:szCs w:val="28"/>
          <w:highlight w:val="none"/>
        </w:rPr>
      </w:pPr>
    </w:p>
    <w:p w14:paraId="71BB53AD">
      <w:pPr>
        <w:wordWrap w:val="0"/>
        <w:adjustRightInd w:val="0"/>
        <w:snapToGrid w:val="0"/>
        <w:spacing w:line="440" w:lineRule="exact"/>
        <w:jc w:val="right"/>
        <w:rPr>
          <w:rFonts w:hAnsi="宋体" w:cs="宋体"/>
          <w:snapToGrid w:val="0"/>
          <w:color w:val="auto"/>
          <w:kern w:val="0"/>
          <w:szCs w:val="28"/>
          <w:highlight w:val="none"/>
        </w:rPr>
      </w:pPr>
    </w:p>
    <w:p w14:paraId="0C3A73EA">
      <w:pPr>
        <w:wordWrap w:val="0"/>
        <w:adjustRightInd w:val="0"/>
        <w:snapToGrid w:val="0"/>
        <w:spacing w:line="440" w:lineRule="exact"/>
        <w:jc w:val="right"/>
        <w:rPr>
          <w:rFonts w:hAnsi="宋体" w:cs="宋体"/>
          <w:snapToGrid w:val="0"/>
          <w:color w:val="auto"/>
          <w:kern w:val="0"/>
          <w:szCs w:val="28"/>
          <w:highlight w:val="none"/>
        </w:rPr>
      </w:pPr>
      <w:r>
        <w:rPr>
          <w:rFonts w:hint="eastAsia" w:hAnsi="宋体" w:cs="宋体"/>
          <w:snapToGrid w:val="0"/>
          <w:color w:val="auto"/>
          <w:kern w:val="0"/>
          <w:szCs w:val="28"/>
          <w:highlight w:val="none"/>
        </w:rPr>
        <w:t>法定代表人或其委托代理人：</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（签字或盖章）</w:t>
      </w:r>
    </w:p>
    <w:p w14:paraId="7AE6CC90">
      <w:pPr>
        <w:wordWrap w:val="0"/>
        <w:adjustRightInd w:val="0"/>
        <w:snapToGrid w:val="0"/>
        <w:spacing w:line="440" w:lineRule="exact"/>
        <w:jc w:val="right"/>
        <w:rPr>
          <w:rFonts w:hAnsi="宋体" w:cs="宋体"/>
          <w:snapToGrid w:val="0"/>
          <w:color w:val="auto"/>
          <w:kern w:val="0"/>
          <w:szCs w:val="28"/>
          <w:highlight w:val="none"/>
        </w:rPr>
      </w:pPr>
    </w:p>
    <w:p w14:paraId="3C9B11CD">
      <w:pPr>
        <w:wordWrap w:val="0"/>
        <w:adjustRightInd w:val="0"/>
        <w:snapToGrid w:val="0"/>
        <w:spacing w:line="440" w:lineRule="exact"/>
        <w:jc w:val="center"/>
        <w:rPr>
          <w:rFonts w:hAnsi="宋体" w:cs="宋体"/>
          <w:snapToGrid w:val="0"/>
          <w:color w:val="auto"/>
          <w:kern w:val="0"/>
          <w:szCs w:val="28"/>
          <w:highlight w:val="none"/>
        </w:rPr>
      </w:pPr>
      <w:r>
        <w:rPr>
          <w:rFonts w:hint="eastAsia" w:hAnsi="宋体" w:cs="宋体"/>
          <w:snapToGrid w:val="0"/>
          <w:color w:val="auto"/>
          <w:kern w:val="0"/>
          <w:szCs w:val="28"/>
          <w:highlight w:val="none"/>
        </w:rPr>
        <w:t xml:space="preserve">                            </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年</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月</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日</w:t>
      </w:r>
    </w:p>
    <w:p w14:paraId="7BA2FE9F">
      <w:pPr>
        <w:wordWrap w:val="0"/>
        <w:adjustRightInd w:val="0"/>
        <w:snapToGrid w:val="0"/>
        <w:spacing w:line="400" w:lineRule="exact"/>
        <w:ind w:firstLine="420"/>
        <w:rPr>
          <w:rFonts w:hAnsi="宋体" w:cs="宋体"/>
          <w:snapToGrid w:val="0"/>
          <w:color w:val="auto"/>
          <w:kern w:val="0"/>
          <w:sz w:val="21"/>
          <w:szCs w:val="28"/>
          <w:highlight w:val="none"/>
        </w:rPr>
        <w:sectPr>
          <w:endnotePr>
            <w:numFmt w:val="decimal"/>
          </w:endnotePr>
          <w:pgSz w:w="11906" w:h="16838"/>
          <w:pgMar w:top="1417" w:right="1417" w:bottom="1417" w:left="1417" w:header="850" w:footer="992" w:gutter="0"/>
          <w:pgNumType w:fmt="decimal"/>
          <w:cols w:space="0" w:num="1"/>
          <w:docGrid w:linePitch="327" w:charSpace="0"/>
        </w:sectPr>
      </w:pPr>
    </w:p>
    <w:p w14:paraId="44A5B4BF">
      <w:pPr>
        <w:wordWrap w:val="0"/>
        <w:adjustRightInd w:val="0"/>
        <w:snapToGrid w:val="0"/>
        <w:spacing w:line="440" w:lineRule="exact"/>
        <w:jc w:val="left"/>
        <w:outlineLvl w:val="1"/>
        <w:rPr>
          <w:rFonts w:hAnsi="宋体" w:cs="宋体"/>
          <w:b/>
          <w:snapToGrid w:val="0"/>
          <w:color w:val="auto"/>
          <w:kern w:val="0"/>
          <w:highlight w:val="none"/>
        </w:rPr>
      </w:pPr>
      <w:bookmarkStart w:id="324" w:name="_Toc24032"/>
      <w:r>
        <w:rPr>
          <w:rFonts w:hint="eastAsia" w:hAnsi="宋体" w:cs="宋体"/>
          <w:b/>
          <w:snapToGrid w:val="0"/>
          <w:color w:val="auto"/>
          <w:kern w:val="0"/>
          <w:highlight w:val="none"/>
        </w:rPr>
        <w:t>格式八 总监理工程师任职声明（适用于有任职项目）</w:t>
      </w:r>
      <w:bookmarkEnd w:id="324"/>
    </w:p>
    <w:p w14:paraId="449B4FD5">
      <w:pPr>
        <w:wordWrap w:val="0"/>
        <w:adjustRightInd w:val="0"/>
        <w:snapToGrid w:val="0"/>
        <w:spacing w:line="440" w:lineRule="exact"/>
        <w:jc w:val="left"/>
        <w:rPr>
          <w:rFonts w:hAnsi="宋体" w:cs="宋体"/>
          <w:b/>
          <w:snapToGrid w:val="0"/>
          <w:color w:val="auto"/>
          <w:kern w:val="0"/>
          <w:highlight w:val="none"/>
        </w:rPr>
      </w:pPr>
    </w:p>
    <w:p w14:paraId="14A50C1D">
      <w:pPr>
        <w:wordWrap w:val="0"/>
        <w:adjustRightInd w:val="0"/>
        <w:snapToGrid w:val="0"/>
        <w:spacing w:before="260" w:after="260" w:line="440" w:lineRule="exact"/>
        <w:jc w:val="center"/>
        <w:rPr>
          <w:rFonts w:hAnsi="宋体" w:cs="宋体"/>
          <w:snapToGrid w:val="0"/>
          <w:color w:val="auto"/>
          <w:kern w:val="0"/>
          <w:szCs w:val="28"/>
          <w:highlight w:val="none"/>
        </w:rPr>
      </w:pPr>
      <w:r>
        <w:rPr>
          <w:rFonts w:hint="eastAsia" w:hAnsi="宋体" w:cs="宋体"/>
          <w:b/>
          <w:snapToGrid w:val="0"/>
          <w:color w:val="auto"/>
          <w:kern w:val="0"/>
          <w:sz w:val="30"/>
          <w:highlight w:val="none"/>
        </w:rPr>
        <w:t>总监理工程师任职声明</w:t>
      </w:r>
    </w:p>
    <w:p w14:paraId="2B3ED8C9">
      <w:pPr>
        <w:wordWrap w:val="0"/>
        <w:adjustRightInd w:val="0"/>
        <w:snapToGrid w:val="0"/>
        <w:spacing w:line="440" w:lineRule="exact"/>
        <w:jc w:val="center"/>
        <w:rPr>
          <w:rFonts w:hAnsi="宋体" w:cs="宋体"/>
          <w:snapToGrid w:val="0"/>
          <w:color w:val="auto"/>
          <w:kern w:val="0"/>
          <w:szCs w:val="28"/>
          <w:highlight w:val="none"/>
        </w:rPr>
      </w:pPr>
    </w:p>
    <w:p w14:paraId="45489580">
      <w:pPr>
        <w:wordWrap w:val="0"/>
        <w:adjustRightInd w:val="0"/>
        <w:snapToGrid w:val="0"/>
        <w:spacing w:line="440" w:lineRule="exact"/>
        <w:rPr>
          <w:rFonts w:hAnsi="宋体" w:cs="宋体"/>
          <w:snapToGrid w:val="0"/>
          <w:color w:val="auto"/>
          <w:kern w:val="0"/>
          <w:szCs w:val="28"/>
          <w:highlight w:val="none"/>
        </w:rPr>
      </w:pPr>
      <w:r>
        <w:rPr>
          <w:rFonts w:hint="eastAsia" w:hAnsi="宋体" w:cs="宋体"/>
          <w:snapToGrid w:val="0"/>
          <w:color w:val="auto"/>
          <w:kern w:val="0"/>
          <w:szCs w:val="28"/>
          <w:highlight w:val="none"/>
        </w:rPr>
        <w:t>致：</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（招标人名称）：</w:t>
      </w:r>
    </w:p>
    <w:p w14:paraId="191C5186">
      <w:pPr>
        <w:wordWrap w:val="0"/>
        <w:adjustRightInd w:val="0"/>
        <w:snapToGrid w:val="0"/>
        <w:spacing w:line="440" w:lineRule="exact"/>
        <w:ind w:firstLine="480" w:firstLineChars="200"/>
        <w:rPr>
          <w:rFonts w:hAnsi="宋体" w:cs="宋体"/>
          <w:snapToGrid w:val="0"/>
          <w:color w:val="auto"/>
          <w:kern w:val="0"/>
          <w:szCs w:val="28"/>
          <w:highlight w:val="none"/>
        </w:rPr>
      </w:pPr>
      <w:r>
        <w:rPr>
          <w:rFonts w:hint="eastAsia" w:hAnsi="宋体" w:cs="宋体"/>
          <w:snapToGrid w:val="0"/>
          <w:color w:val="auto"/>
          <w:kern w:val="0"/>
          <w:szCs w:val="28"/>
          <w:highlight w:val="none"/>
        </w:rPr>
        <w:t>我方在此声明，我方拟派往</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（项目名称）的总监理工程师</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（总监理工程师姓名）现阶段正在担任</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个在施（包括已中标未开工、已开工未竣工）建设工程项目的总监理工程师，具体情况详见《总监理工程师任职项目情况表》。</w:t>
      </w:r>
    </w:p>
    <w:p w14:paraId="7C6A7DE6">
      <w:pPr>
        <w:wordWrap w:val="0"/>
        <w:adjustRightInd w:val="0"/>
        <w:snapToGrid w:val="0"/>
        <w:spacing w:line="440" w:lineRule="exact"/>
        <w:ind w:firstLine="480"/>
        <w:rPr>
          <w:rFonts w:hAnsi="宋体" w:cs="宋体"/>
          <w:snapToGrid w:val="0"/>
          <w:color w:val="auto"/>
          <w:kern w:val="0"/>
          <w:szCs w:val="28"/>
          <w:highlight w:val="none"/>
        </w:rPr>
      </w:pPr>
      <w:r>
        <w:rPr>
          <w:rFonts w:hint="eastAsia" w:hAnsi="宋体" w:cs="宋体"/>
          <w:snapToGrid w:val="0"/>
          <w:color w:val="auto"/>
          <w:kern w:val="0"/>
          <w:szCs w:val="28"/>
          <w:highlight w:val="none"/>
        </w:rPr>
        <w:t>我方保证上述信息的真实和准确，并愿意承担因我方就此弄虚作假所引起的一切法律后果。</w:t>
      </w:r>
    </w:p>
    <w:p w14:paraId="5683D055">
      <w:pPr>
        <w:wordWrap w:val="0"/>
        <w:adjustRightInd w:val="0"/>
        <w:snapToGrid w:val="0"/>
        <w:spacing w:line="440" w:lineRule="exact"/>
        <w:ind w:firstLine="480"/>
        <w:rPr>
          <w:rFonts w:hAnsi="宋体" w:cs="宋体"/>
          <w:snapToGrid w:val="0"/>
          <w:color w:val="auto"/>
          <w:kern w:val="0"/>
          <w:szCs w:val="28"/>
          <w:highlight w:val="none"/>
        </w:rPr>
      </w:pPr>
      <w:r>
        <w:rPr>
          <w:rFonts w:hint="eastAsia" w:hAnsi="宋体" w:cs="宋体"/>
          <w:snapToGrid w:val="0"/>
          <w:color w:val="auto"/>
          <w:kern w:val="0"/>
          <w:szCs w:val="28"/>
          <w:highlight w:val="none"/>
        </w:rPr>
        <w:t>　　</w:t>
      </w:r>
    </w:p>
    <w:p w14:paraId="1FA625A2">
      <w:pPr>
        <w:wordWrap w:val="0"/>
        <w:adjustRightInd w:val="0"/>
        <w:snapToGrid w:val="0"/>
        <w:spacing w:line="440" w:lineRule="exact"/>
        <w:ind w:firstLine="480"/>
        <w:rPr>
          <w:rFonts w:hAnsi="宋体" w:cs="宋体"/>
          <w:snapToGrid w:val="0"/>
          <w:color w:val="auto"/>
          <w:kern w:val="0"/>
          <w:szCs w:val="28"/>
          <w:highlight w:val="none"/>
        </w:rPr>
      </w:pPr>
      <w:r>
        <w:rPr>
          <w:rFonts w:hint="eastAsia" w:hAnsi="宋体" w:cs="宋体"/>
          <w:snapToGrid w:val="0"/>
          <w:color w:val="auto"/>
          <w:kern w:val="0"/>
          <w:szCs w:val="28"/>
          <w:highlight w:val="none"/>
        </w:rPr>
        <w:t>特此承诺</w:t>
      </w:r>
    </w:p>
    <w:p w14:paraId="46BFCB72">
      <w:pPr>
        <w:wordWrap w:val="0"/>
        <w:adjustRightInd w:val="0"/>
        <w:snapToGrid w:val="0"/>
        <w:spacing w:line="440" w:lineRule="exact"/>
        <w:ind w:firstLine="480"/>
        <w:rPr>
          <w:rFonts w:hAnsi="宋体" w:cs="宋体"/>
          <w:snapToGrid w:val="0"/>
          <w:color w:val="auto"/>
          <w:kern w:val="0"/>
          <w:szCs w:val="28"/>
          <w:highlight w:val="none"/>
        </w:rPr>
      </w:pPr>
    </w:p>
    <w:p w14:paraId="627F814D">
      <w:pPr>
        <w:wordWrap w:val="0"/>
        <w:adjustRightInd w:val="0"/>
        <w:snapToGrid w:val="0"/>
        <w:spacing w:line="440" w:lineRule="exact"/>
        <w:rPr>
          <w:rFonts w:hAnsi="宋体" w:cs="宋体"/>
          <w:snapToGrid w:val="0"/>
          <w:color w:val="auto"/>
          <w:kern w:val="0"/>
          <w:szCs w:val="28"/>
          <w:highlight w:val="none"/>
        </w:rPr>
      </w:pPr>
      <w:r>
        <w:rPr>
          <w:rFonts w:hint="eastAsia" w:hAnsi="宋体" w:cs="宋体"/>
          <w:snapToGrid w:val="0"/>
          <w:color w:val="auto"/>
          <w:kern w:val="0"/>
          <w:szCs w:val="28"/>
          <w:highlight w:val="none"/>
        </w:rPr>
        <w:t>　　</w:t>
      </w:r>
    </w:p>
    <w:p w14:paraId="47D291EC">
      <w:pPr>
        <w:wordWrap w:val="0"/>
        <w:adjustRightInd w:val="0"/>
        <w:snapToGrid w:val="0"/>
        <w:spacing w:line="440" w:lineRule="exact"/>
        <w:jc w:val="right"/>
        <w:rPr>
          <w:rFonts w:hAnsi="宋体" w:cs="宋体"/>
          <w:snapToGrid w:val="0"/>
          <w:color w:val="auto"/>
          <w:kern w:val="0"/>
          <w:szCs w:val="28"/>
          <w:highlight w:val="none"/>
        </w:rPr>
      </w:pPr>
      <w:r>
        <w:rPr>
          <w:rFonts w:hint="eastAsia" w:hAnsi="宋体" w:cs="宋体"/>
          <w:snapToGrid w:val="0"/>
          <w:color w:val="auto"/>
          <w:kern w:val="0"/>
          <w:szCs w:val="28"/>
          <w:highlight w:val="none"/>
        </w:rPr>
        <w:t>投标人：</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（盖单位章）</w:t>
      </w:r>
    </w:p>
    <w:p w14:paraId="1B4B0533">
      <w:pPr>
        <w:wordWrap w:val="0"/>
        <w:adjustRightInd w:val="0"/>
        <w:snapToGrid w:val="0"/>
        <w:spacing w:line="440" w:lineRule="exact"/>
        <w:jc w:val="right"/>
        <w:rPr>
          <w:rFonts w:hAnsi="宋体" w:cs="宋体"/>
          <w:snapToGrid w:val="0"/>
          <w:color w:val="auto"/>
          <w:kern w:val="0"/>
          <w:szCs w:val="28"/>
          <w:highlight w:val="none"/>
        </w:rPr>
      </w:pPr>
    </w:p>
    <w:p w14:paraId="487F86BE">
      <w:pPr>
        <w:wordWrap w:val="0"/>
        <w:adjustRightInd w:val="0"/>
        <w:snapToGrid w:val="0"/>
        <w:spacing w:line="440" w:lineRule="exact"/>
        <w:jc w:val="right"/>
        <w:rPr>
          <w:rFonts w:hAnsi="宋体" w:cs="宋体"/>
          <w:snapToGrid w:val="0"/>
          <w:color w:val="auto"/>
          <w:kern w:val="0"/>
          <w:szCs w:val="28"/>
          <w:highlight w:val="none"/>
        </w:rPr>
      </w:pPr>
    </w:p>
    <w:p w14:paraId="7D65E6AD">
      <w:pPr>
        <w:wordWrap w:val="0"/>
        <w:adjustRightInd w:val="0"/>
        <w:snapToGrid w:val="0"/>
        <w:spacing w:line="440" w:lineRule="exact"/>
        <w:jc w:val="right"/>
        <w:rPr>
          <w:rFonts w:hAnsi="宋体" w:cs="宋体"/>
          <w:snapToGrid w:val="0"/>
          <w:color w:val="auto"/>
          <w:kern w:val="0"/>
          <w:szCs w:val="28"/>
          <w:highlight w:val="none"/>
        </w:rPr>
      </w:pPr>
      <w:r>
        <w:rPr>
          <w:rFonts w:hint="eastAsia" w:hAnsi="宋体" w:cs="宋体"/>
          <w:snapToGrid w:val="0"/>
          <w:color w:val="auto"/>
          <w:kern w:val="0"/>
          <w:szCs w:val="28"/>
          <w:highlight w:val="none"/>
        </w:rPr>
        <w:t>法定代表人或其委托代理人：</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（签字或盖章）</w:t>
      </w:r>
    </w:p>
    <w:p w14:paraId="029F2B4C">
      <w:pPr>
        <w:wordWrap w:val="0"/>
        <w:adjustRightInd w:val="0"/>
        <w:snapToGrid w:val="0"/>
        <w:spacing w:line="440" w:lineRule="exact"/>
        <w:jc w:val="right"/>
        <w:rPr>
          <w:rFonts w:hAnsi="宋体" w:cs="宋体"/>
          <w:snapToGrid w:val="0"/>
          <w:color w:val="auto"/>
          <w:kern w:val="0"/>
          <w:szCs w:val="28"/>
          <w:highlight w:val="none"/>
        </w:rPr>
      </w:pPr>
    </w:p>
    <w:p w14:paraId="1E734F3E">
      <w:pPr>
        <w:wordWrap w:val="0"/>
        <w:adjustRightInd w:val="0"/>
        <w:snapToGrid w:val="0"/>
        <w:spacing w:line="440" w:lineRule="exact"/>
        <w:jc w:val="center"/>
        <w:rPr>
          <w:rFonts w:hAnsi="宋体" w:cs="宋体"/>
          <w:snapToGrid w:val="0"/>
          <w:color w:val="auto"/>
          <w:kern w:val="0"/>
          <w:szCs w:val="28"/>
          <w:highlight w:val="none"/>
        </w:rPr>
      </w:pPr>
      <w:r>
        <w:rPr>
          <w:rFonts w:hint="eastAsia" w:hAnsi="宋体" w:cs="宋体"/>
          <w:snapToGrid w:val="0"/>
          <w:color w:val="auto"/>
          <w:kern w:val="0"/>
          <w:szCs w:val="28"/>
          <w:highlight w:val="none"/>
        </w:rPr>
        <w:t xml:space="preserve">                            </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年</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月</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日</w:t>
      </w:r>
    </w:p>
    <w:p w14:paraId="19DAFB93">
      <w:pPr>
        <w:wordWrap w:val="0"/>
        <w:adjustRightInd w:val="0"/>
        <w:snapToGrid w:val="0"/>
        <w:spacing w:line="440" w:lineRule="exact"/>
        <w:jc w:val="center"/>
        <w:rPr>
          <w:rFonts w:hAnsi="宋体" w:cs="宋体"/>
          <w:snapToGrid w:val="0"/>
          <w:color w:val="auto"/>
          <w:kern w:val="0"/>
          <w:szCs w:val="28"/>
          <w:highlight w:val="none"/>
        </w:rPr>
      </w:pPr>
    </w:p>
    <w:p w14:paraId="77D57279">
      <w:pPr>
        <w:wordWrap w:val="0"/>
        <w:adjustRightInd w:val="0"/>
        <w:snapToGrid w:val="0"/>
        <w:spacing w:line="400" w:lineRule="exact"/>
        <w:ind w:firstLine="420"/>
        <w:rPr>
          <w:rFonts w:hAnsi="宋体" w:cs="宋体"/>
          <w:snapToGrid w:val="0"/>
          <w:color w:val="auto"/>
          <w:kern w:val="0"/>
          <w:sz w:val="21"/>
          <w:szCs w:val="28"/>
          <w:highlight w:val="none"/>
        </w:rPr>
        <w:sectPr>
          <w:endnotePr>
            <w:numFmt w:val="decimal"/>
          </w:endnotePr>
          <w:pgSz w:w="11906" w:h="16838"/>
          <w:pgMar w:top="1417" w:right="1417" w:bottom="1417" w:left="1417" w:header="850" w:footer="992" w:gutter="0"/>
          <w:pgNumType w:fmt="decimal"/>
          <w:cols w:space="0" w:num="1"/>
          <w:docGrid w:linePitch="327" w:charSpace="0"/>
        </w:sectPr>
      </w:pPr>
    </w:p>
    <w:p w14:paraId="3488CF33">
      <w:pPr>
        <w:wordWrap w:val="0"/>
        <w:adjustRightInd w:val="0"/>
        <w:snapToGrid w:val="0"/>
        <w:spacing w:line="440" w:lineRule="exact"/>
        <w:outlineLvl w:val="1"/>
        <w:rPr>
          <w:rFonts w:hAnsi="宋体" w:cs="宋体"/>
          <w:b/>
          <w:bCs/>
          <w:snapToGrid w:val="0"/>
          <w:color w:val="auto"/>
          <w:kern w:val="0"/>
          <w:szCs w:val="24"/>
          <w:highlight w:val="none"/>
        </w:rPr>
      </w:pPr>
      <w:bookmarkStart w:id="325" w:name="_Toc2263"/>
      <w:r>
        <w:rPr>
          <w:rFonts w:hint="eastAsia" w:hAnsi="宋体" w:cs="宋体"/>
          <w:b/>
          <w:bCs/>
          <w:snapToGrid w:val="0"/>
          <w:color w:val="auto"/>
          <w:kern w:val="0"/>
          <w:szCs w:val="24"/>
          <w:highlight w:val="none"/>
        </w:rPr>
        <w:t>格式九 总监理工程师任职项目情况表</w:t>
      </w:r>
      <w:bookmarkEnd w:id="325"/>
    </w:p>
    <w:p w14:paraId="1C05E0FA">
      <w:pPr>
        <w:wordWrap w:val="0"/>
        <w:adjustRightInd w:val="0"/>
        <w:snapToGrid w:val="0"/>
        <w:spacing w:line="440" w:lineRule="exact"/>
        <w:rPr>
          <w:rFonts w:hAnsi="宋体" w:cs="宋体"/>
          <w:b/>
          <w:bCs/>
          <w:snapToGrid w:val="0"/>
          <w:color w:val="auto"/>
          <w:kern w:val="0"/>
          <w:szCs w:val="24"/>
          <w:highlight w:val="none"/>
        </w:rPr>
      </w:pPr>
    </w:p>
    <w:p w14:paraId="1E110BE9">
      <w:pPr>
        <w:pStyle w:val="74"/>
        <w:widowControl w:val="0"/>
        <w:wordWrap w:val="0"/>
        <w:adjustRightInd w:val="0"/>
        <w:snapToGrid w:val="0"/>
        <w:spacing w:before="260" w:after="260" w:line="400" w:lineRule="exact"/>
        <w:ind w:firstLine="0"/>
        <w:jc w:val="center"/>
        <w:rPr>
          <w:rFonts w:hAnsi="宋体" w:cs="宋体"/>
          <w:snapToGrid w:val="0"/>
          <w:color w:val="auto"/>
          <w:sz w:val="24"/>
          <w:highlight w:val="none"/>
        </w:rPr>
      </w:pPr>
      <w:r>
        <w:rPr>
          <w:rFonts w:hint="eastAsia" w:hAnsi="宋体" w:cs="宋体"/>
          <w:b/>
          <w:snapToGrid w:val="0"/>
          <w:color w:val="auto"/>
          <w:sz w:val="30"/>
          <w:highlight w:val="none"/>
        </w:rPr>
        <w:t xml:space="preserve"> 总监理工程师任职项目情况表（）</w:t>
      </w:r>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5"/>
        <w:gridCol w:w="2771"/>
        <w:gridCol w:w="1635"/>
        <w:gridCol w:w="2594"/>
      </w:tblGrid>
      <w:tr w14:paraId="665DB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05" w:type="dxa"/>
            <w:vAlign w:val="center"/>
          </w:tcPr>
          <w:p w14:paraId="007620DC">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项目名称</w:t>
            </w:r>
          </w:p>
        </w:tc>
        <w:tc>
          <w:tcPr>
            <w:tcW w:w="2771" w:type="dxa"/>
            <w:vAlign w:val="center"/>
          </w:tcPr>
          <w:p w14:paraId="2DFCFA84">
            <w:pPr>
              <w:pStyle w:val="138"/>
              <w:wordWrap w:val="0"/>
              <w:adjustRightInd w:val="0"/>
              <w:snapToGrid w:val="0"/>
              <w:jc w:val="center"/>
              <w:rPr>
                <w:rFonts w:ascii="宋体" w:hAnsi="宋体" w:cs="宋体"/>
                <w:snapToGrid w:val="0"/>
                <w:color w:val="auto"/>
                <w:kern w:val="0"/>
                <w:szCs w:val="21"/>
                <w:highlight w:val="none"/>
              </w:rPr>
            </w:pPr>
          </w:p>
        </w:tc>
        <w:tc>
          <w:tcPr>
            <w:tcW w:w="1635" w:type="dxa"/>
            <w:vAlign w:val="center"/>
          </w:tcPr>
          <w:p w14:paraId="6AC2BA15">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项目所在地</w:t>
            </w:r>
          </w:p>
        </w:tc>
        <w:tc>
          <w:tcPr>
            <w:tcW w:w="2594" w:type="dxa"/>
            <w:vAlign w:val="center"/>
          </w:tcPr>
          <w:p w14:paraId="24CD9F05">
            <w:pPr>
              <w:pStyle w:val="138"/>
              <w:wordWrap w:val="0"/>
              <w:adjustRightInd w:val="0"/>
              <w:snapToGrid w:val="0"/>
              <w:jc w:val="center"/>
              <w:rPr>
                <w:rFonts w:ascii="宋体" w:hAnsi="宋体" w:cs="宋体"/>
                <w:snapToGrid w:val="0"/>
                <w:color w:val="auto"/>
                <w:kern w:val="0"/>
                <w:szCs w:val="21"/>
                <w:highlight w:val="none"/>
              </w:rPr>
            </w:pPr>
          </w:p>
        </w:tc>
      </w:tr>
      <w:tr w14:paraId="2AA23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05" w:type="dxa"/>
            <w:vAlign w:val="center"/>
          </w:tcPr>
          <w:p w14:paraId="28E74488">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委托人名称</w:t>
            </w:r>
          </w:p>
        </w:tc>
        <w:tc>
          <w:tcPr>
            <w:tcW w:w="2771" w:type="dxa"/>
            <w:vAlign w:val="center"/>
          </w:tcPr>
          <w:p w14:paraId="5F8E80CE">
            <w:pPr>
              <w:pStyle w:val="138"/>
              <w:wordWrap w:val="0"/>
              <w:adjustRightInd w:val="0"/>
              <w:snapToGrid w:val="0"/>
              <w:jc w:val="center"/>
              <w:rPr>
                <w:rFonts w:ascii="宋体" w:hAnsi="宋体" w:cs="宋体"/>
                <w:snapToGrid w:val="0"/>
                <w:color w:val="auto"/>
                <w:kern w:val="0"/>
                <w:szCs w:val="21"/>
                <w:highlight w:val="none"/>
              </w:rPr>
            </w:pPr>
          </w:p>
        </w:tc>
        <w:tc>
          <w:tcPr>
            <w:tcW w:w="1635" w:type="dxa"/>
            <w:vAlign w:val="center"/>
          </w:tcPr>
          <w:p w14:paraId="1BC9377E">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委托人地址</w:t>
            </w:r>
          </w:p>
        </w:tc>
        <w:tc>
          <w:tcPr>
            <w:tcW w:w="2594" w:type="dxa"/>
            <w:vAlign w:val="center"/>
          </w:tcPr>
          <w:p w14:paraId="334897D3">
            <w:pPr>
              <w:pStyle w:val="138"/>
              <w:wordWrap w:val="0"/>
              <w:adjustRightInd w:val="0"/>
              <w:snapToGrid w:val="0"/>
              <w:jc w:val="center"/>
              <w:rPr>
                <w:rFonts w:ascii="宋体" w:hAnsi="宋体" w:cs="宋体"/>
                <w:snapToGrid w:val="0"/>
                <w:color w:val="auto"/>
                <w:kern w:val="0"/>
                <w:szCs w:val="21"/>
                <w:highlight w:val="none"/>
              </w:rPr>
            </w:pPr>
          </w:p>
        </w:tc>
      </w:tr>
      <w:tr w14:paraId="7B360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05" w:type="dxa"/>
            <w:vAlign w:val="center"/>
          </w:tcPr>
          <w:p w14:paraId="14D79615">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委托人电话</w:t>
            </w:r>
          </w:p>
        </w:tc>
        <w:tc>
          <w:tcPr>
            <w:tcW w:w="2771" w:type="dxa"/>
            <w:vAlign w:val="center"/>
          </w:tcPr>
          <w:p w14:paraId="2AAC336B">
            <w:pPr>
              <w:pStyle w:val="138"/>
              <w:wordWrap w:val="0"/>
              <w:adjustRightInd w:val="0"/>
              <w:snapToGrid w:val="0"/>
              <w:jc w:val="center"/>
              <w:rPr>
                <w:rFonts w:ascii="宋体" w:hAnsi="宋体" w:cs="宋体"/>
                <w:snapToGrid w:val="0"/>
                <w:color w:val="auto"/>
                <w:kern w:val="0"/>
                <w:szCs w:val="21"/>
                <w:highlight w:val="none"/>
              </w:rPr>
            </w:pPr>
          </w:p>
        </w:tc>
        <w:tc>
          <w:tcPr>
            <w:tcW w:w="1635" w:type="dxa"/>
            <w:vAlign w:val="center"/>
          </w:tcPr>
          <w:p w14:paraId="530B3B45">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总监理工程师</w:t>
            </w:r>
          </w:p>
        </w:tc>
        <w:tc>
          <w:tcPr>
            <w:tcW w:w="2594" w:type="dxa"/>
            <w:vAlign w:val="center"/>
          </w:tcPr>
          <w:p w14:paraId="2993C8DD">
            <w:pPr>
              <w:pStyle w:val="138"/>
              <w:wordWrap w:val="0"/>
              <w:adjustRightInd w:val="0"/>
              <w:snapToGrid w:val="0"/>
              <w:jc w:val="center"/>
              <w:rPr>
                <w:rFonts w:ascii="宋体" w:hAnsi="宋体" w:cs="宋体"/>
                <w:snapToGrid w:val="0"/>
                <w:color w:val="auto"/>
                <w:kern w:val="0"/>
                <w:szCs w:val="21"/>
                <w:highlight w:val="none"/>
              </w:rPr>
            </w:pPr>
          </w:p>
        </w:tc>
      </w:tr>
      <w:tr w14:paraId="43D0F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05" w:type="dxa"/>
            <w:vAlign w:val="center"/>
          </w:tcPr>
          <w:p w14:paraId="5120285D">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监理服务期限</w:t>
            </w:r>
          </w:p>
        </w:tc>
        <w:tc>
          <w:tcPr>
            <w:tcW w:w="2771" w:type="dxa"/>
            <w:vAlign w:val="center"/>
          </w:tcPr>
          <w:p w14:paraId="253ECA3C">
            <w:pPr>
              <w:pStyle w:val="138"/>
              <w:wordWrap w:val="0"/>
              <w:adjustRightInd w:val="0"/>
              <w:snapToGrid w:val="0"/>
              <w:jc w:val="center"/>
              <w:rPr>
                <w:rFonts w:ascii="宋体" w:hAnsi="宋体" w:cs="宋体"/>
                <w:snapToGrid w:val="0"/>
                <w:color w:val="auto"/>
                <w:kern w:val="0"/>
                <w:szCs w:val="21"/>
                <w:highlight w:val="none"/>
              </w:rPr>
            </w:pPr>
          </w:p>
        </w:tc>
        <w:tc>
          <w:tcPr>
            <w:tcW w:w="1635" w:type="dxa"/>
            <w:vAlign w:val="center"/>
          </w:tcPr>
          <w:p w14:paraId="5379C804">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监理内容</w:t>
            </w:r>
          </w:p>
        </w:tc>
        <w:tc>
          <w:tcPr>
            <w:tcW w:w="2594" w:type="dxa"/>
            <w:vAlign w:val="center"/>
          </w:tcPr>
          <w:p w14:paraId="1EEFB69A">
            <w:pPr>
              <w:pStyle w:val="138"/>
              <w:wordWrap w:val="0"/>
              <w:adjustRightInd w:val="0"/>
              <w:snapToGrid w:val="0"/>
              <w:jc w:val="center"/>
              <w:rPr>
                <w:rFonts w:ascii="宋体" w:hAnsi="宋体" w:cs="宋体"/>
                <w:snapToGrid w:val="0"/>
                <w:color w:val="auto"/>
                <w:kern w:val="0"/>
                <w:szCs w:val="21"/>
                <w:highlight w:val="none"/>
              </w:rPr>
            </w:pPr>
          </w:p>
        </w:tc>
      </w:tr>
      <w:tr w14:paraId="0C3CB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exact"/>
          <w:jc w:val="center"/>
        </w:trPr>
        <w:tc>
          <w:tcPr>
            <w:tcW w:w="1505" w:type="dxa"/>
            <w:vAlign w:val="center"/>
          </w:tcPr>
          <w:p w14:paraId="700B107C">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项目描述</w:t>
            </w:r>
          </w:p>
        </w:tc>
        <w:tc>
          <w:tcPr>
            <w:tcW w:w="7000" w:type="dxa"/>
            <w:gridSpan w:val="3"/>
            <w:vAlign w:val="center"/>
          </w:tcPr>
          <w:p w14:paraId="21A54D72">
            <w:pPr>
              <w:pStyle w:val="138"/>
              <w:wordWrap w:val="0"/>
              <w:adjustRightInd w:val="0"/>
              <w:snapToGrid w:val="0"/>
              <w:jc w:val="left"/>
              <w:rPr>
                <w:rFonts w:ascii="宋体" w:hAnsi="宋体" w:cs="宋体"/>
                <w:snapToGrid w:val="0"/>
                <w:color w:val="auto"/>
                <w:kern w:val="0"/>
                <w:szCs w:val="21"/>
                <w:highlight w:val="none"/>
              </w:rPr>
            </w:pPr>
          </w:p>
        </w:tc>
      </w:tr>
      <w:tr w14:paraId="0194E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5" w:type="dxa"/>
            <w:vAlign w:val="center"/>
          </w:tcPr>
          <w:p w14:paraId="055191C9">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委托人声明</w:t>
            </w:r>
          </w:p>
        </w:tc>
        <w:tc>
          <w:tcPr>
            <w:tcW w:w="7000" w:type="dxa"/>
            <w:gridSpan w:val="3"/>
            <w:vAlign w:val="center"/>
          </w:tcPr>
          <w:p w14:paraId="418BE4BE">
            <w:pPr>
              <w:pStyle w:val="138"/>
              <w:adjustRightInd w:val="0"/>
              <w:snapToGrid w:val="0"/>
              <w:spacing w:line="360" w:lineRule="auto"/>
              <w:rPr>
                <w:rFonts w:ascii="宋体" w:hAnsi="宋体" w:cs="宋体"/>
                <w:snapToGrid w:val="0"/>
                <w:color w:val="auto"/>
                <w:kern w:val="0"/>
                <w:szCs w:val="21"/>
                <w:highlight w:val="none"/>
              </w:rPr>
            </w:pPr>
          </w:p>
          <w:p w14:paraId="602D8050">
            <w:pPr>
              <w:pStyle w:val="138"/>
              <w:adjustRightInd w:val="0"/>
              <w:snapToGrid w:val="0"/>
              <w:spacing w:line="360" w:lineRule="auto"/>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致：</w:t>
            </w:r>
            <w:r>
              <w:rPr>
                <w:rFonts w:hint="eastAsia" w:ascii="宋体" w:hAnsi="宋体" w:cs="宋体"/>
                <w:snapToGrid w:val="0"/>
                <w:color w:val="auto"/>
                <w:kern w:val="0"/>
                <w:szCs w:val="21"/>
                <w:highlight w:val="none"/>
                <w:u w:val="single"/>
              </w:rPr>
              <w:t>（本招标项目招标人名称）</w:t>
            </w:r>
          </w:p>
          <w:p w14:paraId="37F7ABA7">
            <w:pPr>
              <w:pStyle w:val="138"/>
              <w:adjustRightInd w:val="0"/>
              <w:snapToGrid w:val="0"/>
              <w:spacing w:line="360" w:lineRule="auto"/>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 xml:space="preserve">    我方在此声明：</w:t>
            </w:r>
          </w:p>
          <w:p w14:paraId="221BF42B">
            <w:pPr>
              <w:pStyle w:val="138"/>
              <w:adjustRightInd w:val="0"/>
              <w:snapToGrid w:val="0"/>
              <w:spacing w:line="360" w:lineRule="auto"/>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 xml:space="preserve">    一、在</w:t>
            </w:r>
            <w:r>
              <w:rPr>
                <w:rFonts w:hint="eastAsia" w:ascii="宋体" w:hAnsi="宋体" w:cs="宋体"/>
                <w:snapToGrid w:val="0"/>
                <w:color w:val="auto"/>
                <w:kern w:val="0"/>
                <w:szCs w:val="21"/>
                <w:highlight w:val="none"/>
                <w:u w:val="single"/>
              </w:rPr>
              <w:t xml:space="preserve"> （拟派总监姓名） </w:t>
            </w:r>
            <w:r>
              <w:rPr>
                <w:rFonts w:hint="eastAsia" w:ascii="宋体" w:hAnsi="宋体" w:cs="宋体"/>
                <w:snapToGrid w:val="0"/>
                <w:color w:val="auto"/>
                <w:kern w:val="0"/>
                <w:szCs w:val="21"/>
                <w:highlight w:val="none"/>
              </w:rPr>
              <w:t>同志任我方在施项目总监理工程师期间，如果</w:t>
            </w:r>
            <w:r>
              <w:rPr>
                <w:rFonts w:hint="eastAsia" w:ascii="宋体" w:hAnsi="宋体" w:cs="宋体"/>
                <w:snapToGrid w:val="0"/>
                <w:color w:val="auto"/>
                <w:kern w:val="0"/>
                <w:szCs w:val="21"/>
                <w:highlight w:val="none"/>
                <w:u w:val="single"/>
              </w:rPr>
              <w:t xml:space="preserve"> （投标人名称） </w:t>
            </w:r>
            <w:r>
              <w:rPr>
                <w:rFonts w:hint="eastAsia" w:ascii="宋体" w:hAnsi="宋体" w:cs="宋体"/>
                <w:snapToGrid w:val="0"/>
                <w:color w:val="auto"/>
                <w:kern w:val="0"/>
                <w:szCs w:val="21"/>
                <w:highlight w:val="none"/>
              </w:rPr>
              <w:t>中标你方招标项目监理业务，在</w:t>
            </w:r>
            <w:r>
              <w:rPr>
                <w:rFonts w:hint="eastAsia" w:ascii="宋体" w:hAnsi="宋体" w:cs="宋体"/>
                <w:snapToGrid w:val="0"/>
                <w:color w:val="auto"/>
                <w:kern w:val="0"/>
                <w:szCs w:val="21"/>
                <w:highlight w:val="none"/>
                <w:u w:val="single"/>
              </w:rPr>
              <w:t xml:space="preserve"> （拟派总监姓名） </w:t>
            </w:r>
            <w:r>
              <w:rPr>
                <w:rFonts w:hint="eastAsia" w:ascii="宋体" w:hAnsi="宋体" w:cs="宋体"/>
                <w:snapToGrid w:val="0"/>
                <w:color w:val="auto"/>
                <w:kern w:val="0"/>
                <w:szCs w:val="21"/>
                <w:highlight w:val="none"/>
              </w:rPr>
              <w:t>同志目前担任总监理工程师职务的项目总数不超过两个（含我方在施项目）的前提下，我方同意其同时担任你方招标项目的总监理工程师；如果未中标，以上声明自动失效。</w:t>
            </w:r>
          </w:p>
          <w:p w14:paraId="6DBCA6A9">
            <w:pPr>
              <w:pStyle w:val="138"/>
              <w:adjustRightInd w:val="0"/>
              <w:snapToGrid w:val="0"/>
              <w:spacing w:line="360" w:lineRule="auto"/>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 xml:space="preserve">    二、无论</w:t>
            </w:r>
            <w:r>
              <w:rPr>
                <w:rFonts w:hint="eastAsia" w:ascii="宋体" w:hAnsi="宋体" w:cs="宋体"/>
                <w:snapToGrid w:val="0"/>
                <w:color w:val="auto"/>
                <w:kern w:val="0"/>
                <w:szCs w:val="21"/>
                <w:highlight w:val="none"/>
                <w:u w:val="single"/>
              </w:rPr>
              <w:t xml:space="preserve"> （拟派总监姓名） </w:t>
            </w:r>
            <w:r>
              <w:rPr>
                <w:rFonts w:hint="eastAsia" w:ascii="宋体" w:hAnsi="宋体" w:cs="宋体"/>
                <w:snapToGrid w:val="0"/>
                <w:color w:val="auto"/>
                <w:kern w:val="0"/>
                <w:szCs w:val="21"/>
                <w:highlight w:val="none"/>
              </w:rPr>
              <w:t>同志是否担任其他建设项目的总监理工程师，</w:t>
            </w:r>
            <w:r>
              <w:rPr>
                <w:rFonts w:hint="eastAsia" w:ascii="宋体" w:hAnsi="宋体" w:cs="宋体"/>
                <w:snapToGrid w:val="0"/>
                <w:color w:val="auto"/>
                <w:kern w:val="0"/>
                <w:szCs w:val="21"/>
                <w:highlight w:val="none"/>
                <w:u w:val="single"/>
              </w:rPr>
              <w:t xml:space="preserve"> （投标人名称） </w:t>
            </w:r>
            <w:r>
              <w:rPr>
                <w:rFonts w:hint="eastAsia" w:ascii="宋体" w:hAnsi="宋体" w:cs="宋体"/>
                <w:snapToGrid w:val="0"/>
                <w:color w:val="auto"/>
                <w:kern w:val="0"/>
                <w:szCs w:val="21"/>
                <w:highlight w:val="none"/>
              </w:rPr>
              <w:t>都必须完全、严格履行我方在施项目监理合同中约定的所有义务，并确保服务内容、服务质量不得有任何减少或降低。</w:t>
            </w:r>
          </w:p>
          <w:p w14:paraId="092F9495">
            <w:pPr>
              <w:pStyle w:val="138"/>
              <w:adjustRightInd w:val="0"/>
              <w:snapToGrid w:val="0"/>
              <w:spacing w:line="360" w:lineRule="auto"/>
              <w:rPr>
                <w:rFonts w:ascii="宋体" w:hAnsi="宋体" w:cs="宋体"/>
                <w:snapToGrid w:val="0"/>
                <w:color w:val="auto"/>
                <w:kern w:val="0"/>
                <w:szCs w:val="21"/>
                <w:highlight w:val="none"/>
              </w:rPr>
            </w:pPr>
          </w:p>
          <w:p w14:paraId="2DED7437">
            <w:pPr>
              <w:pStyle w:val="138"/>
              <w:adjustRightInd w:val="0"/>
              <w:snapToGrid w:val="0"/>
              <w:spacing w:line="360" w:lineRule="auto"/>
              <w:rPr>
                <w:rFonts w:ascii="宋体" w:hAnsi="宋体" w:cs="宋体"/>
                <w:snapToGrid w:val="0"/>
                <w:color w:val="auto"/>
                <w:kern w:val="0"/>
                <w:szCs w:val="21"/>
                <w:highlight w:val="none"/>
              </w:rPr>
            </w:pPr>
          </w:p>
          <w:p w14:paraId="599D977E">
            <w:pPr>
              <w:pStyle w:val="138"/>
              <w:adjustRightInd w:val="0"/>
              <w:snapToGrid w:val="0"/>
              <w:spacing w:line="360" w:lineRule="auto"/>
              <w:jc w:val="right"/>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建设单位名称：</w:t>
            </w:r>
            <w:r>
              <w:rPr>
                <w:rFonts w:hint="eastAsia" w:ascii="宋体" w:hAnsi="宋体" w:cs="宋体"/>
                <w:snapToGrid w:val="0"/>
                <w:color w:val="auto"/>
                <w:kern w:val="0"/>
                <w:szCs w:val="21"/>
                <w:highlight w:val="none"/>
                <w:u w:val="single"/>
              </w:rPr>
              <w:t xml:space="preserve">                </w:t>
            </w:r>
            <w:r>
              <w:rPr>
                <w:rFonts w:hint="eastAsia" w:ascii="宋体" w:hAnsi="宋体" w:cs="宋体"/>
                <w:snapToGrid w:val="0"/>
                <w:color w:val="auto"/>
                <w:kern w:val="0"/>
                <w:szCs w:val="21"/>
                <w:highlight w:val="none"/>
              </w:rPr>
              <w:t>（盖单位章）</w:t>
            </w:r>
          </w:p>
          <w:p w14:paraId="1047DB8F">
            <w:pPr>
              <w:pStyle w:val="138"/>
              <w:adjustRightInd w:val="0"/>
              <w:snapToGrid w:val="0"/>
              <w:spacing w:line="360" w:lineRule="auto"/>
              <w:jc w:val="right"/>
              <w:rPr>
                <w:rFonts w:ascii="宋体" w:hAnsi="宋体" w:cs="宋体"/>
                <w:snapToGrid w:val="0"/>
                <w:color w:val="auto"/>
                <w:kern w:val="0"/>
                <w:szCs w:val="21"/>
                <w:highlight w:val="none"/>
              </w:rPr>
            </w:pPr>
          </w:p>
          <w:p w14:paraId="36196D25">
            <w:pPr>
              <w:pStyle w:val="138"/>
              <w:adjustRightInd w:val="0"/>
              <w:snapToGrid w:val="0"/>
              <w:spacing w:line="360" w:lineRule="auto"/>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 xml:space="preserve">                            XXXX年XX月XX日</w:t>
            </w:r>
          </w:p>
        </w:tc>
      </w:tr>
    </w:tbl>
    <w:p w14:paraId="01E57326">
      <w:pPr>
        <w:pStyle w:val="138"/>
        <w:wordWrap w:val="0"/>
        <w:adjustRightInd w:val="0"/>
        <w:snapToGrid w:val="0"/>
        <w:spacing w:line="400" w:lineRule="exact"/>
        <w:ind w:firstLine="420" w:firstLineChars="200"/>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说明：</w:t>
      </w:r>
    </w:p>
    <w:p w14:paraId="4621617A">
      <w:pPr>
        <w:pStyle w:val="138"/>
        <w:wordWrap w:val="0"/>
        <w:adjustRightInd w:val="0"/>
        <w:snapToGrid w:val="0"/>
        <w:spacing w:line="400" w:lineRule="exact"/>
        <w:ind w:firstLine="420" w:firstLineChars="200"/>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1</w:t>
      </w:r>
      <w:r>
        <w:rPr>
          <w:rFonts w:hint="eastAsia" w:ascii="宋体" w:hAnsi="宋体" w:cs="宋体"/>
          <w:snapToGrid w:val="0"/>
          <w:color w:val="auto"/>
          <w:kern w:val="0"/>
          <w:szCs w:val="28"/>
          <w:highlight w:val="none"/>
        </w:rPr>
        <w:t>．</w:t>
      </w:r>
      <w:r>
        <w:rPr>
          <w:rFonts w:hint="eastAsia" w:ascii="宋体" w:hAnsi="宋体" w:cs="宋体"/>
          <w:snapToGrid w:val="0"/>
          <w:color w:val="auto"/>
          <w:kern w:val="0"/>
          <w:szCs w:val="21"/>
          <w:highlight w:val="none"/>
        </w:rPr>
        <w:t>“任职项目”指拟派总监理工程师正在担任总监理工程师职务的在施（包括已中标未开工、已开工未竣工）建设工程项目。任职项目多于一宗的，一项目一表，并标明序号。</w:t>
      </w:r>
    </w:p>
    <w:p w14:paraId="3AD580BD">
      <w:pPr>
        <w:pStyle w:val="138"/>
        <w:wordWrap w:val="0"/>
        <w:adjustRightInd w:val="0"/>
        <w:snapToGrid w:val="0"/>
        <w:spacing w:line="400" w:lineRule="exact"/>
        <w:ind w:firstLine="420" w:firstLineChars="200"/>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2</w:t>
      </w:r>
      <w:r>
        <w:rPr>
          <w:rFonts w:hint="eastAsia" w:ascii="宋体" w:hAnsi="宋体" w:cs="宋体"/>
          <w:snapToGrid w:val="0"/>
          <w:color w:val="auto"/>
          <w:kern w:val="0"/>
          <w:szCs w:val="28"/>
          <w:highlight w:val="none"/>
        </w:rPr>
        <w:t>．</w:t>
      </w:r>
      <w:r>
        <w:rPr>
          <w:rFonts w:hint="eastAsia" w:ascii="宋体" w:hAnsi="宋体" w:cs="宋体"/>
          <w:snapToGrid w:val="0"/>
          <w:color w:val="auto"/>
          <w:kern w:val="0"/>
          <w:szCs w:val="21"/>
          <w:highlight w:val="none"/>
        </w:rPr>
        <w:t>每份情况表后应附该项目的合同协议书彩色扫描件。</w:t>
      </w:r>
    </w:p>
    <w:p w14:paraId="5D509C1C">
      <w:pPr>
        <w:pStyle w:val="138"/>
        <w:wordWrap w:val="0"/>
        <w:adjustRightInd w:val="0"/>
        <w:snapToGrid w:val="0"/>
        <w:spacing w:line="400" w:lineRule="exact"/>
        <w:ind w:firstLine="420" w:firstLineChars="200"/>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3</w:t>
      </w:r>
      <w:r>
        <w:rPr>
          <w:rFonts w:hint="eastAsia" w:ascii="宋体" w:hAnsi="宋体" w:cs="宋体"/>
          <w:snapToGrid w:val="0"/>
          <w:color w:val="auto"/>
          <w:kern w:val="0"/>
          <w:szCs w:val="28"/>
          <w:highlight w:val="none"/>
        </w:rPr>
        <w:t>．投标人填写本</w:t>
      </w:r>
      <w:r>
        <w:rPr>
          <w:rFonts w:hint="eastAsia" w:ascii="宋体" w:hAnsi="宋体" w:cs="宋体"/>
          <w:snapToGrid w:val="0"/>
          <w:color w:val="auto"/>
          <w:kern w:val="0"/>
          <w:szCs w:val="21"/>
          <w:highlight w:val="none"/>
        </w:rPr>
        <w:t>表后交任职项目建设单位审核同意后盖章。任职项目建设单位另行出具书面同意意见的，投标人应将该书面意见附在本表后，同时在“委托人声明”栏目注明“另附”即可。</w:t>
      </w:r>
    </w:p>
    <w:p w14:paraId="2E6E0BBD">
      <w:pPr>
        <w:wordWrap w:val="0"/>
        <w:adjustRightInd w:val="0"/>
        <w:snapToGrid w:val="0"/>
        <w:spacing w:line="400" w:lineRule="exact"/>
        <w:rPr>
          <w:rFonts w:hAnsi="宋体" w:cs="宋体"/>
          <w:snapToGrid w:val="0"/>
          <w:color w:val="auto"/>
          <w:kern w:val="0"/>
          <w:sz w:val="21"/>
          <w:szCs w:val="21"/>
          <w:highlight w:val="none"/>
        </w:rPr>
        <w:sectPr>
          <w:endnotePr>
            <w:numFmt w:val="decimal"/>
          </w:endnotePr>
          <w:pgSz w:w="11906" w:h="16838"/>
          <w:pgMar w:top="1417" w:right="1417" w:bottom="1417" w:left="1417" w:header="850" w:footer="992" w:gutter="0"/>
          <w:pgNumType w:fmt="decimal"/>
          <w:cols w:space="0" w:num="1"/>
          <w:docGrid w:linePitch="327" w:charSpace="0"/>
        </w:sectPr>
      </w:pPr>
    </w:p>
    <w:p w14:paraId="248A4AB0">
      <w:pPr>
        <w:wordWrap w:val="0"/>
        <w:adjustRightInd w:val="0"/>
        <w:snapToGrid w:val="0"/>
        <w:spacing w:line="440" w:lineRule="exact"/>
        <w:ind w:left="2609" w:leftChars="15" w:hanging="2573" w:hangingChars="1068"/>
        <w:outlineLvl w:val="1"/>
        <w:rPr>
          <w:rFonts w:hAnsi="宋体" w:cs="宋体"/>
          <w:b/>
          <w:bCs/>
          <w:snapToGrid w:val="0"/>
          <w:color w:val="auto"/>
          <w:kern w:val="0"/>
          <w:szCs w:val="24"/>
          <w:highlight w:val="none"/>
        </w:rPr>
      </w:pPr>
      <w:bookmarkStart w:id="326" w:name="_Toc4492"/>
      <w:bookmarkStart w:id="327" w:name="_Toc8264"/>
      <w:bookmarkStart w:id="328" w:name="_Toc200338098"/>
      <w:r>
        <w:rPr>
          <w:rFonts w:hint="eastAsia" w:hAnsi="宋体" w:cs="宋体"/>
          <w:b/>
          <w:snapToGrid w:val="0"/>
          <w:color w:val="auto"/>
          <w:kern w:val="0"/>
          <w:highlight w:val="none"/>
        </w:rPr>
        <w:t>格式</w:t>
      </w:r>
      <w:bookmarkStart w:id="329" w:name="_Hlt287950384"/>
      <w:bookmarkEnd w:id="329"/>
      <w:r>
        <w:rPr>
          <w:rFonts w:hint="eastAsia" w:hAnsi="宋体" w:cs="宋体"/>
          <w:b/>
          <w:bCs/>
          <w:snapToGrid w:val="0"/>
          <w:color w:val="auto"/>
          <w:kern w:val="0"/>
          <w:szCs w:val="24"/>
          <w:highlight w:val="none"/>
        </w:rPr>
        <w:t>十 项目监理机构组成人员汇总表</w:t>
      </w:r>
      <w:bookmarkEnd w:id="326"/>
    </w:p>
    <w:p w14:paraId="58540D5A">
      <w:pPr>
        <w:wordWrap w:val="0"/>
        <w:adjustRightInd w:val="0"/>
        <w:snapToGrid w:val="0"/>
        <w:spacing w:before="260" w:after="260" w:line="440" w:lineRule="exact"/>
        <w:jc w:val="center"/>
        <w:rPr>
          <w:rFonts w:hAnsi="宋体" w:cs="宋体"/>
          <w:b/>
          <w:snapToGrid w:val="0"/>
          <w:color w:val="auto"/>
          <w:kern w:val="0"/>
          <w:highlight w:val="none"/>
        </w:rPr>
      </w:pPr>
      <w:r>
        <w:rPr>
          <w:rFonts w:hint="eastAsia" w:hAnsi="宋体" w:cs="宋体"/>
          <w:b/>
          <w:snapToGrid w:val="0"/>
          <w:color w:val="auto"/>
          <w:kern w:val="0"/>
          <w:sz w:val="30"/>
          <w:highlight w:val="none"/>
        </w:rPr>
        <w:t xml:space="preserve"> 项目监理机构组成人员汇总表</w:t>
      </w:r>
    </w:p>
    <w:tbl>
      <w:tblPr>
        <w:tblStyle w:val="31"/>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326"/>
        <w:gridCol w:w="1425"/>
        <w:gridCol w:w="840"/>
        <w:gridCol w:w="1485"/>
        <w:gridCol w:w="615"/>
        <w:gridCol w:w="1680"/>
        <w:gridCol w:w="1425"/>
        <w:gridCol w:w="660"/>
        <w:gridCol w:w="1695"/>
        <w:gridCol w:w="1455"/>
        <w:gridCol w:w="645"/>
        <w:gridCol w:w="1680"/>
      </w:tblGrid>
      <w:tr w14:paraId="43CBDA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54" w:hRule="exact"/>
        </w:trPr>
        <w:tc>
          <w:tcPr>
            <w:tcW w:w="326" w:type="dxa"/>
            <w:vMerge w:val="restart"/>
            <w:tcBorders>
              <w:top w:val="single" w:color="auto" w:sz="6" w:space="0"/>
              <w:left w:val="single" w:color="auto" w:sz="6" w:space="0"/>
              <w:right w:val="single" w:color="auto" w:sz="6" w:space="0"/>
            </w:tcBorders>
            <w:vAlign w:val="center"/>
          </w:tcPr>
          <w:p w14:paraId="232B9A99">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序号</w:t>
            </w:r>
          </w:p>
        </w:tc>
        <w:tc>
          <w:tcPr>
            <w:tcW w:w="1425" w:type="dxa"/>
            <w:vMerge w:val="restart"/>
            <w:tcBorders>
              <w:top w:val="single" w:color="auto" w:sz="6" w:space="0"/>
              <w:left w:val="single" w:color="auto" w:sz="6" w:space="0"/>
              <w:right w:val="single" w:color="auto" w:sz="6" w:space="0"/>
            </w:tcBorders>
            <w:vAlign w:val="center"/>
          </w:tcPr>
          <w:p w14:paraId="1520B1B9">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拟担任职务</w:t>
            </w:r>
          </w:p>
        </w:tc>
        <w:tc>
          <w:tcPr>
            <w:tcW w:w="840" w:type="dxa"/>
            <w:vMerge w:val="restart"/>
            <w:tcBorders>
              <w:top w:val="single" w:color="auto" w:sz="6" w:space="0"/>
              <w:left w:val="single" w:color="auto" w:sz="6" w:space="0"/>
              <w:right w:val="single" w:color="auto" w:sz="4" w:space="0"/>
            </w:tcBorders>
            <w:vAlign w:val="center"/>
          </w:tcPr>
          <w:p w14:paraId="33D419CB">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姓  名</w:t>
            </w:r>
          </w:p>
        </w:tc>
        <w:tc>
          <w:tcPr>
            <w:tcW w:w="3780" w:type="dxa"/>
            <w:gridSpan w:val="3"/>
            <w:tcBorders>
              <w:top w:val="single" w:color="auto" w:sz="4" w:space="0"/>
              <w:left w:val="single" w:color="auto" w:sz="4" w:space="0"/>
              <w:bottom w:val="single" w:color="auto" w:sz="4" w:space="0"/>
              <w:right w:val="single" w:color="auto" w:sz="4" w:space="0"/>
            </w:tcBorders>
            <w:vAlign w:val="center"/>
          </w:tcPr>
          <w:p w14:paraId="116ADF27">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职称证书</w:t>
            </w:r>
          </w:p>
        </w:tc>
        <w:tc>
          <w:tcPr>
            <w:tcW w:w="3780" w:type="dxa"/>
            <w:gridSpan w:val="3"/>
            <w:tcBorders>
              <w:top w:val="single" w:color="auto" w:sz="6" w:space="0"/>
              <w:left w:val="single" w:color="auto" w:sz="4" w:space="0"/>
              <w:bottom w:val="single" w:color="auto" w:sz="6" w:space="0"/>
              <w:right w:val="single" w:color="auto" w:sz="6" w:space="0"/>
            </w:tcBorders>
            <w:vAlign w:val="center"/>
          </w:tcPr>
          <w:p w14:paraId="42F7B6BD">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注册证书</w:t>
            </w:r>
          </w:p>
        </w:tc>
        <w:tc>
          <w:tcPr>
            <w:tcW w:w="3780" w:type="dxa"/>
            <w:gridSpan w:val="3"/>
            <w:tcBorders>
              <w:top w:val="single" w:color="auto" w:sz="6" w:space="0"/>
              <w:left w:val="single" w:color="auto" w:sz="6" w:space="0"/>
              <w:bottom w:val="single" w:color="auto" w:sz="6" w:space="0"/>
              <w:right w:val="single" w:color="auto" w:sz="6" w:space="0"/>
            </w:tcBorders>
            <w:vAlign w:val="center"/>
          </w:tcPr>
          <w:p w14:paraId="039926B7">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岗位证书</w:t>
            </w:r>
          </w:p>
        </w:tc>
      </w:tr>
      <w:tr w14:paraId="535A2E2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54" w:hRule="exact"/>
        </w:trPr>
        <w:tc>
          <w:tcPr>
            <w:tcW w:w="326" w:type="dxa"/>
            <w:vMerge w:val="continue"/>
            <w:tcBorders>
              <w:left w:val="single" w:color="auto" w:sz="6" w:space="0"/>
              <w:bottom w:val="single" w:color="auto" w:sz="6" w:space="0"/>
              <w:right w:val="single" w:color="auto" w:sz="6" w:space="0"/>
            </w:tcBorders>
            <w:vAlign w:val="center"/>
          </w:tcPr>
          <w:p w14:paraId="6546614E">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vMerge w:val="continue"/>
            <w:tcBorders>
              <w:left w:val="single" w:color="auto" w:sz="6" w:space="0"/>
              <w:bottom w:val="single" w:color="auto" w:sz="6" w:space="0"/>
              <w:right w:val="single" w:color="auto" w:sz="6" w:space="0"/>
            </w:tcBorders>
            <w:vAlign w:val="center"/>
          </w:tcPr>
          <w:p w14:paraId="6731DA81">
            <w:pPr>
              <w:wordWrap w:val="0"/>
              <w:adjustRightInd w:val="0"/>
              <w:snapToGrid w:val="0"/>
              <w:spacing w:line="240" w:lineRule="auto"/>
              <w:jc w:val="center"/>
              <w:rPr>
                <w:rFonts w:hAnsi="宋体" w:cs="宋体"/>
                <w:snapToGrid w:val="0"/>
                <w:color w:val="auto"/>
                <w:kern w:val="0"/>
                <w:sz w:val="21"/>
                <w:szCs w:val="21"/>
                <w:highlight w:val="none"/>
              </w:rPr>
            </w:pPr>
          </w:p>
        </w:tc>
        <w:tc>
          <w:tcPr>
            <w:tcW w:w="840" w:type="dxa"/>
            <w:vMerge w:val="continue"/>
            <w:tcBorders>
              <w:left w:val="single" w:color="auto" w:sz="6" w:space="0"/>
              <w:bottom w:val="single" w:color="auto" w:sz="6" w:space="0"/>
              <w:right w:val="single" w:color="auto" w:sz="4" w:space="0"/>
            </w:tcBorders>
            <w:vAlign w:val="center"/>
          </w:tcPr>
          <w:p w14:paraId="6EA10DF7">
            <w:pPr>
              <w:wordWrap w:val="0"/>
              <w:adjustRightInd w:val="0"/>
              <w:snapToGrid w:val="0"/>
              <w:spacing w:line="240" w:lineRule="auto"/>
              <w:jc w:val="center"/>
              <w:rPr>
                <w:rFonts w:hAnsi="宋体" w:cs="宋体"/>
                <w:snapToGrid w:val="0"/>
                <w:color w:val="auto"/>
                <w:kern w:val="0"/>
                <w:sz w:val="21"/>
                <w:szCs w:val="21"/>
                <w:highlight w:val="none"/>
              </w:rPr>
            </w:pPr>
          </w:p>
        </w:tc>
        <w:tc>
          <w:tcPr>
            <w:tcW w:w="1485" w:type="dxa"/>
            <w:tcBorders>
              <w:top w:val="single" w:color="auto" w:sz="4" w:space="0"/>
              <w:left w:val="single" w:color="auto" w:sz="4" w:space="0"/>
              <w:bottom w:val="single" w:color="auto" w:sz="4" w:space="0"/>
              <w:right w:val="single" w:color="auto" w:sz="4" w:space="0"/>
            </w:tcBorders>
            <w:vAlign w:val="center"/>
          </w:tcPr>
          <w:p w14:paraId="6FEC0E5F">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专业名称</w:t>
            </w:r>
          </w:p>
        </w:tc>
        <w:tc>
          <w:tcPr>
            <w:tcW w:w="615" w:type="dxa"/>
            <w:tcBorders>
              <w:top w:val="single" w:color="auto" w:sz="4" w:space="0"/>
              <w:left w:val="single" w:color="auto" w:sz="4" w:space="0"/>
              <w:bottom w:val="single" w:color="auto" w:sz="4" w:space="0"/>
              <w:right w:val="single" w:color="auto" w:sz="4" w:space="0"/>
            </w:tcBorders>
            <w:vAlign w:val="center"/>
          </w:tcPr>
          <w:p w14:paraId="70059119">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级别</w:t>
            </w:r>
          </w:p>
        </w:tc>
        <w:tc>
          <w:tcPr>
            <w:tcW w:w="1680" w:type="dxa"/>
            <w:tcBorders>
              <w:top w:val="single" w:color="auto" w:sz="4" w:space="0"/>
              <w:left w:val="single" w:color="auto" w:sz="4" w:space="0"/>
              <w:bottom w:val="single" w:color="auto" w:sz="4" w:space="0"/>
              <w:right w:val="single" w:color="auto" w:sz="4" w:space="0"/>
            </w:tcBorders>
            <w:vAlign w:val="center"/>
          </w:tcPr>
          <w:p w14:paraId="4DD93C5B">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证号</w:t>
            </w:r>
          </w:p>
        </w:tc>
        <w:tc>
          <w:tcPr>
            <w:tcW w:w="1425" w:type="dxa"/>
            <w:tcBorders>
              <w:top w:val="single" w:color="auto" w:sz="6" w:space="0"/>
              <w:left w:val="single" w:color="auto" w:sz="4" w:space="0"/>
              <w:bottom w:val="single" w:color="auto" w:sz="6" w:space="0"/>
              <w:right w:val="single" w:color="auto" w:sz="6" w:space="0"/>
            </w:tcBorders>
            <w:vAlign w:val="center"/>
          </w:tcPr>
          <w:p w14:paraId="6EF8DFE9">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资格名称</w:t>
            </w:r>
          </w:p>
        </w:tc>
        <w:tc>
          <w:tcPr>
            <w:tcW w:w="660" w:type="dxa"/>
            <w:tcBorders>
              <w:top w:val="single" w:color="auto" w:sz="6" w:space="0"/>
              <w:left w:val="single" w:color="auto" w:sz="6" w:space="0"/>
              <w:bottom w:val="single" w:color="auto" w:sz="6" w:space="0"/>
              <w:right w:val="single" w:color="auto" w:sz="6" w:space="0"/>
            </w:tcBorders>
            <w:vAlign w:val="center"/>
          </w:tcPr>
          <w:p w14:paraId="7D190E1F">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级别</w:t>
            </w:r>
          </w:p>
        </w:tc>
        <w:tc>
          <w:tcPr>
            <w:tcW w:w="1695" w:type="dxa"/>
            <w:tcBorders>
              <w:top w:val="single" w:color="auto" w:sz="6" w:space="0"/>
              <w:left w:val="single" w:color="auto" w:sz="6" w:space="0"/>
              <w:bottom w:val="single" w:color="auto" w:sz="6" w:space="0"/>
              <w:right w:val="single" w:color="auto" w:sz="6" w:space="0"/>
            </w:tcBorders>
            <w:vAlign w:val="center"/>
          </w:tcPr>
          <w:p w14:paraId="18ED2062">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证号</w:t>
            </w:r>
          </w:p>
        </w:tc>
        <w:tc>
          <w:tcPr>
            <w:tcW w:w="1455" w:type="dxa"/>
            <w:tcBorders>
              <w:top w:val="single" w:color="auto" w:sz="6" w:space="0"/>
              <w:left w:val="single" w:color="auto" w:sz="6" w:space="0"/>
              <w:bottom w:val="single" w:color="auto" w:sz="6" w:space="0"/>
              <w:right w:val="single" w:color="auto" w:sz="6" w:space="0"/>
            </w:tcBorders>
            <w:vAlign w:val="center"/>
          </w:tcPr>
          <w:p w14:paraId="74F8933B">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岗位名称</w:t>
            </w:r>
          </w:p>
        </w:tc>
        <w:tc>
          <w:tcPr>
            <w:tcW w:w="645" w:type="dxa"/>
            <w:tcBorders>
              <w:top w:val="single" w:color="auto" w:sz="6" w:space="0"/>
              <w:left w:val="single" w:color="auto" w:sz="6" w:space="0"/>
              <w:bottom w:val="single" w:color="auto" w:sz="6" w:space="0"/>
              <w:right w:val="single" w:color="auto" w:sz="6" w:space="0"/>
            </w:tcBorders>
            <w:vAlign w:val="center"/>
          </w:tcPr>
          <w:p w14:paraId="07D4D1F8">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级别</w:t>
            </w:r>
          </w:p>
        </w:tc>
        <w:tc>
          <w:tcPr>
            <w:tcW w:w="1680" w:type="dxa"/>
            <w:tcBorders>
              <w:top w:val="single" w:color="auto" w:sz="6" w:space="0"/>
              <w:left w:val="single" w:color="auto" w:sz="6" w:space="0"/>
              <w:bottom w:val="single" w:color="auto" w:sz="6" w:space="0"/>
              <w:right w:val="single" w:color="auto" w:sz="6" w:space="0"/>
            </w:tcBorders>
            <w:vAlign w:val="center"/>
          </w:tcPr>
          <w:p w14:paraId="28797E4B">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证号</w:t>
            </w:r>
          </w:p>
        </w:tc>
      </w:tr>
      <w:tr w14:paraId="29DEF0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61E46582">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1</w:t>
            </w:r>
          </w:p>
        </w:tc>
        <w:tc>
          <w:tcPr>
            <w:tcW w:w="1425" w:type="dxa"/>
            <w:tcBorders>
              <w:top w:val="single" w:color="auto" w:sz="6" w:space="0"/>
              <w:left w:val="single" w:color="auto" w:sz="6" w:space="0"/>
              <w:bottom w:val="single" w:color="auto" w:sz="6" w:space="0"/>
              <w:right w:val="single" w:color="auto" w:sz="6" w:space="0"/>
            </w:tcBorders>
            <w:vAlign w:val="center"/>
          </w:tcPr>
          <w:p w14:paraId="50FB5A12">
            <w:pPr>
              <w:wordWrap w:val="0"/>
              <w:adjustRightInd w:val="0"/>
              <w:snapToGrid w:val="0"/>
              <w:spacing w:line="240" w:lineRule="auto"/>
              <w:jc w:val="center"/>
              <w:rPr>
                <w:rFonts w:hAnsi="宋体" w:cs="宋体"/>
                <w:snapToGrid w:val="0"/>
                <w:color w:val="auto"/>
                <w:kern w:val="0"/>
                <w:sz w:val="21"/>
                <w:szCs w:val="21"/>
                <w:highlight w:val="none"/>
              </w:rPr>
            </w:pPr>
          </w:p>
        </w:tc>
        <w:tc>
          <w:tcPr>
            <w:tcW w:w="840" w:type="dxa"/>
            <w:tcBorders>
              <w:top w:val="single" w:color="auto" w:sz="6" w:space="0"/>
              <w:left w:val="single" w:color="auto" w:sz="6" w:space="0"/>
              <w:bottom w:val="single" w:color="auto" w:sz="6" w:space="0"/>
              <w:right w:val="single" w:color="auto" w:sz="6" w:space="0"/>
            </w:tcBorders>
            <w:vAlign w:val="center"/>
          </w:tcPr>
          <w:p w14:paraId="6C40A156">
            <w:pPr>
              <w:wordWrap w:val="0"/>
              <w:adjustRightInd w:val="0"/>
              <w:snapToGrid w:val="0"/>
              <w:spacing w:line="240" w:lineRule="auto"/>
              <w:jc w:val="center"/>
              <w:rPr>
                <w:rFonts w:hAnsi="宋体" w:cs="宋体"/>
                <w:snapToGrid w:val="0"/>
                <w:color w:val="auto"/>
                <w:kern w:val="0"/>
                <w:sz w:val="21"/>
                <w:szCs w:val="21"/>
                <w:highlight w:val="none"/>
              </w:rPr>
            </w:pPr>
          </w:p>
        </w:tc>
        <w:tc>
          <w:tcPr>
            <w:tcW w:w="1485" w:type="dxa"/>
            <w:tcBorders>
              <w:top w:val="single" w:color="auto" w:sz="4" w:space="0"/>
              <w:left w:val="single" w:color="auto" w:sz="6" w:space="0"/>
              <w:bottom w:val="single" w:color="auto" w:sz="6" w:space="0"/>
              <w:right w:val="single" w:color="auto" w:sz="6" w:space="0"/>
            </w:tcBorders>
            <w:vAlign w:val="center"/>
          </w:tcPr>
          <w:p w14:paraId="5DB6D1A2">
            <w:pPr>
              <w:wordWrap w:val="0"/>
              <w:adjustRightInd w:val="0"/>
              <w:snapToGrid w:val="0"/>
              <w:spacing w:line="240" w:lineRule="auto"/>
              <w:jc w:val="center"/>
              <w:rPr>
                <w:rFonts w:hAnsi="宋体" w:cs="宋体"/>
                <w:snapToGrid w:val="0"/>
                <w:color w:val="auto"/>
                <w:kern w:val="0"/>
                <w:sz w:val="21"/>
                <w:szCs w:val="21"/>
                <w:highlight w:val="none"/>
              </w:rPr>
            </w:pPr>
          </w:p>
        </w:tc>
        <w:tc>
          <w:tcPr>
            <w:tcW w:w="615" w:type="dxa"/>
            <w:tcBorders>
              <w:top w:val="single" w:color="auto" w:sz="4" w:space="0"/>
              <w:left w:val="single" w:color="auto" w:sz="6" w:space="0"/>
              <w:bottom w:val="single" w:color="auto" w:sz="6" w:space="0"/>
              <w:right w:val="single" w:color="auto" w:sz="6" w:space="0"/>
            </w:tcBorders>
            <w:vAlign w:val="center"/>
          </w:tcPr>
          <w:p w14:paraId="2552F990">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4" w:space="0"/>
              <w:left w:val="single" w:color="auto" w:sz="6" w:space="0"/>
              <w:bottom w:val="single" w:color="auto" w:sz="6" w:space="0"/>
              <w:right w:val="single" w:color="auto" w:sz="6" w:space="0"/>
            </w:tcBorders>
            <w:vAlign w:val="center"/>
          </w:tcPr>
          <w:p w14:paraId="578170FF">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0A67664B">
            <w:pPr>
              <w:wordWrap w:val="0"/>
              <w:adjustRightInd w:val="0"/>
              <w:snapToGrid w:val="0"/>
              <w:spacing w:line="240" w:lineRule="auto"/>
              <w:jc w:val="center"/>
              <w:rPr>
                <w:rFonts w:hAnsi="宋体" w:cs="宋体"/>
                <w:snapToGrid w:val="0"/>
                <w:color w:val="auto"/>
                <w:kern w:val="0"/>
                <w:sz w:val="21"/>
                <w:szCs w:val="21"/>
                <w:highlight w:val="none"/>
              </w:rPr>
            </w:pPr>
          </w:p>
        </w:tc>
        <w:tc>
          <w:tcPr>
            <w:tcW w:w="660" w:type="dxa"/>
            <w:tcBorders>
              <w:top w:val="single" w:color="auto" w:sz="6" w:space="0"/>
              <w:left w:val="single" w:color="auto" w:sz="6" w:space="0"/>
              <w:bottom w:val="single" w:color="auto" w:sz="6" w:space="0"/>
              <w:right w:val="single" w:color="auto" w:sz="6" w:space="0"/>
            </w:tcBorders>
            <w:vAlign w:val="center"/>
          </w:tcPr>
          <w:p w14:paraId="44816533">
            <w:pPr>
              <w:wordWrap w:val="0"/>
              <w:adjustRightInd w:val="0"/>
              <w:snapToGrid w:val="0"/>
              <w:spacing w:line="240" w:lineRule="auto"/>
              <w:jc w:val="center"/>
              <w:rPr>
                <w:rFonts w:hAnsi="宋体" w:cs="宋体"/>
                <w:snapToGrid w:val="0"/>
                <w:color w:val="auto"/>
                <w:kern w:val="0"/>
                <w:sz w:val="21"/>
                <w:szCs w:val="21"/>
                <w:highlight w:val="none"/>
              </w:rPr>
            </w:pPr>
          </w:p>
        </w:tc>
        <w:tc>
          <w:tcPr>
            <w:tcW w:w="1695" w:type="dxa"/>
            <w:tcBorders>
              <w:top w:val="single" w:color="auto" w:sz="6" w:space="0"/>
              <w:left w:val="single" w:color="auto" w:sz="6" w:space="0"/>
              <w:bottom w:val="single" w:color="auto" w:sz="6" w:space="0"/>
              <w:right w:val="single" w:color="auto" w:sz="6" w:space="0"/>
            </w:tcBorders>
            <w:vAlign w:val="center"/>
          </w:tcPr>
          <w:p w14:paraId="44FC1286">
            <w:pPr>
              <w:wordWrap w:val="0"/>
              <w:adjustRightInd w:val="0"/>
              <w:snapToGrid w:val="0"/>
              <w:spacing w:line="240" w:lineRule="auto"/>
              <w:jc w:val="center"/>
              <w:rPr>
                <w:rFonts w:hAnsi="宋体" w:cs="宋体"/>
                <w:snapToGrid w:val="0"/>
                <w:color w:val="auto"/>
                <w:kern w:val="0"/>
                <w:sz w:val="21"/>
                <w:szCs w:val="21"/>
                <w:highlight w:val="none"/>
              </w:rPr>
            </w:pPr>
          </w:p>
        </w:tc>
        <w:tc>
          <w:tcPr>
            <w:tcW w:w="1455" w:type="dxa"/>
            <w:tcBorders>
              <w:top w:val="single" w:color="auto" w:sz="6" w:space="0"/>
              <w:left w:val="single" w:color="auto" w:sz="6" w:space="0"/>
              <w:bottom w:val="single" w:color="auto" w:sz="6" w:space="0"/>
              <w:right w:val="single" w:color="auto" w:sz="6" w:space="0"/>
            </w:tcBorders>
            <w:vAlign w:val="center"/>
          </w:tcPr>
          <w:p w14:paraId="53BC87CD">
            <w:pPr>
              <w:wordWrap w:val="0"/>
              <w:adjustRightInd w:val="0"/>
              <w:snapToGrid w:val="0"/>
              <w:spacing w:line="240" w:lineRule="auto"/>
              <w:jc w:val="center"/>
              <w:rPr>
                <w:rFonts w:hAnsi="宋体" w:cs="宋体"/>
                <w:snapToGrid w:val="0"/>
                <w:color w:val="auto"/>
                <w:kern w:val="0"/>
                <w:sz w:val="21"/>
                <w:szCs w:val="21"/>
                <w:highlight w:val="none"/>
              </w:rPr>
            </w:pPr>
          </w:p>
        </w:tc>
        <w:tc>
          <w:tcPr>
            <w:tcW w:w="645" w:type="dxa"/>
            <w:tcBorders>
              <w:top w:val="single" w:color="auto" w:sz="6" w:space="0"/>
              <w:left w:val="single" w:color="auto" w:sz="6" w:space="0"/>
              <w:bottom w:val="single" w:color="auto" w:sz="6" w:space="0"/>
              <w:right w:val="single" w:color="auto" w:sz="6" w:space="0"/>
            </w:tcBorders>
            <w:vAlign w:val="center"/>
          </w:tcPr>
          <w:p w14:paraId="45B35959">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70775D7B">
            <w:pPr>
              <w:wordWrap w:val="0"/>
              <w:adjustRightInd w:val="0"/>
              <w:snapToGrid w:val="0"/>
              <w:spacing w:line="240" w:lineRule="auto"/>
              <w:jc w:val="center"/>
              <w:rPr>
                <w:rFonts w:hAnsi="宋体" w:cs="宋体"/>
                <w:snapToGrid w:val="0"/>
                <w:color w:val="auto"/>
                <w:kern w:val="0"/>
                <w:sz w:val="21"/>
                <w:szCs w:val="21"/>
                <w:highlight w:val="none"/>
              </w:rPr>
            </w:pPr>
          </w:p>
        </w:tc>
      </w:tr>
      <w:tr w14:paraId="4D9225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70B1CFCD">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2</w:t>
            </w:r>
          </w:p>
        </w:tc>
        <w:tc>
          <w:tcPr>
            <w:tcW w:w="1425" w:type="dxa"/>
            <w:tcBorders>
              <w:top w:val="single" w:color="auto" w:sz="6" w:space="0"/>
              <w:left w:val="single" w:color="auto" w:sz="6" w:space="0"/>
              <w:bottom w:val="single" w:color="auto" w:sz="6" w:space="0"/>
              <w:right w:val="single" w:color="auto" w:sz="6" w:space="0"/>
            </w:tcBorders>
            <w:vAlign w:val="center"/>
          </w:tcPr>
          <w:p w14:paraId="7FAA5B27">
            <w:pPr>
              <w:wordWrap w:val="0"/>
              <w:adjustRightInd w:val="0"/>
              <w:snapToGrid w:val="0"/>
              <w:spacing w:line="240" w:lineRule="auto"/>
              <w:jc w:val="center"/>
              <w:rPr>
                <w:rFonts w:hAnsi="宋体" w:cs="宋体"/>
                <w:snapToGrid w:val="0"/>
                <w:color w:val="auto"/>
                <w:kern w:val="0"/>
                <w:sz w:val="21"/>
                <w:szCs w:val="21"/>
                <w:highlight w:val="none"/>
              </w:rPr>
            </w:pPr>
          </w:p>
        </w:tc>
        <w:tc>
          <w:tcPr>
            <w:tcW w:w="840" w:type="dxa"/>
            <w:tcBorders>
              <w:top w:val="single" w:color="auto" w:sz="6" w:space="0"/>
              <w:left w:val="single" w:color="auto" w:sz="6" w:space="0"/>
              <w:bottom w:val="single" w:color="auto" w:sz="6" w:space="0"/>
              <w:right w:val="single" w:color="auto" w:sz="6" w:space="0"/>
            </w:tcBorders>
            <w:vAlign w:val="center"/>
          </w:tcPr>
          <w:p w14:paraId="468953DB">
            <w:pPr>
              <w:wordWrap w:val="0"/>
              <w:adjustRightInd w:val="0"/>
              <w:snapToGrid w:val="0"/>
              <w:spacing w:line="240" w:lineRule="auto"/>
              <w:jc w:val="center"/>
              <w:rPr>
                <w:rFonts w:hAnsi="宋体" w:cs="宋体"/>
                <w:snapToGrid w:val="0"/>
                <w:color w:val="auto"/>
                <w:kern w:val="0"/>
                <w:sz w:val="21"/>
                <w:szCs w:val="21"/>
                <w:highlight w:val="none"/>
              </w:rPr>
            </w:pPr>
          </w:p>
        </w:tc>
        <w:tc>
          <w:tcPr>
            <w:tcW w:w="1485" w:type="dxa"/>
            <w:tcBorders>
              <w:top w:val="single" w:color="auto" w:sz="6" w:space="0"/>
              <w:left w:val="single" w:color="auto" w:sz="6" w:space="0"/>
              <w:bottom w:val="single" w:color="auto" w:sz="6" w:space="0"/>
              <w:right w:val="single" w:color="auto" w:sz="6" w:space="0"/>
            </w:tcBorders>
            <w:vAlign w:val="center"/>
          </w:tcPr>
          <w:p w14:paraId="6BCA321C">
            <w:pPr>
              <w:wordWrap w:val="0"/>
              <w:adjustRightInd w:val="0"/>
              <w:snapToGrid w:val="0"/>
              <w:spacing w:line="240" w:lineRule="auto"/>
              <w:jc w:val="center"/>
              <w:rPr>
                <w:rFonts w:hAnsi="宋体" w:cs="宋体"/>
                <w:snapToGrid w:val="0"/>
                <w:color w:val="auto"/>
                <w:kern w:val="0"/>
                <w:sz w:val="21"/>
                <w:szCs w:val="21"/>
                <w:highlight w:val="none"/>
              </w:rPr>
            </w:pPr>
          </w:p>
        </w:tc>
        <w:tc>
          <w:tcPr>
            <w:tcW w:w="615" w:type="dxa"/>
            <w:tcBorders>
              <w:top w:val="single" w:color="auto" w:sz="6" w:space="0"/>
              <w:left w:val="single" w:color="auto" w:sz="6" w:space="0"/>
              <w:bottom w:val="single" w:color="auto" w:sz="6" w:space="0"/>
              <w:right w:val="single" w:color="auto" w:sz="6" w:space="0"/>
            </w:tcBorders>
            <w:vAlign w:val="center"/>
          </w:tcPr>
          <w:p w14:paraId="4B53456B">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71994C2F">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0AFA912F">
            <w:pPr>
              <w:wordWrap w:val="0"/>
              <w:adjustRightInd w:val="0"/>
              <w:snapToGrid w:val="0"/>
              <w:spacing w:line="240" w:lineRule="auto"/>
              <w:jc w:val="center"/>
              <w:rPr>
                <w:rFonts w:hAnsi="宋体" w:cs="宋体"/>
                <w:snapToGrid w:val="0"/>
                <w:color w:val="auto"/>
                <w:kern w:val="0"/>
                <w:sz w:val="21"/>
                <w:szCs w:val="21"/>
                <w:highlight w:val="none"/>
              </w:rPr>
            </w:pPr>
          </w:p>
        </w:tc>
        <w:tc>
          <w:tcPr>
            <w:tcW w:w="660" w:type="dxa"/>
            <w:tcBorders>
              <w:top w:val="single" w:color="auto" w:sz="6" w:space="0"/>
              <w:left w:val="single" w:color="auto" w:sz="6" w:space="0"/>
              <w:bottom w:val="single" w:color="auto" w:sz="6" w:space="0"/>
              <w:right w:val="single" w:color="auto" w:sz="6" w:space="0"/>
            </w:tcBorders>
            <w:vAlign w:val="center"/>
          </w:tcPr>
          <w:p w14:paraId="55D46B34">
            <w:pPr>
              <w:wordWrap w:val="0"/>
              <w:adjustRightInd w:val="0"/>
              <w:snapToGrid w:val="0"/>
              <w:spacing w:line="240" w:lineRule="auto"/>
              <w:jc w:val="center"/>
              <w:rPr>
                <w:rFonts w:hAnsi="宋体" w:cs="宋体"/>
                <w:snapToGrid w:val="0"/>
                <w:color w:val="auto"/>
                <w:kern w:val="0"/>
                <w:sz w:val="21"/>
                <w:szCs w:val="21"/>
                <w:highlight w:val="none"/>
              </w:rPr>
            </w:pPr>
          </w:p>
        </w:tc>
        <w:tc>
          <w:tcPr>
            <w:tcW w:w="1695" w:type="dxa"/>
            <w:tcBorders>
              <w:top w:val="single" w:color="auto" w:sz="6" w:space="0"/>
              <w:left w:val="single" w:color="auto" w:sz="6" w:space="0"/>
              <w:bottom w:val="single" w:color="auto" w:sz="6" w:space="0"/>
              <w:right w:val="single" w:color="auto" w:sz="6" w:space="0"/>
            </w:tcBorders>
            <w:vAlign w:val="center"/>
          </w:tcPr>
          <w:p w14:paraId="4E7A2D61">
            <w:pPr>
              <w:wordWrap w:val="0"/>
              <w:adjustRightInd w:val="0"/>
              <w:snapToGrid w:val="0"/>
              <w:spacing w:line="240" w:lineRule="auto"/>
              <w:jc w:val="center"/>
              <w:rPr>
                <w:rFonts w:hAnsi="宋体" w:cs="宋体"/>
                <w:snapToGrid w:val="0"/>
                <w:color w:val="auto"/>
                <w:kern w:val="0"/>
                <w:sz w:val="21"/>
                <w:szCs w:val="21"/>
                <w:highlight w:val="none"/>
              </w:rPr>
            </w:pPr>
          </w:p>
        </w:tc>
        <w:tc>
          <w:tcPr>
            <w:tcW w:w="1455" w:type="dxa"/>
            <w:tcBorders>
              <w:top w:val="single" w:color="auto" w:sz="6" w:space="0"/>
              <w:left w:val="single" w:color="auto" w:sz="6" w:space="0"/>
              <w:bottom w:val="single" w:color="auto" w:sz="6" w:space="0"/>
              <w:right w:val="single" w:color="auto" w:sz="6" w:space="0"/>
            </w:tcBorders>
            <w:vAlign w:val="center"/>
          </w:tcPr>
          <w:p w14:paraId="7DC31AA9">
            <w:pPr>
              <w:wordWrap w:val="0"/>
              <w:adjustRightInd w:val="0"/>
              <w:snapToGrid w:val="0"/>
              <w:spacing w:line="240" w:lineRule="auto"/>
              <w:jc w:val="center"/>
              <w:rPr>
                <w:rFonts w:hAnsi="宋体" w:cs="宋体"/>
                <w:snapToGrid w:val="0"/>
                <w:color w:val="auto"/>
                <w:kern w:val="0"/>
                <w:sz w:val="21"/>
                <w:szCs w:val="21"/>
                <w:highlight w:val="none"/>
              </w:rPr>
            </w:pPr>
          </w:p>
        </w:tc>
        <w:tc>
          <w:tcPr>
            <w:tcW w:w="645" w:type="dxa"/>
            <w:tcBorders>
              <w:top w:val="single" w:color="auto" w:sz="6" w:space="0"/>
              <w:left w:val="single" w:color="auto" w:sz="6" w:space="0"/>
              <w:bottom w:val="single" w:color="auto" w:sz="6" w:space="0"/>
              <w:right w:val="single" w:color="auto" w:sz="6" w:space="0"/>
            </w:tcBorders>
            <w:vAlign w:val="center"/>
          </w:tcPr>
          <w:p w14:paraId="731F537B">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3D0FE30B">
            <w:pPr>
              <w:wordWrap w:val="0"/>
              <w:adjustRightInd w:val="0"/>
              <w:snapToGrid w:val="0"/>
              <w:spacing w:line="240" w:lineRule="auto"/>
              <w:jc w:val="center"/>
              <w:rPr>
                <w:rFonts w:hAnsi="宋体" w:cs="宋体"/>
                <w:snapToGrid w:val="0"/>
                <w:color w:val="auto"/>
                <w:kern w:val="0"/>
                <w:sz w:val="21"/>
                <w:szCs w:val="21"/>
                <w:highlight w:val="none"/>
              </w:rPr>
            </w:pPr>
          </w:p>
        </w:tc>
      </w:tr>
      <w:tr w14:paraId="648ABE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15839C53">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3</w:t>
            </w:r>
          </w:p>
        </w:tc>
        <w:tc>
          <w:tcPr>
            <w:tcW w:w="1425" w:type="dxa"/>
            <w:tcBorders>
              <w:top w:val="single" w:color="auto" w:sz="6" w:space="0"/>
              <w:left w:val="single" w:color="auto" w:sz="6" w:space="0"/>
              <w:bottom w:val="single" w:color="auto" w:sz="6" w:space="0"/>
              <w:right w:val="single" w:color="auto" w:sz="6" w:space="0"/>
            </w:tcBorders>
            <w:vAlign w:val="center"/>
          </w:tcPr>
          <w:p w14:paraId="6E40533F">
            <w:pPr>
              <w:wordWrap w:val="0"/>
              <w:adjustRightInd w:val="0"/>
              <w:snapToGrid w:val="0"/>
              <w:spacing w:line="240" w:lineRule="auto"/>
              <w:jc w:val="center"/>
              <w:rPr>
                <w:rFonts w:hAnsi="宋体" w:cs="宋体"/>
                <w:snapToGrid w:val="0"/>
                <w:color w:val="auto"/>
                <w:kern w:val="0"/>
                <w:sz w:val="21"/>
                <w:szCs w:val="21"/>
                <w:highlight w:val="none"/>
              </w:rPr>
            </w:pPr>
          </w:p>
        </w:tc>
        <w:tc>
          <w:tcPr>
            <w:tcW w:w="840" w:type="dxa"/>
            <w:tcBorders>
              <w:top w:val="single" w:color="auto" w:sz="6" w:space="0"/>
              <w:left w:val="single" w:color="auto" w:sz="6" w:space="0"/>
              <w:bottom w:val="single" w:color="auto" w:sz="6" w:space="0"/>
              <w:right w:val="single" w:color="auto" w:sz="6" w:space="0"/>
            </w:tcBorders>
            <w:vAlign w:val="center"/>
          </w:tcPr>
          <w:p w14:paraId="4ACC7D38">
            <w:pPr>
              <w:wordWrap w:val="0"/>
              <w:adjustRightInd w:val="0"/>
              <w:snapToGrid w:val="0"/>
              <w:spacing w:line="240" w:lineRule="auto"/>
              <w:jc w:val="center"/>
              <w:rPr>
                <w:rFonts w:hAnsi="宋体" w:cs="宋体"/>
                <w:snapToGrid w:val="0"/>
                <w:color w:val="auto"/>
                <w:kern w:val="0"/>
                <w:sz w:val="21"/>
                <w:szCs w:val="21"/>
                <w:highlight w:val="none"/>
              </w:rPr>
            </w:pPr>
          </w:p>
        </w:tc>
        <w:tc>
          <w:tcPr>
            <w:tcW w:w="1485" w:type="dxa"/>
            <w:tcBorders>
              <w:top w:val="single" w:color="auto" w:sz="6" w:space="0"/>
              <w:left w:val="single" w:color="auto" w:sz="6" w:space="0"/>
              <w:bottom w:val="single" w:color="auto" w:sz="6" w:space="0"/>
              <w:right w:val="single" w:color="auto" w:sz="6" w:space="0"/>
            </w:tcBorders>
            <w:vAlign w:val="center"/>
          </w:tcPr>
          <w:p w14:paraId="3D760FF3">
            <w:pPr>
              <w:wordWrap w:val="0"/>
              <w:adjustRightInd w:val="0"/>
              <w:snapToGrid w:val="0"/>
              <w:spacing w:line="240" w:lineRule="auto"/>
              <w:jc w:val="center"/>
              <w:rPr>
                <w:rFonts w:hAnsi="宋体" w:cs="宋体"/>
                <w:snapToGrid w:val="0"/>
                <w:color w:val="auto"/>
                <w:kern w:val="0"/>
                <w:sz w:val="21"/>
                <w:szCs w:val="21"/>
                <w:highlight w:val="none"/>
              </w:rPr>
            </w:pPr>
          </w:p>
        </w:tc>
        <w:tc>
          <w:tcPr>
            <w:tcW w:w="615" w:type="dxa"/>
            <w:tcBorders>
              <w:top w:val="single" w:color="auto" w:sz="6" w:space="0"/>
              <w:left w:val="single" w:color="auto" w:sz="6" w:space="0"/>
              <w:bottom w:val="single" w:color="auto" w:sz="6" w:space="0"/>
              <w:right w:val="single" w:color="auto" w:sz="6" w:space="0"/>
            </w:tcBorders>
            <w:vAlign w:val="center"/>
          </w:tcPr>
          <w:p w14:paraId="50F0374D">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37964376">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23BFE753">
            <w:pPr>
              <w:wordWrap w:val="0"/>
              <w:adjustRightInd w:val="0"/>
              <w:snapToGrid w:val="0"/>
              <w:spacing w:line="240" w:lineRule="auto"/>
              <w:jc w:val="center"/>
              <w:rPr>
                <w:rFonts w:hAnsi="宋体" w:cs="宋体"/>
                <w:snapToGrid w:val="0"/>
                <w:color w:val="auto"/>
                <w:kern w:val="0"/>
                <w:sz w:val="21"/>
                <w:szCs w:val="21"/>
                <w:highlight w:val="none"/>
              </w:rPr>
            </w:pPr>
          </w:p>
        </w:tc>
        <w:tc>
          <w:tcPr>
            <w:tcW w:w="660" w:type="dxa"/>
            <w:tcBorders>
              <w:top w:val="single" w:color="auto" w:sz="6" w:space="0"/>
              <w:left w:val="single" w:color="auto" w:sz="6" w:space="0"/>
              <w:bottom w:val="single" w:color="auto" w:sz="6" w:space="0"/>
              <w:right w:val="single" w:color="auto" w:sz="6" w:space="0"/>
            </w:tcBorders>
            <w:vAlign w:val="center"/>
          </w:tcPr>
          <w:p w14:paraId="5326C746">
            <w:pPr>
              <w:wordWrap w:val="0"/>
              <w:adjustRightInd w:val="0"/>
              <w:snapToGrid w:val="0"/>
              <w:spacing w:line="240" w:lineRule="auto"/>
              <w:jc w:val="center"/>
              <w:rPr>
                <w:rFonts w:hAnsi="宋体" w:cs="宋体"/>
                <w:snapToGrid w:val="0"/>
                <w:color w:val="auto"/>
                <w:kern w:val="0"/>
                <w:sz w:val="21"/>
                <w:szCs w:val="21"/>
                <w:highlight w:val="none"/>
              </w:rPr>
            </w:pPr>
          </w:p>
        </w:tc>
        <w:tc>
          <w:tcPr>
            <w:tcW w:w="1695" w:type="dxa"/>
            <w:tcBorders>
              <w:top w:val="single" w:color="auto" w:sz="6" w:space="0"/>
              <w:left w:val="single" w:color="auto" w:sz="6" w:space="0"/>
              <w:bottom w:val="single" w:color="auto" w:sz="6" w:space="0"/>
              <w:right w:val="single" w:color="auto" w:sz="6" w:space="0"/>
            </w:tcBorders>
            <w:vAlign w:val="center"/>
          </w:tcPr>
          <w:p w14:paraId="0EB51504">
            <w:pPr>
              <w:wordWrap w:val="0"/>
              <w:adjustRightInd w:val="0"/>
              <w:snapToGrid w:val="0"/>
              <w:spacing w:line="240" w:lineRule="auto"/>
              <w:jc w:val="center"/>
              <w:rPr>
                <w:rFonts w:hAnsi="宋体" w:cs="宋体"/>
                <w:snapToGrid w:val="0"/>
                <w:color w:val="auto"/>
                <w:kern w:val="0"/>
                <w:sz w:val="21"/>
                <w:szCs w:val="21"/>
                <w:highlight w:val="none"/>
              </w:rPr>
            </w:pPr>
          </w:p>
        </w:tc>
        <w:tc>
          <w:tcPr>
            <w:tcW w:w="1455" w:type="dxa"/>
            <w:tcBorders>
              <w:top w:val="single" w:color="auto" w:sz="6" w:space="0"/>
              <w:left w:val="single" w:color="auto" w:sz="6" w:space="0"/>
              <w:bottom w:val="single" w:color="auto" w:sz="6" w:space="0"/>
              <w:right w:val="single" w:color="auto" w:sz="6" w:space="0"/>
            </w:tcBorders>
            <w:vAlign w:val="center"/>
          </w:tcPr>
          <w:p w14:paraId="663854FC">
            <w:pPr>
              <w:wordWrap w:val="0"/>
              <w:adjustRightInd w:val="0"/>
              <w:snapToGrid w:val="0"/>
              <w:spacing w:line="240" w:lineRule="auto"/>
              <w:jc w:val="center"/>
              <w:rPr>
                <w:rFonts w:hAnsi="宋体" w:cs="宋体"/>
                <w:snapToGrid w:val="0"/>
                <w:color w:val="auto"/>
                <w:kern w:val="0"/>
                <w:sz w:val="21"/>
                <w:szCs w:val="21"/>
                <w:highlight w:val="none"/>
              </w:rPr>
            </w:pPr>
          </w:p>
        </w:tc>
        <w:tc>
          <w:tcPr>
            <w:tcW w:w="645" w:type="dxa"/>
            <w:tcBorders>
              <w:top w:val="single" w:color="auto" w:sz="6" w:space="0"/>
              <w:left w:val="single" w:color="auto" w:sz="6" w:space="0"/>
              <w:bottom w:val="single" w:color="auto" w:sz="6" w:space="0"/>
              <w:right w:val="single" w:color="auto" w:sz="6" w:space="0"/>
            </w:tcBorders>
            <w:vAlign w:val="center"/>
          </w:tcPr>
          <w:p w14:paraId="5C477EDB">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37F231A9">
            <w:pPr>
              <w:wordWrap w:val="0"/>
              <w:adjustRightInd w:val="0"/>
              <w:snapToGrid w:val="0"/>
              <w:spacing w:line="240" w:lineRule="auto"/>
              <w:jc w:val="center"/>
              <w:rPr>
                <w:rFonts w:hAnsi="宋体" w:cs="宋体"/>
                <w:snapToGrid w:val="0"/>
                <w:color w:val="auto"/>
                <w:kern w:val="0"/>
                <w:sz w:val="21"/>
                <w:szCs w:val="21"/>
                <w:highlight w:val="none"/>
              </w:rPr>
            </w:pPr>
          </w:p>
        </w:tc>
      </w:tr>
      <w:tr w14:paraId="083ABF8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3DE8433C">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w:t>
            </w:r>
          </w:p>
        </w:tc>
        <w:tc>
          <w:tcPr>
            <w:tcW w:w="1425" w:type="dxa"/>
            <w:tcBorders>
              <w:top w:val="single" w:color="auto" w:sz="6" w:space="0"/>
              <w:left w:val="single" w:color="auto" w:sz="6" w:space="0"/>
              <w:bottom w:val="single" w:color="auto" w:sz="6" w:space="0"/>
              <w:right w:val="single" w:color="auto" w:sz="6" w:space="0"/>
            </w:tcBorders>
            <w:vAlign w:val="center"/>
          </w:tcPr>
          <w:p w14:paraId="4A0831D5">
            <w:pPr>
              <w:wordWrap w:val="0"/>
              <w:adjustRightInd w:val="0"/>
              <w:snapToGrid w:val="0"/>
              <w:spacing w:line="240" w:lineRule="auto"/>
              <w:jc w:val="center"/>
              <w:rPr>
                <w:rFonts w:hAnsi="宋体" w:cs="宋体"/>
                <w:snapToGrid w:val="0"/>
                <w:color w:val="auto"/>
                <w:kern w:val="0"/>
                <w:sz w:val="21"/>
                <w:szCs w:val="21"/>
                <w:highlight w:val="none"/>
              </w:rPr>
            </w:pPr>
          </w:p>
        </w:tc>
        <w:tc>
          <w:tcPr>
            <w:tcW w:w="840" w:type="dxa"/>
            <w:tcBorders>
              <w:top w:val="single" w:color="auto" w:sz="6" w:space="0"/>
              <w:left w:val="single" w:color="auto" w:sz="6" w:space="0"/>
              <w:bottom w:val="single" w:color="auto" w:sz="6" w:space="0"/>
              <w:right w:val="single" w:color="auto" w:sz="6" w:space="0"/>
            </w:tcBorders>
            <w:vAlign w:val="center"/>
          </w:tcPr>
          <w:p w14:paraId="45BE5AF8">
            <w:pPr>
              <w:wordWrap w:val="0"/>
              <w:adjustRightInd w:val="0"/>
              <w:snapToGrid w:val="0"/>
              <w:spacing w:line="240" w:lineRule="auto"/>
              <w:jc w:val="center"/>
              <w:rPr>
                <w:rFonts w:hAnsi="宋体" w:cs="宋体"/>
                <w:snapToGrid w:val="0"/>
                <w:color w:val="auto"/>
                <w:kern w:val="0"/>
                <w:sz w:val="21"/>
                <w:szCs w:val="21"/>
                <w:highlight w:val="none"/>
              </w:rPr>
            </w:pPr>
          </w:p>
        </w:tc>
        <w:tc>
          <w:tcPr>
            <w:tcW w:w="1485" w:type="dxa"/>
            <w:tcBorders>
              <w:top w:val="single" w:color="auto" w:sz="6" w:space="0"/>
              <w:left w:val="single" w:color="auto" w:sz="6" w:space="0"/>
              <w:bottom w:val="single" w:color="auto" w:sz="6" w:space="0"/>
              <w:right w:val="single" w:color="auto" w:sz="6" w:space="0"/>
            </w:tcBorders>
            <w:vAlign w:val="center"/>
          </w:tcPr>
          <w:p w14:paraId="771BB2E9">
            <w:pPr>
              <w:wordWrap w:val="0"/>
              <w:adjustRightInd w:val="0"/>
              <w:snapToGrid w:val="0"/>
              <w:spacing w:line="240" w:lineRule="auto"/>
              <w:jc w:val="center"/>
              <w:rPr>
                <w:rFonts w:hAnsi="宋体" w:cs="宋体"/>
                <w:snapToGrid w:val="0"/>
                <w:color w:val="auto"/>
                <w:kern w:val="0"/>
                <w:sz w:val="21"/>
                <w:szCs w:val="21"/>
                <w:highlight w:val="none"/>
              </w:rPr>
            </w:pPr>
          </w:p>
        </w:tc>
        <w:tc>
          <w:tcPr>
            <w:tcW w:w="615" w:type="dxa"/>
            <w:tcBorders>
              <w:top w:val="single" w:color="auto" w:sz="6" w:space="0"/>
              <w:left w:val="single" w:color="auto" w:sz="6" w:space="0"/>
              <w:bottom w:val="single" w:color="auto" w:sz="6" w:space="0"/>
              <w:right w:val="single" w:color="auto" w:sz="6" w:space="0"/>
            </w:tcBorders>
            <w:vAlign w:val="center"/>
          </w:tcPr>
          <w:p w14:paraId="1C314B1C">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4E47D727">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49BF5F50">
            <w:pPr>
              <w:wordWrap w:val="0"/>
              <w:adjustRightInd w:val="0"/>
              <w:snapToGrid w:val="0"/>
              <w:spacing w:line="240" w:lineRule="auto"/>
              <w:jc w:val="center"/>
              <w:rPr>
                <w:rFonts w:hAnsi="宋体" w:cs="宋体"/>
                <w:snapToGrid w:val="0"/>
                <w:color w:val="auto"/>
                <w:kern w:val="0"/>
                <w:sz w:val="21"/>
                <w:szCs w:val="21"/>
                <w:highlight w:val="none"/>
              </w:rPr>
            </w:pPr>
          </w:p>
        </w:tc>
        <w:tc>
          <w:tcPr>
            <w:tcW w:w="660" w:type="dxa"/>
            <w:tcBorders>
              <w:top w:val="single" w:color="auto" w:sz="6" w:space="0"/>
              <w:left w:val="single" w:color="auto" w:sz="6" w:space="0"/>
              <w:bottom w:val="single" w:color="auto" w:sz="6" w:space="0"/>
              <w:right w:val="single" w:color="auto" w:sz="6" w:space="0"/>
            </w:tcBorders>
            <w:vAlign w:val="center"/>
          </w:tcPr>
          <w:p w14:paraId="7C098BAE">
            <w:pPr>
              <w:wordWrap w:val="0"/>
              <w:adjustRightInd w:val="0"/>
              <w:snapToGrid w:val="0"/>
              <w:spacing w:line="240" w:lineRule="auto"/>
              <w:jc w:val="center"/>
              <w:rPr>
                <w:rFonts w:hAnsi="宋体" w:cs="宋体"/>
                <w:snapToGrid w:val="0"/>
                <w:color w:val="auto"/>
                <w:kern w:val="0"/>
                <w:sz w:val="21"/>
                <w:szCs w:val="21"/>
                <w:highlight w:val="none"/>
              </w:rPr>
            </w:pPr>
          </w:p>
        </w:tc>
        <w:tc>
          <w:tcPr>
            <w:tcW w:w="1695" w:type="dxa"/>
            <w:tcBorders>
              <w:top w:val="single" w:color="auto" w:sz="6" w:space="0"/>
              <w:left w:val="single" w:color="auto" w:sz="6" w:space="0"/>
              <w:bottom w:val="single" w:color="auto" w:sz="6" w:space="0"/>
              <w:right w:val="single" w:color="auto" w:sz="6" w:space="0"/>
            </w:tcBorders>
            <w:vAlign w:val="center"/>
          </w:tcPr>
          <w:p w14:paraId="0041B8DE">
            <w:pPr>
              <w:wordWrap w:val="0"/>
              <w:adjustRightInd w:val="0"/>
              <w:snapToGrid w:val="0"/>
              <w:spacing w:line="240" w:lineRule="auto"/>
              <w:jc w:val="center"/>
              <w:rPr>
                <w:rFonts w:hAnsi="宋体" w:cs="宋体"/>
                <w:snapToGrid w:val="0"/>
                <w:color w:val="auto"/>
                <w:kern w:val="0"/>
                <w:sz w:val="21"/>
                <w:szCs w:val="21"/>
                <w:highlight w:val="none"/>
              </w:rPr>
            </w:pPr>
          </w:p>
        </w:tc>
        <w:tc>
          <w:tcPr>
            <w:tcW w:w="1455" w:type="dxa"/>
            <w:tcBorders>
              <w:top w:val="single" w:color="auto" w:sz="6" w:space="0"/>
              <w:left w:val="single" w:color="auto" w:sz="6" w:space="0"/>
              <w:bottom w:val="single" w:color="auto" w:sz="6" w:space="0"/>
              <w:right w:val="single" w:color="auto" w:sz="6" w:space="0"/>
            </w:tcBorders>
            <w:vAlign w:val="center"/>
          </w:tcPr>
          <w:p w14:paraId="6E293F8F">
            <w:pPr>
              <w:wordWrap w:val="0"/>
              <w:adjustRightInd w:val="0"/>
              <w:snapToGrid w:val="0"/>
              <w:spacing w:line="240" w:lineRule="auto"/>
              <w:jc w:val="center"/>
              <w:rPr>
                <w:rFonts w:hAnsi="宋体" w:cs="宋体"/>
                <w:snapToGrid w:val="0"/>
                <w:color w:val="auto"/>
                <w:kern w:val="0"/>
                <w:sz w:val="21"/>
                <w:szCs w:val="21"/>
                <w:highlight w:val="none"/>
              </w:rPr>
            </w:pPr>
          </w:p>
        </w:tc>
        <w:tc>
          <w:tcPr>
            <w:tcW w:w="645" w:type="dxa"/>
            <w:tcBorders>
              <w:top w:val="single" w:color="auto" w:sz="6" w:space="0"/>
              <w:left w:val="single" w:color="auto" w:sz="6" w:space="0"/>
              <w:bottom w:val="single" w:color="auto" w:sz="6" w:space="0"/>
              <w:right w:val="single" w:color="auto" w:sz="6" w:space="0"/>
            </w:tcBorders>
            <w:vAlign w:val="center"/>
          </w:tcPr>
          <w:p w14:paraId="1B3AECFD">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51BB2043">
            <w:pPr>
              <w:wordWrap w:val="0"/>
              <w:adjustRightInd w:val="0"/>
              <w:snapToGrid w:val="0"/>
              <w:spacing w:line="240" w:lineRule="auto"/>
              <w:jc w:val="center"/>
              <w:rPr>
                <w:rFonts w:hAnsi="宋体" w:cs="宋体"/>
                <w:snapToGrid w:val="0"/>
                <w:color w:val="auto"/>
                <w:kern w:val="0"/>
                <w:sz w:val="21"/>
                <w:szCs w:val="21"/>
                <w:highlight w:val="none"/>
              </w:rPr>
            </w:pPr>
          </w:p>
        </w:tc>
      </w:tr>
      <w:tr w14:paraId="1D6E3F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566A7951">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327FAF32">
            <w:pPr>
              <w:wordWrap w:val="0"/>
              <w:adjustRightInd w:val="0"/>
              <w:snapToGrid w:val="0"/>
              <w:spacing w:line="240" w:lineRule="auto"/>
              <w:jc w:val="center"/>
              <w:rPr>
                <w:rFonts w:hAnsi="宋体" w:cs="宋体"/>
                <w:snapToGrid w:val="0"/>
                <w:color w:val="auto"/>
                <w:kern w:val="0"/>
                <w:sz w:val="21"/>
                <w:szCs w:val="21"/>
                <w:highlight w:val="none"/>
              </w:rPr>
            </w:pPr>
          </w:p>
        </w:tc>
        <w:tc>
          <w:tcPr>
            <w:tcW w:w="840" w:type="dxa"/>
            <w:tcBorders>
              <w:top w:val="single" w:color="auto" w:sz="6" w:space="0"/>
              <w:left w:val="single" w:color="auto" w:sz="6" w:space="0"/>
              <w:bottom w:val="single" w:color="auto" w:sz="6" w:space="0"/>
              <w:right w:val="single" w:color="auto" w:sz="6" w:space="0"/>
            </w:tcBorders>
            <w:vAlign w:val="center"/>
          </w:tcPr>
          <w:p w14:paraId="2DA9183E">
            <w:pPr>
              <w:wordWrap w:val="0"/>
              <w:adjustRightInd w:val="0"/>
              <w:snapToGrid w:val="0"/>
              <w:spacing w:line="240" w:lineRule="auto"/>
              <w:jc w:val="center"/>
              <w:rPr>
                <w:rFonts w:hAnsi="宋体" w:cs="宋体"/>
                <w:snapToGrid w:val="0"/>
                <w:color w:val="auto"/>
                <w:kern w:val="0"/>
                <w:sz w:val="21"/>
                <w:szCs w:val="21"/>
                <w:highlight w:val="none"/>
              </w:rPr>
            </w:pPr>
          </w:p>
        </w:tc>
        <w:tc>
          <w:tcPr>
            <w:tcW w:w="1485" w:type="dxa"/>
            <w:tcBorders>
              <w:top w:val="single" w:color="auto" w:sz="6" w:space="0"/>
              <w:left w:val="single" w:color="auto" w:sz="6" w:space="0"/>
              <w:bottom w:val="single" w:color="auto" w:sz="6" w:space="0"/>
              <w:right w:val="single" w:color="auto" w:sz="6" w:space="0"/>
            </w:tcBorders>
            <w:vAlign w:val="center"/>
          </w:tcPr>
          <w:p w14:paraId="58B29535">
            <w:pPr>
              <w:wordWrap w:val="0"/>
              <w:adjustRightInd w:val="0"/>
              <w:snapToGrid w:val="0"/>
              <w:spacing w:line="240" w:lineRule="auto"/>
              <w:jc w:val="center"/>
              <w:rPr>
                <w:rFonts w:hAnsi="宋体" w:cs="宋体"/>
                <w:snapToGrid w:val="0"/>
                <w:color w:val="auto"/>
                <w:kern w:val="0"/>
                <w:sz w:val="21"/>
                <w:szCs w:val="21"/>
                <w:highlight w:val="none"/>
              </w:rPr>
            </w:pPr>
          </w:p>
        </w:tc>
        <w:tc>
          <w:tcPr>
            <w:tcW w:w="615" w:type="dxa"/>
            <w:tcBorders>
              <w:top w:val="single" w:color="auto" w:sz="6" w:space="0"/>
              <w:left w:val="single" w:color="auto" w:sz="6" w:space="0"/>
              <w:bottom w:val="single" w:color="auto" w:sz="6" w:space="0"/>
              <w:right w:val="single" w:color="auto" w:sz="6" w:space="0"/>
            </w:tcBorders>
            <w:vAlign w:val="center"/>
          </w:tcPr>
          <w:p w14:paraId="5FEC53F2">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0180C744">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188DE9D1">
            <w:pPr>
              <w:wordWrap w:val="0"/>
              <w:adjustRightInd w:val="0"/>
              <w:snapToGrid w:val="0"/>
              <w:spacing w:line="240" w:lineRule="auto"/>
              <w:jc w:val="center"/>
              <w:rPr>
                <w:rFonts w:hAnsi="宋体" w:cs="宋体"/>
                <w:snapToGrid w:val="0"/>
                <w:color w:val="auto"/>
                <w:kern w:val="0"/>
                <w:sz w:val="21"/>
                <w:szCs w:val="21"/>
                <w:highlight w:val="none"/>
              </w:rPr>
            </w:pPr>
          </w:p>
        </w:tc>
        <w:tc>
          <w:tcPr>
            <w:tcW w:w="660" w:type="dxa"/>
            <w:tcBorders>
              <w:top w:val="single" w:color="auto" w:sz="6" w:space="0"/>
              <w:left w:val="single" w:color="auto" w:sz="6" w:space="0"/>
              <w:bottom w:val="single" w:color="auto" w:sz="6" w:space="0"/>
              <w:right w:val="single" w:color="auto" w:sz="6" w:space="0"/>
            </w:tcBorders>
            <w:vAlign w:val="center"/>
          </w:tcPr>
          <w:p w14:paraId="19400136">
            <w:pPr>
              <w:wordWrap w:val="0"/>
              <w:adjustRightInd w:val="0"/>
              <w:snapToGrid w:val="0"/>
              <w:spacing w:line="240" w:lineRule="auto"/>
              <w:jc w:val="center"/>
              <w:rPr>
                <w:rFonts w:hAnsi="宋体" w:cs="宋体"/>
                <w:snapToGrid w:val="0"/>
                <w:color w:val="auto"/>
                <w:kern w:val="0"/>
                <w:sz w:val="21"/>
                <w:szCs w:val="21"/>
                <w:highlight w:val="none"/>
              </w:rPr>
            </w:pPr>
          </w:p>
        </w:tc>
        <w:tc>
          <w:tcPr>
            <w:tcW w:w="1695" w:type="dxa"/>
            <w:tcBorders>
              <w:top w:val="single" w:color="auto" w:sz="6" w:space="0"/>
              <w:left w:val="single" w:color="auto" w:sz="6" w:space="0"/>
              <w:bottom w:val="single" w:color="auto" w:sz="6" w:space="0"/>
              <w:right w:val="single" w:color="auto" w:sz="6" w:space="0"/>
            </w:tcBorders>
            <w:vAlign w:val="center"/>
          </w:tcPr>
          <w:p w14:paraId="4245C62B">
            <w:pPr>
              <w:wordWrap w:val="0"/>
              <w:adjustRightInd w:val="0"/>
              <w:snapToGrid w:val="0"/>
              <w:spacing w:line="240" w:lineRule="auto"/>
              <w:jc w:val="center"/>
              <w:rPr>
                <w:rFonts w:hAnsi="宋体" w:cs="宋体"/>
                <w:snapToGrid w:val="0"/>
                <w:color w:val="auto"/>
                <w:kern w:val="0"/>
                <w:sz w:val="21"/>
                <w:szCs w:val="21"/>
                <w:highlight w:val="none"/>
              </w:rPr>
            </w:pPr>
          </w:p>
        </w:tc>
        <w:tc>
          <w:tcPr>
            <w:tcW w:w="1455" w:type="dxa"/>
            <w:tcBorders>
              <w:top w:val="single" w:color="auto" w:sz="6" w:space="0"/>
              <w:left w:val="single" w:color="auto" w:sz="6" w:space="0"/>
              <w:bottom w:val="single" w:color="auto" w:sz="6" w:space="0"/>
              <w:right w:val="single" w:color="auto" w:sz="6" w:space="0"/>
            </w:tcBorders>
            <w:vAlign w:val="center"/>
          </w:tcPr>
          <w:p w14:paraId="2B535828">
            <w:pPr>
              <w:wordWrap w:val="0"/>
              <w:adjustRightInd w:val="0"/>
              <w:snapToGrid w:val="0"/>
              <w:spacing w:line="240" w:lineRule="auto"/>
              <w:jc w:val="center"/>
              <w:rPr>
                <w:rFonts w:hAnsi="宋体" w:cs="宋体"/>
                <w:snapToGrid w:val="0"/>
                <w:color w:val="auto"/>
                <w:kern w:val="0"/>
                <w:sz w:val="21"/>
                <w:szCs w:val="21"/>
                <w:highlight w:val="none"/>
              </w:rPr>
            </w:pPr>
          </w:p>
        </w:tc>
        <w:tc>
          <w:tcPr>
            <w:tcW w:w="645" w:type="dxa"/>
            <w:tcBorders>
              <w:top w:val="single" w:color="auto" w:sz="6" w:space="0"/>
              <w:left w:val="single" w:color="auto" w:sz="6" w:space="0"/>
              <w:bottom w:val="single" w:color="auto" w:sz="6" w:space="0"/>
              <w:right w:val="single" w:color="auto" w:sz="6" w:space="0"/>
            </w:tcBorders>
            <w:vAlign w:val="center"/>
          </w:tcPr>
          <w:p w14:paraId="5185989E">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5AA32920">
            <w:pPr>
              <w:wordWrap w:val="0"/>
              <w:adjustRightInd w:val="0"/>
              <w:snapToGrid w:val="0"/>
              <w:spacing w:line="240" w:lineRule="auto"/>
              <w:jc w:val="center"/>
              <w:rPr>
                <w:rFonts w:hAnsi="宋体" w:cs="宋体"/>
                <w:snapToGrid w:val="0"/>
                <w:color w:val="auto"/>
                <w:kern w:val="0"/>
                <w:sz w:val="21"/>
                <w:szCs w:val="21"/>
                <w:highlight w:val="none"/>
              </w:rPr>
            </w:pPr>
          </w:p>
        </w:tc>
      </w:tr>
      <w:tr w14:paraId="6F1EBD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6226C860">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428E1B4A">
            <w:pPr>
              <w:wordWrap w:val="0"/>
              <w:adjustRightInd w:val="0"/>
              <w:snapToGrid w:val="0"/>
              <w:spacing w:line="240" w:lineRule="auto"/>
              <w:jc w:val="center"/>
              <w:rPr>
                <w:rFonts w:hAnsi="宋体" w:cs="宋体"/>
                <w:snapToGrid w:val="0"/>
                <w:color w:val="auto"/>
                <w:kern w:val="0"/>
                <w:sz w:val="21"/>
                <w:szCs w:val="21"/>
                <w:highlight w:val="none"/>
              </w:rPr>
            </w:pPr>
          </w:p>
        </w:tc>
        <w:tc>
          <w:tcPr>
            <w:tcW w:w="840" w:type="dxa"/>
            <w:tcBorders>
              <w:top w:val="single" w:color="auto" w:sz="6" w:space="0"/>
              <w:left w:val="single" w:color="auto" w:sz="6" w:space="0"/>
              <w:bottom w:val="single" w:color="auto" w:sz="6" w:space="0"/>
              <w:right w:val="single" w:color="auto" w:sz="6" w:space="0"/>
            </w:tcBorders>
            <w:vAlign w:val="center"/>
          </w:tcPr>
          <w:p w14:paraId="49D48576">
            <w:pPr>
              <w:wordWrap w:val="0"/>
              <w:adjustRightInd w:val="0"/>
              <w:snapToGrid w:val="0"/>
              <w:spacing w:line="240" w:lineRule="auto"/>
              <w:jc w:val="center"/>
              <w:rPr>
                <w:rFonts w:hAnsi="宋体" w:cs="宋体"/>
                <w:snapToGrid w:val="0"/>
                <w:color w:val="auto"/>
                <w:kern w:val="0"/>
                <w:sz w:val="21"/>
                <w:szCs w:val="21"/>
                <w:highlight w:val="none"/>
              </w:rPr>
            </w:pPr>
          </w:p>
        </w:tc>
        <w:tc>
          <w:tcPr>
            <w:tcW w:w="1485" w:type="dxa"/>
            <w:tcBorders>
              <w:top w:val="single" w:color="auto" w:sz="6" w:space="0"/>
              <w:left w:val="single" w:color="auto" w:sz="6" w:space="0"/>
              <w:bottom w:val="single" w:color="auto" w:sz="6" w:space="0"/>
              <w:right w:val="single" w:color="auto" w:sz="6" w:space="0"/>
            </w:tcBorders>
            <w:vAlign w:val="center"/>
          </w:tcPr>
          <w:p w14:paraId="6478252E">
            <w:pPr>
              <w:wordWrap w:val="0"/>
              <w:adjustRightInd w:val="0"/>
              <w:snapToGrid w:val="0"/>
              <w:spacing w:line="240" w:lineRule="auto"/>
              <w:jc w:val="center"/>
              <w:rPr>
                <w:rFonts w:hAnsi="宋体" w:cs="宋体"/>
                <w:snapToGrid w:val="0"/>
                <w:color w:val="auto"/>
                <w:kern w:val="0"/>
                <w:sz w:val="21"/>
                <w:szCs w:val="21"/>
                <w:highlight w:val="none"/>
              </w:rPr>
            </w:pPr>
          </w:p>
        </w:tc>
        <w:tc>
          <w:tcPr>
            <w:tcW w:w="615" w:type="dxa"/>
            <w:tcBorders>
              <w:top w:val="single" w:color="auto" w:sz="6" w:space="0"/>
              <w:left w:val="single" w:color="auto" w:sz="6" w:space="0"/>
              <w:bottom w:val="single" w:color="auto" w:sz="6" w:space="0"/>
              <w:right w:val="single" w:color="auto" w:sz="6" w:space="0"/>
            </w:tcBorders>
            <w:vAlign w:val="center"/>
          </w:tcPr>
          <w:p w14:paraId="789289E9">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29D46CBE">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279E9517">
            <w:pPr>
              <w:wordWrap w:val="0"/>
              <w:adjustRightInd w:val="0"/>
              <w:snapToGrid w:val="0"/>
              <w:spacing w:line="240" w:lineRule="auto"/>
              <w:jc w:val="center"/>
              <w:rPr>
                <w:rFonts w:hAnsi="宋体" w:cs="宋体"/>
                <w:snapToGrid w:val="0"/>
                <w:color w:val="auto"/>
                <w:kern w:val="0"/>
                <w:sz w:val="21"/>
                <w:szCs w:val="21"/>
                <w:highlight w:val="none"/>
              </w:rPr>
            </w:pPr>
          </w:p>
        </w:tc>
        <w:tc>
          <w:tcPr>
            <w:tcW w:w="660" w:type="dxa"/>
            <w:tcBorders>
              <w:top w:val="single" w:color="auto" w:sz="6" w:space="0"/>
              <w:left w:val="single" w:color="auto" w:sz="6" w:space="0"/>
              <w:bottom w:val="single" w:color="auto" w:sz="6" w:space="0"/>
              <w:right w:val="single" w:color="auto" w:sz="6" w:space="0"/>
            </w:tcBorders>
            <w:vAlign w:val="center"/>
          </w:tcPr>
          <w:p w14:paraId="533CF4AB">
            <w:pPr>
              <w:wordWrap w:val="0"/>
              <w:adjustRightInd w:val="0"/>
              <w:snapToGrid w:val="0"/>
              <w:spacing w:line="240" w:lineRule="auto"/>
              <w:jc w:val="center"/>
              <w:rPr>
                <w:rFonts w:hAnsi="宋体" w:cs="宋体"/>
                <w:snapToGrid w:val="0"/>
                <w:color w:val="auto"/>
                <w:kern w:val="0"/>
                <w:sz w:val="21"/>
                <w:szCs w:val="21"/>
                <w:highlight w:val="none"/>
              </w:rPr>
            </w:pPr>
          </w:p>
        </w:tc>
        <w:tc>
          <w:tcPr>
            <w:tcW w:w="1695" w:type="dxa"/>
            <w:tcBorders>
              <w:top w:val="single" w:color="auto" w:sz="6" w:space="0"/>
              <w:left w:val="single" w:color="auto" w:sz="6" w:space="0"/>
              <w:bottom w:val="single" w:color="auto" w:sz="6" w:space="0"/>
              <w:right w:val="single" w:color="auto" w:sz="6" w:space="0"/>
            </w:tcBorders>
            <w:vAlign w:val="center"/>
          </w:tcPr>
          <w:p w14:paraId="77592978">
            <w:pPr>
              <w:wordWrap w:val="0"/>
              <w:adjustRightInd w:val="0"/>
              <w:snapToGrid w:val="0"/>
              <w:spacing w:line="240" w:lineRule="auto"/>
              <w:jc w:val="center"/>
              <w:rPr>
                <w:rFonts w:hAnsi="宋体" w:cs="宋体"/>
                <w:snapToGrid w:val="0"/>
                <w:color w:val="auto"/>
                <w:kern w:val="0"/>
                <w:sz w:val="21"/>
                <w:szCs w:val="21"/>
                <w:highlight w:val="none"/>
              </w:rPr>
            </w:pPr>
          </w:p>
        </w:tc>
        <w:tc>
          <w:tcPr>
            <w:tcW w:w="1455" w:type="dxa"/>
            <w:tcBorders>
              <w:top w:val="single" w:color="auto" w:sz="6" w:space="0"/>
              <w:left w:val="single" w:color="auto" w:sz="6" w:space="0"/>
              <w:bottom w:val="single" w:color="auto" w:sz="6" w:space="0"/>
              <w:right w:val="single" w:color="auto" w:sz="6" w:space="0"/>
            </w:tcBorders>
            <w:vAlign w:val="center"/>
          </w:tcPr>
          <w:p w14:paraId="08B63551">
            <w:pPr>
              <w:wordWrap w:val="0"/>
              <w:adjustRightInd w:val="0"/>
              <w:snapToGrid w:val="0"/>
              <w:spacing w:line="240" w:lineRule="auto"/>
              <w:jc w:val="center"/>
              <w:rPr>
                <w:rFonts w:hAnsi="宋体" w:cs="宋体"/>
                <w:snapToGrid w:val="0"/>
                <w:color w:val="auto"/>
                <w:kern w:val="0"/>
                <w:sz w:val="21"/>
                <w:szCs w:val="21"/>
                <w:highlight w:val="none"/>
              </w:rPr>
            </w:pPr>
          </w:p>
        </w:tc>
        <w:tc>
          <w:tcPr>
            <w:tcW w:w="645" w:type="dxa"/>
            <w:tcBorders>
              <w:top w:val="single" w:color="auto" w:sz="6" w:space="0"/>
              <w:left w:val="single" w:color="auto" w:sz="6" w:space="0"/>
              <w:bottom w:val="single" w:color="auto" w:sz="6" w:space="0"/>
              <w:right w:val="single" w:color="auto" w:sz="6" w:space="0"/>
            </w:tcBorders>
            <w:vAlign w:val="center"/>
          </w:tcPr>
          <w:p w14:paraId="73FF7F2B">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579E56F7">
            <w:pPr>
              <w:wordWrap w:val="0"/>
              <w:adjustRightInd w:val="0"/>
              <w:snapToGrid w:val="0"/>
              <w:spacing w:line="240" w:lineRule="auto"/>
              <w:jc w:val="center"/>
              <w:rPr>
                <w:rFonts w:hAnsi="宋体" w:cs="宋体"/>
                <w:snapToGrid w:val="0"/>
                <w:color w:val="auto"/>
                <w:kern w:val="0"/>
                <w:sz w:val="21"/>
                <w:szCs w:val="21"/>
                <w:highlight w:val="none"/>
              </w:rPr>
            </w:pPr>
          </w:p>
        </w:tc>
      </w:tr>
      <w:tr w14:paraId="280CD1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7C972988">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08A282E3">
            <w:pPr>
              <w:wordWrap w:val="0"/>
              <w:adjustRightInd w:val="0"/>
              <w:snapToGrid w:val="0"/>
              <w:spacing w:line="240" w:lineRule="auto"/>
              <w:jc w:val="center"/>
              <w:rPr>
                <w:rFonts w:hAnsi="宋体" w:cs="宋体"/>
                <w:snapToGrid w:val="0"/>
                <w:color w:val="auto"/>
                <w:kern w:val="0"/>
                <w:sz w:val="21"/>
                <w:szCs w:val="21"/>
                <w:highlight w:val="none"/>
              </w:rPr>
            </w:pPr>
          </w:p>
        </w:tc>
        <w:tc>
          <w:tcPr>
            <w:tcW w:w="840" w:type="dxa"/>
            <w:tcBorders>
              <w:top w:val="single" w:color="auto" w:sz="6" w:space="0"/>
              <w:left w:val="single" w:color="auto" w:sz="6" w:space="0"/>
              <w:bottom w:val="single" w:color="auto" w:sz="6" w:space="0"/>
              <w:right w:val="single" w:color="auto" w:sz="6" w:space="0"/>
            </w:tcBorders>
            <w:vAlign w:val="center"/>
          </w:tcPr>
          <w:p w14:paraId="5974B3F3">
            <w:pPr>
              <w:wordWrap w:val="0"/>
              <w:adjustRightInd w:val="0"/>
              <w:snapToGrid w:val="0"/>
              <w:spacing w:line="240" w:lineRule="auto"/>
              <w:jc w:val="center"/>
              <w:rPr>
                <w:rFonts w:hAnsi="宋体" w:cs="宋体"/>
                <w:snapToGrid w:val="0"/>
                <w:color w:val="auto"/>
                <w:kern w:val="0"/>
                <w:sz w:val="21"/>
                <w:szCs w:val="21"/>
                <w:highlight w:val="none"/>
              </w:rPr>
            </w:pPr>
          </w:p>
        </w:tc>
        <w:tc>
          <w:tcPr>
            <w:tcW w:w="1485" w:type="dxa"/>
            <w:tcBorders>
              <w:top w:val="single" w:color="auto" w:sz="6" w:space="0"/>
              <w:left w:val="single" w:color="auto" w:sz="6" w:space="0"/>
              <w:bottom w:val="single" w:color="auto" w:sz="6" w:space="0"/>
              <w:right w:val="single" w:color="auto" w:sz="6" w:space="0"/>
            </w:tcBorders>
            <w:vAlign w:val="center"/>
          </w:tcPr>
          <w:p w14:paraId="2A2B134E">
            <w:pPr>
              <w:wordWrap w:val="0"/>
              <w:adjustRightInd w:val="0"/>
              <w:snapToGrid w:val="0"/>
              <w:spacing w:line="240" w:lineRule="auto"/>
              <w:jc w:val="center"/>
              <w:rPr>
                <w:rFonts w:hAnsi="宋体" w:cs="宋体"/>
                <w:snapToGrid w:val="0"/>
                <w:color w:val="auto"/>
                <w:kern w:val="0"/>
                <w:sz w:val="21"/>
                <w:szCs w:val="21"/>
                <w:highlight w:val="none"/>
              </w:rPr>
            </w:pPr>
          </w:p>
        </w:tc>
        <w:tc>
          <w:tcPr>
            <w:tcW w:w="615" w:type="dxa"/>
            <w:tcBorders>
              <w:top w:val="single" w:color="auto" w:sz="6" w:space="0"/>
              <w:left w:val="single" w:color="auto" w:sz="6" w:space="0"/>
              <w:bottom w:val="single" w:color="auto" w:sz="6" w:space="0"/>
              <w:right w:val="single" w:color="auto" w:sz="6" w:space="0"/>
            </w:tcBorders>
            <w:vAlign w:val="center"/>
          </w:tcPr>
          <w:p w14:paraId="71A5BB15">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47A98FA8">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2FA57914">
            <w:pPr>
              <w:wordWrap w:val="0"/>
              <w:adjustRightInd w:val="0"/>
              <w:snapToGrid w:val="0"/>
              <w:spacing w:line="240" w:lineRule="auto"/>
              <w:jc w:val="center"/>
              <w:rPr>
                <w:rFonts w:hAnsi="宋体" w:cs="宋体"/>
                <w:snapToGrid w:val="0"/>
                <w:color w:val="auto"/>
                <w:kern w:val="0"/>
                <w:sz w:val="21"/>
                <w:szCs w:val="21"/>
                <w:highlight w:val="none"/>
              </w:rPr>
            </w:pPr>
          </w:p>
        </w:tc>
        <w:tc>
          <w:tcPr>
            <w:tcW w:w="660" w:type="dxa"/>
            <w:tcBorders>
              <w:top w:val="single" w:color="auto" w:sz="6" w:space="0"/>
              <w:left w:val="single" w:color="auto" w:sz="6" w:space="0"/>
              <w:bottom w:val="single" w:color="auto" w:sz="6" w:space="0"/>
              <w:right w:val="single" w:color="auto" w:sz="6" w:space="0"/>
            </w:tcBorders>
            <w:vAlign w:val="center"/>
          </w:tcPr>
          <w:p w14:paraId="6DD6E784">
            <w:pPr>
              <w:wordWrap w:val="0"/>
              <w:adjustRightInd w:val="0"/>
              <w:snapToGrid w:val="0"/>
              <w:spacing w:line="240" w:lineRule="auto"/>
              <w:jc w:val="center"/>
              <w:rPr>
                <w:rFonts w:hAnsi="宋体" w:cs="宋体"/>
                <w:snapToGrid w:val="0"/>
                <w:color w:val="auto"/>
                <w:kern w:val="0"/>
                <w:sz w:val="21"/>
                <w:szCs w:val="21"/>
                <w:highlight w:val="none"/>
              </w:rPr>
            </w:pPr>
          </w:p>
        </w:tc>
        <w:tc>
          <w:tcPr>
            <w:tcW w:w="1695" w:type="dxa"/>
            <w:tcBorders>
              <w:top w:val="single" w:color="auto" w:sz="6" w:space="0"/>
              <w:left w:val="single" w:color="auto" w:sz="6" w:space="0"/>
              <w:bottom w:val="single" w:color="auto" w:sz="6" w:space="0"/>
              <w:right w:val="single" w:color="auto" w:sz="6" w:space="0"/>
            </w:tcBorders>
            <w:vAlign w:val="center"/>
          </w:tcPr>
          <w:p w14:paraId="7644D406">
            <w:pPr>
              <w:wordWrap w:val="0"/>
              <w:adjustRightInd w:val="0"/>
              <w:snapToGrid w:val="0"/>
              <w:spacing w:line="240" w:lineRule="auto"/>
              <w:jc w:val="center"/>
              <w:rPr>
                <w:rFonts w:hAnsi="宋体" w:cs="宋体"/>
                <w:snapToGrid w:val="0"/>
                <w:color w:val="auto"/>
                <w:kern w:val="0"/>
                <w:sz w:val="21"/>
                <w:szCs w:val="21"/>
                <w:highlight w:val="none"/>
              </w:rPr>
            </w:pPr>
          </w:p>
        </w:tc>
        <w:tc>
          <w:tcPr>
            <w:tcW w:w="1455" w:type="dxa"/>
            <w:tcBorders>
              <w:top w:val="single" w:color="auto" w:sz="6" w:space="0"/>
              <w:left w:val="single" w:color="auto" w:sz="6" w:space="0"/>
              <w:bottom w:val="single" w:color="auto" w:sz="6" w:space="0"/>
              <w:right w:val="single" w:color="auto" w:sz="6" w:space="0"/>
            </w:tcBorders>
            <w:vAlign w:val="center"/>
          </w:tcPr>
          <w:p w14:paraId="3736D6A4">
            <w:pPr>
              <w:wordWrap w:val="0"/>
              <w:adjustRightInd w:val="0"/>
              <w:snapToGrid w:val="0"/>
              <w:spacing w:line="240" w:lineRule="auto"/>
              <w:jc w:val="center"/>
              <w:rPr>
                <w:rFonts w:hAnsi="宋体" w:cs="宋体"/>
                <w:snapToGrid w:val="0"/>
                <w:color w:val="auto"/>
                <w:kern w:val="0"/>
                <w:sz w:val="21"/>
                <w:szCs w:val="21"/>
                <w:highlight w:val="none"/>
              </w:rPr>
            </w:pPr>
          </w:p>
        </w:tc>
        <w:tc>
          <w:tcPr>
            <w:tcW w:w="645" w:type="dxa"/>
            <w:tcBorders>
              <w:top w:val="single" w:color="auto" w:sz="6" w:space="0"/>
              <w:left w:val="single" w:color="auto" w:sz="6" w:space="0"/>
              <w:bottom w:val="single" w:color="auto" w:sz="6" w:space="0"/>
              <w:right w:val="single" w:color="auto" w:sz="6" w:space="0"/>
            </w:tcBorders>
            <w:vAlign w:val="center"/>
          </w:tcPr>
          <w:p w14:paraId="60CEDD32">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407F5906">
            <w:pPr>
              <w:wordWrap w:val="0"/>
              <w:adjustRightInd w:val="0"/>
              <w:snapToGrid w:val="0"/>
              <w:spacing w:line="240" w:lineRule="auto"/>
              <w:jc w:val="center"/>
              <w:rPr>
                <w:rFonts w:hAnsi="宋体" w:cs="宋体"/>
                <w:snapToGrid w:val="0"/>
                <w:color w:val="auto"/>
                <w:kern w:val="0"/>
                <w:sz w:val="21"/>
                <w:szCs w:val="21"/>
                <w:highlight w:val="none"/>
              </w:rPr>
            </w:pPr>
          </w:p>
        </w:tc>
      </w:tr>
      <w:tr w14:paraId="481110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28F6C1C0">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092D3C87">
            <w:pPr>
              <w:wordWrap w:val="0"/>
              <w:adjustRightInd w:val="0"/>
              <w:snapToGrid w:val="0"/>
              <w:spacing w:line="240" w:lineRule="auto"/>
              <w:jc w:val="center"/>
              <w:rPr>
                <w:rFonts w:hAnsi="宋体" w:cs="宋体"/>
                <w:snapToGrid w:val="0"/>
                <w:color w:val="auto"/>
                <w:kern w:val="0"/>
                <w:sz w:val="21"/>
                <w:szCs w:val="21"/>
                <w:highlight w:val="none"/>
              </w:rPr>
            </w:pPr>
          </w:p>
        </w:tc>
        <w:tc>
          <w:tcPr>
            <w:tcW w:w="840" w:type="dxa"/>
            <w:tcBorders>
              <w:top w:val="single" w:color="auto" w:sz="6" w:space="0"/>
              <w:left w:val="single" w:color="auto" w:sz="6" w:space="0"/>
              <w:bottom w:val="single" w:color="auto" w:sz="6" w:space="0"/>
              <w:right w:val="single" w:color="auto" w:sz="6" w:space="0"/>
            </w:tcBorders>
            <w:vAlign w:val="center"/>
          </w:tcPr>
          <w:p w14:paraId="654313CB">
            <w:pPr>
              <w:wordWrap w:val="0"/>
              <w:adjustRightInd w:val="0"/>
              <w:snapToGrid w:val="0"/>
              <w:spacing w:line="240" w:lineRule="auto"/>
              <w:jc w:val="center"/>
              <w:rPr>
                <w:rFonts w:hAnsi="宋体" w:cs="宋体"/>
                <w:snapToGrid w:val="0"/>
                <w:color w:val="auto"/>
                <w:kern w:val="0"/>
                <w:sz w:val="21"/>
                <w:szCs w:val="21"/>
                <w:highlight w:val="none"/>
              </w:rPr>
            </w:pPr>
          </w:p>
        </w:tc>
        <w:tc>
          <w:tcPr>
            <w:tcW w:w="1485" w:type="dxa"/>
            <w:tcBorders>
              <w:top w:val="single" w:color="auto" w:sz="6" w:space="0"/>
              <w:left w:val="single" w:color="auto" w:sz="6" w:space="0"/>
              <w:bottom w:val="single" w:color="auto" w:sz="6" w:space="0"/>
              <w:right w:val="single" w:color="auto" w:sz="6" w:space="0"/>
            </w:tcBorders>
            <w:vAlign w:val="center"/>
          </w:tcPr>
          <w:p w14:paraId="1E2E75C3">
            <w:pPr>
              <w:wordWrap w:val="0"/>
              <w:adjustRightInd w:val="0"/>
              <w:snapToGrid w:val="0"/>
              <w:spacing w:line="240" w:lineRule="auto"/>
              <w:jc w:val="center"/>
              <w:rPr>
                <w:rFonts w:hAnsi="宋体" w:cs="宋体"/>
                <w:snapToGrid w:val="0"/>
                <w:color w:val="auto"/>
                <w:kern w:val="0"/>
                <w:sz w:val="21"/>
                <w:szCs w:val="21"/>
                <w:highlight w:val="none"/>
              </w:rPr>
            </w:pPr>
          </w:p>
        </w:tc>
        <w:tc>
          <w:tcPr>
            <w:tcW w:w="615" w:type="dxa"/>
            <w:tcBorders>
              <w:top w:val="single" w:color="auto" w:sz="6" w:space="0"/>
              <w:left w:val="single" w:color="auto" w:sz="6" w:space="0"/>
              <w:bottom w:val="single" w:color="auto" w:sz="6" w:space="0"/>
              <w:right w:val="single" w:color="auto" w:sz="6" w:space="0"/>
            </w:tcBorders>
            <w:vAlign w:val="center"/>
          </w:tcPr>
          <w:p w14:paraId="45A8FCEB">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736602F3">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6FD1D704">
            <w:pPr>
              <w:wordWrap w:val="0"/>
              <w:adjustRightInd w:val="0"/>
              <w:snapToGrid w:val="0"/>
              <w:spacing w:line="240" w:lineRule="auto"/>
              <w:jc w:val="center"/>
              <w:rPr>
                <w:rFonts w:hAnsi="宋体" w:cs="宋体"/>
                <w:snapToGrid w:val="0"/>
                <w:color w:val="auto"/>
                <w:kern w:val="0"/>
                <w:sz w:val="21"/>
                <w:szCs w:val="21"/>
                <w:highlight w:val="none"/>
              </w:rPr>
            </w:pPr>
          </w:p>
        </w:tc>
        <w:tc>
          <w:tcPr>
            <w:tcW w:w="660" w:type="dxa"/>
            <w:tcBorders>
              <w:top w:val="single" w:color="auto" w:sz="6" w:space="0"/>
              <w:left w:val="single" w:color="auto" w:sz="6" w:space="0"/>
              <w:bottom w:val="single" w:color="auto" w:sz="6" w:space="0"/>
              <w:right w:val="single" w:color="auto" w:sz="6" w:space="0"/>
            </w:tcBorders>
            <w:vAlign w:val="center"/>
          </w:tcPr>
          <w:p w14:paraId="76AAE4C0">
            <w:pPr>
              <w:wordWrap w:val="0"/>
              <w:adjustRightInd w:val="0"/>
              <w:snapToGrid w:val="0"/>
              <w:spacing w:line="240" w:lineRule="auto"/>
              <w:jc w:val="center"/>
              <w:rPr>
                <w:rFonts w:hAnsi="宋体" w:cs="宋体"/>
                <w:snapToGrid w:val="0"/>
                <w:color w:val="auto"/>
                <w:kern w:val="0"/>
                <w:sz w:val="21"/>
                <w:szCs w:val="21"/>
                <w:highlight w:val="none"/>
              </w:rPr>
            </w:pPr>
          </w:p>
        </w:tc>
        <w:tc>
          <w:tcPr>
            <w:tcW w:w="1695" w:type="dxa"/>
            <w:tcBorders>
              <w:top w:val="single" w:color="auto" w:sz="6" w:space="0"/>
              <w:left w:val="single" w:color="auto" w:sz="6" w:space="0"/>
              <w:bottom w:val="single" w:color="auto" w:sz="6" w:space="0"/>
              <w:right w:val="single" w:color="auto" w:sz="6" w:space="0"/>
            </w:tcBorders>
            <w:vAlign w:val="center"/>
          </w:tcPr>
          <w:p w14:paraId="665F9C85">
            <w:pPr>
              <w:wordWrap w:val="0"/>
              <w:adjustRightInd w:val="0"/>
              <w:snapToGrid w:val="0"/>
              <w:spacing w:line="240" w:lineRule="auto"/>
              <w:jc w:val="center"/>
              <w:rPr>
                <w:rFonts w:hAnsi="宋体" w:cs="宋体"/>
                <w:snapToGrid w:val="0"/>
                <w:color w:val="auto"/>
                <w:kern w:val="0"/>
                <w:sz w:val="21"/>
                <w:szCs w:val="21"/>
                <w:highlight w:val="none"/>
              </w:rPr>
            </w:pPr>
          </w:p>
        </w:tc>
        <w:tc>
          <w:tcPr>
            <w:tcW w:w="1455" w:type="dxa"/>
            <w:tcBorders>
              <w:top w:val="single" w:color="auto" w:sz="6" w:space="0"/>
              <w:left w:val="single" w:color="auto" w:sz="6" w:space="0"/>
              <w:bottom w:val="single" w:color="auto" w:sz="6" w:space="0"/>
              <w:right w:val="single" w:color="auto" w:sz="6" w:space="0"/>
            </w:tcBorders>
            <w:vAlign w:val="center"/>
          </w:tcPr>
          <w:p w14:paraId="23F55A54">
            <w:pPr>
              <w:wordWrap w:val="0"/>
              <w:adjustRightInd w:val="0"/>
              <w:snapToGrid w:val="0"/>
              <w:spacing w:line="240" w:lineRule="auto"/>
              <w:jc w:val="center"/>
              <w:rPr>
                <w:rFonts w:hAnsi="宋体" w:cs="宋体"/>
                <w:snapToGrid w:val="0"/>
                <w:color w:val="auto"/>
                <w:kern w:val="0"/>
                <w:sz w:val="21"/>
                <w:szCs w:val="21"/>
                <w:highlight w:val="none"/>
              </w:rPr>
            </w:pPr>
          </w:p>
        </w:tc>
        <w:tc>
          <w:tcPr>
            <w:tcW w:w="645" w:type="dxa"/>
            <w:tcBorders>
              <w:top w:val="single" w:color="auto" w:sz="6" w:space="0"/>
              <w:left w:val="single" w:color="auto" w:sz="6" w:space="0"/>
              <w:bottom w:val="single" w:color="auto" w:sz="6" w:space="0"/>
              <w:right w:val="single" w:color="auto" w:sz="6" w:space="0"/>
            </w:tcBorders>
            <w:vAlign w:val="center"/>
          </w:tcPr>
          <w:p w14:paraId="045EF5F7">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57E678E5">
            <w:pPr>
              <w:wordWrap w:val="0"/>
              <w:adjustRightInd w:val="0"/>
              <w:snapToGrid w:val="0"/>
              <w:spacing w:line="240" w:lineRule="auto"/>
              <w:jc w:val="center"/>
              <w:rPr>
                <w:rFonts w:hAnsi="宋体" w:cs="宋体"/>
                <w:snapToGrid w:val="0"/>
                <w:color w:val="auto"/>
                <w:kern w:val="0"/>
                <w:sz w:val="21"/>
                <w:szCs w:val="21"/>
                <w:highlight w:val="none"/>
              </w:rPr>
            </w:pPr>
          </w:p>
        </w:tc>
      </w:tr>
      <w:tr w14:paraId="61BDB2B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24A0F4A4">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2EADA8AC">
            <w:pPr>
              <w:wordWrap w:val="0"/>
              <w:adjustRightInd w:val="0"/>
              <w:snapToGrid w:val="0"/>
              <w:spacing w:line="240" w:lineRule="auto"/>
              <w:jc w:val="center"/>
              <w:rPr>
                <w:rFonts w:hAnsi="宋体" w:cs="宋体"/>
                <w:snapToGrid w:val="0"/>
                <w:color w:val="auto"/>
                <w:kern w:val="0"/>
                <w:sz w:val="21"/>
                <w:szCs w:val="21"/>
                <w:highlight w:val="none"/>
              </w:rPr>
            </w:pPr>
          </w:p>
        </w:tc>
        <w:tc>
          <w:tcPr>
            <w:tcW w:w="840" w:type="dxa"/>
            <w:tcBorders>
              <w:top w:val="single" w:color="auto" w:sz="6" w:space="0"/>
              <w:left w:val="single" w:color="auto" w:sz="6" w:space="0"/>
              <w:bottom w:val="single" w:color="auto" w:sz="6" w:space="0"/>
              <w:right w:val="single" w:color="auto" w:sz="6" w:space="0"/>
            </w:tcBorders>
            <w:vAlign w:val="center"/>
          </w:tcPr>
          <w:p w14:paraId="3E7675E7">
            <w:pPr>
              <w:wordWrap w:val="0"/>
              <w:adjustRightInd w:val="0"/>
              <w:snapToGrid w:val="0"/>
              <w:spacing w:line="240" w:lineRule="auto"/>
              <w:jc w:val="center"/>
              <w:rPr>
                <w:rFonts w:hAnsi="宋体" w:cs="宋体"/>
                <w:snapToGrid w:val="0"/>
                <w:color w:val="auto"/>
                <w:kern w:val="0"/>
                <w:sz w:val="21"/>
                <w:szCs w:val="21"/>
                <w:highlight w:val="none"/>
              </w:rPr>
            </w:pPr>
          </w:p>
        </w:tc>
        <w:tc>
          <w:tcPr>
            <w:tcW w:w="1485" w:type="dxa"/>
            <w:tcBorders>
              <w:top w:val="single" w:color="auto" w:sz="6" w:space="0"/>
              <w:left w:val="single" w:color="auto" w:sz="6" w:space="0"/>
              <w:bottom w:val="single" w:color="auto" w:sz="6" w:space="0"/>
              <w:right w:val="single" w:color="auto" w:sz="6" w:space="0"/>
            </w:tcBorders>
            <w:vAlign w:val="center"/>
          </w:tcPr>
          <w:p w14:paraId="58A43BCF">
            <w:pPr>
              <w:wordWrap w:val="0"/>
              <w:adjustRightInd w:val="0"/>
              <w:snapToGrid w:val="0"/>
              <w:spacing w:line="240" w:lineRule="auto"/>
              <w:jc w:val="center"/>
              <w:rPr>
                <w:rFonts w:hAnsi="宋体" w:cs="宋体"/>
                <w:snapToGrid w:val="0"/>
                <w:color w:val="auto"/>
                <w:kern w:val="0"/>
                <w:sz w:val="21"/>
                <w:szCs w:val="21"/>
                <w:highlight w:val="none"/>
              </w:rPr>
            </w:pPr>
          </w:p>
        </w:tc>
        <w:tc>
          <w:tcPr>
            <w:tcW w:w="615" w:type="dxa"/>
            <w:tcBorders>
              <w:top w:val="single" w:color="auto" w:sz="6" w:space="0"/>
              <w:left w:val="single" w:color="auto" w:sz="6" w:space="0"/>
              <w:bottom w:val="single" w:color="auto" w:sz="6" w:space="0"/>
              <w:right w:val="single" w:color="auto" w:sz="6" w:space="0"/>
            </w:tcBorders>
            <w:vAlign w:val="center"/>
          </w:tcPr>
          <w:p w14:paraId="5BE6A579">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51CAA2EC">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465C2A10">
            <w:pPr>
              <w:wordWrap w:val="0"/>
              <w:adjustRightInd w:val="0"/>
              <w:snapToGrid w:val="0"/>
              <w:spacing w:line="240" w:lineRule="auto"/>
              <w:jc w:val="center"/>
              <w:rPr>
                <w:rFonts w:hAnsi="宋体" w:cs="宋体"/>
                <w:snapToGrid w:val="0"/>
                <w:color w:val="auto"/>
                <w:kern w:val="0"/>
                <w:sz w:val="21"/>
                <w:szCs w:val="21"/>
                <w:highlight w:val="none"/>
              </w:rPr>
            </w:pPr>
          </w:p>
        </w:tc>
        <w:tc>
          <w:tcPr>
            <w:tcW w:w="660" w:type="dxa"/>
            <w:tcBorders>
              <w:top w:val="single" w:color="auto" w:sz="6" w:space="0"/>
              <w:left w:val="single" w:color="auto" w:sz="6" w:space="0"/>
              <w:bottom w:val="single" w:color="auto" w:sz="6" w:space="0"/>
              <w:right w:val="single" w:color="auto" w:sz="6" w:space="0"/>
            </w:tcBorders>
            <w:vAlign w:val="center"/>
          </w:tcPr>
          <w:p w14:paraId="20151DCC">
            <w:pPr>
              <w:wordWrap w:val="0"/>
              <w:adjustRightInd w:val="0"/>
              <w:snapToGrid w:val="0"/>
              <w:spacing w:line="240" w:lineRule="auto"/>
              <w:jc w:val="center"/>
              <w:rPr>
                <w:rFonts w:hAnsi="宋体" w:cs="宋体"/>
                <w:snapToGrid w:val="0"/>
                <w:color w:val="auto"/>
                <w:kern w:val="0"/>
                <w:sz w:val="21"/>
                <w:szCs w:val="21"/>
                <w:highlight w:val="none"/>
              </w:rPr>
            </w:pPr>
          </w:p>
        </w:tc>
        <w:tc>
          <w:tcPr>
            <w:tcW w:w="1695" w:type="dxa"/>
            <w:tcBorders>
              <w:top w:val="single" w:color="auto" w:sz="6" w:space="0"/>
              <w:left w:val="single" w:color="auto" w:sz="6" w:space="0"/>
              <w:bottom w:val="single" w:color="auto" w:sz="6" w:space="0"/>
              <w:right w:val="single" w:color="auto" w:sz="6" w:space="0"/>
            </w:tcBorders>
            <w:vAlign w:val="center"/>
          </w:tcPr>
          <w:p w14:paraId="5FBC0F77">
            <w:pPr>
              <w:wordWrap w:val="0"/>
              <w:adjustRightInd w:val="0"/>
              <w:snapToGrid w:val="0"/>
              <w:spacing w:line="240" w:lineRule="auto"/>
              <w:jc w:val="center"/>
              <w:rPr>
                <w:rFonts w:hAnsi="宋体" w:cs="宋体"/>
                <w:snapToGrid w:val="0"/>
                <w:color w:val="auto"/>
                <w:kern w:val="0"/>
                <w:sz w:val="21"/>
                <w:szCs w:val="21"/>
                <w:highlight w:val="none"/>
              </w:rPr>
            </w:pPr>
          </w:p>
        </w:tc>
        <w:tc>
          <w:tcPr>
            <w:tcW w:w="1455" w:type="dxa"/>
            <w:tcBorders>
              <w:top w:val="single" w:color="auto" w:sz="6" w:space="0"/>
              <w:left w:val="single" w:color="auto" w:sz="6" w:space="0"/>
              <w:bottom w:val="single" w:color="auto" w:sz="6" w:space="0"/>
              <w:right w:val="single" w:color="auto" w:sz="6" w:space="0"/>
            </w:tcBorders>
            <w:vAlign w:val="center"/>
          </w:tcPr>
          <w:p w14:paraId="344A991E">
            <w:pPr>
              <w:wordWrap w:val="0"/>
              <w:adjustRightInd w:val="0"/>
              <w:snapToGrid w:val="0"/>
              <w:spacing w:line="240" w:lineRule="auto"/>
              <w:jc w:val="center"/>
              <w:rPr>
                <w:rFonts w:hAnsi="宋体" w:cs="宋体"/>
                <w:snapToGrid w:val="0"/>
                <w:color w:val="auto"/>
                <w:kern w:val="0"/>
                <w:sz w:val="21"/>
                <w:szCs w:val="21"/>
                <w:highlight w:val="none"/>
              </w:rPr>
            </w:pPr>
          </w:p>
        </w:tc>
        <w:tc>
          <w:tcPr>
            <w:tcW w:w="645" w:type="dxa"/>
            <w:tcBorders>
              <w:top w:val="single" w:color="auto" w:sz="6" w:space="0"/>
              <w:left w:val="single" w:color="auto" w:sz="6" w:space="0"/>
              <w:bottom w:val="single" w:color="auto" w:sz="6" w:space="0"/>
              <w:right w:val="single" w:color="auto" w:sz="6" w:space="0"/>
            </w:tcBorders>
            <w:vAlign w:val="center"/>
          </w:tcPr>
          <w:p w14:paraId="0097658A">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0A6010BD">
            <w:pPr>
              <w:wordWrap w:val="0"/>
              <w:adjustRightInd w:val="0"/>
              <w:snapToGrid w:val="0"/>
              <w:spacing w:line="240" w:lineRule="auto"/>
              <w:jc w:val="center"/>
              <w:rPr>
                <w:rFonts w:hAnsi="宋体" w:cs="宋体"/>
                <w:snapToGrid w:val="0"/>
                <w:color w:val="auto"/>
                <w:kern w:val="0"/>
                <w:sz w:val="21"/>
                <w:szCs w:val="21"/>
                <w:highlight w:val="none"/>
              </w:rPr>
            </w:pPr>
          </w:p>
        </w:tc>
        <w:bookmarkStart w:id="330" w:name="_附件十：单项工程费汇总表"/>
        <w:bookmarkStart w:id="331" w:name="_Hlt69116778"/>
        <w:bookmarkStart w:id="332" w:name="_附件二十五：综合评审合理低价法"/>
        <w:bookmarkStart w:id="333" w:name="_Hlt68774664"/>
        <w:bookmarkStart w:id="334" w:name="_附件二十四：技术标提问单"/>
      </w:tr>
      <w:bookmarkEnd w:id="327"/>
      <w:bookmarkEnd w:id="328"/>
      <w:bookmarkEnd w:id="330"/>
      <w:bookmarkEnd w:id="331"/>
      <w:bookmarkEnd w:id="332"/>
      <w:bookmarkEnd w:id="333"/>
      <w:bookmarkEnd w:id="334"/>
      <w:tr w14:paraId="25576D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1BC0ADF5">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035DC0E9">
            <w:pPr>
              <w:wordWrap w:val="0"/>
              <w:adjustRightInd w:val="0"/>
              <w:snapToGrid w:val="0"/>
              <w:spacing w:line="240" w:lineRule="auto"/>
              <w:jc w:val="center"/>
              <w:rPr>
                <w:rFonts w:hAnsi="宋体" w:cs="宋体"/>
                <w:snapToGrid w:val="0"/>
                <w:color w:val="auto"/>
                <w:kern w:val="0"/>
                <w:sz w:val="21"/>
                <w:szCs w:val="21"/>
                <w:highlight w:val="none"/>
              </w:rPr>
            </w:pPr>
          </w:p>
        </w:tc>
        <w:tc>
          <w:tcPr>
            <w:tcW w:w="840" w:type="dxa"/>
            <w:tcBorders>
              <w:top w:val="single" w:color="auto" w:sz="6" w:space="0"/>
              <w:left w:val="single" w:color="auto" w:sz="6" w:space="0"/>
              <w:bottom w:val="single" w:color="auto" w:sz="6" w:space="0"/>
              <w:right w:val="single" w:color="auto" w:sz="6" w:space="0"/>
            </w:tcBorders>
            <w:vAlign w:val="center"/>
          </w:tcPr>
          <w:p w14:paraId="08ED7E0F">
            <w:pPr>
              <w:wordWrap w:val="0"/>
              <w:adjustRightInd w:val="0"/>
              <w:snapToGrid w:val="0"/>
              <w:spacing w:line="240" w:lineRule="auto"/>
              <w:jc w:val="center"/>
              <w:rPr>
                <w:rFonts w:hAnsi="宋体" w:cs="宋体"/>
                <w:snapToGrid w:val="0"/>
                <w:color w:val="auto"/>
                <w:kern w:val="0"/>
                <w:sz w:val="21"/>
                <w:szCs w:val="21"/>
                <w:highlight w:val="none"/>
              </w:rPr>
            </w:pPr>
          </w:p>
        </w:tc>
        <w:tc>
          <w:tcPr>
            <w:tcW w:w="1485" w:type="dxa"/>
            <w:tcBorders>
              <w:top w:val="single" w:color="auto" w:sz="6" w:space="0"/>
              <w:left w:val="single" w:color="auto" w:sz="6" w:space="0"/>
              <w:bottom w:val="single" w:color="auto" w:sz="6" w:space="0"/>
              <w:right w:val="single" w:color="auto" w:sz="6" w:space="0"/>
            </w:tcBorders>
            <w:vAlign w:val="center"/>
          </w:tcPr>
          <w:p w14:paraId="6B799806">
            <w:pPr>
              <w:wordWrap w:val="0"/>
              <w:adjustRightInd w:val="0"/>
              <w:snapToGrid w:val="0"/>
              <w:spacing w:line="240" w:lineRule="auto"/>
              <w:jc w:val="center"/>
              <w:rPr>
                <w:rFonts w:hAnsi="宋体" w:cs="宋体"/>
                <w:snapToGrid w:val="0"/>
                <w:color w:val="auto"/>
                <w:kern w:val="0"/>
                <w:sz w:val="21"/>
                <w:szCs w:val="21"/>
                <w:highlight w:val="none"/>
              </w:rPr>
            </w:pPr>
          </w:p>
        </w:tc>
        <w:tc>
          <w:tcPr>
            <w:tcW w:w="615" w:type="dxa"/>
            <w:tcBorders>
              <w:top w:val="single" w:color="auto" w:sz="6" w:space="0"/>
              <w:left w:val="single" w:color="auto" w:sz="6" w:space="0"/>
              <w:bottom w:val="single" w:color="auto" w:sz="6" w:space="0"/>
              <w:right w:val="single" w:color="auto" w:sz="6" w:space="0"/>
            </w:tcBorders>
            <w:vAlign w:val="center"/>
          </w:tcPr>
          <w:p w14:paraId="2BCCEEAC">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406920C7">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3E455E13">
            <w:pPr>
              <w:wordWrap w:val="0"/>
              <w:adjustRightInd w:val="0"/>
              <w:snapToGrid w:val="0"/>
              <w:spacing w:line="240" w:lineRule="auto"/>
              <w:jc w:val="center"/>
              <w:rPr>
                <w:rFonts w:hAnsi="宋体" w:cs="宋体"/>
                <w:snapToGrid w:val="0"/>
                <w:color w:val="auto"/>
                <w:kern w:val="0"/>
                <w:sz w:val="21"/>
                <w:szCs w:val="21"/>
                <w:highlight w:val="none"/>
              </w:rPr>
            </w:pPr>
          </w:p>
        </w:tc>
        <w:tc>
          <w:tcPr>
            <w:tcW w:w="660" w:type="dxa"/>
            <w:tcBorders>
              <w:top w:val="single" w:color="auto" w:sz="6" w:space="0"/>
              <w:left w:val="single" w:color="auto" w:sz="6" w:space="0"/>
              <w:bottom w:val="single" w:color="auto" w:sz="6" w:space="0"/>
              <w:right w:val="single" w:color="auto" w:sz="6" w:space="0"/>
            </w:tcBorders>
            <w:vAlign w:val="center"/>
          </w:tcPr>
          <w:p w14:paraId="4ABBFD3E">
            <w:pPr>
              <w:wordWrap w:val="0"/>
              <w:adjustRightInd w:val="0"/>
              <w:snapToGrid w:val="0"/>
              <w:spacing w:line="240" w:lineRule="auto"/>
              <w:jc w:val="center"/>
              <w:rPr>
                <w:rFonts w:hAnsi="宋体" w:cs="宋体"/>
                <w:snapToGrid w:val="0"/>
                <w:color w:val="auto"/>
                <w:kern w:val="0"/>
                <w:sz w:val="21"/>
                <w:szCs w:val="21"/>
                <w:highlight w:val="none"/>
              </w:rPr>
            </w:pPr>
          </w:p>
        </w:tc>
        <w:tc>
          <w:tcPr>
            <w:tcW w:w="1695" w:type="dxa"/>
            <w:tcBorders>
              <w:top w:val="single" w:color="auto" w:sz="6" w:space="0"/>
              <w:left w:val="single" w:color="auto" w:sz="6" w:space="0"/>
              <w:bottom w:val="single" w:color="auto" w:sz="6" w:space="0"/>
              <w:right w:val="single" w:color="auto" w:sz="6" w:space="0"/>
            </w:tcBorders>
            <w:vAlign w:val="center"/>
          </w:tcPr>
          <w:p w14:paraId="59416CFA">
            <w:pPr>
              <w:wordWrap w:val="0"/>
              <w:adjustRightInd w:val="0"/>
              <w:snapToGrid w:val="0"/>
              <w:spacing w:line="240" w:lineRule="auto"/>
              <w:jc w:val="center"/>
              <w:rPr>
                <w:rFonts w:hAnsi="宋体" w:cs="宋体"/>
                <w:snapToGrid w:val="0"/>
                <w:color w:val="auto"/>
                <w:kern w:val="0"/>
                <w:sz w:val="21"/>
                <w:szCs w:val="21"/>
                <w:highlight w:val="none"/>
              </w:rPr>
            </w:pPr>
          </w:p>
        </w:tc>
        <w:tc>
          <w:tcPr>
            <w:tcW w:w="1455" w:type="dxa"/>
            <w:tcBorders>
              <w:top w:val="single" w:color="auto" w:sz="6" w:space="0"/>
              <w:left w:val="single" w:color="auto" w:sz="6" w:space="0"/>
              <w:bottom w:val="single" w:color="auto" w:sz="6" w:space="0"/>
              <w:right w:val="single" w:color="auto" w:sz="6" w:space="0"/>
            </w:tcBorders>
            <w:vAlign w:val="center"/>
          </w:tcPr>
          <w:p w14:paraId="35A86BC7">
            <w:pPr>
              <w:wordWrap w:val="0"/>
              <w:adjustRightInd w:val="0"/>
              <w:snapToGrid w:val="0"/>
              <w:spacing w:line="240" w:lineRule="auto"/>
              <w:jc w:val="center"/>
              <w:rPr>
                <w:rFonts w:hAnsi="宋体" w:cs="宋体"/>
                <w:snapToGrid w:val="0"/>
                <w:color w:val="auto"/>
                <w:kern w:val="0"/>
                <w:sz w:val="21"/>
                <w:szCs w:val="21"/>
                <w:highlight w:val="none"/>
              </w:rPr>
            </w:pPr>
          </w:p>
        </w:tc>
        <w:tc>
          <w:tcPr>
            <w:tcW w:w="645" w:type="dxa"/>
            <w:tcBorders>
              <w:top w:val="single" w:color="auto" w:sz="6" w:space="0"/>
              <w:left w:val="single" w:color="auto" w:sz="6" w:space="0"/>
              <w:bottom w:val="single" w:color="auto" w:sz="6" w:space="0"/>
              <w:right w:val="single" w:color="auto" w:sz="6" w:space="0"/>
            </w:tcBorders>
            <w:vAlign w:val="center"/>
          </w:tcPr>
          <w:p w14:paraId="591BD45D">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108EF558">
            <w:pPr>
              <w:wordWrap w:val="0"/>
              <w:adjustRightInd w:val="0"/>
              <w:snapToGrid w:val="0"/>
              <w:spacing w:line="240" w:lineRule="auto"/>
              <w:jc w:val="center"/>
              <w:rPr>
                <w:rFonts w:hAnsi="宋体" w:cs="宋体"/>
                <w:snapToGrid w:val="0"/>
                <w:color w:val="auto"/>
                <w:kern w:val="0"/>
                <w:sz w:val="21"/>
                <w:szCs w:val="21"/>
                <w:highlight w:val="none"/>
              </w:rPr>
            </w:pPr>
          </w:p>
        </w:tc>
      </w:tr>
    </w:tbl>
    <w:p w14:paraId="4CDFA701">
      <w:pPr>
        <w:pStyle w:val="74"/>
        <w:widowControl w:val="0"/>
        <w:wordWrap w:val="0"/>
        <w:adjustRightInd w:val="0"/>
        <w:snapToGrid w:val="0"/>
        <w:spacing w:line="400" w:lineRule="exact"/>
        <w:rPr>
          <w:rFonts w:hAnsi="宋体" w:cs="宋体"/>
          <w:snapToGrid w:val="0"/>
          <w:color w:val="auto"/>
          <w:sz w:val="21"/>
          <w:highlight w:val="none"/>
        </w:rPr>
      </w:pPr>
      <w:r>
        <w:rPr>
          <w:rFonts w:hint="eastAsia" w:hAnsi="宋体" w:cs="宋体"/>
          <w:snapToGrid w:val="0"/>
          <w:color w:val="auto"/>
          <w:sz w:val="21"/>
          <w:highlight w:val="none"/>
        </w:rPr>
        <w:t>说明：</w:t>
      </w:r>
    </w:p>
    <w:p w14:paraId="24312D3D">
      <w:pPr>
        <w:pStyle w:val="74"/>
        <w:widowControl w:val="0"/>
        <w:wordWrap w:val="0"/>
        <w:adjustRightInd w:val="0"/>
        <w:snapToGrid w:val="0"/>
        <w:spacing w:line="400" w:lineRule="exact"/>
        <w:rPr>
          <w:rFonts w:hAnsi="宋体" w:cs="宋体"/>
          <w:snapToGrid w:val="0"/>
          <w:color w:val="auto"/>
          <w:sz w:val="21"/>
          <w:highlight w:val="none"/>
        </w:rPr>
        <w:sectPr>
          <w:endnotePr>
            <w:numFmt w:val="decimal"/>
          </w:endnotePr>
          <w:pgSz w:w="16838" w:h="11906" w:orient="landscape"/>
          <w:pgMar w:top="1417" w:right="1417" w:bottom="1417" w:left="1417" w:header="850" w:footer="992" w:gutter="0"/>
          <w:pgNumType w:fmt="decimal"/>
          <w:cols w:space="0" w:num="1"/>
          <w:docGrid w:linePitch="327" w:charSpace="0"/>
        </w:sectPr>
      </w:pPr>
      <w:r>
        <w:rPr>
          <w:rFonts w:hint="eastAsia" w:hAnsi="宋体" w:cs="宋体"/>
          <w:snapToGrid w:val="0"/>
          <w:color w:val="auto"/>
          <w:sz w:val="21"/>
          <w:highlight w:val="none"/>
        </w:rPr>
        <w:t>1</w:t>
      </w:r>
      <w:r>
        <w:rPr>
          <w:rFonts w:hint="eastAsia" w:hAnsi="宋体" w:cs="宋体"/>
          <w:snapToGrid w:val="0"/>
          <w:color w:val="auto"/>
          <w:sz w:val="21"/>
          <w:szCs w:val="28"/>
          <w:highlight w:val="none"/>
        </w:rPr>
        <w:t>．表中没有或无法填写的栏目，用</w:t>
      </w:r>
      <w:r>
        <w:rPr>
          <w:rFonts w:hint="eastAsia" w:hAnsi="宋体" w:cs="宋体"/>
          <w:snapToGrid w:val="0"/>
          <w:color w:val="auto"/>
          <w:sz w:val="21"/>
          <w:highlight w:val="none"/>
        </w:rPr>
        <w:t>“/”示意。</w:t>
      </w:r>
      <w:bookmarkEnd w:id="302"/>
      <w:bookmarkEnd w:id="303"/>
      <w:bookmarkEnd w:id="304"/>
      <w:bookmarkEnd w:id="305"/>
    </w:p>
    <w:p w14:paraId="63F60130">
      <w:pPr>
        <w:pStyle w:val="150"/>
        <w:keepNext/>
        <w:keepLines/>
        <w:snapToGrid w:val="0"/>
        <w:spacing w:line="400" w:lineRule="exact"/>
        <w:jc w:val="both"/>
        <w:rPr>
          <w:rFonts w:ascii="宋体" w:hAnsi="宋体" w:cs="宋体"/>
          <w:b/>
          <w:bCs/>
          <w:snapToGrid w:val="0"/>
          <w:color w:val="auto"/>
          <w:highlight w:val="none"/>
        </w:rPr>
      </w:pPr>
      <w:bookmarkStart w:id="335" w:name="_Toc13068"/>
      <w:bookmarkStart w:id="336" w:name="_Toc24916"/>
      <w:r>
        <w:rPr>
          <w:rFonts w:hint="eastAsia" w:ascii="宋体" w:hAnsi="宋体" w:cs="宋体"/>
          <w:b/>
          <w:bCs/>
          <w:snapToGrid w:val="0"/>
          <w:color w:val="auto"/>
          <w:highlight w:val="none"/>
        </w:rPr>
        <w:t>格式十一 总监理工程师简历表</w:t>
      </w:r>
      <w:bookmarkEnd w:id="335"/>
      <w:bookmarkEnd w:id="336"/>
    </w:p>
    <w:p w14:paraId="6461E15D">
      <w:pPr>
        <w:adjustRightInd w:val="0"/>
        <w:snapToGrid w:val="0"/>
        <w:spacing w:line="400" w:lineRule="exact"/>
        <w:jc w:val="center"/>
        <w:rPr>
          <w:rFonts w:hAnsi="宋体" w:cs="宋体"/>
          <w:b/>
          <w:bCs/>
          <w:color w:val="auto"/>
          <w:sz w:val="32"/>
          <w:szCs w:val="22"/>
          <w:highlight w:val="none"/>
        </w:rPr>
      </w:pPr>
    </w:p>
    <w:p w14:paraId="13A99F0A">
      <w:pPr>
        <w:adjustRightInd w:val="0"/>
        <w:snapToGrid w:val="0"/>
        <w:spacing w:line="400" w:lineRule="exact"/>
        <w:jc w:val="center"/>
        <w:rPr>
          <w:rFonts w:hAnsi="宋体" w:cs="宋体"/>
          <w:b/>
          <w:bCs/>
          <w:color w:val="auto"/>
          <w:sz w:val="32"/>
          <w:szCs w:val="22"/>
          <w:highlight w:val="none"/>
        </w:rPr>
      </w:pPr>
      <w:r>
        <w:rPr>
          <w:rFonts w:hint="eastAsia" w:hAnsi="宋体" w:cs="宋体"/>
          <w:b/>
          <w:bCs/>
          <w:color w:val="auto"/>
          <w:sz w:val="32"/>
          <w:szCs w:val="22"/>
          <w:highlight w:val="none"/>
        </w:rPr>
        <w:t>总监理工程师简历表</w:t>
      </w:r>
    </w:p>
    <w:tbl>
      <w:tblPr>
        <w:tblStyle w:val="31"/>
        <w:tblpPr w:leftFromText="180" w:rightFromText="180" w:vertAnchor="text" w:horzAnchor="page" w:tblpX="1490" w:tblpY="692"/>
        <w:tblOverlap w:val="never"/>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43"/>
        <w:gridCol w:w="970"/>
        <w:gridCol w:w="1130"/>
        <w:gridCol w:w="227"/>
        <w:gridCol w:w="1467"/>
        <w:gridCol w:w="688"/>
        <w:gridCol w:w="512"/>
        <w:gridCol w:w="1288"/>
        <w:gridCol w:w="547"/>
        <w:gridCol w:w="1798"/>
      </w:tblGrid>
      <w:tr w14:paraId="16D4EDF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20981BF2">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姓  名</w:t>
            </w:r>
          </w:p>
        </w:tc>
        <w:tc>
          <w:tcPr>
            <w:tcW w:w="1357" w:type="dxa"/>
            <w:gridSpan w:val="2"/>
            <w:tcBorders>
              <w:top w:val="single" w:color="auto" w:sz="6" w:space="0"/>
              <w:left w:val="single" w:color="auto" w:sz="6" w:space="0"/>
              <w:bottom w:val="single" w:color="auto" w:sz="6" w:space="0"/>
              <w:right w:val="single" w:color="auto" w:sz="6" w:space="0"/>
            </w:tcBorders>
            <w:vAlign w:val="center"/>
          </w:tcPr>
          <w:p w14:paraId="70B35A23">
            <w:pPr>
              <w:wordWrap w:val="0"/>
              <w:adjustRightInd w:val="0"/>
              <w:snapToGrid w:val="0"/>
              <w:spacing w:line="400" w:lineRule="exact"/>
              <w:jc w:val="center"/>
              <w:rPr>
                <w:rFonts w:hAnsi="宋体" w:cs="宋体"/>
                <w:snapToGrid w:val="0"/>
                <w:color w:val="auto"/>
                <w:kern w:val="0"/>
                <w:sz w:val="21"/>
                <w:szCs w:val="21"/>
                <w:highlight w:val="none"/>
              </w:rPr>
            </w:pPr>
          </w:p>
        </w:tc>
        <w:tc>
          <w:tcPr>
            <w:tcW w:w="1467" w:type="dxa"/>
            <w:tcBorders>
              <w:top w:val="single" w:color="auto" w:sz="6" w:space="0"/>
              <w:left w:val="single" w:color="auto" w:sz="6" w:space="0"/>
              <w:bottom w:val="single" w:color="auto" w:sz="6" w:space="0"/>
              <w:right w:val="single" w:color="auto" w:sz="6" w:space="0"/>
            </w:tcBorders>
            <w:vAlign w:val="center"/>
          </w:tcPr>
          <w:p w14:paraId="306BA3A8">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性  别</w:t>
            </w:r>
          </w:p>
        </w:tc>
        <w:tc>
          <w:tcPr>
            <w:tcW w:w="1200" w:type="dxa"/>
            <w:gridSpan w:val="2"/>
            <w:tcBorders>
              <w:top w:val="single" w:color="auto" w:sz="6" w:space="0"/>
              <w:left w:val="single" w:color="auto" w:sz="6" w:space="0"/>
              <w:bottom w:val="single" w:color="auto" w:sz="6" w:space="0"/>
              <w:right w:val="single" w:color="auto" w:sz="6" w:space="0"/>
            </w:tcBorders>
            <w:vAlign w:val="center"/>
          </w:tcPr>
          <w:p w14:paraId="6C204639">
            <w:pPr>
              <w:wordWrap w:val="0"/>
              <w:adjustRightInd w:val="0"/>
              <w:snapToGrid w:val="0"/>
              <w:spacing w:line="400" w:lineRule="exact"/>
              <w:jc w:val="center"/>
              <w:rPr>
                <w:rFonts w:hAnsi="宋体" w:cs="宋体"/>
                <w:snapToGrid w:val="0"/>
                <w:color w:val="auto"/>
                <w:kern w:val="0"/>
                <w:sz w:val="21"/>
                <w:szCs w:val="21"/>
                <w:highlight w:val="none"/>
              </w:rPr>
            </w:pPr>
          </w:p>
        </w:tc>
        <w:tc>
          <w:tcPr>
            <w:tcW w:w="1835" w:type="dxa"/>
            <w:gridSpan w:val="2"/>
            <w:tcBorders>
              <w:top w:val="single" w:color="auto" w:sz="6" w:space="0"/>
              <w:left w:val="single" w:color="auto" w:sz="6" w:space="0"/>
              <w:bottom w:val="single" w:color="auto" w:sz="6" w:space="0"/>
              <w:right w:val="single" w:color="auto" w:sz="6" w:space="0"/>
            </w:tcBorders>
            <w:vAlign w:val="center"/>
          </w:tcPr>
          <w:p w14:paraId="3136A5C2">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年  龄</w:t>
            </w:r>
          </w:p>
        </w:tc>
        <w:tc>
          <w:tcPr>
            <w:tcW w:w="1798" w:type="dxa"/>
            <w:tcBorders>
              <w:top w:val="single" w:color="auto" w:sz="6" w:space="0"/>
              <w:left w:val="single" w:color="auto" w:sz="6" w:space="0"/>
              <w:bottom w:val="single" w:color="auto" w:sz="6" w:space="0"/>
              <w:right w:val="single" w:color="auto" w:sz="6" w:space="0"/>
            </w:tcBorders>
            <w:vAlign w:val="center"/>
          </w:tcPr>
          <w:p w14:paraId="074C000A">
            <w:pPr>
              <w:wordWrap w:val="0"/>
              <w:adjustRightInd w:val="0"/>
              <w:snapToGrid w:val="0"/>
              <w:spacing w:line="400" w:lineRule="exact"/>
              <w:jc w:val="center"/>
              <w:rPr>
                <w:rFonts w:hAnsi="宋体" w:cs="宋体"/>
                <w:snapToGrid w:val="0"/>
                <w:color w:val="auto"/>
                <w:kern w:val="0"/>
                <w:sz w:val="21"/>
                <w:szCs w:val="21"/>
                <w:highlight w:val="none"/>
              </w:rPr>
            </w:pPr>
          </w:p>
        </w:tc>
      </w:tr>
      <w:tr w14:paraId="328DDE5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686330FC">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职  称</w:t>
            </w:r>
          </w:p>
        </w:tc>
        <w:tc>
          <w:tcPr>
            <w:tcW w:w="1357" w:type="dxa"/>
            <w:gridSpan w:val="2"/>
            <w:tcBorders>
              <w:top w:val="single" w:color="auto" w:sz="6" w:space="0"/>
              <w:left w:val="single" w:color="auto" w:sz="6" w:space="0"/>
              <w:bottom w:val="single" w:color="auto" w:sz="6" w:space="0"/>
              <w:right w:val="single" w:color="auto" w:sz="6" w:space="0"/>
            </w:tcBorders>
            <w:vAlign w:val="center"/>
          </w:tcPr>
          <w:p w14:paraId="4B0AEB9A">
            <w:pPr>
              <w:wordWrap w:val="0"/>
              <w:adjustRightInd w:val="0"/>
              <w:snapToGrid w:val="0"/>
              <w:spacing w:line="400" w:lineRule="exact"/>
              <w:jc w:val="center"/>
              <w:rPr>
                <w:rFonts w:hAnsi="宋体" w:cs="宋体"/>
                <w:snapToGrid w:val="0"/>
                <w:color w:val="auto"/>
                <w:kern w:val="0"/>
                <w:sz w:val="21"/>
                <w:szCs w:val="21"/>
                <w:highlight w:val="none"/>
              </w:rPr>
            </w:pPr>
          </w:p>
        </w:tc>
        <w:tc>
          <w:tcPr>
            <w:tcW w:w="1467" w:type="dxa"/>
            <w:tcBorders>
              <w:top w:val="single" w:color="auto" w:sz="6" w:space="0"/>
              <w:left w:val="single" w:color="auto" w:sz="6" w:space="0"/>
              <w:bottom w:val="single" w:color="auto" w:sz="6" w:space="0"/>
              <w:right w:val="single" w:color="auto" w:sz="6" w:space="0"/>
            </w:tcBorders>
            <w:vAlign w:val="center"/>
          </w:tcPr>
          <w:p w14:paraId="7DAAA4CB">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学  历</w:t>
            </w:r>
          </w:p>
        </w:tc>
        <w:tc>
          <w:tcPr>
            <w:tcW w:w="1200" w:type="dxa"/>
            <w:gridSpan w:val="2"/>
            <w:tcBorders>
              <w:top w:val="single" w:color="auto" w:sz="6" w:space="0"/>
              <w:left w:val="single" w:color="auto" w:sz="6" w:space="0"/>
              <w:bottom w:val="single" w:color="auto" w:sz="6" w:space="0"/>
              <w:right w:val="single" w:color="auto" w:sz="6" w:space="0"/>
            </w:tcBorders>
            <w:vAlign w:val="center"/>
          </w:tcPr>
          <w:p w14:paraId="578B0780">
            <w:pPr>
              <w:wordWrap w:val="0"/>
              <w:adjustRightInd w:val="0"/>
              <w:snapToGrid w:val="0"/>
              <w:spacing w:line="400" w:lineRule="exact"/>
              <w:jc w:val="center"/>
              <w:rPr>
                <w:rFonts w:hAnsi="宋体" w:cs="宋体"/>
                <w:snapToGrid w:val="0"/>
                <w:color w:val="auto"/>
                <w:kern w:val="0"/>
                <w:sz w:val="21"/>
                <w:szCs w:val="21"/>
                <w:highlight w:val="none"/>
              </w:rPr>
            </w:pPr>
          </w:p>
        </w:tc>
        <w:tc>
          <w:tcPr>
            <w:tcW w:w="1835" w:type="dxa"/>
            <w:gridSpan w:val="2"/>
            <w:tcBorders>
              <w:top w:val="single" w:color="auto" w:sz="6" w:space="0"/>
              <w:left w:val="single" w:color="auto" w:sz="6" w:space="0"/>
              <w:bottom w:val="single" w:color="auto" w:sz="6" w:space="0"/>
              <w:right w:val="single" w:color="auto" w:sz="6" w:space="0"/>
            </w:tcBorders>
            <w:vAlign w:val="center"/>
          </w:tcPr>
          <w:p w14:paraId="256FF53A">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拟在本项目任职</w:t>
            </w:r>
          </w:p>
        </w:tc>
        <w:tc>
          <w:tcPr>
            <w:tcW w:w="1798" w:type="dxa"/>
            <w:tcBorders>
              <w:top w:val="single" w:color="auto" w:sz="6" w:space="0"/>
              <w:left w:val="single" w:color="auto" w:sz="6" w:space="0"/>
              <w:bottom w:val="single" w:color="auto" w:sz="6" w:space="0"/>
              <w:right w:val="single" w:color="auto" w:sz="6" w:space="0"/>
            </w:tcBorders>
            <w:vAlign w:val="center"/>
          </w:tcPr>
          <w:p w14:paraId="405F3B81">
            <w:pPr>
              <w:wordWrap w:val="0"/>
              <w:adjustRightInd w:val="0"/>
              <w:snapToGrid w:val="0"/>
              <w:spacing w:line="400" w:lineRule="exact"/>
              <w:jc w:val="center"/>
              <w:rPr>
                <w:rFonts w:hAnsi="宋体" w:cs="宋体"/>
                <w:snapToGrid w:val="0"/>
                <w:color w:val="auto"/>
                <w:kern w:val="0"/>
                <w:sz w:val="21"/>
                <w:szCs w:val="21"/>
                <w:highlight w:val="none"/>
              </w:rPr>
            </w:pPr>
          </w:p>
        </w:tc>
      </w:tr>
      <w:tr w14:paraId="331417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029430F8">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参加工作时间</w:t>
            </w:r>
          </w:p>
        </w:tc>
        <w:tc>
          <w:tcPr>
            <w:tcW w:w="2824" w:type="dxa"/>
            <w:gridSpan w:val="3"/>
            <w:tcBorders>
              <w:top w:val="single" w:color="auto" w:sz="6" w:space="0"/>
              <w:left w:val="single" w:color="auto" w:sz="6" w:space="0"/>
              <w:bottom w:val="single" w:color="auto" w:sz="6" w:space="0"/>
              <w:right w:val="single" w:color="auto" w:sz="6" w:space="0"/>
            </w:tcBorders>
            <w:vAlign w:val="center"/>
          </w:tcPr>
          <w:p w14:paraId="67886849">
            <w:pPr>
              <w:wordWrap w:val="0"/>
              <w:adjustRightInd w:val="0"/>
              <w:snapToGrid w:val="0"/>
              <w:spacing w:line="400" w:lineRule="exact"/>
              <w:jc w:val="center"/>
              <w:rPr>
                <w:rFonts w:hAnsi="宋体" w:cs="宋体"/>
                <w:snapToGrid w:val="0"/>
                <w:color w:val="auto"/>
                <w:kern w:val="0"/>
                <w:sz w:val="21"/>
                <w:szCs w:val="21"/>
                <w:highlight w:val="none"/>
              </w:rPr>
            </w:pPr>
          </w:p>
        </w:tc>
        <w:tc>
          <w:tcPr>
            <w:tcW w:w="3035" w:type="dxa"/>
            <w:gridSpan w:val="4"/>
            <w:tcBorders>
              <w:top w:val="single" w:color="auto" w:sz="6" w:space="0"/>
              <w:left w:val="single" w:color="auto" w:sz="6" w:space="0"/>
              <w:bottom w:val="single" w:color="auto" w:sz="6" w:space="0"/>
              <w:right w:val="single" w:color="auto" w:sz="6" w:space="0"/>
            </w:tcBorders>
            <w:vAlign w:val="center"/>
          </w:tcPr>
          <w:p w14:paraId="2C7D6685">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从事监理工作年限</w:t>
            </w:r>
          </w:p>
        </w:tc>
        <w:tc>
          <w:tcPr>
            <w:tcW w:w="1798" w:type="dxa"/>
            <w:tcBorders>
              <w:top w:val="single" w:color="auto" w:sz="6" w:space="0"/>
              <w:left w:val="single" w:color="auto" w:sz="6" w:space="0"/>
              <w:bottom w:val="single" w:color="auto" w:sz="6" w:space="0"/>
              <w:right w:val="single" w:color="auto" w:sz="6" w:space="0"/>
            </w:tcBorders>
            <w:vAlign w:val="center"/>
          </w:tcPr>
          <w:p w14:paraId="6467CA9A">
            <w:pPr>
              <w:wordWrap w:val="0"/>
              <w:adjustRightInd w:val="0"/>
              <w:snapToGrid w:val="0"/>
              <w:spacing w:line="400" w:lineRule="exact"/>
              <w:jc w:val="center"/>
              <w:rPr>
                <w:rFonts w:hAnsi="宋体" w:cs="宋体"/>
                <w:snapToGrid w:val="0"/>
                <w:color w:val="auto"/>
                <w:kern w:val="0"/>
                <w:sz w:val="21"/>
                <w:szCs w:val="21"/>
                <w:highlight w:val="none"/>
              </w:rPr>
            </w:pPr>
          </w:p>
        </w:tc>
      </w:tr>
      <w:tr w14:paraId="25E1A7E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11E91695">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注册证书</w:t>
            </w:r>
          </w:p>
        </w:tc>
        <w:tc>
          <w:tcPr>
            <w:tcW w:w="7657" w:type="dxa"/>
            <w:gridSpan w:val="8"/>
            <w:tcBorders>
              <w:top w:val="single" w:color="auto" w:sz="6" w:space="0"/>
              <w:left w:val="single" w:color="auto" w:sz="6" w:space="0"/>
              <w:bottom w:val="single" w:color="auto" w:sz="6" w:space="0"/>
              <w:right w:val="single" w:color="auto" w:sz="6" w:space="0"/>
            </w:tcBorders>
            <w:vAlign w:val="center"/>
          </w:tcPr>
          <w:p w14:paraId="4A07CADE">
            <w:pPr>
              <w:wordWrap w:val="0"/>
              <w:adjustRightInd w:val="0"/>
              <w:snapToGrid w:val="0"/>
              <w:spacing w:line="400" w:lineRule="exact"/>
              <w:jc w:val="left"/>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名称：                               证书号：</w:t>
            </w:r>
          </w:p>
        </w:tc>
      </w:tr>
      <w:tr w14:paraId="7B257C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9270" w:type="dxa"/>
            <w:gridSpan w:val="10"/>
            <w:tcBorders>
              <w:top w:val="single" w:color="auto" w:sz="6" w:space="0"/>
              <w:left w:val="single" w:color="auto" w:sz="6" w:space="0"/>
              <w:bottom w:val="single" w:color="auto" w:sz="6" w:space="0"/>
              <w:right w:val="single" w:color="auto" w:sz="6" w:space="0"/>
            </w:tcBorders>
            <w:vAlign w:val="center"/>
          </w:tcPr>
          <w:p w14:paraId="7274F2D3">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主要工作经历</w:t>
            </w:r>
          </w:p>
        </w:tc>
      </w:tr>
      <w:tr w14:paraId="328A612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3084BE2B">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序号</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07706767">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项目名称</w:t>
            </w: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11FBBFBC">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委托人</w:t>
            </w: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18E4B6F7">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担任职务</w:t>
            </w: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1C15BA6F">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起止时间</w:t>
            </w:r>
          </w:p>
        </w:tc>
      </w:tr>
      <w:tr w14:paraId="2635E9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9" w:hRule="exact"/>
        </w:trPr>
        <w:tc>
          <w:tcPr>
            <w:tcW w:w="643" w:type="dxa"/>
            <w:tcBorders>
              <w:top w:val="single" w:color="auto" w:sz="6" w:space="0"/>
              <w:left w:val="single" w:color="auto" w:sz="6" w:space="0"/>
              <w:bottom w:val="single" w:color="auto" w:sz="6" w:space="0"/>
              <w:right w:val="single" w:color="auto" w:sz="4" w:space="0"/>
            </w:tcBorders>
            <w:vAlign w:val="center"/>
          </w:tcPr>
          <w:p w14:paraId="161232D6">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1</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614367DF">
            <w:pPr>
              <w:wordWrap w:val="0"/>
              <w:adjustRightInd w:val="0"/>
              <w:snapToGrid w:val="0"/>
              <w:spacing w:line="400" w:lineRule="exact"/>
              <w:jc w:val="center"/>
              <w:rPr>
                <w:rFonts w:hAnsi="宋体" w:cs="宋体"/>
                <w:snapToGrid w:val="0"/>
                <w:color w:val="auto"/>
                <w:kern w:val="0"/>
                <w:sz w:val="21"/>
                <w:szCs w:val="21"/>
                <w:highlight w:val="none"/>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1AAE9B8C">
            <w:pPr>
              <w:wordWrap w:val="0"/>
              <w:adjustRightInd w:val="0"/>
              <w:snapToGrid w:val="0"/>
              <w:spacing w:line="400" w:lineRule="exact"/>
              <w:jc w:val="center"/>
              <w:rPr>
                <w:rFonts w:hAnsi="宋体" w:cs="宋体"/>
                <w:snapToGrid w:val="0"/>
                <w:color w:val="auto"/>
                <w:kern w:val="0"/>
                <w:sz w:val="21"/>
                <w:szCs w:val="21"/>
                <w:highlight w:val="none"/>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75A32D0B">
            <w:pPr>
              <w:wordWrap w:val="0"/>
              <w:adjustRightInd w:val="0"/>
              <w:snapToGrid w:val="0"/>
              <w:spacing w:line="400" w:lineRule="exact"/>
              <w:jc w:val="center"/>
              <w:rPr>
                <w:rFonts w:hAnsi="宋体" w:cs="宋体"/>
                <w:snapToGrid w:val="0"/>
                <w:color w:val="auto"/>
                <w:kern w:val="0"/>
                <w:sz w:val="21"/>
                <w:szCs w:val="21"/>
                <w:highlight w:val="none"/>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1F44C2FD">
            <w:pPr>
              <w:wordWrap w:val="0"/>
              <w:adjustRightInd w:val="0"/>
              <w:snapToGrid w:val="0"/>
              <w:spacing w:line="400" w:lineRule="exact"/>
              <w:jc w:val="center"/>
              <w:rPr>
                <w:rFonts w:hAnsi="宋体" w:cs="宋体"/>
                <w:snapToGrid w:val="0"/>
                <w:color w:val="auto"/>
                <w:kern w:val="0"/>
                <w:sz w:val="21"/>
                <w:szCs w:val="21"/>
                <w:highlight w:val="none"/>
              </w:rPr>
            </w:pPr>
          </w:p>
        </w:tc>
      </w:tr>
      <w:tr w14:paraId="49D524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490F5B25">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2</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1104D250">
            <w:pPr>
              <w:wordWrap w:val="0"/>
              <w:adjustRightInd w:val="0"/>
              <w:snapToGrid w:val="0"/>
              <w:spacing w:line="400" w:lineRule="exact"/>
              <w:jc w:val="center"/>
              <w:rPr>
                <w:rFonts w:hAnsi="宋体" w:cs="宋体"/>
                <w:snapToGrid w:val="0"/>
                <w:color w:val="auto"/>
                <w:kern w:val="0"/>
                <w:sz w:val="21"/>
                <w:szCs w:val="21"/>
                <w:highlight w:val="none"/>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2165650F">
            <w:pPr>
              <w:wordWrap w:val="0"/>
              <w:adjustRightInd w:val="0"/>
              <w:snapToGrid w:val="0"/>
              <w:spacing w:line="400" w:lineRule="exact"/>
              <w:jc w:val="center"/>
              <w:rPr>
                <w:rFonts w:hAnsi="宋体" w:cs="宋体"/>
                <w:snapToGrid w:val="0"/>
                <w:color w:val="auto"/>
                <w:kern w:val="0"/>
                <w:sz w:val="21"/>
                <w:szCs w:val="21"/>
                <w:highlight w:val="none"/>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11ABE292">
            <w:pPr>
              <w:wordWrap w:val="0"/>
              <w:adjustRightInd w:val="0"/>
              <w:snapToGrid w:val="0"/>
              <w:spacing w:line="400" w:lineRule="exact"/>
              <w:jc w:val="center"/>
              <w:rPr>
                <w:rFonts w:hAnsi="宋体" w:cs="宋体"/>
                <w:snapToGrid w:val="0"/>
                <w:color w:val="auto"/>
                <w:kern w:val="0"/>
                <w:sz w:val="21"/>
                <w:szCs w:val="21"/>
                <w:highlight w:val="none"/>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4E1CAE1B">
            <w:pPr>
              <w:wordWrap w:val="0"/>
              <w:adjustRightInd w:val="0"/>
              <w:snapToGrid w:val="0"/>
              <w:spacing w:line="400" w:lineRule="exact"/>
              <w:jc w:val="center"/>
              <w:rPr>
                <w:rFonts w:hAnsi="宋体" w:cs="宋体"/>
                <w:snapToGrid w:val="0"/>
                <w:color w:val="auto"/>
                <w:kern w:val="0"/>
                <w:sz w:val="21"/>
                <w:szCs w:val="21"/>
                <w:highlight w:val="none"/>
              </w:rPr>
            </w:pPr>
          </w:p>
        </w:tc>
      </w:tr>
      <w:tr w14:paraId="748247E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1970B3C6">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3</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22D89A97">
            <w:pPr>
              <w:wordWrap w:val="0"/>
              <w:adjustRightInd w:val="0"/>
              <w:snapToGrid w:val="0"/>
              <w:spacing w:line="400" w:lineRule="exact"/>
              <w:jc w:val="center"/>
              <w:rPr>
                <w:rFonts w:hAnsi="宋体" w:cs="宋体"/>
                <w:snapToGrid w:val="0"/>
                <w:color w:val="auto"/>
                <w:kern w:val="0"/>
                <w:sz w:val="21"/>
                <w:szCs w:val="21"/>
                <w:highlight w:val="none"/>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1B798FFF">
            <w:pPr>
              <w:wordWrap w:val="0"/>
              <w:adjustRightInd w:val="0"/>
              <w:snapToGrid w:val="0"/>
              <w:spacing w:line="400" w:lineRule="exact"/>
              <w:jc w:val="center"/>
              <w:rPr>
                <w:rFonts w:hAnsi="宋体" w:cs="宋体"/>
                <w:snapToGrid w:val="0"/>
                <w:color w:val="auto"/>
                <w:kern w:val="0"/>
                <w:sz w:val="21"/>
                <w:szCs w:val="21"/>
                <w:highlight w:val="none"/>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53BCCB67">
            <w:pPr>
              <w:wordWrap w:val="0"/>
              <w:adjustRightInd w:val="0"/>
              <w:snapToGrid w:val="0"/>
              <w:spacing w:line="400" w:lineRule="exact"/>
              <w:jc w:val="center"/>
              <w:rPr>
                <w:rFonts w:hAnsi="宋体" w:cs="宋体"/>
                <w:snapToGrid w:val="0"/>
                <w:color w:val="auto"/>
                <w:kern w:val="0"/>
                <w:sz w:val="21"/>
                <w:szCs w:val="21"/>
                <w:highlight w:val="none"/>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3C040936">
            <w:pPr>
              <w:wordWrap w:val="0"/>
              <w:adjustRightInd w:val="0"/>
              <w:snapToGrid w:val="0"/>
              <w:spacing w:line="400" w:lineRule="exact"/>
              <w:jc w:val="center"/>
              <w:rPr>
                <w:rFonts w:hAnsi="宋体" w:cs="宋体"/>
                <w:snapToGrid w:val="0"/>
                <w:color w:val="auto"/>
                <w:kern w:val="0"/>
                <w:sz w:val="21"/>
                <w:szCs w:val="21"/>
                <w:highlight w:val="none"/>
              </w:rPr>
            </w:pPr>
          </w:p>
        </w:tc>
      </w:tr>
      <w:tr w14:paraId="46625C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5975EB99">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1E09880E">
            <w:pPr>
              <w:wordWrap w:val="0"/>
              <w:adjustRightInd w:val="0"/>
              <w:snapToGrid w:val="0"/>
              <w:spacing w:line="400" w:lineRule="exact"/>
              <w:jc w:val="center"/>
              <w:rPr>
                <w:rFonts w:hAnsi="宋体" w:cs="宋体"/>
                <w:snapToGrid w:val="0"/>
                <w:color w:val="auto"/>
                <w:kern w:val="0"/>
                <w:sz w:val="21"/>
                <w:szCs w:val="21"/>
                <w:highlight w:val="none"/>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66376A59">
            <w:pPr>
              <w:wordWrap w:val="0"/>
              <w:adjustRightInd w:val="0"/>
              <w:snapToGrid w:val="0"/>
              <w:spacing w:line="400" w:lineRule="exact"/>
              <w:jc w:val="center"/>
              <w:rPr>
                <w:rFonts w:hAnsi="宋体" w:cs="宋体"/>
                <w:snapToGrid w:val="0"/>
                <w:color w:val="auto"/>
                <w:kern w:val="0"/>
                <w:sz w:val="21"/>
                <w:szCs w:val="21"/>
                <w:highlight w:val="none"/>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7CD58919">
            <w:pPr>
              <w:wordWrap w:val="0"/>
              <w:adjustRightInd w:val="0"/>
              <w:snapToGrid w:val="0"/>
              <w:spacing w:line="400" w:lineRule="exact"/>
              <w:jc w:val="center"/>
              <w:rPr>
                <w:rFonts w:hAnsi="宋体" w:cs="宋体"/>
                <w:snapToGrid w:val="0"/>
                <w:color w:val="auto"/>
                <w:kern w:val="0"/>
                <w:sz w:val="21"/>
                <w:szCs w:val="21"/>
                <w:highlight w:val="none"/>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0A1A76F2">
            <w:pPr>
              <w:wordWrap w:val="0"/>
              <w:adjustRightInd w:val="0"/>
              <w:snapToGrid w:val="0"/>
              <w:spacing w:line="400" w:lineRule="exact"/>
              <w:jc w:val="center"/>
              <w:rPr>
                <w:rFonts w:hAnsi="宋体" w:cs="宋体"/>
                <w:snapToGrid w:val="0"/>
                <w:color w:val="auto"/>
                <w:kern w:val="0"/>
                <w:sz w:val="21"/>
                <w:szCs w:val="21"/>
                <w:highlight w:val="none"/>
              </w:rPr>
            </w:pPr>
          </w:p>
        </w:tc>
      </w:tr>
    </w:tbl>
    <w:p w14:paraId="05AF772E">
      <w:pPr>
        <w:adjustRightInd w:val="0"/>
        <w:snapToGrid w:val="0"/>
        <w:spacing w:line="400" w:lineRule="exact"/>
        <w:rPr>
          <w:rFonts w:hAnsi="宋体" w:cs="宋体"/>
          <w:color w:val="auto"/>
          <w:highlight w:val="none"/>
        </w:rPr>
      </w:pPr>
    </w:p>
    <w:p w14:paraId="55649CDC">
      <w:pPr>
        <w:pStyle w:val="75"/>
        <w:wordWrap w:val="0"/>
        <w:adjustRightInd w:val="0"/>
        <w:snapToGrid w:val="0"/>
        <w:spacing w:line="400" w:lineRule="exact"/>
        <w:jc w:val="right"/>
        <w:rPr>
          <w:rFonts w:hAnsi="宋体" w:cs="宋体"/>
          <w:snapToGrid w:val="0"/>
          <w:color w:val="auto"/>
          <w:kern w:val="0"/>
          <w:highlight w:val="none"/>
        </w:rPr>
      </w:pPr>
    </w:p>
    <w:p w14:paraId="5212B167">
      <w:pPr>
        <w:pStyle w:val="75"/>
        <w:wordWrap w:val="0"/>
        <w:adjustRightInd w:val="0"/>
        <w:snapToGrid w:val="0"/>
        <w:spacing w:line="400" w:lineRule="exact"/>
        <w:jc w:val="right"/>
        <w:rPr>
          <w:rFonts w:hAnsi="宋体" w:cs="宋体"/>
          <w:snapToGrid w:val="0"/>
          <w:color w:val="auto"/>
          <w:kern w:val="0"/>
          <w:highlight w:val="none"/>
        </w:rPr>
      </w:pPr>
      <w:r>
        <w:rPr>
          <w:rFonts w:hint="eastAsia" w:hAnsi="宋体" w:cs="宋体"/>
          <w:snapToGrid w:val="0"/>
          <w:color w:val="auto"/>
          <w:kern w:val="0"/>
          <w:highlight w:val="none"/>
        </w:rPr>
        <w:t>总监理工程师：</w:t>
      </w:r>
      <w:r>
        <w:rPr>
          <w:rFonts w:hint="eastAsia" w:hAnsi="宋体" w:cs="宋体"/>
          <w:snapToGrid w:val="0"/>
          <w:color w:val="auto"/>
          <w:kern w:val="0"/>
          <w:highlight w:val="none"/>
          <w:u w:val="single"/>
        </w:rPr>
        <w:t xml:space="preserve">                   </w:t>
      </w:r>
      <w:r>
        <w:rPr>
          <w:rFonts w:hint="eastAsia" w:hAnsi="宋体" w:cs="宋体"/>
          <w:snapToGrid w:val="0"/>
          <w:color w:val="auto"/>
          <w:kern w:val="0"/>
          <w:highlight w:val="none"/>
        </w:rPr>
        <w:t>（签字）</w:t>
      </w:r>
    </w:p>
    <w:p w14:paraId="0C2580C4">
      <w:pPr>
        <w:pStyle w:val="75"/>
        <w:wordWrap w:val="0"/>
        <w:adjustRightInd w:val="0"/>
        <w:snapToGrid w:val="0"/>
        <w:spacing w:line="400" w:lineRule="exact"/>
        <w:jc w:val="center"/>
        <w:rPr>
          <w:rFonts w:hAnsi="宋体" w:cs="宋体"/>
          <w:snapToGrid w:val="0"/>
          <w:color w:val="auto"/>
          <w:kern w:val="0"/>
          <w:highlight w:val="none"/>
        </w:rPr>
      </w:pPr>
      <w:r>
        <w:rPr>
          <w:rFonts w:hint="eastAsia" w:hAnsi="宋体" w:cs="宋体"/>
          <w:snapToGrid w:val="0"/>
          <w:color w:val="auto"/>
          <w:kern w:val="0"/>
          <w:highlight w:val="none"/>
        </w:rPr>
        <w:t xml:space="preserve">                                     </w:t>
      </w:r>
      <w:r>
        <w:rPr>
          <w:rFonts w:hint="eastAsia" w:hAnsi="宋体" w:cs="宋体"/>
          <w:snapToGrid w:val="0"/>
          <w:color w:val="auto"/>
          <w:kern w:val="0"/>
          <w:highlight w:val="none"/>
          <w:u w:val="single"/>
        </w:rPr>
        <w:t xml:space="preserve">       </w:t>
      </w:r>
      <w:r>
        <w:rPr>
          <w:rFonts w:hint="eastAsia" w:hAnsi="宋体" w:cs="宋体"/>
          <w:snapToGrid w:val="0"/>
          <w:color w:val="auto"/>
          <w:kern w:val="0"/>
          <w:highlight w:val="none"/>
        </w:rPr>
        <w:t>年</w:t>
      </w:r>
      <w:r>
        <w:rPr>
          <w:rFonts w:hint="eastAsia" w:hAnsi="宋体" w:cs="宋体"/>
          <w:snapToGrid w:val="0"/>
          <w:color w:val="auto"/>
          <w:kern w:val="0"/>
          <w:highlight w:val="none"/>
          <w:u w:val="single"/>
        </w:rPr>
        <w:t xml:space="preserve">     </w:t>
      </w:r>
      <w:r>
        <w:rPr>
          <w:rFonts w:hint="eastAsia" w:hAnsi="宋体" w:cs="宋体"/>
          <w:snapToGrid w:val="0"/>
          <w:color w:val="auto"/>
          <w:kern w:val="0"/>
          <w:highlight w:val="none"/>
        </w:rPr>
        <w:t>月</w:t>
      </w:r>
      <w:r>
        <w:rPr>
          <w:rFonts w:hint="eastAsia" w:hAnsi="宋体" w:cs="宋体"/>
          <w:snapToGrid w:val="0"/>
          <w:color w:val="auto"/>
          <w:kern w:val="0"/>
          <w:highlight w:val="none"/>
          <w:u w:val="single"/>
        </w:rPr>
        <w:t xml:space="preserve">     </w:t>
      </w:r>
      <w:r>
        <w:rPr>
          <w:rFonts w:hint="eastAsia" w:hAnsi="宋体" w:cs="宋体"/>
          <w:snapToGrid w:val="0"/>
          <w:color w:val="auto"/>
          <w:kern w:val="0"/>
          <w:highlight w:val="none"/>
        </w:rPr>
        <w:t>日</w:t>
      </w:r>
    </w:p>
    <w:p w14:paraId="54D577A5">
      <w:pPr>
        <w:wordWrap w:val="0"/>
        <w:adjustRightInd w:val="0"/>
        <w:snapToGrid w:val="0"/>
        <w:spacing w:line="400" w:lineRule="exact"/>
        <w:ind w:firstLine="570"/>
        <w:rPr>
          <w:rFonts w:hAnsi="宋体" w:cs="宋体"/>
          <w:snapToGrid w:val="0"/>
          <w:color w:val="auto"/>
          <w:kern w:val="0"/>
          <w:szCs w:val="28"/>
          <w:highlight w:val="none"/>
        </w:rPr>
      </w:pPr>
    </w:p>
    <w:p w14:paraId="1CA52CB3">
      <w:pPr>
        <w:wordWrap w:val="0"/>
        <w:adjustRightInd w:val="0"/>
        <w:snapToGrid w:val="0"/>
        <w:spacing w:line="400" w:lineRule="exact"/>
        <w:ind w:firstLine="420"/>
        <w:rPr>
          <w:rFonts w:hAnsi="宋体" w:cs="宋体"/>
          <w:snapToGrid w:val="0"/>
          <w:color w:val="auto"/>
          <w:kern w:val="0"/>
          <w:sz w:val="21"/>
          <w:szCs w:val="28"/>
          <w:highlight w:val="none"/>
        </w:rPr>
      </w:pPr>
      <w:r>
        <w:rPr>
          <w:rFonts w:hint="eastAsia" w:hAnsi="宋体" w:cs="宋体"/>
          <w:snapToGrid w:val="0"/>
          <w:color w:val="auto"/>
          <w:kern w:val="0"/>
          <w:sz w:val="21"/>
          <w:szCs w:val="28"/>
          <w:highlight w:val="none"/>
        </w:rPr>
        <w:t>说明：《总监理工程师简历表》后应附拟派总监理工程师以下资料：</w:t>
      </w:r>
    </w:p>
    <w:p w14:paraId="245C16B3">
      <w:pPr>
        <w:wordWrap w:val="0"/>
        <w:adjustRightInd w:val="0"/>
        <w:snapToGrid w:val="0"/>
        <w:spacing w:line="400" w:lineRule="exact"/>
        <w:ind w:firstLine="420"/>
        <w:rPr>
          <w:rFonts w:hAnsi="宋体" w:cs="宋体"/>
          <w:snapToGrid w:val="0"/>
          <w:color w:val="auto"/>
          <w:kern w:val="0"/>
          <w:sz w:val="21"/>
          <w:szCs w:val="28"/>
          <w:highlight w:val="none"/>
        </w:rPr>
      </w:pPr>
      <w:r>
        <w:rPr>
          <w:rFonts w:hint="eastAsia" w:hAnsi="宋体" w:cs="宋体"/>
          <w:snapToGrid w:val="0"/>
          <w:color w:val="auto"/>
          <w:kern w:val="0"/>
          <w:sz w:val="21"/>
          <w:szCs w:val="28"/>
          <w:highlight w:val="none"/>
        </w:rPr>
        <w:t>1．身份证彩色扫描件；</w:t>
      </w:r>
    </w:p>
    <w:p w14:paraId="6403A457">
      <w:pPr>
        <w:wordWrap w:val="0"/>
        <w:adjustRightInd w:val="0"/>
        <w:snapToGrid w:val="0"/>
        <w:spacing w:line="400" w:lineRule="exact"/>
        <w:ind w:firstLine="420"/>
        <w:rPr>
          <w:rFonts w:hAnsi="宋体" w:cs="宋体"/>
          <w:snapToGrid w:val="0"/>
          <w:color w:val="auto"/>
          <w:kern w:val="0"/>
          <w:sz w:val="21"/>
          <w:szCs w:val="28"/>
          <w:highlight w:val="none"/>
        </w:rPr>
      </w:pPr>
      <w:r>
        <w:rPr>
          <w:rFonts w:hint="eastAsia" w:hAnsi="宋体" w:cs="宋体"/>
          <w:snapToGrid w:val="0"/>
          <w:color w:val="auto"/>
          <w:kern w:val="0"/>
          <w:sz w:val="21"/>
          <w:szCs w:val="28"/>
          <w:highlight w:val="none"/>
        </w:rPr>
        <w:t>2．监理工程师注册证书彩色扫描件（须彩色扫描至变更注册栏）</w:t>
      </w:r>
      <w:r>
        <w:rPr>
          <w:rFonts w:hint="eastAsia" w:ascii="宋体" w:hAnsi="宋体" w:eastAsia="宋体" w:cs="宋体"/>
          <w:snapToGrid w:val="0"/>
          <w:color w:val="auto"/>
          <w:kern w:val="0"/>
          <w:sz w:val="21"/>
          <w:szCs w:val="28"/>
          <w:highlight w:val="none"/>
          <w:lang w:val="en-US" w:eastAsia="zh-CN"/>
        </w:rPr>
        <w:t>或</w:t>
      </w:r>
      <w:r>
        <w:rPr>
          <w:rFonts w:hint="eastAsia" w:ascii="宋体" w:hAnsi="宋体" w:eastAsia="宋体" w:cs="宋体"/>
          <w:snapToGrid w:val="0"/>
          <w:color w:val="auto"/>
          <w:kern w:val="0"/>
          <w:sz w:val="21"/>
          <w:szCs w:val="28"/>
          <w:highlight w:val="none"/>
        </w:rPr>
        <w:t>有效期内的有效电子证书</w:t>
      </w:r>
      <w:r>
        <w:rPr>
          <w:rFonts w:hint="eastAsia" w:hAnsi="宋体" w:cs="宋体"/>
          <w:snapToGrid w:val="0"/>
          <w:color w:val="auto"/>
          <w:kern w:val="0"/>
          <w:sz w:val="21"/>
          <w:szCs w:val="28"/>
          <w:highlight w:val="none"/>
        </w:rPr>
        <w:t>；</w:t>
      </w:r>
    </w:p>
    <w:p w14:paraId="4FD46B7A">
      <w:pPr>
        <w:wordWrap w:val="0"/>
        <w:adjustRightInd w:val="0"/>
        <w:snapToGrid w:val="0"/>
        <w:spacing w:line="400" w:lineRule="exact"/>
        <w:ind w:firstLine="420"/>
        <w:rPr>
          <w:rFonts w:hAnsi="宋体" w:cs="宋体"/>
          <w:snapToGrid w:val="0"/>
          <w:color w:val="auto"/>
          <w:kern w:val="0"/>
          <w:sz w:val="21"/>
          <w:szCs w:val="28"/>
          <w:highlight w:val="none"/>
        </w:rPr>
      </w:pPr>
      <w:r>
        <w:rPr>
          <w:rFonts w:hint="eastAsia" w:hAnsi="宋体" w:cs="宋体"/>
          <w:snapToGrid w:val="0"/>
          <w:color w:val="auto"/>
          <w:kern w:val="0"/>
          <w:sz w:val="21"/>
          <w:szCs w:val="28"/>
          <w:highlight w:val="none"/>
        </w:rPr>
        <w:t>3．</w:t>
      </w:r>
      <w:r>
        <w:rPr>
          <w:rFonts w:hint="eastAsia" w:ascii="宋体" w:hAnsi="宋体" w:eastAsia="宋体" w:cs="宋体"/>
          <w:caps w:val="0"/>
          <w:smallCaps w:val="0"/>
          <w:snapToGrid w:val="0"/>
          <w:color w:val="auto"/>
          <w:spacing w:val="0"/>
          <w:kern w:val="0"/>
          <w:sz w:val="21"/>
          <w:szCs w:val="28"/>
          <w:highlight w:val="none"/>
          <w:lang w:val="en-US" w:eastAsia="zh-CN"/>
        </w:rPr>
        <w:t>在本单位缴纳社保的证明（至少一个月，其中必须有202</w:t>
      </w:r>
      <w:r>
        <w:rPr>
          <w:rFonts w:hint="eastAsia" w:hAnsi="宋体" w:cs="宋体"/>
          <w:caps w:val="0"/>
          <w:smallCaps w:val="0"/>
          <w:snapToGrid w:val="0"/>
          <w:color w:val="auto"/>
          <w:spacing w:val="0"/>
          <w:kern w:val="0"/>
          <w:sz w:val="21"/>
          <w:szCs w:val="28"/>
          <w:highlight w:val="none"/>
          <w:lang w:val="en-US" w:eastAsia="zh-CN"/>
        </w:rPr>
        <w:t>6</w:t>
      </w:r>
      <w:r>
        <w:rPr>
          <w:rFonts w:hint="eastAsia" w:ascii="宋体" w:hAnsi="宋体" w:eastAsia="宋体" w:cs="宋体"/>
          <w:caps w:val="0"/>
          <w:smallCaps w:val="0"/>
          <w:snapToGrid w:val="0"/>
          <w:color w:val="auto"/>
          <w:spacing w:val="0"/>
          <w:kern w:val="0"/>
          <w:sz w:val="21"/>
          <w:szCs w:val="28"/>
          <w:highlight w:val="none"/>
          <w:lang w:val="en-US" w:eastAsia="zh-CN"/>
        </w:rPr>
        <w:t>年</w:t>
      </w:r>
      <w:r>
        <w:rPr>
          <w:rFonts w:hint="eastAsia" w:hAnsi="宋体" w:cs="宋体"/>
          <w:caps w:val="0"/>
          <w:smallCaps w:val="0"/>
          <w:snapToGrid w:val="0"/>
          <w:color w:val="auto"/>
          <w:spacing w:val="0"/>
          <w:kern w:val="0"/>
          <w:sz w:val="21"/>
          <w:szCs w:val="28"/>
          <w:highlight w:val="none"/>
          <w:lang w:val="en-US" w:eastAsia="zh-CN"/>
        </w:rPr>
        <w:t>02</w:t>
      </w:r>
      <w:r>
        <w:rPr>
          <w:rFonts w:hint="eastAsia" w:ascii="宋体" w:hAnsi="宋体" w:eastAsia="宋体" w:cs="宋体"/>
          <w:caps w:val="0"/>
          <w:smallCaps w:val="0"/>
          <w:snapToGrid w:val="0"/>
          <w:color w:val="auto"/>
          <w:spacing w:val="0"/>
          <w:kern w:val="0"/>
          <w:sz w:val="21"/>
          <w:szCs w:val="28"/>
          <w:highlight w:val="none"/>
          <w:lang w:val="en-US" w:eastAsia="zh-CN"/>
        </w:rPr>
        <w:t>月）彩色扫描件。</w:t>
      </w:r>
    </w:p>
    <w:p w14:paraId="2DC2A311">
      <w:pPr>
        <w:pStyle w:val="11"/>
        <w:snapToGrid w:val="0"/>
        <w:spacing w:line="400" w:lineRule="exact"/>
        <w:ind w:firstLine="420" w:firstLineChars="200"/>
        <w:rPr>
          <w:rFonts w:hAnsi="宋体" w:cs="宋体"/>
          <w:snapToGrid w:val="0"/>
          <w:color w:val="auto"/>
          <w:sz w:val="21"/>
          <w:highlight w:val="none"/>
        </w:rPr>
      </w:pPr>
      <w:r>
        <w:rPr>
          <w:rFonts w:hint="eastAsia" w:hAnsi="宋体" w:cs="宋体"/>
          <w:snapToGrid w:val="0"/>
          <w:color w:val="auto"/>
          <w:sz w:val="21"/>
          <w:highlight w:val="none"/>
        </w:rPr>
        <w:t>4.“进粤企业和人员诚信信息登记平台”个人（总监理工程师等）信息情况截图。（适用于省外建筑企业）</w:t>
      </w:r>
    </w:p>
    <w:p w14:paraId="1FF4E9EC">
      <w:pPr>
        <w:pStyle w:val="11"/>
        <w:snapToGrid w:val="0"/>
        <w:spacing w:line="400" w:lineRule="exact"/>
        <w:rPr>
          <w:rFonts w:hAnsi="宋体" w:cs="宋体"/>
          <w:snapToGrid w:val="0"/>
          <w:color w:val="auto"/>
          <w:sz w:val="21"/>
          <w:highlight w:val="none"/>
        </w:rPr>
      </w:pPr>
    </w:p>
    <w:p w14:paraId="1F51A155">
      <w:pPr>
        <w:adjustRightInd w:val="0"/>
        <w:snapToGrid w:val="0"/>
        <w:spacing w:line="400" w:lineRule="exact"/>
        <w:rPr>
          <w:rFonts w:hAnsi="宋体" w:cs="宋体"/>
          <w:b/>
          <w:bCs/>
          <w:snapToGrid w:val="0"/>
          <w:color w:val="auto"/>
          <w:kern w:val="0"/>
          <w:szCs w:val="24"/>
          <w:highlight w:val="none"/>
        </w:rPr>
      </w:pPr>
      <w:bookmarkStart w:id="337" w:name="_Toc19546"/>
      <w:r>
        <w:rPr>
          <w:rFonts w:hint="eastAsia" w:hAnsi="宋体" w:cs="宋体"/>
          <w:b/>
          <w:bCs/>
          <w:snapToGrid w:val="0"/>
          <w:color w:val="auto"/>
          <w:kern w:val="0"/>
          <w:szCs w:val="24"/>
          <w:highlight w:val="none"/>
        </w:rPr>
        <w:br w:type="page"/>
      </w:r>
    </w:p>
    <w:p w14:paraId="32B105E3">
      <w:pPr>
        <w:pStyle w:val="150"/>
        <w:keepNext/>
        <w:keepLines/>
        <w:snapToGrid w:val="0"/>
        <w:spacing w:line="400" w:lineRule="exact"/>
        <w:jc w:val="both"/>
        <w:rPr>
          <w:rFonts w:ascii="宋体" w:hAnsi="宋体" w:cs="宋体"/>
          <w:b/>
          <w:bCs/>
          <w:snapToGrid w:val="0"/>
          <w:color w:val="auto"/>
          <w:highlight w:val="none"/>
        </w:rPr>
      </w:pPr>
      <w:bookmarkStart w:id="338" w:name="_Toc21090"/>
      <w:r>
        <w:rPr>
          <w:rFonts w:hint="eastAsia" w:ascii="宋体" w:hAnsi="宋体" w:cs="宋体"/>
          <w:b/>
          <w:bCs/>
          <w:snapToGrid w:val="0"/>
          <w:color w:val="auto"/>
          <w:highlight w:val="none"/>
        </w:rPr>
        <w:t>格式十二 其他拟派人员简历表</w:t>
      </w:r>
      <w:bookmarkEnd w:id="337"/>
      <w:bookmarkEnd w:id="338"/>
    </w:p>
    <w:p w14:paraId="6BB2F130">
      <w:pPr>
        <w:adjustRightInd w:val="0"/>
        <w:snapToGrid w:val="0"/>
        <w:spacing w:line="400" w:lineRule="exact"/>
        <w:jc w:val="center"/>
        <w:rPr>
          <w:rFonts w:hAnsi="宋体" w:cs="宋体"/>
          <w:b/>
          <w:bCs/>
          <w:color w:val="auto"/>
          <w:sz w:val="32"/>
          <w:szCs w:val="22"/>
          <w:highlight w:val="none"/>
        </w:rPr>
      </w:pPr>
    </w:p>
    <w:p w14:paraId="3FF56886">
      <w:pPr>
        <w:adjustRightInd w:val="0"/>
        <w:snapToGrid w:val="0"/>
        <w:spacing w:line="400" w:lineRule="exact"/>
        <w:jc w:val="center"/>
        <w:rPr>
          <w:rFonts w:hAnsi="宋体" w:cs="宋体"/>
          <w:b/>
          <w:bCs/>
          <w:color w:val="auto"/>
          <w:sz w:val="32"/>
          <w:szCs w:val="22"/>
          <w:highlight w:val="none"/>
        </w:rPr>
      </w:pPr>
      <w:r>
        <w:rPr>
          <w:rFonts w:hint="eastAsia" w:hAnsi="宋体" w:cs="宋体"/>
          <w:b/>
          <w:bCs/>
          <w:color w:val="auto"/>
          <w:sz w:val="32"/>
          <w:szCs w:val="22"/>
          <w:highlight w:val="none"/>
        </w:rPr>
        <w:t>其他拟派人员简历表（）</w:t>
      </w:r>
    </w:p>
    <w:tbl>
      <w:tblPr>
        <w:tblStyle w:val="31"/>
        <w:tblpPr w:leftFromText="180" w:rightFromText="180" w:vertAnchor="text" w:horzAnchor="page" w:tblpX="1490" w:tblpY="692"/>
        <w:tblOverlap w:val="never"/>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43"/>
        <w:gridCol w:w="970"/>
        <w:gridCol w:w="1130"/>
        <w:gridCol w:w="227"/>
        <w:gridCol w:w="1467"/>
        <w:gridCol w:w="688"/>
        <w:gridCol w:w="640"/>
        <w:gridCol w:w="1160"/>
        <w:gridCol w:w="547"/>
        <w:gridCol w:w="1798"/>
      </w:tblGrid>
      <w:tr w14:paraId="7E9C00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3"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234B96E7">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姓  名</w:t>
            </w:r>
          </w:p>
        </w:tc>
        <w:tc>
          <w:tcPr>
            <w:tcW w:w="1357" w:type="dxa"/>
            <w:gridSpan w:val="2"/>
            <w:tcBorders>
              <w:top w:val="single" w:color="auto" w:sz="6" w:space="0"/>
              <w:left w:val="single" w:color="auto" w:sz="6" w:space="0"/>
              <w:bottom w:val="single" w:color="auto" w:sz="6" w:space="0"/>
              <w:right w:val="single" w:color="auto" w:sz="6" w:space="0"/>
            </w:tcBorders>
            <w:vAlign w:val="center"/>
          </w:tcPr>
          <w:p w14:paraId="143FEB68">
            <w:pPr>
              <w:wordWrap w:val="0"/>
              <w:adjustRightInd w:val="0"/>
              <w:snapToGrid w:val="0"/>
              <w:spacing w:line="400" w:lineRule="exact"/>
              <w:jc w:val="center"/>
              <w:rPr>
                <w:rFonts w:hAnsi="宋体" w:cs="宋体"/>
                <w:snapToGrid w:val="0"/>
                <w:color w:val="auto"/>
                <w:kern w:val="0"/>
                <w:sz w:val="21"/>
                <w:szCs w:val="21"/>
                <w:highlight w:val="none"/>
              </w:rPr>
            </w:pPr>
          </w:p>
        </w:tc>
        <w:tc>
          <w:tcPr>
            <w:tcW w:w="1467" w:type="dxa"/>
            <w:tcBorders>
              <w:top w:val="single" w:color="auto" w:sz="6" w:space="0"/>
              <w:left w:val="single" w:color="auto" w:sz="6" w:space="0"/>
              <w:bottom w:val="single" w:color="auto" w:sz="6" w:space="0"/>
              <w:right w:val="single" w:color="auto" w:sz="6" w:space="0"/>
            </w:tcBorders>
            <w:vAlign w:val="center"/>
          </w:tcPr>
          <w:p w14:paraId="74B527A1">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性  别</w:t>
            </w:r>
          </w:p>
        </w:tc>
        <w:tc>
          <w:tcPr>
            <w:tcW w:w="1328" w:type="dxa"/>
            <w:gridSpan w:val="2"/>
            <w:tcBorders>
              <w:top w:val="single" w:color="auto" w:sz="6" w:space="0"/>
              <w:left w:val="single" w:color="auto" w:sz="6" w:space="0"/>
              <w:bottom w:val="single" w:color="auto" w:sz="6" w:space="0"/>
              <w:right w:val="single" w:color="auto" w:sz="6" w:space="0"/>
            </w:tcBorders>
            <w:vAlign w:val="center"/>
          </w:tcPr>
          <w:p w14:paraId="6FC81615">
            <w:pPr>
              <w:wordWrap w:val="0"/>
              <w:adjustRightInd w:val="0"/>
              <w:snapToGrid w:val="0"/>
              <w:spacing w:line="400" w:lineRule="exact"/>
              <w:jc w:val="center"/>
              <w:rPr>
                <w:rFonts w:hAnsi="宋体" w:cs="宋体"/>
                <w:snapToGrid w:val="0"/>
                <w:color w:val="auto"/>
                <w:kern w:val="0"/>
                <w:sz w:val="21"/>
                <w:szCs w:val="21"/>
                <w:highlight w:val="none"/>
              </w:rPr>
            </w:pPr>
          </w:p>
        </w:tc>
        <w:tc>
          <w:tcPr>
            <w:tcW w:w="1707" w:type="dxa"/>
            <w:gridSpan w:val="2"/>
            <w:tcBorders>
              <w:top w:val="single" w:color="auto" w:sz="6" w:space="0"/>
              <w:left w:val="single" w:color="auto" w:sz="6" w:space="0"/>
              <w:bottom w:val="single" w:color="auto" w:sz="6" w:space="0"/>
              <w:right w:val="single" w:color="auto" w:sz="6" w:space="0"/>
            </w:tcBorders>
            <w:vAlign w:val="center"/>
          </w:tcPr>
          <w:p w14:paraId="41E42718">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年  龄</w:t>
            </w:r>
          </w:p>
        </w:tc>
        <w:tc>
          <w:tcPr>
            <w:tcW w:w="1798" w:type="dxa"/>
            <w:tcBorders>
              <w:top w:val="single" w:color="auto" w:sz="6" w:space="0"/>
              <w:left w:val="single" w:color="auto" w:sz="6" w:space="0"/>
              <w:bottom w:val="single" w:color="auto" w:sz="6" w:space="0"/>
              <w:right w:val="single" w:color="auto" w:sz="6" w:space="0"/>
            </w:tcBorders>
            <w:vAlign w:val="center"/>
          </w:tcPr>
          <w:p w14:paraId="3281224B">
            <w:pPr>
              <w:wordWrap w:val="0"/>
              <w:adjustRightInd w:val="0"/>
              <w:snapToGrid w:val="0"/>
              <w:spacing w:line="400" w:lineRule="exact"/>
              <w:jc w:val="center"/>
              <w:rPr>
                <w:rFonts w:hAnsi="宋体" w:cs="宋体"/>
                <w:snapToGrid w:val="0"/>
                <w:color w:val="auto"/>
                <w:kern w:val="0"/>
                <w:sz w:val="21"/>
                <w:szCs w:val="21"/>
                <w:highlight w:val="none"/>
              </w:rPr>
            </w:pPr>
          </w:p>
        </w:tc>
      </w:tr>
      <w:tr w14:paraId="762E11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365C7D3C">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职  称</w:t>
            </w:r>
          </w:p>
        </w:tc>
        <w:tc>
          <w:tcPr>
            <w:tcW w:w="1357" w:type="dxa"/>
            <w:gridSpan w:val="2"/>
            <w:tcBorders>
              <w:top w:val="single" w:color="auto" w:sz="6" w:space="0"/>
              <w:left w:val="single" w:color="auto" w:sz="6" w:space="0"/>
              <w:bottom w:val="single" w:color="auto" w:sz="6" w:space="0"/>
              <w:right w:val="single" w:color="auto" w:sz="6" w:space="0"/>
            </w:tcBorders>
            <w:vAlign w:val="center"/>
          </w:tcPr>
          <w:p w14:paraId="07600EDB">
            <w:pPr>
              <w:wordWrap w:val="0"/>
              <w:adjustRightInd w:val="0"/>
              <w:snapToGrid w:val="0"/>
              <w:spacing w:line="400" w:lineRule="exact"/>
              <w:jc w:val="center"/>
              <w:rPr>
                <w:rFonts w:hAnsi="宋体" w:cs="宋体"/>
                <w:snapToGrid w:val="0"/>
                <w:color w:val="auto"/>
                <w:kern w:val="0"/>
                <w:sz w:val="21"/>
                <w:szCs w:val="21"/>
                <w:highlight w:val="none"/>
              </w:rPr>
            </w:pPr>
          </w:p>
        </w:tc>
        <w:tc>
          <w:tcPr>
            <w:tcW w:w="1467" w:type="dxa"/>
            <w:tcBorders>
              <w:top w:val="single" w:color="auto" w:sz="6" w:space="0"/>
              <w:left w:val="single" w:color="auto" w:sz="6" w:space="0"/>
              <w:bottom w:val="single" w:color="auto" w:sz="6" w:space="0"/>
              <w:right w:val="single" w:color="auto" w:sz="6" w:space="0"/>
            </w:tcBorders>
            <w:vAlign w:val="center"/>
          </w:tcPr>
          <w:p w14:paraId="707B004D">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学  历</w:t>
            </w:r>
          </w:p>
        </w:tc>
        <w:tc>
          <w:tcPr>
            <w:tcW w:w="1328" w:type="dxa"/>
            <w:gridSpan w:val="2"/>
            <w:tcBorders>
              <w:top w:val="single" w:color="auto" w:sz="6" w:space="0"/>
              <w:left w:val="single" w:color="auto" w:sz="6" w:space="0"/>
              <w:bottom w:val="single" w:color="auto" w:sz="6" w:space="0"/>
              <w:right w:val="single" w:color="auto" w:sz="6" w:space="0"/>
            </w:tcBorders>
            <w:vAlign w:val="center"/>
          </w:tcPr>
          <w:p w14:paraId="0B474707">
            <w:pPr>
              <w:wordWrap w:val="0"/>
              <w:adjustRightInd w:val="0"/>
              <w:snapToGrid w:val="0"/>
              <w:spacing w:line="400" w:lineRule="exact"/>
              <w:jc w:val="center"/>
              <w:rPr>
                <w:rFonts w:hAnsi="宋体" w:cs="宋体"/>
                <w:snapToGrid w:val="0"/>
                <w:color w:val="auto"/>
                <w:kern w:val="0"/>
                <w:sz w:val="21"/>
                <w:szCs w:val="21"/>
                <w:highlight w:val="none"/>
              </w:rPr>
            </w:pPr>
          </w:p>
        </w:tc>
        <w:tc>
          <w:tcPr>
            <w:tcW w:w="1707" w:type="dxa"/>
            <w:gridSpan w:val="2"/>
            <w:tcBorders>
              <w:top w:val="single" w:color="auto" w:sz="6" w:space="0"/>
              <w:left w:val="single" w:color="auto" w:sz="6" w:space="0"/>
              <w:bottom w:val="single" w:color="auto" w:sz="6" w:space="0"/>
              <w:right w:val="single" w:color="auto" w:sz="6" w:space="0"/>
            </w:tcBorders>
            <w:vAlign w:val="center"/>
          </w:tcPr>
          <w:p w14:paraId="2614E82F">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拟在本项目任职</w:t>
            </w:r>
          </w:p>
        </w:tc>
        <w:tc>
          <w:tcPr>
            <w:tcW w:w="1798" w:type="dxa"/>
            <w:tcBorders>
              <w:top w:val="single" w:color="auto" w:sz="6" w:space="0"/>
              <w:left w:val="single" w:color="auto" w:sz="6" w:space="0"/>
              <w:bottom w:val="single" w:color="auto" w:sz="6" w:space="0"/>
              <w:right w:val="single" w:color="auto" w:sz="6" w:space="0"/>
            </w:tcBorders>
            <w:vAlign w:val="center"/>
          </w:tcPr>
          <w:p w14:paraId="6857EDE9">
            <w:pPr>
              <w:wordWrap w:val="0"/>
              <w:adjustRightInd w:val="0"/>
              <w:snapToGrid w:val="0"/>
              <w:spacing w:line="400" w:lineRule="exact"/>
              <w:jc w:val="center"/>
              <w:rPr>
                <w:rFonts w:hAnsi="宋体" w:cs="宋体"/>
                <w:snapToGrid w:val="0"/>
                <w:color w:val="auto"/>
                <w:kern w:val="0"/>
                <w:sz w:val="21"/>
                <w:szCs w:val="21"/>
                <w:highlight w:val="none"/>
              </w:rPr>
            </w:pPr>
          </w:p>
        </w:tc>
      </w:tr>
      <w:tr w14:paraId="5DADE4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619FBE74">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参加工作时间</w:t>
            </w:r>
          </w:p>
        </w:tc>
        <w:tc>
          <w:tcPr>
            <w:tcW w:w="2824" w:type="dxa"/>
            <w:gridSpan w:val="3"/>
            <w:tcBorders>
              <w:top w:val="single" w:color="auto" w:sz="6" w:space="0"/>
              <w:left w:val="single" w:color="auto" w:sz="6" w:space="0"/>
              <w:bottom w:val="single" w:color="auto" w:sz="6" w:space="0"/>
              <w:right w:val="single" w:color="auto" w:sz="6" w:space="0"/>
            </w:tcBorders>
            <w:vAlign w:val="center"/>
          </w:tcPr>
          <w:p w14:paraId="264C9C75">
            <w:pPr>
              <w:wordWrap w:val="0"/>
              <w:adjustRightInd w:val="0"/>
              <w:snapToGrid w:val="0"/>
              <w:spacing w:line="400" w:lineRule="exact"/>
              <w:jc w:val="center"/>
              <w:rPr>
                <w:rFonts w:hAnsi="宋体" w:cs="宋体"/>
                <w:snapToGrid w:val="0"/>
                <w:color w:val="auto"/>
                <w:kern w:val="0"/>
                <w:sz w:val="21"/>
                <w:szCs w:val="21"/>
                <w:highlight w:val="none"/>
              </w:rPr>
            </w:pPr>
          </w:p>
        </w:tc>
        <w:tc>
          <w:tcPr>
            <w:tcW w:w="3035" w:type="dxa"/>
            <w:gridSpan w:val="4"/>
            <w:tcBorders>
              <w:top w:val="single" w:color="auto" w:sz="6" w:space="0"/>
              <w:left w:val="single" w:color="auto" w:sz="6" w:space="0"/>
              <w:bottom w:val="single" w:color="auto" w:sz="6" w:space="0"/>
              <w:right w:val="single" w:color="auto" w:sz="6" w:space="0"/>
            </w:tcBorders>
            <w:vAlign w:val="center"/>
          </w:tcPr>
          <w:p w14:paraId="566C100A">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从事监理工作年限</w:t>
            </w:r>
          </w:p>
        </w:tc>
        <w:tc>
          <w:tcPr>
            <w:tcW w:w="1798" w:type="dxa"/>
            <w:tcBorders>
              <w:top w:val="single" w:color="auto" w:sz="6" w:space="0"/>
              <w:left w:val="single" w:color="auto" w:sz="6" w:space="0"/>
              <w:bottom w:val="single" w:color="auto" w:sz="6" w:space="0"/>
              <w:right w:val="single" w:color="auto" w:sz="6" w:space="0"/>
            </w:tcBorders>
            <w:vAlign w:val="center"/>
          </w:tcPr>
          <w:p w14:paraId="70F18B4F">
            <w:pPr>
              <w:wordWrap w:val="0"/>
              <w:adjustRightInd w:val="0"/>
              <w:snapToGrid w:val="0"/>
              <w:spacing w:line="400" w:lineRule="exact"/>
              <w:jc w:val="center"/>
              <w:rPr>
                <w:rFonts w:hAnsi="宋体" w:cs="宋体"/>
                <w:snapToGrid w:val="0"/>
                <w:color w:val="auto"/>
                <w:kern w:val="0"/>
                <w:sz w:val="21"/>
                <w:szCs w:val="21"/>
                <w:highlight w:val="none"/>
              </w:rPr>
            </w:pPr>
          </w:p>
        </w:tc>
      </w:tr>
      <w:tr w14:paraId="6DA6F4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72"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50945053">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持证情况</w:t>
            </w:r>
          </w:p>
        </w:tc>
        <w:tc>
          <w:tcPr>
            <w:tcW w:w="7657" w:type="dxa"/>
            <w:gridSpan w:val="8"/>
            <w:tcBorders>
              <w:top w:val="single" w:color="auto" w:sz="6" w:space="0"/>
              <w:left w:val="single" w:color="auto" w:sz="6" w:space="0"/>
              <w:bottom w:val="single" w:color="auto" w:sz="6" w:space="0"/>
              <w:right w:val="single" w:color="auto" w:sz="6" w:space="0"/>
            </w:tcBorders>
            <w:vAlign w:val="center"/>
          </w:tcPr>
          <w:p w14:paraId="62DD7135">
            <w:pPr>
              <w:wordWrap w:val="0"/>
              <w:adjustRightInd w:val="0"/>
              <w:snapToGrid w:val="0"/>
              <w:spacing w:line="400" w:lineRule="exact"/>
              <w:jc w:val="left"/>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1</w:t>
            </w:r>
            <w:r>
              <w:rPr>
                <w:rFonts w:hint="eastAsia" w:hAnsi="宋体" w:cs="宋体"/>
                <w:snapToGrid w:val="0"/>
                <w:color w:val="auto"/>
                <w:kern w:val="0"/>
                <w:sz w:val="21"/>
                <w:szCs w:val="28"/>
                <w:highlight w:val="none"/>
              </w:rPr>
              <w:t>．</w:t>
            </w:r>
            <w:r>
              <w:rPr>
                <w:rFonts w:hint="eastAsia" w:hAnsi="宋体" w:cs="宋体"/>
                <w:snapToGrid w:val="0"/>
                <w:color w:val="auto"/>
                <w:kern w:val="0"/>
                <w:sz w:val="21"/>
                <w:szCs w:val="21"/>
                <w:highlight w:val="none"/>
              </w:rPr>
              <w:t>名称：                               证书号：</w:t>
            </w:r>
          </w:p>
          <w:p w14:paraId="1AEF7FE9">
            <w:pPr>
              <w:wordWrap w:val="0"/>
              <w:adjustRightInd w:val="0"/>
              <w:snapToGrid w:val="0"/>
              <w:spacing w:line="400" w:lineRule="exact"/>
              <w:jc w:val="left"/>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2</w:t>
            </w:r>
            <w:r>
              <w:rPr>
                <w:rFonts w:hint="eastAsia" w:hAnsi="宋体" w:cs="宋体"/>
                <w:snapToGrid w:val="0"/>
                <w:color w:val="auto"/>
                <w:kern w:val="0"/>
                <w:sz w:val="21"/>
                <w:szCs w:val="28"/>
                <w:highlight w:val="none"/>
              </w:rPr>
              <w:t>．</w:t>
            </w:r>
            <w:r>
              <w:rPr>
                <w:rFonts w:hint="eastAsia" w:hAnsi="宋体" w:cs="宋体"/>
                <w:snapToGrid w:val="0"/>
                <w:color w:val="auto"/>
                <w:kern w:val="0"/>
                <w:sz w:val="21"/>
                <w:szCs w:val="21"/>
                <w:highlight w:val="none"/>
              </w:rPr>
              <w:t>名称：                               证书号：</w:t>
            </w:r>
          </w:p>
          <w:p w14:paraId="6A8FC6B9">
            <w:pPr>
              <w:wordWrap w:val="0"/>
              <w:adjustRightInd w:val="0"/>
              <w:snapToGrid w:val="0"/>
              <w:spacing w:line="400" w:lineRule="exact"/>
              <w:jc w:val="left"/>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3</w:t>
            </w:r>
            <w:r>
              <w:rPr>
                <w:rFonts w:hint="eastAsia" w:hAnsi="宋体" w:cs="宋体"/>
                <w:snapToGrid w:val="0"/>
                <w:color w:val="auto"/>
                <w:kern w:val="0"/>
                <w:sz w:val="21"/>
                <w:szCs w:val="28"/>
                <w:highlight w:val="none"/>
              </w:rPr>
              <w:t>．……</w:t>
            </w:r>
          </w:p>
        </w:tc>
      </w:tr>
      <w:tr w14:paraId="3A3814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9270" w:type="dxa"/>
            <w:gridSpan w:val="10"/>
            <w:tcBorders>
              <w:top w:val="single" w:color="auto" w:sz="6" w:space="0"/>
              <w:left w:val="single" w:color="auto" w:sz="6" w:space="0"/>
              <w:bottom w:val="single" w:color="auto" w:sz="6" w:space="0"/>
              <w:right w:val="single" w:color="auto" w:sz="6" w:space="0"/>
            </w:tcBorders>
            <w:vAlign w:val="center"/>
          </w:tcPr>
          <w:p w14:paraId="1E7D9517">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主要工作经历</w:t>
            </w:r>
          </w:p>
        </w:tc>
      </w:tr>
      <w:tr w14:paraId="31B2637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1CF8EA0C">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序号</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0EB24DDF">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项目名称</w:t>
            </w: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13715346">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委托人</w:t>
            </w: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16E9FFC7">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担任职务</w:t>
            </w: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22935CFC">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起止时间</w:t>
            </w:r>
          </w:p>
        </w:tc>
      </w:tr>
      <w:tr w14:paraId="1CD13B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9" w:hRule="exact"/>
        </w:trPr>
        <w:tc>
          <w:tcPr>
            <w:tcW w:w="643" w:type="dxa"/>
            <w:tcBorders>
              <w:top w:val="single" w:color="auto" w:sz="6" w:space="0"/>
              <w:left w:val="single" w:color="auto" w:sz="6" w:space="0"/>
              <w:bottom w:val="single" w:color="auto" w:sz="6" w:space="0"/>
              <w:right w:val="single" w:color="auto" w:sz="4" w:space="0"/>
            </w:tcBorders>
            <w:vAlign w:val="center"/>
          </w:tcPr>
          <w:p w14:paraId="2B8E3888">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1</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630B57CD">
            <w:pPr>
              <w:wordWrap w:val="0"/>
              <w:adjustRightInd w:val="0"/>
              <w:snapToGrid w:val="0"/>
              <w:spacing w:line="400" w:lineRule="exact"/>
              <w:jc w:val="center"/>
              <w:rPr>
                <w:rFonts w:hAnsi="宋体" w:cs="宋体"/>
                <w:snapToGrid w:val="0"/>
                <w:color w:val="auto"/>
                <w:kern w:val="0"/>
                <w:sz w:val="21"/>
                <w:szCs w:val="21"/>
                <w:highlight w:val="none"/>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513161BA">
            <w:pPr>
              <w:wordWrap w:val="0"/>
              <w:adjustRightInd w:val="0"/>
              <w:snapToGrid w:val="0"/>
              <w:spacing w:line="400" w:lineRule="exact"/>
              <w:jc w:val="center"/>
              <w:rPr>
                <w:rFonts w:hAnsi="宋体" w:cs="宋体"/>
                <w:snapToGrid w:val="0"/>
                <w:color w:val="auto"/>
                <w:kern w:val="0"/>
                <w:sz w:val="21"/>
                <w:szCs w:val="21"/>
                <w:highlight w:val="none"/>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60BB2319">
            <w:pPr>
              <w:wordWrap w:val="0"/>
              <w:adjustRightInd w:val="0"/>
              <w:snapToGrid w:val="0"/>
              <w:spacing w:line="400" w:lineRule="exact"/>
              <w:jc w:val="center"/>
              <w:rPr>
                <w:rFonts w:hAnsi="宋体" w:cs="宋体"/>
                <w:snapToGrid w:val="0"/>
                <w:color w:val="auto"/>
                <w:kern w:val="0"/>
                <w:sz w:val="21"/>
                <w:szCs w:val="21"/>
                <w:highlight w:val="none"/>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69301531">
            <w:pPr>
              <w:wordWrap w:val="0"/>
              <w:adjustRightInd w:val="0"/>
              <w:snapToGrid w:val="0"/>
              <w:spacing w:line="400" w:lineRule="exact"/>
              <w:jc w:val="center"/>
              <w:rPr>
                <w:rFonts w:hAnsi="宋体" w:cs="宋体"/>
                <w:snapToGrid w:val="0"/>
                <w:color w:val="auto"/>
                <w:kern w:val="0"/>
                <w:sz w:val="21"/>
                <w:szCs w:val="21"/>
                <w:highlight w:val="none"/>
              </w:rPr>
            </w:pPr>
          </w:p>
        </w:tc>
      </w:tr>
      <w:tr w14:paraId="326838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4FE547E1">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2</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4F3C8C0F">
            <w:pPr>
              <w:wordWrap w:val="0"/>
              <w:adjustRightInd w:val="0"/>
              <w:snapToGrid w:val="0"/>
              <w:spacing w:line="400" w:lineRule="exact"/>
              <w:jc w:val="center"/>
              <w:rPr>
                <w:rFonts w:hAnsi="宋体" w:cs="宋体"/>
                <w:snapToGrid w:val="0"/>
                <w:color w:val="auto"/>
                <w:kern w:val="0"/>
                <w:sz w:val="21"/>
                <w:szCs w:val="21"/>
                <w:highlight w:val="none"/>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1D20D901">
            <w:pPr>
              <w:wordWrap w:val="0"/>
              <w:adjustRightInd w:val="0"/>
              <w:snapToGrid w:val="0"/>
              <w:spacing w:line="400" w:lineRule="exact"/>
              <w:jc w:val="center"/>
              <w:rPr>
                <w:rFonts w:hAnsi="宋体" w:cs="宋体"/>
                <w:snapToGrid w:val="0"/>
                <w:color w:val="auto"/>
                <w:kern w:val="0"/>
                <w:sz w:val="21"/>
                <w:szCs w:val="21"/>
                <w:highlight w:val="none"/>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08668C20">
            <w:pPr>
              <w:wordWrap w:val="0"/>
              <w:adjustRightInd w:val="0"/>
              <w:snapToGrid w:val="0"/>
              <w:spacing w:line="400" w:lineRule="exact"/>
              <w:jc w:val="center"/>
              <w:rPr>
                <w:rFonts w:hAnsi="宋体" w:cs="宋体"/>
                <w:snapToGrid w:val="0"/>
                <w:color w:val="auto"/>
                <w:kern w:val="0"/>
                <w:sz w:val="21"/>
                <w:szCs w:val="21"/>
                <w:highlight w:val="none"/>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452493A2">
            <w:pPr>
              <w:wordWrap w:val="0"/>
              <w:adjustRightInd w:val="0"/>
              <w:snapToGrid w:val="0"/>
              <w:spacing w:line="400" w:lineRule="exact"/>
              <w:jc w:val="center"/>
              <w:rPr>
                <w:rFonts w:hAnsi="宋体" w:cs="宋体"/>
                <w:snapToGrid w:val="0"/>
                <w:color w:val="auto"/>
                <w:kern w:val="0"/>
                <w:sz w:val="21"/>
                <w:szCs w:val="21"/>
                <w:highlight w:val="none"/>
              </w:rPr>
            </w:pPr>
          </w:p>
        </w:tc>
      </w:tr>
      <w:tr w14:paraId="6F1336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204F3582">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3</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1D118068">
            <w:pPr>
              <w:wordWrap w:val="0"/>
              <w:adjustRightInd w:val="0"/>
              <w:snapToGrid w:val="0"/>
              <w:spacing w:line="400" w:lineRule="exact"/>
              <w:jc w:val="center"/>
              <w:rPr>
                <w:rFonts w:hAnsi="宋体" w:cs="宋体"/>
                <w:snapToGrid w:val="0"/>
                <w:color w:val="auto"/>
                <w:kern w:val="0"/>
                <w:sz w:val="21"/>
                <w:szCs w:val="21"/>
                <w:highlight w:val="none"/>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4DFEFB81">
            <w:pPr>
              <w:wordWrap w:val="0"/>
              <w:adjustRightInd w:val="0"/>
              <w:snapToGrid w:val="0"/>
              <w:spacing w:line="400" w:lineRule="exact"/>
              <w:jc w:val="center"/>
              <w:rPr>
                <w:rFonts w:hAnsi="宋体" w:cs="宋体"/>
                <w:snapToGrid w:val="0"/>
                <w:color w:val="auto"/>
                <w:kern w:val="0"/>
                <w:sz w:val="21"/>
                <w:szCs w:val="21"/>
                <w:highlight w:val="none"/>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1A9DB9BB">
            <w:pPr>
              <w:wordWrap w:val="0"/>
              <w:adjustRightInd w:val="0"/>
              <w:snapToGrid w:val="0"/>
              <w:spacing w:line="400" w:lineRule="exact"/>
              <w:jc w:val="center"/>
              <w:rPr>
                <w:rFonts w:hAnsi="宋体" w:cs="宋体"/>
                <w:snapToGrid w:val="0"/>
                <w:color w:val="auto"/>
                <w:kern w:val="0"/>
                <w:sz w:val="21"/>
                <w:szCs w:val="21"/>
                <w:highlight w:val="none"/>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1091CF41">
            <w:pPr>
              <w:wordWrap w:val="0"/>
              <w:adjustRightInd w:val="0"/>
              <w:snapToGrid w:val="0"/>
              <w:spacing w:line="400" w:lineRule="exact"/>
              <w:jc w:val="center"/>
              <w:rPr>
                <w:rFonts w:hAnsi="宋体" w:cs="宋体"/>
                <w:snapToGrid w:val="0"/>
                <w:color w:val="auto"/>
                <w:kern w:val="0"/>
                <w:sz w:val="21"/>
                <w:szCs w:val="21"/>
                <w:highlight w:val="none"/>
              </w:rPr>
            </w:pPr>
          </w:p>
        </w:tc>
      </w:tr>
      <w:tr w14:paraId="01F075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37D934DB">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14C7A2D0">
            <w:pPr>
              <w:wordWrap w:val="0"/>
              <w:adjustRightInd w:val="0"/>
              <w:snapToGrid w:val="0"/>
              <w:spacing w:line="400" w:lineRule="exact"/>
              <w:jc w:val="center"/>
              <w:rPr>
                <w:rFonts w:hAnsi="宋体" w:cs="宋体"/>
                <w:snapToGrid w:val="0"/>
                <w:color w:val="auto"/>
                <w:kern w:val="0"/>
                <w:sz w:val="21"/>
                <w:szCs w:val="21"/>
                <w:highlight w:val="none"/>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21F0F8E6">
            <w:pPr>
              <w:wordWrap w:val="0"/>
              <w:adjustRightInd w:val="0"/>
              <w:snapToGrid w:val="0"/>
              <w:spacing w:line="400" w:lineRule="exact"/>
              <w:jc w:val="center"/>
              <w:rPr>
                <w:rFonts w:hAnsi="宋体" w:cs="宋体"/>
                <w:snapToGrid w:val="0"/>
                <w:color w:val="auto"/>
                <w:kern w:val="0"/>
                <w:sz w:val="21"/>
                <w:szCs w:val="21"/>
                <w:highlight w:val="none"/>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31ABB1E2">
            <w:pPr>
              <w:wordWrap w:val="0"/>
              <w:adjustRightInd w:val="0"/>
              <w:snapToGrid w:val="0"/>
              <w:spacing w:line="400" w:lineRule="exact"/>
              <w:jc w:val="center"/>
              <w:rPr>
                <w:rFonts w:hAnsi="宋体" w:cs="宋体"/>
                <w:snapToGrid w:val="0"/>
                <w:color w:val="auto"/>
                <w:kern w:val="0"/>
                <w:sz w:val="21"/>
                <w:szCs w:val="21"/>
                <w:highlight w:val="none"/>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7266FC4C">
            <w:pPr>
              <w:wordWrap w:val="0"/>
              <w:adjustRightInd w:val="0"/>
              <w:snapToGrid w:val="0"/>
              <w:spacing w:line="400" w:lineRule="exact"/>
              <w:jc w:val="center"/>
              <w:rPr>
                <w:rFonts w:hAnsi="宋体" w:cs="宋体"/>
                <w:snapToGrid w:val="0"/>
                <w:color w:val="auto"/>
                <w:kern w:val="0"/>
                <w:sz w:val="21"/>
                <w:szCs w:val="21"/>
                <w:highlight w:val="none"/>
              </w:rPr>
            </w:pPr>
          </w:p>
        </w:tc>
      </w:tr>
    </w:tbl>
    <w:p w14:paraId="77C02387">
      <w:pPr>
        <w:pStyle w:val="75"/>
        <w:wordWrap w:val="0"/>
        <w:adjustRightInd w:val="0"/>
        <w:snapToGrid w:val="0"/>
        <w:spacing w:line="400" w:lineRule="exact"/>
        <w:rPr>
          <w:rFonts w:hAnsi="宋体" w:cs="宋体"/>
          <w:snapToGrid w:val="0"/>
          <w:color w:val="auto"/>
          <w:kern w:val="0"/>
          <w:highlight w:val="none"/>
        </w:rPr>
      </w:pPr>
    </w:p>
    <w:p w14:paraId="51FC9EC7">
      <w:pPr>
        <w:wordWrap w:val="0"/>
        <w:adjustRightInd w:val="0"/>
        <w:snapToGrid w:val="0"/>
        <w:spacing w:line="400" w:lineRule="exact"/>
        <w:ind w:firstLine="420"/>
        <w:rPr>
          <w:rFonts w:hAnsi="宋体" w:cs="宋体"/>
          <w:snapToGrid w:val="0"/>
          <w:color w:val="auto"/>
          <w:kern w:val="0"/>
          <w:sz w:val="21"/>
          <w:szCs w:val="28"/>
          <w:highlight w:val="none"/>
        </w:rPr>
      </w:pPr>
      <w:r>
        <w:rPr>
          <w:rFonts w:hint="eastAsia" w:hAnsi="宋体" w:cs="宋体"/>
          <w:snapToGrid w:val="0"/>
          <w:color w:val="auto"/>
          <w:kern w:val="0"/>
          <w:sz w:val="21"/>
          <w:szCs w:val="28"/>
          <w:highlight w:val="none"/>
        </w:rPr>
        <w:t>说明：</w:t>
      </w:r>
    </w:p>
    <w:p w14:paraId="2C895D48">
      <w:pPr>
        <w:wordWrap w:val="0"/>
        <w:adjustRightInd w:val="0"/>
        <w:snapToGrid w:val="0"/>
        <w:spacing w:line="400" w:lineRule="exact"/>
        <w:ind w:firstLine="420"/>
        <w:rPr>
          <w:rFonts w:hAnsi="宋体" w:cs="宋体"/>
          <w:snapToGrid w:val="0"/>
          <w:color w:val="auto"/>
          <w:kern w:val="0"/>
          <w:sz w:val="21"/>
          <w:szCs w:val="21"/>
          <w:highlight w:val="none"/>
        </w:rPr>
      </w:pPr>
      <w:r>
        <w:rPr>
          <w:rFonts w:hint="eastAsia" w:hAnsi="宋体" w:cs="宋体"/>
          <w:snapToGrid w:val="0"/>
          <w:color w:val="auto"/>
          <w:kern w:val="0"/>
          <w:sz w:val="21"/>
          <w:szCs w:val="28"/>
          <w:highlight w:val="none"/>
        </w:rPr>
        <w:t>1．“其他拟派人员”指项目监理机构中除总监理工程师以外的拟派人员，包括专业监理工程师、监理员、相关服务人员等。以上拟派人员一人一表，</w:t>
      </w:r>
      <w:r>
        <w:rPr>
          <w:rFonts w:hint="eastAsia" w:hAnsi="宋体" w:cs="宋体"/>
          <w:snapToGrid w:val="0"/>
          <w:color w:val="auto"/>
          <w:kern w:val="0"/>
          <w:sz w:val="21"/>
          <w:szCs w:val="21"/>
          <w:highlight w:val="none"/>
        </w:rPr>
        <w:t>并标明序号。</w:t>
      </w:r>
    </w:p>
    <w:p w14:paraId="784C9BD9">
      <w:pPr>
        <w:wordWrap w:val="0"/>
        <w:adjustRightInd w:val="0"/>
        <w:snapToGrid w:val="0"/>
        <w:spacing w:line="400" w:lineRule="exact"/>
        <w:ind w:firstLine="420"/>
        <w:rPr>
          <w:rFonts w:hAnsi="宋体" w:cs="宋体"/>
          <w:snapToGrid w:val="0"/>
          <w:color w:val="auto"/>
          <w:kern w:val="0"/>
          <w:sz w:val="21"/>
          <w:szCs w:val="28"/>
          <w:highlight w:val="none"/>
        </w:rPr>
      </w:pPr>
      <w:r>
        <w:rPr>
          <w:rFonts w:hint="eastAsia" w:hAnsi="宋体" w:cs="宋体"/>
          <w:snapToGrid w:val="0"/>
          <w:color w:val="auto"/>
          <w:kern w:val="0"/>
          <w:sz w:val="21"/>
          <w:szCs w:val="28"/>
          <w:highlight w:val="none"/>
        </w:rPr>
        <w:t>2．每份简历表后应附该拟派人员以下资料：</w:t>
      </w:r>
    </w:p>
    <w:p w14:paraId="1DCEBAA8">
      <w:pPr>
        <w:wordWrap w:val="0"/>
        <w:adjustRightInd w:val="0"/>
        <w:snapToGrid w:val="0"/>
        <w:spacing w:line="400" w:lineRule="exact"/>
        <w:ind w:firstLine="420"/>
        <w:rPr>
          <w:rFonts w:hAnsi="宋体" w:cs="宋体"/>
          <w:snapToGrid w:val="0"/>
          <w:color w:val="auto"/>
          <w:kern w:val="0"/>
          <w:sz w:val="21"/>
          <w:szCs w:val="28"/>
          <w:highlight w:val="none"/>
        </w:rPr>
      </w:pPr>
      <w:r>
        <w:rPr>
          <w:rFonts w:hint="eastAsia" w:hAnsi="宋体" w:cs="宋体"/>
          <w:snapToGrid w:val="0"/>
          <w:color w:val="auto"/>
          <w:kern w:val="0"/>
          <w:sz w:val="21"/>
          <w:szCs w:val="28"/>
          <w:highlight w:val="none"/>
        </w:rPr>
        <w:t>（1）身份证彩色扫描件；</w:t>
      </w:r>
    </w:p>
    <w:p w14:paraId="15883648">
      <w:pPr>
        <w:wordWrap w:val="0"/>
        <w:adjustRightInd w:val="0"/>
        <w:snapToGrid w:val="0"/>
        <w:spacing w:line="400" w:lineRule="exact"/>
        <w:ind w:firstLine="420"/>
        <w:rPr>
          <w:rFonts w:hint="eastAsia" w:hAnsi="宋体" w:eastAsia="宋体" w:cs="宋体"/>
          <w:snapToGrid w:val="0"/>
          <w:color w:val="auto"/>
          <w:kern w:val="0"/>
          <w:sz w:val="21"/>
          <w:szCs w:val="28"/>
          <w:highlight w:val="none"/>
          <w:lang w:val="en-US" w:eastAsia="zh-CN"/>
        </w:rPr>
      </w:pPr>
      <w:r>
        <w:rPr>
          <w:rFonts w:hint="eastAsia" w:hAnsi="宋体" w:cs="宋体"/>
          <w:snapToGrid w:val="0"/>
          <w:color w:val="auto"/>
          <w:kern w:val="0"/>
          <w:sz w:val="21"/>
          <w:szCs w:val="28"/>
          <w:highlight w:val="none"/>
        </w:rPr>
        <w:t>（2）相关证书彩色扫描件</w:t>
      </w:r>
      <w:r>
        <w:rPr>
          <w:rFonts w:hint="eastAsia" w:hAnsi="宋体" w:cs="宋体"/>
          <w:snapToGrid w:val="0"/>
          <w:color w:val="auto"/>
          <w:kern w:val="0"/>
          <w:sz w:val="21"/>
          <w:szCs w:val="28"/>
          <w:highlight w:val="none"/>
          <w:lang w:eastAsia="zh-CN"/>
        </w:rPr>
        <w:t>（</w:t>
      </w:r>
      <w:r>
        <w:rPr>
          <w:rFonts w:hint="eastAsia" w:hAnsi="宋体" w:cs="宋体"/>
          <w:snapToGrid w:val="0"/>
          <w:color w:val="auto"/>
          <w:kern w:val="0"/>
          <w:sz w:val="21"/>
          <w:szCs w:val="28"/>
          <w:highlight w:val="none"/>
        </w:rPr>
        <w:t>须彩色扫描至变更注册栏</w:t>
      </w:r>
      <w:r>
        <w:rPr>
          <w:rFonts w:hint="eastAsia" w:hAnsi="宋体" w:cs="宋体"/>
          <w:snapToGrid w:val="0"/>
          <w:color w:val="auto"/>
          <w:kern w:val="0"/>
          <w:sz w:val="21"/>
          <w:szCs w:val="28"/>
          <w:highlight w:val="none"/>
          <w:lang w:eastAsia="zh-CN"/>
        </w:rPr>
        <w:t>）</w:t>
      </w:r>
      <w:r>
        <w:rPr>
          <w:rFonts w:hint="eastAsia" w:ascii="宋体" w:hAnsi="宋体" w:eastAsia="宋体" w:cs="宋体"/>
          <w:snapToGrid w:val="0"/>
          <w:color w:val="auto"/>
          <w:kern w:val="0"/>
          <w:sz w:val="21"/>
          <w:szCs w:val="28"/>
          <w:highlight w:val="none"/>
          <w:lang w:val="en-US" w:eastAsia="zh-CN"/>
        </w:rPr>
        <w:t>或</w:t>
      </w:r>
      <w:r>
        <w:rPr>
          <w:rFonts w:hint="eastAsia" w:ascii="宋体" w:hAnsi="宋体" w:eastAsia="宋体" w:cs="宋体"/>
          <w:snapToGrid w:val="0"/>
          <w:color w:val="auto"/>
          <w:kern w:val="0"/>
          <w:sz w:val="21"/>
          <w:szCs w:val="28"/>
          <w:highlight w:val="none"/>
        </w:rPr>
        <w:t>有效期内的有效电子证书</w:t>
      </w:r>
      <w:r>
        <w:rPr>
          <w:rFonts w:hint="eastAsia" w:ascii="宋体" w:hAnsi="宋体" w:eastAsia="宋体" w:cs="宋体"/>
          <w:snapToGrid w:val="0"/>
          <w:color w:val="auto"/>
          <w:kern w:val="0"/>
          <w:sz w:val="21"/>
          <w:szCs w:val="28"/>
          <w:highlight w:val="none"/>
          <w:lang w:eastAsia="zh-CN"/>
        </w:rPr>
        <w:t>，</w:t>
      </w:r>
      <w:r>
        <w:rPr>
          <w:rFonts w:hint="eastAsia" w:hAnsi="宋体" w:cs="宋体"/>
          <w:snapToGrid w:val="0"/>
          <w:color w:val="auto"/>
          <w:kern w:val="0"/>
          <w:sz w:val="21"/>
          <w:szCs w:val="28"/>
          <w:highlight w:val="none"/>
        </w:rPr>
        <w:t>具体要求详见招标文件第一章第三节第</w:t>
      </w:r>
      <w:r>
        <w:rPr>
          <w:rFonts w:hint="eastAsia" w:hAnsi="宋体" w:cs="宋体"/>
          <w:b/>
          <w:bCs/>
          <w:snapToGrid w:val="0"/>
          <w:color w:val="auto"/>
          <w:kern w:val="0"/>
          <w:sz w:val="21"/>
          <w:szCs w:val="28"/>
          <w:highlight w:val="none"/>
        </w:rPr>
        <w:t>15.5</w:t>
      </w:r>
      <w:r>
        <w:rPr>
          <w:rFonts w:hint="eastAsia" w:hAnsi="宋体" w:cs="宋体"/>
          <w:snapToGrid w:val="0"/>
          <w:color w:val="auto"/>
          <w:kern w:val="0"/>
          <w:sz w:val="21"/>
          <w:szCs w:val="28"/>
          <w:highlight w:val="none"/>
        </w:rPr>
        <w:t>条表</w:t>
      </w:r>
      <w:r>
        <w:rPr>
          <w:rFonts w:hint="eastAsia" w:hAnsi="宋体" w:cs="宋体"/>
          <w:b/>
          <w:bCs/>
          <w:snapToGrid w:val="0"/>
          <w:color w:val="auto"/>
          <w:kern w:val="0"/>
          <w:sz w:val="21"/>
          <w:szCs w:val="28"/>
          <w:highlight w:val="none"/>
        </w:rPr>
        <w:t>2</w:t>
      </w:r>
      <w:r>
        <w:rPr>
          <w:rFonts w:hint="eastAsia" w:hAnsi="宋体" w:cs="宋体"/>
          <w:snapToGrid w:val="0"/>
          <w:color w:val="auto"/>
          <w:kern w:val="0"/>
          <w:sz w:val="21"/>
          <w:szCs w:val="28"/>
          <w:highlight w:val="none"/>
        </w:rPr>
        <w:t>《项目监理机构其他人员需求表》“持证要求”栏目</w:t>
      </w:r>
      <w:r>
        <w:rPr>
          <w:rFonts w:hint="eastAsia" w:hAnsi="宋体" w:cs="宋体"/>
          <w:snapToGrid w:val="0"/>
          <w:color w:val="auto"/>
          <w:kern w:val="0"/>
          <w:sz w:val="21"/>
          <w:szCs w:val="28"/>
          <w:highlight w:val="none"/>
          <w:lang w:val="en-US" w:eastAsia="zh-CN"/>
        </w:rPr>
        <w:t>；</w:t>
      </w:r>
    </w:p>
    <w:p w14:paraId="1BFF2D19">
      <w:pPr>
        <w:wordWrap w:val="0"/>
        <w:adjustRightInd w:val="0"/>
        <w:snapToGrid w:val="0"/>
        <w:spacing w:line="400" w:lineRule="exact"/>
        <w:ind w:firstLine="420"/>
        <w:rPr>
          <w:rFonts w:hAnsi="宋体" w:cs="宋体"/>
          <w:snapToGrid w:val="0"/>
          <w:color w:val="auto"/>
          <w:kern w:val="0"/>
          <w:sz w:val="21"/>
          <w:szCs w:val="28"/>
          <w:highlight w:val="none"/>
        </w:rPr>
      </w:pPr>
      <w:r>
        <w:rPr>
          <w:rFonts w:hint="eastAsia" w:hAnsi="宋体" w:cs="宋体"/>
          <w:snapToGrid w:val="0"/>
          <w:color w:val="auto"/>
          <w:kern w:val="0"/>
          <w:sz w:val="21"/>
          <w:szCs w:val="28"/>
          <w:highlight w:val="none"/>
        </w:rPr>
        <w:t>（3）</w:t>
      </w:r>
      <w:r>
        <w:rPr>
          <w:rFonts w:hint="eastAsia" w:ascii="Times New Roman"/>
          <w:snapToGrid w:val="0"/>
          <w:color w:val="auto"/>
          <w:kern w:val="0"/>
          <w:sz w:val="21"/>
          <w:szCs w:val="28"/>
          <w:highlight w:val="none"/>
        </w:rPr>
        <w:t>在本单位缴纳社保的证明</w:t>
      </w:r>
      <w:r>
        <w:rPr>
          <w:rFonts w:hint="eastAsia" w:ascii="宋体" w:hAnsi="宋体" w:eastAsia="宋体" w:cs="宋体"/>
          <w:caps w:val="0"/>
          <w:smallCaps w:val="0"/>
          <w:snapToGrid w:val="0"/>
          <w:color w:val="auto"/>
          <w:spacing w:val="0"/>
          <w:kern w:val="0"/>
          <w:sz w:val="21"/>
          <w:szCs w:val="28"/>
          <w:highlight w:val="none"/>
          <w:lang w:val="en-US" w:eastAsia="zh-CN"/>
        </w:rPr>
        <w:t>（至少一个月，其中必须有202</w:t>
      </w:r>
      <w:r>
        <w:rPr>
          <w:rFonts w:hint="eastAsia" w:hAnsi="宋体" w:cs="宋体"/>
          <w:caps w:val="0"/>
          <w:smallCaps w:val="0"/>
          <w:snapToGrid w:val="0"/>
          <w:color w:val="auto"/>
          <w:spacing w:val="0"/>
          <w:kern w:val="0"/>
          <w:sz w:val="21"/>
          <w:szCs w:val="28"/>
          <w:highlight w:val="none"/>
          <w:lang w:val="en-US" w:eastAsia="zh-CN"/>
        </w:rPr>
        <w:t>6</w:t>
      </w:r>
      <w:r>
        <w:rPr>
          <w:rFonts w:hint="eastAsia" w:ascii="宋体" w:hAnsi="宋体" w:eastAsia="宋体" w:cs="宋体"/>
          <w:caps w:val="0"/>
          <w:smallCaps w:val="0"/>
          <w:snapToGrid w:val="0"/>
          <w:color w:val="auto"/>
          <w:spacing w:val="0"/>
          <w:kern w:val="0"/>
          <w:sz w:val="21"/>
          <w:szCs w:val="28"/>
          <w:highlight w:val="none"/>
          <w:lang w:val="en-US" w:eastAsia="zh-CN"/>
        </w:rPr>
        <w:t>年</w:t>
      </w:r>
      <w:r>
        <w:rPr>
          <w:rFonts w:hint="eastAsia" w:hAnsi="宋体" w:cs="宋体"/>
          <w:caps w:val="0"/>
          <w:smallCaps w:val="0"/>
          <w:snapToGrid w:val="0"/>
          <w:color w:val="auto"/>
          <w:spacing w:val="0"/>
          <w:kern w:val="0"/>
          <w:sz w:val="21"/>
          <w:szCs w:val="28"/>
          <w:highlight w:val="none"/>
          <w:lang w:val="en-US" w:eastAsia="zh-CN"/>
        </w:rPr>
        <w:t>02</w:t>
      </w:r>
      <w:r>
        <w:rPr>
          <w:rFonts w:hint="eastAsia" w:ascii="宋体" w:hAnsi="宋体" w:eastAsia="宋体" w:cs="宋体"/>
          <w:caps w:val="0"/>
          <w:smallCaps w:val="0"/>
          <w:snapToGrid w:val="0"/>
          <w:color w:val="auto"/>
          <w:spacing w:val="0"/>
          <w:kern w:val="0"/>
          <w:sz w:val="21"/>
          <w:szCs w:val="28"/>
          <w:highlight w:val="none"/>
          <w:lang w:val="en-US" w:eastAsia="zh-CN"/>
        </w:rPr>
        <w:t>月）</w:t>
      </w:r>
      <w:r>
        <w:rPr>
          <w:rFonts w:hint="eastAsia" w:ascii="Times New Roman"/>
          <w:snapToGrid w:val="0"/>
          <w:color w:val="auto"/>
          <w:kern w:val="0"/>
          <w:sz w:val="21"/>
          <w:szCs w:val="28"/>
          <w:highlight w:val="none"/>
        </w:rPr>
        <w:t>彩色扫描件。</w:t>
      </w:r>
    </w:p>
    <w:p w14:paraId="14218DA9">
      <w:pPr>
        <w:pStyle w:val="11"/>
        <w:snapToGrid w:val="0"/>
        <w:spacing w:line="400" w:lineRule="exact"/>
        <w:ind w:firstLine="420" w:firstLineChars="200"/>
        <w:rPr>
          <w:rFonts w:hAnsi="宋体" w:cs="宋体"/>
          <w:snapToGrid w:val="0"/>
          <w:color w:val="auto"/>
          <w:sz w:val="21"/>
          <w:highlight w:val="none"/>
        </w:rPr>
      </w:pPr>
      <w:r>
        <w:rPr>
          <w:rFonts w:hint="eastAsia" w:hAnsi="宋体" w:cs="宋体"/>
          <w:snapToGrid w:val="0"/>
          <w:color w:val="auto"/>
          <w:sz w:val="21"/>
          <w:highlight w:val="none"/>
        </w:rPr>
        <w:t>3.“进粤企业和人员诚信信息登记平台”个人信息情况截图。（适用于省外建筑企业）</w:t>
      </w:r>
    </w:p>
    <w:p w14:paraId="16DC49F0">
      <w:pPr>
        <w:rPr>
          <w:color w:val="auto"/>
          <w:highlight w:val="none"/>
        </w:rPr>
      </w:pPr>
      <w:bookmarkStart w:id="339" w:name="_Toc593"/>
      <w:bookmarkStart w:id="340" w:name="_Toc25312"/>
    </w:p>
    <w:p w14:paraId="4F5701AB">
      <w:pPr>
        <w:rPr>
          <w:color w:val="auto"/>
          <w:highlight w:val="none"/>
        </w:rPr>
      </w:pPr>
    </w:p>
    <w:p w14:paraId="0B0CC3A8">
      <w:pPr>
        <w:rPr>
          <w:color w:val="auto"/>
          <w:highlight w:val="none"/>
        </w:rPr>
      </w:pPr>
    </w:p>
    <w:p w14:paraId="0887FC9D">
      <w:pPr>
        <w:rPr>
          <w:color w:val="auto"/>
          <w:highlight w:val="none"/>
        </w:rPr>
      </w:pPr>
    </w:p>
    <w:p w14:paraId="746FE86D">
      <w:pPr>
        <w:rPr>
          <w:color w:val="auto"/>
          <w:highlight w:val="none"/>
        </w:rPr>
      </w:pPr>
    </w:p>
    <w:p w14:paraId="4A3461BE">
      <w:pPr>
        <w:bidi w:val="0"/>
        <w:rPr>
          <w:color w:val="auto"/>
          <w:highlight w:val="none"/>
        </w:rPr>
      </w:pPr>
    </w:p>
    <w:p w14:paraId="20F0C669">
      <w:pPr>
        <w:pStyle w:val="4"/>
        <w:bidi w:val="0"/>
        <w:rPr>
          <w:rFonts w:hint="default"/>
          <w:b/>
          <w:bCs/>
          <w:color w:val="auto"/>
          <w:highlight w:val="none"/>
          <w:lang w:val="en-US" w:eastAsia="zh-CN"/>
        </w:rPr>
      </w:pPr>
      <w:bookmarkStart w:id="341" w:name="_Toc1230"/>
      <w:r>
        <w:rPr>
          <w:rFonts w:hint="eastAsia"/>
          <w:b/>
          <w:bCs/>
          <w:color w:val="auto"/>
          <w:highlight w:val="none"/>
          <w:lang w:val="en-US" w:eastAsia="zh-CN"/>
        </w:rPr>
        <w:t>格式十三 原件一览表</w:t>
      </w:r>
      <w:bookmarkEnd w:id="341"/>
    </w:p>
    <w:tbl>
      <w:tblPr>
        <w:tblStyle w:val="31"/>
        <w:tblpPr w:leftFromText="180" w:rightFromText="180" w:vertAnchor="text" w:horzAnchor="page" w:tblpX="1664" w:tblpY="43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 w:type="dxa"/>
          <w:bottom w:w="0" w:type="dxa"/>
          <w:right w:w="10" w:type="dxa"/>
        </w:tblCellMar>
      </w:tblPr>
      <w:tblGrid>
        <w:gridCol w:w="701"/>
        <w:gridCol w:w="1506"/>
        <w:gridCol w:w="601"/>
        <w:gridCol w:w="1393"/>
        <w:gridCol w:w="1625"/>
        <w:gridCol w:w="754"/>
        <w:gridCol w:w="958"/>
        <w:gridCol w:w="1570"/>
      </w:tblGrid>
      <w:tr w14:paraId="1D5F2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63" w:hRule="atLeast"/>
        </w:trPr>
        <w:tc>
          <w:tcPr>
            <w:tcW w:w="9108" w:type="dxa"/>
            <w:gridSpan w:val="8"/>
            <w:shd w:val="clear" w:color="auto" w:fill="auto"/>
            <w:noWrap w:val="0"/>
            <w:tcMar>
              <w:left w:w="108" w:type="dxa"/>
              <w:right w:w="108" w:type="dxa"/>
            </w:tcMar>
            <w:vAlign w:val="center"/>
          </w:tcPr>
          <w:p w14:paraId="40EA71A6">
            <w:pPr>
              <w:jc w:val="center"/>
              <w:rPr>
                <w:rFonts w:hAnsi="宋体" w:cs="宋体"/>
                <w:color w:val="auto"/>
                <w:highlight w:val="none"/>
              </w:rPr>
            </w:pPr>
            <w:r>
              <w:rPr>
                <w:rFonts w:hAnsi="宋体" w:cs="宋体"/>
                <w:b/>
                <w:color w:val="auto"/>
                <w:highlight w:val="none"/>
              </w:rPr>
              <w:t>原件一览表</w:t>
            </w:r>
          </w:p>
        </w:tc>
      </w:tr>
      <w:tr w14:paraId="03FA0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2808" w:type="dxa"/>
            <w:gridSpan w:val="3"/>
            <w:shd w:val="clear" w:color="auto" w:fill="auto"/>
            <w:noWrap w:val="0"/>
            <w:tcMar>
              <w:left w:w="108" w:type="dxa"/>
              <w:right w:w="108" w:type="dxa"/>
            </w:tcMar>
            <w:vAlign w:val="center"/>
          </w:tcPr>
          <w:p w14:paraId="3EC5AAEE">
            <w:pPr>
              <w:jc w:val="center"/>
              <w:rPr>
                <w:rFonts w:hAnsi="宋体" w:cs="宋体"/>
                <w:color w:val="auto"/>
                <w:sz w:val="24"/>
                <w:szCs w:val="24"/>
                <w:highlight w:val="none"/>
              </w:rPr>
            </w:pPr>
            <w:r>
              <w:rPr>
                <w:rFonts w:hAnsi="宋体" w:cs="宋体"/>
                <w:color w:val="auto"/>
                <w:sz w:val="24"/>
                <w:szCs w:val="24"/>
                <w:highlight w:val="none"/>
              </w:rPr>
              <w:t>工程名称</w:t>
            </w:r>
          </w:p>
        </w:tc>
        <w:tc>
          <w:tcPr>
            <w:tcW w:w="6300" w:type="dxa"/>
            <w:gridSpan w:val="5"/>
            <w:shd w:val="clear" w:color="auto" w:fill="auto"/>
            <w:noWrap w:val="0"/>
            <w:tcMar>
              <w:left w:w="108" w:type="dxa"/>
              <w:right w:w="108" w:type="dxa"/>
            </w:tcMar>
            <w:vAlign w:val="center"/>
          </w:tcPr>
          <w:p w14:paraId="074CA825">
            <w:pPr>
              <w:jc w:val="center"/>
              <w:rPr>
                <w:rFonts w:hAnsi="宋体" w:cs="宋体"/>
                <w:color w:val="auto"/>
                <w:sz w:val="24"/>
                <w:szCs w:val="24"/>
                <w:highlight w:val="none"/>
              </w:rPr>
            </w:pPr>
            <w:r>
              <w:rPr>
                <w:rFonts w:hAnsi="宋体" w:cs="宋体"/>
                <w:color w:val="auto"/>
                <w:sz w:val="24"/>
                <w:szCs w:val="24"/>
                <w:highlight w:val="none"/>
              </w:rPr>
              <w:t xml:space="preserve"> </w:t>
            </w:r>
          </w:p>
        </w:tc>
      </w:tr>
      <w:tr w14:paraId="319D9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2808" w:type="dxa"/>
            <w:gridSpan w:val="3"/>
            <w:shd w:val="clear" w:color="auto" w:fill="auto"/>
            <w:noWrap w:val="0"/>
            <w:tcMar>
              <w:left w:w="108" w:type="dxa"/>
              <w:right w:w="108" w:type="dxa"/>
            </w:tcMar>
            <w:vAlign w:val="center"/>
          </w:tcPr>
          <w:p w14:paraId="71DB6D96">
            <w:pPr>
              <w:jc w:val="center"/>
              <w:rPr>
                <w:rFonts w:hAnsi="宋体" w:cs="宋体"/>
                <w:color w:val="auto"/>
                <w:sz w:val="24"/>
                <w:szCs w:val="24"/>
                <w:highlight w:val="none"/>
              </w:rPr>
            </w:pPr>
            <w:r>
              <w:rPr>
                <w:rFonts w:hAnsi="宋体" w:cs="宋体"/>
                <w:color w:val="auto"/>
                <w:sz w:val="24"/>
                <w:szCs w:val="24"/>
                <w:highlight w:val="none"/>
              </w:rPr>
              <w:t>投标人名称                (请务必填写单位全称)</w:t>
            </w:r>
          </w:p>
        </w:tc>
        <w:tc>
          <w:tcPr>
            <w:tcW w:w="6300" w:type="dxa"/>
            <w:gridSpan w:val="5"/>
            <w:shd w:val="clear" w:color="auto" w:fill="auto"/>
            <w:noWrap w:val="0"/>
            <w:tcMar>
              <w:left w:w="108" w:type="dxa"/>
              <w:right w:w="108" w:type="dxa"/>
            </w:tcMar>
            <w:vAlign w:val="center"/>
          </w:tcPr>
          <w:p w14:paraId="1613ACB8">
            <w:pPr>
              <w:jc w:val="center"/>
              <w:rPr>
                <w:rFonts w:hAnsi="宋体" w:cs="宋体"/>
                <w:color w:val="auto"/>
                <w:sz w:val="24"/>
                <w:szCs w:val="24"/>
                <w:highlight w:val="none"/>
              </w:rPr>
            </w:pPr>
            <w:r>
              <w:rPr>
                <w:rFonts w:hAnsi="宋体" w:cs="宋体"/>
                <w:color w:val="auto"/>
                <w:sz w:val="24"/>
                <w:szCs w:val="24"/>
                <w:highlight w:val="none"/>
              </w:rPr>
              <w:t>　</w:t>
            </w:r>
          </w:p>
        </w:tc>
      </w:tr>
      <w:tr w14:paraId="09FD4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737" w:hRule="atLeast"/>
        </w:trPr>
        <w:tc>
          <w:tcPr>
            <w:tcW w:w="2808" w:type="dxa"/>
            <w:gridSpan w:val="3"/>
            <w:shd w:val="clear" w:color="auto" w:fill="auto"/>
            <w:noWrap w:val="0"/>
            <w:tcMar>
              <w:left w:w="108" w:type="dxa"/>
              <w:right w:w="108" w:type="dxa"/>
            </w:tcMar>
            <w:vAlign w:val="center"/>
          </w:tcPr>
          <w:p w14:paraId="7C0A9E0C">
            <w:pPr>
              <w:jc w:val="center"/>
              <w:rPr>
                <w:rFonts w:hint="eastAsia" w:hAnsi="宋体" w:cs="宋体"/>
                <w:color w:val="auto"/>
                <w:sz w:val="24"/>
                <w:szCs w:val="24"/>
                <w:highlight w:val="none"/>
              </w:rPr>
            </w:pPr>
            <w:r>
              <w:rPr>
                <w:rFonts w:hAnsi="宋体" w:cs="宋体"/>
                <w:color w:val="auto"/>
                <w:sz w:val="24"/>
                <w:szCs w:val="24"/>
                <w:highlight w:val="none"/>
              </w:rPr>
              <w:t>投标人法定代表人或其</w:t>
            </w:r>
          </w:p>
          <w:p w14:paraId="77524DC3">
            <w:pPr>
              <w:jc w:val="center"/>
              <w:rPr>
                <w:rFonts w:hAnsi="宋体" w:cs="宋体"/>
                <w:color w:val="auto"/>
                <w:sz w:val="24"/>
                <w:szCs w:val="24"/>
                <w:highlight w:val="none"/>
              </w:rPr>
            </w:pPr>
            <w:r>
              <w:rPr>
                <w:rFonts w:hAnsi="宋体" w:cs="宋体"/>
                <w:color w:val="auto"/>
                <w:sz w:val="24"/>
                <w:szCs w:val="24"/>
                <w:highlight w:val="none"/>
              </w:rPr>
              <w:t>委托代理人签名</w:t>
            </w:r>
          </w:p>
        </w:tc>
        <w:tc>
          <w:tcPr>
            <w:tcW w:w="3018" w:type="dxa"/>
            <w:gridSpan w:val="2"/>
            <w:shd w:val="clear" w:color="auto" w:fill="auto"/>
            <w:noWrap w:val="0"/>
            <w:tcMar>
              <w:left w:w="108" w:type="dxa"/>
              <w:right w:w="108" w:type="dxa"/>
            </w:tcMar>
            <w:vAlign w:val="center"/>
          </w:tcPr>
          <w:p w14:paraId="36806628">
            <w:pPr>
              <w:jc w:val="center"/>
              <w:rPr>
                <w:rFonts w:hAnsi="宋体" w:cs="宋体"/>
                <w:color w:val="auto"/>
                <w:sz w:val="24"/>
                <w:szCs w:val="24"/>
                <w:highlight w:val="none"/>
              </w:rPr>
            </w:pPr>
            <w:r>
              <w:rPr>
                <w:rFonts w:hAnsi="宋体" w:cs="宋体"/>
                <w:color w:val="auto"/>
                <w:sz w:val="24"/>
                <w:szCs w:val="24"/>
                <w:highlight w:val="none"/>
              </w:rPr>
              <w:t>　</w:t>
            </w:r>
          </w:p>
        </w:tc>
        <w:tc>
          <w:tcPr>
            <w:tcW w:w="754" w:type="dxa"/>
            <w:shd w:val="clear" w:color="auto" w:fill="auto"/>
            <w:noWrap w:val="0"/>
            <w:tcMar>
              <w:left w:w="108" w:type="dxa"/>
              <w:right w:w="108" w:type="dxa"/>
            </w:tcMar>
            <w:vAlign w:val="center"/>
          </w:tcPr>
          <w:p w14:paraId="4060398A">
            <w:pPr>
              <w:jc w:val="center"/>
              <w:rPr>
                <w:rFonts w:hAnsi="宋体" w:cs="宋体"/>
                <w:color w:val="auto"/>
                <w:sz w:val="24"/>
                <w:szCs w:val="24"/>
                <w:highlight w:val="none"/>
              </w:rPr>
            </w:pPr>
            <w:r>
              <w:rPr>
                <w:rFonts w:hAnsi="宋体" w:cs="宋体"/>
                <w:color w:val="auto"/>
                <w:sz w:val="24"/>
                <w:szCs w:val="24"/>
                <w:highlight w:val="none"/>
              </w:rPr>
              <w:t>手机号码</w:t>
            </w:r>
          </w:p>
        </w:tc>
        <w:tc>
          <w:tcPr>
            <w:tcW w:w="2528" w:type="dxa"/>
            <w:gridSpan w:val="2"/>
            <w:shd w:val="clear" w:color="auto" w:fill="auto"/>
            <w:noWrap w:val="0"/>
            <w:tcMar>
              <w:left w:w="108" w:type="dxa"/>
              <w:right w:w="108" w:type="dxa"/>
            </w:tcMar>
            <w:vAlign w:val="center"/>
          </w:tcPr>
          <w:p w14:paraId="0AE79DB3">
            <w:pPr>
              <w:jc w:val="center"/>
              <w:rPr>
                <w:rFonts w:hAnsi="宋体" w:cs="宋体"/>
                <w:color w:val="auto"/>
                <w:sz w:val="24"/>
                <w:szCs w:val="24"/>
                <w:highlight w:val="none"/>
              </w:rPr>
            </w:pPr>
            <w:r>
              <w:rPr>
                <w:rFonts w:hAnsi="宋体" w:cs="宋体"/>
                <w:color w:val="auto"/>
                <w:sz w:val="24"/>
                <w:szCs w:val="24"/>
                <w:highlight w:val="none"/>
              </w:rPr>
              <w:t>　</w:t>
            </w:r>
          </w:p>
        </w:tc>
      </w:tr>
      <w:tr w14:paraId="599D1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737" w:hRule="atLeast"/>
        </w:trPr>
        <w:tc>
          <w:tcPr>
            <w:tcW w:w="9108" w:type="dxa"/>
            <w:gridSpan w:val="8"/>
            <w:shd w:val="clear" w:color="auto" w:fill="auto"/>
            <w:noWrap w:val="0"/>
            <w:tcMar>
              <w:left w:w="108" w:type="dxa"/>
              <w:right w:w="108" w:type="dxa"/>
            </w:tcMar>
            <w:vAlign w:val="center"/>
          </w:tcPr>
          <w:p w14:paraId="6543325B">
            <w:pPr>
              <w:jc w:val="center"/>
              <w:rPr>
                <w:rFonts w:hAnsi="宋体" w:cs="宋体"/>
                <w:color w:val="auto"/>
                <w:sz w:val="24"/>
                <w:szCs w:val="24"/>
                <w:highlight w:val="none"/>
              </w:rPr>
            </w:pPr>
            <w:r>
              <w:rPr>
                <w:rFonts w:hAnsi="宋体" w:cs="宋体"/>
                <w:color w:val="auto"/>
                <w:sz w:val="24"/>
                <w:szCs w:val="24"/>
                <w:highlight w:val="none"/>
              </w:rPr>
              <w:t>递交的证明材料原件如下：</w:t>
            </w:r>
          </w:p>
        </w:tc>
      </w:tr>
      <w:tr w14:paraId="51D69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701" w:type="dxa"/>
            <w:shd w:val="clear" w:color="auto" w:fill="auto"/>
            <w:noWrap w:val="0"/>
            <w:tcMar>
              <w:left w:w="108" w:type="dxa"/>
              <w:right w:w="108" w:type="dxa"/>
            </w:tcMar>
            <w:vAlign w:val="center"/>
          </w:tcPr>
          <w:p w14:paraId="13EDF76C">
            <w:pPr>
              <w:jc w:val="center"/>
              <w:rPr>
                <w:rFonts w:hAnsi="宋体" w:cs="宋体"/>
                <w:color w:val="auto"/>
                <w:sz w:val="24"/>
                <w:szCs w:val="24"/>
                <w:highlight w:val="none"/>
              </w:rPr>
            </w:pPr>
            <w:r>
              <w:rPr>
                <w:rFonts w:hAnsi="宋体" w:cs="宋体"/>
                <w:color w:val="auto"/>
                <w:sz w:val="24"/>
                <w:szCs w:val="24"/>
                <w:highlight w:val="none"/>
              </w:rPr>
              <w:t>序号</w:t>
            </w:r>
          </w:p>
        </w:tc>
        <w:tc>
          <w:tcPr>
            <w:tcW w:w="5125" w:type="dxa"/>
            <w:gridSpan w:val="4"/>
            <w:shd w:val="clear" w:color="auto" w:fill="auto"/>
            <w:noWrap w:val="0"/>
            <w:tcMar>
              <w:left w:w="108" w:type="dxa"/>
              <w:right w:w="108" w:type="dxa"/>
            </w:tcMar>
            <w:vAlign w:val="center"/>
          </w:tcPr>
          <w:p w14:paraId="559D06ED">
            <w:pPr>
              <w:jc w:val="center"/>
              <w:rPr>
                <w:rFonts w:hAnsi="宋体" w:cs="宋体"/>
                <w:color w:val="auto"/>
                <w:sz w:val="24"/>
                <w:szCs w:val="24"/>
                <w:highlight w:val="none"/>
              </w:rPr>
            </w:pPr>
            <w:r>
              <w:rPr>
                <w:rFonts w:hAnsi="宋体" w:cs="宋体"/>
                <w:color w:val="auto"/>
                <w:sz w:val="24"/>
                <w:szCs w:val="24"/>
                <w:highlight w:val="none"/>
              </w:rPr>
              <w:t>证明材料原件名称</w:t>
            </w:r>
          </w:p>
        </w:tc>
        <w:tc>
          <w:tcPr>
            <w:tcW w:w="1712" w:type="dxa"/>
            <w:gridSpan w:val="2"/>
            <w:shd w:val="clear" w:color="auto" w:fill="auto"/>
            <w:noWrap w:val="0"/>
            <w:tcMar>
              <w:left w:w="108" w:type="dxa"/>
              <w:right w:w="108" w:type="dxa"/>
            </w:tcMar>
            <w:vAlign w:val="center"/>
          </w:tcPr>
          <w:p w14:paraId="51CCC957">
            <w:pPr>
              <w:jc w:val="center"/>
              <w:rPr>
                <w:rFonts w:hAnsi="宋体" w:cs="宋体"/>
                <w:color w:val="auto"/>
                <w:sz w:val="24"/>
                <w:szCs w:val="24"/>
                <w:highlight w:val="none"/>
              </w:rPr>
            </w:pPr>
            <w:r>
              <w:rPr>
                <w:rFonts w:hAnsi="宋体" w:cs="宋体"/>
                <w:color w:val="auto"/>
                <w:sz w:val="24"/>
                <w:szCs w:val="24"/>
                <w:highlight w:val="none"/>
              </w:rPr>
              <w:t>单位</w:t>
            </w:r>
          </w:p>
        </w:tc>
        <w:tc>
          <w:tcPr>
            <w:tcW w:w="1570" w:type="dxa"/>
            <w:shd w:val="clear" w:color="auto" w:fill="auto"/>
            <w:noWrap w:val="0"/>
            <w:tcMar>
              <w:left w:w="108" w:type="dxa"/>
              <w:right w:w="108" w:type="dxa"/>
            </w:tcMar>
            <w:vAlign w:val="center"/>
          </w:tcPr>
          <w:p w14:paraId="3D03BCF5">
            <w:pPr>
              <w:jc w:val="center"/>
              <w:rPr>
                <w:rFonts w:hAnsi="宋体" w:cs="宋体"/>
                <w:color w:val="auto"/>
                <w:sz w:val="24"/>
                <w:szCs w:val="24"/>
                <w:highlight w:val="none"/>
              </w:rPr>
            </w:pPr>
            <w:r>
              <w:rPr>
                <w:rFonts w:hAnsi="宋体" w:cs="宋体"/>
                <w:color w:val="auto"/>
                <w:sz w:val="24"/>
                <w:szCs w:val="24"/>
                <w:highlight w:val="none"/>
              </w:rPr>
              <w:t>数量</w:t>
            </w:r>
          </w:p>
        </w:tc>
      </w:tr>
      <w:tr w14:paraId="73B0D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701" w:type="dxa"/>
            <w:shd w:val="clear" w:color="auto" w:fill="auto"/>
            <w:noWrap w:val="0"/>
            <w:tcMar>
              <w:left w:w="108" w:type="dxa"/>
              <w:right w:w="108" w:type="dxa"/>
            </w:tcMar>
            <w:vAlign w:val="center"/>
          </w:tcPr>
          <w:p w14:paraId="5CBD3CF3">
            <w:pPr>
              <w:jc w:val="center"/>
              <w:rPr>
                <w:rFonts w:hint="eastAsia" w:hAnsi="宋体" w:cs="宋体"/>
                <w:color w:val="auto"/>
                <w:sz w:val="24"/>
                <w:szCs w:val="24"/>
                <w:highlight w:val="none"/>
              </w:rPr>
            </w:pPr>
            <w:r>
              <w:rPr>
                <w:rFonts w:hint="eastAsia" w:hAnsi="宋体" w:cs="宋体"/>
                <w:color w:val="auto"/>
                <w:sz w:val="24"/>
                <w:szCs w:val="24"/>
                <w:highlight w:val="none"/>
              </w:rPr>
              <w:t>1</w:t>
            </w:r>
          </w:p>
        </w:tc>
        <w:tc>
          <w:tcPr>
            <w:tcW w:w="5125" w:type="dxa"/>
            <w:gridSpan w:val="4"/>
            <w:shd w:val="clear" w:color="auto" w:fill="auto"/>
            <w:noWrap w:val="0"/>
            <w:tcMar>
              <w:left w:w="108" w:type="dxa"/>
              <w:right w:w="108" w:type="dxa"/>
            </w:tcMar>
            <w:vAlign w:val="center"/>
          </w:tcPr>
          <w:p w14:paraId="16DA3A6D">
            <w:pPr>
              <w:jc w:val="center"/>
              <w:rPr>
                <w:rFonts w:hAnsi="宋体" w:cs="宋体"/>
                <w:color w:val="auto"/>
                <w:sz w:val="24"/>
                <w:szCs w:val="24"/>
                <w:highlight w:val="none"/>
              </w:rPr>
            </w:pPr>
          </w:p>
        </w:tc>
        <w:tc>
          <w:tcPr>
            <w:tcW w:w="1712" w:type="dxa"/>
            <w:gridSpan w:val="2"/>
            <w:shd w:val="clear" w:color="auto" w:fill="auto"/>
            <w:noWrap w:val="0"/>
            <w:tcMar>
              <w:left w:w="108" w:type="dxa"/>
              <w:right w:w="108" w:type="dxa"/>
            </w:tcMar>
            <w:vAlign w:val="center"/>
          </w:tcPr>
          <w:p w14:paraId="24AA5BA0">
            <w:pPr>
              <w:jc w:val="center"/>
              <w:rPr>
                <w:rFonts w:hAnsi="宋体" w:cs="宋体"/>
                <w:color w:val="auto"/>
                <w:sz w:val="24"/>
                <w:szCs w:val="24"/>
                <w:highlight w:val="none"/>
              </w:rPr>
            </w:pPr>
          </w:p>
        </w:tc>
        <w:tc>
          <w:tcPr>
            <w:tcW w:w="1570" w:type="dxa"/>
            <w:shd w:val="clear" w:color="auto" w:fill="auto"/>
            <w:noWrap w:val="0"/>
            <w:tcMar>
              <w:left w:w="108" w:type="dxa"/>
              <w:right w:w="108" w:type="dxa"/>
            </w:tcMar>
            <w:vAlign w:val="center"/>
          </w:tcPr>
          <w:p w14:paraId="0557B405">
            <w:pPr>
              <w:jc w:val="center"/>
              <w:rPr>
                <w:rFonts w:hAnsi="宋体" w:cs="宋体"/>
                <w:color w:val="auto"/>
                <w:sz w:val="24"/>
                <w:szCs w:val="24"/>
                <w:highlight w:val="none"/>
              </w:rPr>
            </w:pPr>
            <w:r>
              <w:rPr>
                <w:rFonts w:hAnsi="宋体" w:cs="宋体"/>
                <w:color w:val="auto"/>
                <w:sz w:val="24"/>
                <w:szCs w:val="24"/>
                <w:highlight w:val="none"/>
              </w:rPr>
              <w:t>　</w:t>
            </w:r>
          </w:p>
        </w:tc>
      </w:tr>
      <w:tr w14:paraId="0645E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737" w:hRule="atLeast"/>
        </w:trPr>
        <w:tc>
          <w:tcPr>
            <w:tcW w:w="701" w:type="dxa"/>
            <w:shd w:val="clear" w:color="auto" w:fill="auto"/>
            <w:noWrap w:val="0"/>
            <w:tcMar>
              <w:left w:w="108" w:type="dxa"/>
              <w:right w:w="108" w:type="dxa"/>
            </w:tcMar>
            <w:vAlign w:val="center"/>
          </w:tcPr>
          <w:p w14:paraId="3564D036">
            <w:pPr>
              <w:jc w:val="center"/>
              <w:rPr>
                <w:rFonts w:hint="eastAsia" w:hAnsi="宋体" w:cs="宋体"/>
                <w:color w:val="auto"/>
                <w:sz w:val="24"/>
                <w:szCs w:val="24"/>
                <w:highlight w:val="none"/>
              </w:rPr>
            </w:pPr>
            <w:r>
              <w:rPr>
                <w:rFonts w:hint="eastAsia" w:hAnsi="宋体" w:cs="宋体"/>
                <w:color w:val="auto"/>
                <w:sz w:val="24"/>
                <w:szCs w:val="24"/>
                <w:highlight w:val="none"/>
              </w:rPr>
              <w:t>2</w:t>
            </w:r>
          </w:p>
        </w:tc>
        <w:tc>
          <w:tcPr>
            <w:tcW w:w="5125" w:type="dxa"/>
            <w:gridSpan w:val="4"/>
            <w:shd w:val="clear" w:color="auto" w:fill="auto"/>
            <w:noWrap w:val="0"/>
            <w:tcMar>
              <w:left w:w="108" w:type="dxa"/>
              <w:right w:w="108" w:type="dxa"/>
            </w:tcMar>
            <w:vAlign w:val="center"/>
          </w:tcPr>
          <w:p w14:paraId="0F8926A6">
            <w:pPr>
              <w:jc w:val="center"/>
              <w:rPr>
                <w:rFonts w:hAnsi="宋体" w:cs="宋体"/>
                <w:color w:val="auto"/>
                <w:sz w:val="24"/>
                <w:szCs w:val="24"/>
                <w:highlight w:val="none"/>
              </w:rPr>
            </w:pPr>
          </w:p>
        </w:tc>
        <w:tc>
          <w:tcPr>
            <w:tcW w:w="1712" w:type="dxa"/>
            <w:gridSpan w:val="2"/>
            <w:shd w:val="clear" w:color="auto" w:fill="auto"/>
            <w:noWrap w:val="0"/>
            <w:tcMar>
              <w:left w:w="108" w:type="dxa"/>
              <w:right w:w="108" w:type="dxa"/>
            </w:tcMar>
            <w:vAlign w:val="center"/>
          </w:tcPr>
          <w:p w14:paraId="37D88558">
            <w:pPr>
              <w:jc w:val="center"/>
              <w:rPr>
                <w:rFonts w:hAnsi="宋体" w:cs="宋体"/>
                <w:color w:val="auto"/>
                <w:sz w:val="24"/>
                <w:szCs w:val="24"/>
                <w:highlight w:val="none"/>
              </w:rPr>
            </w:pPr>
          </w:p>
        </w:tc>
        <w:tc>
          <w:tcPr>
            <w:tcW w:w="1570" w:type="dxa"/>
            <w:shd w:val="clear" w:color="auto" w:fill="auto"/>
            <w:noWrap w:val="0"/>
            <w:tcMar>
              <w:left w:w="108" w:type="dxa"/>
              <w:right w:w="108" w:type="dxa"/>
            </w:tcMar>
            <w:vAlign w:val="center"/>
          </w:tcPr>
          <w:p w14:paraId="65217A66">
            <w:pPr>
              <w:jc w:val="center"/>
              <w:rPr>
                <w:rFonts w:hAnsi="宋体" w:cs="宋体"/>
                <w:color w:val="auto"/>
                <w:sz w:val="24"/>
                <w:szCs w:val="24"/>
                <w:highlight w:val="none"/>
              </w:rPr>
            </w:pPr>
          </w:p>
        </w:tc>
      </w:tr>
      <w:tr w14:paraId="5CD0E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737" w:hRule="atLeast"/>
        </w:trPr>
        <w:tc>
          <w:tcPr>
            <w:tcW w:w="701" w:type="dxa"/>
            <w:shd w:val="clear" w:color="auto" w:fill="auto"/>
            <w:noWrap w:val="0"/>
            <w:tcMar>
              <w:left w:w="108" w:type="dxa"/>
              <w:right w:w="108" w:type="dxa"/>
            </w:tcMar>
            <w:vAlign w:val="center"/>
          </w:tcPr>
          <w:p w14:paraId="6D922145">
            <w:pPr>
              <w:jc w:val="center"/>
              <w:rPr>
                <w:rFonts w:hint="eastAsia" w:hAnsi="宋体" w:cs="宋体"/>
                <w:color w:val="auto"/>
                <w:sz w:val="24"/>
                <w:szCs w:val="24"/>
                <w:highlight w:val="none"/>
              </w:rPr>
            </w:pPr>
            <w:r>
              <w:rPr>
                <w:rFonts w:hint="eastAsia" w:hAnsi="宋体" w:cs="宋体"/>
                <w:color w:val="auto"/>
                <w:sz w:val="24"/>
                <w:szCs w:val="24"/>
                <w:highlight w:val="none"/>
              </w:rPr>
              <w:t>3</w:t>
            </w:r>
          </w:p>
        </w:tc>
        <w:tc>
          <w:tcPr>
            <w:tcW w:w="5125" w:type="dxa"/>
            <w:gridSpan w:val="4"/>
            <w:shd w:val="clear" w:color="auto" w:fill="auto"/>
            <w:noWrap w:val="0"/>
            <w:tcMar>
              <w:left w:w="108" w:type="dxa"/>
              <w:right w:w="108" w:type="dxa"/>
            </w:tcMar>
            <w:vAlign w:val="center"/>
          </w:tcPr>
          <w:p w14:paraId="42248857">
            <w:pPr>
              <w:jc w:val="center"/>
              <w:rPr>
                <w:rFonts w:hAnsi="宋体" w:cs="宋体"/>
                <w:color w:val="auto"/>
                <w:sz w:val="24"/>
                <w:szCs w:val="24"/>
                <w:highlight w:val="none"/>
              </w:rPr>
            </w:pPr>
          </w:p>
        </w:tc>
        <w:tc>
          <w:tcPr>
            <w:tcW w:w="1712" w:type="dxa"/>
            <w:gridSpan w:val="2"/>
            <w:shd w:val="clear" w:color="auto" w:fill="auto"/>
            <w:noWrap w:val="0"/>
            <w:tcMar>
              <w:left w:w="108" w:type="dxa"/>
              <w:right w:w="108" w:type="dxa"/>
            </w:tcMar>
            <w:vAlign w:val="center"/>
          </w:tcPr>
          <w:p w14:paraId="375BF155">
            <w:pPr>
              <w:jc w:val="center"/>
              <w:rPr>
                <w:rFonts w:hAnsi="宋体" w:cs="宋体"/>
                <w:color w:val="auto"/>
                <w:sz w:val="24"/>
                <w:szCs w:val="24"/>
                <w:highlight w:val="none"/>
              </w:rPr>
            </w:pPr>
          </w:p>
        </w:tc>
        <w:tc>
          <w:tcPr>
            <w:tcW w:w="1570" w:type="dxa"/>
            <w:shd w:val="clear" w:color="auto" w:fill="auto"/>
            <w:noWrap w:val="0"/>
            <w:tcMar>
              <w:left w:w="108" w:type="dxa"/>
              <w:right w:w="108" w:type="dxa"/>
            </w:tcMar>
            <w:vAlign w:val="center"/>
          </w:tcPr>
          <w:p w14:paraId="624BA07C">
            <w:pPr>
              <w:jc w:val="center"/>
              <w:rPr>
                <w:rFonts w:hAnsi="宋体" w:cs="宋体"/>
                <w:color w:val="auto"/>
                <w:sz w:val="24"/>
                <w:szCs w:val="24"/>
                <w:highlight w:val="none"/>
              </w:rPr>
            </w:pPr>
          </w:p>
        </w:tc>
      </w:tr>
      <w:tr w14:paraId="6450A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737" w:hRule="atLeast"/>
        </w:trPr>
        <w:tc>
          <w:tcPr>
            <w:tcW w:w="701" w:type="dxa"/>
            <w:shd w:val="clear" w:color="auto" w:fill="auto"/>
            <w:noWrap w:val="0"/>
            <w:tcMar>
              <w:left w:w="108" w:type="dxa"/>
              <w:right w:w="108" w:type="dxa"/>
            </w:tcMar>
            <w:vAlign w:val="center"/>
          </w:tcPr>
          <w:p w14:paraId="0824CEAD">
            <w:pPr>
              <w:jc w:val="center"/>
              <w:rPr>
                <w:rFonts w:hint="eastAsia" w:hAnsi="宋体" w:cs="宋体"/>
                <w:color w:val="auto"/>
                <w:sz w:val="24"/>
                <w:szCs w:val="24"/>
                <w:highlight w:val="none"/>
              </w:rPr>
            </w:pPr>
            <w:r>
              <w:rPr>
                <w:rFonts w:hint="eastAsia" w:hAnsi="宋体" w:cs="宋体"/>
                <w:color w:val="auto"/>
                <w:sz w:val="24"/>
                <w:szCs w:val="24"/>
                <w:highlight w:val="none"/>
              </w:rPr>
              <w:t>...</w:t>
            </w:r>
          </w:p>
        </w:tc>
        <w:tc>
          <w:tcPr>
            <w:tcW w:w="5125" w:type="dxa"/>
            <w:gridSpan w:val="4"/>
            <w:shd w:val="clear" w:color="auto" w:fill="auto"/>
            <w:noWrap w:val="0"/>
            <w:tcMar>
              <w:left w:w="108" w:type="dxa"/>
              <w:right w:w="108" w:type="dxa"/>
            </w:tcMar>
            <w:vAlign w:val="center"/>
          </w:tcPr>
          <w:p w14:paraId="6D22B6D5">
            <w:pPr>
              <w:jc w:val="center"/>
              <w:rPr>
                <w:rFonts w:hAnsi="宋体" w:cs="宋体"/>
                <w:color w:val="auto"/>
                <w:sz w:val="24"/>
                <w:szCs w:val="24"/>
                <w:highlight w:val="none"/>
              </w:rPr>
            </w:pPr>
          </w:p>
        </w:tc>
        <w:tc>
          <w:tcPr>
            <w:tcW w:w="1712" w:type="dxa"/>
            <w:gridSpan w:val="2"/>
            <w:shd w:val="clear" w:color="auto" w:fill="auto"/>
            <w:noWrap w:val="0"/>
            <w:tcMar>
              <w:left w:w="108" w:type="dxa"/>
              <w:right w:w="108" w:type="dxa"/>
            </w:tcMar>
            <w:vAlign w:val="center"/>
          </w:tcPr>
          <w:p w14:paraId="0D3863C3">
            <w:pPr>
              <w:jc w:val="center"/>
              <w:rPr>
                <w:rFonts w:hAnsi="宋体" w:cs="宋体"/>
                <w:color w:val="auto"/>
                <w:sz w:val="24"/>
                <w:szCs w:val="24"/>
                <w:highlight w:val="none"/>
              </w:rPr>
            </w:pPr>
          </w:p>
        </w:tc>
        <w:tc>
          <w:tcPr>
            <w:tcW w:w="1570" w:type="dxa"/>
            <w:shd w:val="clear" w:color="auto" w:fill="auto"/>
            <w:noWrap w:val="0"/>
            <w:tcMar>
              <w:left w:w="108" w:type="dxa"/>
              <w:right w:w="108" w:type="dxa"/>
            </w:tcMar>
            <w:vAlign w:val="center"/>
          </w:tcPr>
          <w:p w14:paraId="03487C6D">
            <w:pPr>
              <w:jc w:val="center"/>
              <w:rPr>
                <w:rFonts w:hAnsi="宋体" w:cs="宋体"/>
                <w:color w:val="auto"/>
                <w:sz w:val="24"/>
                <w:szCs w:val="24"/>
                <w:highlight w:val="none"/>
              </w:rPr>
            </w:pPr>
            <w:r>
              <w:rPr>
                <w:rFonts w:hAnsi="宋体" w:cs="宋体"/>
                <w:color w:val="auto"/>
                <w:sz w:val="24"/>
                <w:szCs w:val="24"/>
                <w:highlight w:val="none"/>
              </w:rPr>
              <w:t>　</w:t>
            </w:r>
          </w:p>
        </w:tc>
      </w:tr>
      <w:tr w14:paraId="52302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2037" w:hRule="atLeast"/>
        </w:trPr>
        <w:tc>
          <w:tcPr>
            <w:tcW w:w="701" w:type="dxa"/>
            <w:shd w:val="clear" w:color="auto" w:fill="auto"/>
            <w:noWrap w:val="0"/>
            <w:tcMar>
              <w:left w:w="108" w:type="dxa"/>
              <w:right w:w="108" w:type="dxa"/>
            </w:tcMar>
            <w:vAlign w:val="center"/>
          </w:tcPr>
          <w:p w14:paraId="12E8323D">
            <w:pPr>
              <w:ind w:left="8" w:hanging="94"/>
              <w:jc w:val="center"/>
              <w:rPr>
                <w:rFonts w:hint="eastAsia" w:hAnsi="宋体" w:cs="宋体"/>
                <w:color w:val="auto"/>
                <w:sz w:val="24"/>
                <w:szCs w:val="24"/>
                <w:highlight w:val="none"/>
              </w:rPr>
            </w:pPr>
            <w:r>
              <w:rPr>
                <w:rFonts w:hint="eastAsia" w:hAnsi="宋体" w:cs="宋体"/>
                <w:color w:val="auto"/>
                <w:sz w:val="24"/>
                <w:szCs w:val="24"/>
                <w:highlight w:val="none"/>
              </w:rPr>
              <w:t>注意：</w:t>
            </w:r>
          </w:p>
        </w:tc>
        <w:tc>
          <w:tcPr>
            <w:tcW w:w="8407" w:type="dxa"/>
            <w:gridSpan w:val="7"/>
            <w:shd w:val="clear" w:color="auto" w:fill="auto"/>
            <w:noWrap w:val="0"/>
            <w:tcMar>
              <w:left w:w="108" w:type="dxa"/>
              <w:right w:w="108" w:type="dxa"/>
            </w:tcMar>
            <w:vAlign w:val="center"/>
          </w:tcPr>
          <w:p w14:paraId="2276CCD2">
            <w:pPr>
              <w:ind w:firstLine="480"/>
              <w:rPr>
                <w:rFonts w:hint="eastAsia" w:hAnsi="宋体" w:cs="宋体"/>
                <w:color w:val="auto"/>
                <w:sz w:val="24"/>
                <w:szCs w:val="24"/>
                <w:highlight w:val="none"/>
              </w:rPr>
            </w:pPr>
            <w:r>
              <w:rPr>
                <w:rFonts w:hint="eastAsia" w:hAnsi="宋体" w:cs="宋体"/>
                <w:color w:val="auto"/>
                <w:sz w:val="24"/>
                <w:szCs w:val="24"/>
                <w:highlight w:val="none"/>
              </w:rPr>
              <w:t>该表一式两份，两份表格投标人均需如实填写各项内容，两份表格的填写内容应一致。一份贴于装纳原件的文件袋（箱），一份在递交文件袋（箱）时由招标代理机构、投标人签字后交招标代理机构。招标代理机构仅代签收装纳原件的文件袋（箱），而不对文件袋（箱）中资料的数量、内容及真实性负责。</w:t>
            </w:r>
          </w:p>
        </w:tc>
      </w:tr>
      <w:tr w14:paraId="28837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1120" w:hRule="atLeast"/>
        </w:trPr>
        <w:tc>
          <w:tcPr>
            <w:tcW w:w="2207" w:type="dxa"/>
            <w:gridSpan w:val="2"/>
            <w:shd w:val="clear" w:color="auto" w:fill="auto"/>
            <w:noWrap w:val="0"/>
            <w:tcMar>
              <w:left w:w="108" w:type="dxa"/>
              <w:right w:w="108" w:type="dxa"/>
            </w:tcMar>
            <w:vAlign w:val="center"/>
          </w:tcPr>
          <w:p w14:paraId="3074F0EA">
            <w:pPr>
              <w:jc w:val="both"/>
              <w:rPr>
                <w:rFonts w:hint="eastAsia" w:hAnsi="宋体" w:cs="宋体"/>
                <w:color w:val="auto"/>
                <w:sz w:val="24"/>
                <w:szCs w:val="24"/>
                <w:highlight w:val="none"/>
              </w:rPr>
            </w:pPr>
            <w:r>
              <w:rPr>
                <w:rFonts w:hint="eastAsia" w:hAnsi="宋体" w:cs="宋体"/>
                <w:color w:val="auto"/>
                <w:sz w:val="24"/>
                <w:szCs w:val="24"/>
                <w:highlight w:val="none"/>
              </w:rPr>
              <w:t>接收原件经办人(招标代理)：</w:t>
            </w:r>
          </w:p>
        </w:tc>
        <w:tc>
          <w:tcPr>
            <w:tcW w:w="1994" w:type="dxa"/>
            <w:gridSpan w:val="2"/>
            <w:shd w:val="clear" w:color="auto" w:fill="auto"/>
            <w:noWrap w:val="0"/>
            <w:tcMar>
              <w:left w:w="108" w:type="dxa"/>
              <w:right w:w="108" w:type="dxa"/>
            </w:tcMar>
            <w:vAlign w:val="center"/>
          </w:tcPr>
          <w:p w14:paraId="7039FF5D">
            <w:pPr>
              <w:jc w:val="center"/>
              <w:rPr>
                <w:rFonts w:hint="eastAsia" w:hAnsi="宋体" w:cs="宋体"/>
                <w:color w:val="auto"/>
                <w:sz w:val="24"/>
                <w:szCs w:val="24"/>
                <w:highlight w:val="none"/>
              </w:rPr>
            </w:pPr>
          </w:p>
        </w:tc>
        <w:tc>
          <w:tcPr>
            <w:tcW w:w="1625" w:type="dxa"/>
            <w:shd w:val="clear" w:color="auto" w:fill="auto"/>
            <w:noWrap w:val="0"/>
            <w:tcMar>
              <w:left w:w="108" w:type="dxa"/>
              <w:right w:w="108" w:type="dxa"/>
            </w:tcMar>
            <w:vAlign w:val="center"/>
          </w:tcPr>
          <w:p w14:paraId="6CFCB42E">
            <w:pPr>
              <w:jc w:val="center"/>
              <w:rPr>
                <w:rFonts w:hint="eastAsia" w:hAnsi="宋体" w:cs="宋体"/>
                <w:color w:val="auto"/>
                <w:sz w:val="24"/>
                <w:szCs w:val="24"/>
                <w:highlight w:val="none"/>
              </w:rPr>
            </w:pPr>
            <w:r>
              <w:rPr>
                <w:rFonts w:hint="eastAsia" w:hAnsi="宋体" w:cs="宋体"/>
                <w:color w:val="auto"/>
                <w:sz w:val="24"/>
                <w:szCs w:val="24"/>
                <w:highlight w:val="none"/>
              </w:rPr>
              <w:t>接收时间：</w:t>
            </w:r>
          </w:p>
        </w:tc>
        <w:tc>
          <w:tcPr>
            <w:tcW w:w="3282" w:type="dxa"/>
            <w:gridSpan w:val="3"/>
            <w:shd w:val="clear" w:color="auto" w:fill="auto"/>
            <w:noWrap w:val="0"/>
            <w:tcMar>
              <w:left w:w="108" w:type="dxa"/>
              <w:right w:w="108" w:type="dxa"/>
            </w:tcMar>
            <w:vAlign w:val="center"/>
          </w:tcPr>
          <w:p w14:paraId="5F3DDF19">
            <w:pPr>
              <w:jc w:val="left"/>
              <w:rPr>
                <w:rFonts w:hint="eastAsia" w:hAnsi="宋体" w:cs="宋体"/>
                <w:color w:val="auto"/>
                <w:sz w:val="24"/>
                <w:szCs w:val="24"/>
                <w:highlight w:val="none"/>
              </w:rPr>
            </w:pPr>
            <w:r>
              <w:rPr>
                <w:rFonts w:hint="eastAsia" w:hAnsi="宋体" w:cs="宋体"/>
                <w:color w:val="auto"/>
                <w:sz w:val="24"/>
                <w:szCs w:val="24"/>
                <w:highlight w:val="none"/>
              </w:rPr>
              <w:t>年   月   日   时  分</w:t>
            </w:r>
          </w:p>
        </w:tc>
      </w:tr>
      <w:tr w14:paraId="03E33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990" w:hRule="atLeast"/>
        </w:trPr>
        <w:tc>
          <w:tcPr>
            <w:tcW w:w="2207" w:type="dxa"/>
            <w:gridSpan w:val="2"/>
            <w:shd w:val="clear" w:color="auto" w:fill="auto"/>
            <w:noWrap w:val="0"/>
            <w:tcMar>
              <w:left w:w="108" w:type="dxa"/>
              <w:right w:w="108" w:type="dxa"/>
            </w:tcMar>
            <w:vAlign w:val="center"/>
          </w:tcPr>
          <w:p w14:paraId="50C35FD0">
            <w:pPr>
              <w:jc w:val="center"/>
              <w:rPr>
                <w:rFonts w:hint="eastAsia" w:hAnsi="宋体" w:cs="宋体"/>
                <w:color w:val="auto"/>
                <w:sz w:val="24"/>
                <w:szCs w:val="24"/>
                <w:highlight w:val="none"/>
              </w:rPr>
            </w:pPr>
            <w:r>
              <w:rPr>
                <w:rFonts w:hint="eastAsia" w:hAnsi="宋体" w:cs="宋体"/>
                <w:color w:val="auto"/>
                <w:sz w:val="24"/>
                <w:szCs w:val="24"/>
                <w:highlight w:val="none"/>
              </w:rPr>
              <w:t>退还原件接收人(投标人)：</w:t>
            </w:r>
          </w:p>
        </w:tc>
        <w:tc>
          <w:tcPr>
            <w:tcW w:w="1994" w:type="dxa"/>
            <w:gridSpan w:val="2"/>
            <w:shd w:val="clear" w:color="auto" w:fill="auto"/>
            <w:noWrap w:val="0"/>
            <w:tcMar>
              <w:left w:w="108" w:type="dxa"/>
              <w:right w:w="108" w:type="dxa"/>
            </w:tcMar>
            <w:vAlign w:val="center"/>
          </w:tcPr>
          <w:p w14:paraId="2E306509">
            <w:pPr>
              <w:jc w:val="center"/>
              <w:rPr>
                <w:rFonts w:hint="eastAsia" w:hAnsi="宋体" w:cs="宋体"/>
                <w:color w:val="auto"/>
                <w:sz w:val="24"/>
                <w:szCs w:val="24"/>
                <w:highlight w:val="none"/>
              </w:rPr>
            </w:pPr>
          </w:p>
        </w:tc>
        <w:tc>
          <w:tcPr>
            <w:tcW w:w="1625" w:type="dxa"/>
            <w:shd w:val="clear" w:color="auto" w:fill="auto"/>
            <w:noWrap w:val="0"/>
            <w:tcMar>
              <w:left w:w="108" w:type="dxa"/>
              <w:right w:w="108" w:type="dxa"/>
            </w:tcMar>
            <w:vAlign w:val="center"/>
          </w:tcPr>
          <w:p w14:paraId="330B90B6">
            <w:pPr>
              <w:jc w:val="center"/>
              <w:rPr>
                <w:rFonts w:hint="eastAsia" w:hAnsi="宋体" w:cs="宋体"/>
                <w:color w:val="auto"/>
                <w:sz w:val="24"/>
                <w:szCs w:val="24"/>
                <w:highlight w:val="none"/>
              </w:rPr>
            </w:pPr>
            <w:r>
              <w:rPr>
                <w:rFonts w:hint="eastAsia" w:hAnsi="宋体" w:cs="宋体"/>
                <w:color w:val="auto"/>
                <w:sz w:val="24"/>
                <w:szCs w:val="24"/>
                <w:highlight w:val="none"/>
              </w:rPr>
              <w:t>退还时间：</w:t>
            </w:r>
          </w:p>
        </w:tc>
        <w:tc>
          <w:tcPr>
            <w:tcW w:w="3282" w:type="dxa"/>
            <w:gridSpan w:val="3"/>
            <w:shd w:val="clear" w:color="auto" w:fill="auto"/>
            <w:noWrap w:val="0"/>
            <w:tcMar>
              <w:left w:w="108" w:type="dxa"/>
              <w:right w:w="108" w:type="dxa"/>
            </w:tcMar>
            <w:vAlign w:val="center"/>
          </w:tcPr>
          <w:p w14:paraId="1B2E0C0D">
            <w:pPr>
              <w:jc w:val="left"/>
              <w:rPr>
                <w:rFonts w:hint="eastAsia" w:hAnsi="宋体" w:cs="宋体"/>
                <w:color w:val="auto"/>
                <w:sz w:val="24"/>
                <w:szCs w:val="24"/>
                <w:highlight w:val="none"/>
              </w:rPr>
            </w:pPr>
            <w:r>
              <w:rPr>
                <w:rFonts w:hint="eastAsia" w:hAnsi="宋体" w:cs="宋体"/>
                <w:color w:val="auto"/>
                <w:sz w:val="24"/>
                <w:szCs w:val="24"/>
                <w:highlight w:val="none"/>
              </w:rPr>
              <w:t>年   月   日   时   分</w:t>
            </w:r>
          </w:p>
        </w:tc>
      </w:tr>
    </w:tbl>
    <w:p w14:paraId="2043B9AC">
      <w:pPr>
        <w:bidi w:val="0"/>
        <w:rPr>
          <w:color w:val="auto"/>
          <w:highlight w:val="none"/>
        </w:rPr>
      </w:pPr>
    </w:p>
    <w:p w14:paraId="59158BD3">
      <w:pPr>
        <w:rPr>
          <w:color w:val="auto"/>
          <w:highlight w:val="none"/>
        </w:rPr>
      </w:pPr>
    </w:p>
    <w:p w14:paraId="65603D6D">
      <w:pPr>
        <w:bidi w:val="0"/>
        <w:rPr>
          <w:color w:val="auto"/>
          <w:highlight w:val="none"/>
        </w:rPr>
      </w:pPr>
    </w:p>
    <w:p w14:paraId="47E51DDB">
      <w:pPr>
        <w:pStyle w:val="2"/>
        <w:rPr>
          <w:color w:val="auto"/>
          <w:highlight w:val="none"/>
        </w:rPr>
      </w:pPr>
    </w:p>
    <w:bookmarkEnd w:id="339"/>
    <w:bookmarkEnd w:id="340"/>
    <w:p w14:paraId="6FEFA5B3">
      <w:pPr>
        <w:pStyle w:val="151"/>
        <w:keepNext/>
        <w:keepLines/>
        <w:snapToGrid w:val="0"/>
        <w:spacing w:line="400" w:lineRule="exact"/>
        <w:jc w:val="center"/>
        <w:rPr>
          <w:rFonts w:ascii="宋体" w:hAnsi="宋体" w:cs="宋体"/>
          <w:b/>
          <w:color w:val="auto"/>
          <w:kern w:val="44"/>
          <w:sz w:val="32"/>
          <w:szCs w:val="22"/>
        </w:rPr>
      </w:pPr>
      <w:bookmarkStart w:id="342" w:name="_Toc137444778"/>
      <w:bookmarkStart w:id="343" w:name="_Toc3174"/>
      <w:bookmarkStart w:id="344" w:name="_Toc13722"/>
      <w:bookmarkStart w:id="345" w:name="_Toc133160683"/>
      <w:bookmarkStart w:id="346" w:name="_Toc10354"/>
      <w:bookmarkStart w:id="347" w:name="_Toc142468134"/>
      <w:bookmarkStart w:id="348" w:name="_Toc132687128"/>
      <w:bookmarkStart w:id="349" w:name="_Toc133815902"/>
      <w:bookmarkStart w:id="350" w:name="_Toc78794873"/>
      <w:r>
        <w:rPr>
          <w:rFonts w:hint="eastAsia" w:ascii="宋体" w:hAnsi="宋体" w:cs="宋体"/>
          <w:b/>
          <w:color w:val="auto"/>
          <w:kern w:val="44"/>
          <w:sz w:val="32"/>
          <w:szCs w:val="22"/>
        </w:rPr>
        <w:t>第六章 建设工程监理合同</w:t>
      </w:r>
      <w:bookmarkEnd w:id="342"/>
      <w:bookmarkEnd w:id="343"/>
      <w:bookmarkEnd w:id="344"/>
      <w:bookmarkEnd w:id="345"/>
      <w:bookmarkEnd w:id="346"/>
      <w:bookmarkEnd w:id="347"/>
      <w:bookmarkEnd w:id="348"/>
    </w:p>
    <w:p w14:paraId="489A5B59">
      <w:pPr>
        <w:wordWrap w:val="0"/>
        <w:adjustRightInd w:val="0"/>
        <w:snapToGrid w:val="0"/>
        <w:spacing w:before="360" w:beforeLines="150" w:line="400" w:lineRule="exact"/>
        <w:rPr>
          <w:rFonts w:hAnsi="宋体" w:cs="宋体"/>
          <w:color w:val="auto"/>
        </w:rPr>
      </w:pPr>
      <w:r>
        <w:rPr>
          <w:rFonts w:hint="eastAsia" w:hAnsi="宋体" w:cs="宋体"/>
          <w:snapToGrid w:val="0"/>
          <w:color w:val="auto"/>
          <w:kern w:val="0"/>
        </w:rPr>
        <w:t xml:space="preserve">    （略），</w:t>
      </w:r>
      <w:bookmarkEnd w:id="349"/>
      <w:bookmarkEnd w:id="350"/>
      <w:r>
        <w:rPr>
          <w:rFonts w:hint="eastAsia" w:hAnsi="宋体" w:cs="宋体"/>
          <w:snapToGrid w:val="0"/>
          <w:color w:val="auto"/>
          <w:kern w:val="0"/>
        </w:rPr>
        <w:t>按照《建设工程监理合同（示范文本）》（GF—2012—0202）执行。</w:t>
      </w:r>
    </w:p>
    <w:p w14:paraId="6CF11764">
      <w:pPr>
        <w:pStyle w:val="11"/>
        <w:snapToGrid w:val="0"/>
        <w:spacing w:line="400" w:lineRule="exact"/>
        <w:rPr>
          <w:rFonts w:hAnsi="宋体" w:cs="宋体"/>
          <w:snapToGrid w:val="0"/>
          <w:color w:val="auto"/>
        </w:rPr>
      </w:pPr>
    </w:p>
    <w:p w14:paraId="05AE5769">
      <w:pPr>
        <w:pStyle w:val="74"/>
        <w:widowControl w:val="0"/>
        <w:wordWrap w:val="0"/>
        <w:adjustRightInd w:val="0"/>
        <w:snapToGrid w:val="0"/>
        <w:spacing w:line="400" w:lineRule="exact"/>
        <w:ind w:firstLine="0"/>
        <w:rPr>
          <w:rFonts w:hAnsi="宋体" w:cs="宋体"/>
          <w:snapToGrid w:val="0"/>
          <w:color w:val="auto"/>
          <w:sz w:val="21"/>
        </w:rPr>
      </w:pPr>
    </w:p>
    <w:sectPr>
      <w:footerReference r:id="rId9" w:type="default"/>
      <w:endnotePr>
        <w:numFmt w:val="decimal"/>
      </w:endnotePr>
      <w:pgSz w:w="11906" w:h="16838"/>
      <w:pgMar w:top="1134" w:right="1134" w:bottom="1134" w:left="1134" w:header="850" w:footer="850" w:gutter="0"/>
      <w:pgNumType w:fmt="decimal"/>
      <w:cols w:space="0" w:num="1"/>
      <w:docGrid w:linePitch="327"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DD23B4">
    <w:pPr>
      <w:pStyle w:val="111"/>
      <w:pBdr>
        <w:between w:val="none" w:color="auto" w:sz="0" w:space="0"/>
      </w:pBdr>
      <w:tabs>
        <w:tab w:val="left" w:pos="4803"/>
        <w:tab w:val="clear" w:pos="4153"/>
      </w:tabs>
      <w:rPr>
        <w:rFonts w:hint="eastAsia"/>
      </w:rPr>
    </w:pPr>
    <w:r>
      <w:rPr>
        <w:rFonts w:hint="eastAsia"/>
      </w:rPr>
      <w:tab/>
    </w:r>
  </w:p>
  <w:p w14:paraId="3881DEF1">
    <w:pPr>
      <w:pStyle w:val="111"/>
      <w:pBdr>
        <w:between w:val="none" w:color="auto" w:sz="0" w:space="0"/>
      </w:pBdr>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8ED75B">
    <w:pPr>
      <w:pStyle w:val="1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C787F0">
    <w:pPr>
      <w:pStyle w:val="1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FFEE09">
                          <w:pPr>
                            <w:pStyle w:val="19"/>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3CFFEE09">
                    <w:pPr>
                      <w:pStyle w:val="19"/>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AE6401">
    <w:pPr>
      <w:pStyle w:val="19"/>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8382DD">
                          <w:pPr>
                            <w:pStyle w:val="19"/>
                          </w:pPr>
                          <w:r>
                            <w:t xml:space="preserve">第 </w:t>
                          </w:r>
                          <w:r>
                            <w:fldChar w:fldCharType="begin"/>
                          </w:r>
                          <w:r>
                            <w:instrText xml:space="preserve"> PAGE  \* MERGEFORMAT </w:instrText>
                          </w:r>
                          <w:r>
                            <w:fldChar w:fldCharType="separate"/>
                          </w:r>
                          <w:r>
                            <w:t>72</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718382DD">
                    <w:pPr>
                      <w:pStyle w:val="19"/>
                    </w:pPr>
                    <w:r>
                      <w:t xml:space="preserve">第 </w:t>
                    </w:r>
                    <w:r>
                      <w:fldChar w:fldCharType="begin"/>
                    </w:r>
                    <w:r>
                      <w:instrText xml:space="preserve"> PAGE  \* MERGEFORMAT </w:instrText>
                    </w:r>
                    <w:r>
                      <w:fldChar w:fldCharType="separate"/>
                    </w:r>
                    <w:r>
                      <w:t>72</w:t>
                    </w:r>
                    <w:r>
                      <w:fldChar w:fldCharType="end"/>
                    </w:r>
                    <w:r>
                      <w:t xml:space="preserve"> 页</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5B3D34">
    <w:pPr>
      <w:pStyle w:val="12"/>
      <w:spacing w:line="50"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0BD7A8E"/>
    <w:multiLevelType w:val="singleLevel"/>
    <w:tmpl w:val="E0BD7A8E"/>
    <w:lvl w:ilvl="0" w:tentative="0">
      <w:start w:val="1"/>
      <w:numFmt w:val="decimal"/>
      <w:suff w:val="nothing"/>
      <w:lvlText w:val="（%1）"/>
      <w:lvlJc w:val="left"/>
      <w:pPr>
        <w:ind w:left="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240"/>
  <w:drawingGridVerticalSpacing w:val="164"/>
  <w:displayHorizontalDrawingGridEvery w:val="1"/>
  <w:displayVerticalDrawingGridEvery w:val="1"/>
  <w:doNotShadeFormData w:val="1"/>
  <w:noPunctuationKerning w:val="1"/>
  <w:characterSpacingControl w:val="compressPunctuation"/>
  <w:doNotValidateAgainstSchema/>
  <w:doNotDemarcateInvalidXml/>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kxZDA0NTY0Yzc5OGVjODYxNjc1ZjJjYjI0MTIwNjIifQ=="/>
  </w:docVars>
  <w:rsids>
    <w:rsidRoot w:val="00172A27"/>
    <w:rsid w:val="00041C36"/>
    <w:rsid w:val="00050F86"/>
    <w:rsid w:val="000C1D2D"/>
    <w:rsid w:val="00153E0E"/>
    <w:rsid w:val="00172A27"/>
    <w:rsid w:val="001F053E"/>
    <w:rsid w:val="002543A6"/>
    <w:rsid w:val="002A3912"/>
    <w:rsid w:val="002A7E8D"/>
    <w:rsid w:val="00410516"/>
    <w:rsid w:val="00484F5E"/>
    <w:rsid w:val="004B70BA"/>
    <w:rsid w:val="004D7577"/>
    <w:rsid w:val="00567655"/>
    <w:rsid w:val="00590B05"/>
    <w:rsid w:val="005B2D42"/>
    <w:rsid w:val="00771397"/>
    <w:rsid w:val="00826BCD"/>
    <w:rsid w:val="008E4DA0"/>
    <w:rsid w:val="009329EC"/>
    <w:rsid w:val="00932BB8"/>
    <w:rsid w:val="00964E9C"/>
    <w:rsid w:val="00990279"/>
    <w:rsid w:val="00A110EA"/>
    <w:rsid w:val="00A32A2E"/>
    <w:rsid w:val="00A77565"/>
    <w:rsid w:val="00B5203F"/>
    <w:rsid w:val="00B640AC"/>
    <w:rsid w:val="00C04E46"/>
    <w:rsid w:val="00C933CE"/>
    <w:rsid w:val="00C970D2"/>
    <w:rsid w:val="00CB4415"/>
    <w:rsid w:val="00DA2408"/>
    <w:rsid w:val="00DC1846"/>
    <w:rsid w:val="00E40A50"/>
    <w:rsid w:val="00EF7950"/>
    <w:rsid w:val="00F214A7"/>
    <w:rsid w:val="00F679B3"/>
    <w:rsid w:val="0158531E"/>
    <w:rsid w:val="01AC7678"/>
    <w:rsid w:val="01AF70E0"/>
    <w:rsid w:val="01C427EB"/>
    <w:rsid w:val="01D07479"/>
    <w:rsid w:val="01D22CED"/>
    <w:rsid w:val="01DA01AC"/>
    <w:rsid w:val="01F86CD9"/>
    <w:rsid w:val="02647AB9"/>
    <w:rsid w:val="027C0AD0"/>
    <w:rsid w:val="02BB47BA"/>
    <w:rsid w:val="02BE191A"/>
    <w:rsid w:val="02D320E0"/>
    <w:rsid w:val="02E6644C"/>
    <w:rsid w:val="03280EF8"/>
    <w:rsid w:val="032B3195"/>
    <w:rsid w:val="03353615"/>
    <w:rsid w:val="03606DA8"/>
    <w:rsid w:val="03826431"/>
    <w:rsid w:val="03AA0611"/>
    <w:rsid w:val="03AE02E8"/>
    <w:rsid w:val="03B83805"/>
    <w:rsid w:val="0455083C"/>
    <w:rsid w:val="04780182"/>
    <w:rsid w:val="04841E6C"/>
    <w:rsid w:val="048707A2"/>
    <w:rsid w:val="04D81F7C"/>
    <w:rsid w:val="05D37647"/>
    <w:rsid w:val="06096CBB"/>
    <w:rsid w:val="06336531"/>
    <w:rsid w:val="0636289C"/>
    <w:rsid w:val="06372B69"/>
    <w:rsid w:val="06403908"/>
    <w:rsid w:val="06437A4D"/>
    <w:rsid w:val="064E157F"/>
    <w:rsid w:val="06685A39"/>
    <w:rsid w:val="066863D5"/>
    <w:rsid w:val="0680104B"/>
    <w:rsid w:val="06B12BCD"/>
    <w:rsid w:val="06BD5A5C"/>
    <w:rsid w:val="06CE69E4"/>
    <w:rsid w:val="06F44232"/>
    <w:rsid w:val="071A4FFB"/>
    <w:rsid w:val="072F60EA"/>
    <w:rsid w:val="073003F6"/>
    <w:rsid w:val="073C1416"/>
    <w:rsid w:val="07626CD1"/>
    <w:rsid w:val="076349FE"/>
    <w:rsid w:val="07F654CB"/>
    <w:rsid w:val="07F90245"/>
    <w:rsid w:val="08077FE9"/>
    <w:rsid w:val="08432B8E"/>
    <w:rsid w:val="085D1A1C"/>
    <w:rsid w:val="0872069D"/>
    <w:rsid w:val="08767FD2"/>
    <w:rsid w:val="087D7F38"/>
    <w:rsid w:val="08970A40"/>
    <w:rsid w:val="09702125"/>
    <w:rsid w:val="09AD2157"/>
    <w:rsid w:val="09B41737"/>
    <w:rsid w:val="09CA2D09"/>
    <w:rsid w:val="09E65669"/>
    <w:rsid w:val="09EA5159"/>
    <w:rsid w:val="09F5235C"/>
    <w:rsid w:val="0A0E69FD"/>
    <w:rsid w:val="0A3E54A5"/>
    <w:rsid w:val="0A570314"/>
    <w:rsid w:val="0A6523F4"/>
    <w:rsid w:val="0A685FB5"/>
    <w:rsid w:val="0A740EC6"/>
    <w:rsid w:val="0A9F6084"/>
    <w:rsid w:val="0B4006EB"/>
    <w:rsid w:val="0B914627"/>
    <w:rsid w:val="0B9B6EF0"/>
    <w:rsid w:val="0B9E10B5"/>
    <w:rsid w:val="0B9E1CB0"/>
    <w:rsid w:val="0BC47C2C"/>
    <w:rsid w:val="0BF6217D"/>
    <w:rsid w:val="0C0D7AE6"/>
    <w:rsid w:val="0CA02447"/>
    <w:rsid w:val="0CA20070"/>
    <w:rsid w:val="0CAA75AD"/>
    <w:rsid w:val="0CC7733C"/>
    <w:rsid w:val="0CC80FED"/>
    <w:rsid w:val="0CD32A34"/>
    <w:rsid w:val="0CF12128"/>
    <w:rsid w:val="0D140105"/>
    <w:rsid w:val="0D364445"/>
    <w:rsid w:val="0D7E1192"/>
    <w:rsid w:val="0DB82B2F"/>
    <w:rsid w:val="0E0322E5"/>
    <w:rsid w:val="0E650489"/>
    <w:rsid w:val="0E8273DD"/>
    <w:rsid w:val="0E954BA0"/>
    <w:rsid w:val="0EAF2288"/>
    <w:rsid w:val="0EC544EB"/>
    <w:rsid w:val="0F177F3C"/>
    <w:rsid w:val="0F287BA3"/>
    <w:rsid w:val="0F3B1552"/>
    <w:rsid w:val="0F823F1F"/>
    <w:rsid w:val="0FA1224B"/>
    <w:rsid w:val="0FAB1B4B"/>
    <w:rsid w:val="0FC147F0"/>
    <w:rsid w:val="0FC83017"/>
    <w:rsid w:val="0FDE143F"/>
    <w:rsid w:val="0FED49BA"/>
    <w:rsid w:val="106F6EDC"/>
    <w:rsid w:val="10BB100E"/>
    <w:rsid w:val="10CF5BBB"/>
    <w:rsid w:val="10E072B6"/>
    <w:rsid w:val="10FB5335"/>
    <w:rsid w:val="10FD39C4"/>
    <w:rsid w:val="112D1D65"/>
    <w:rsid w:val="11303196"/>
    <w:rsid w:val="11360437"/>
    <w:rsid w:val="113B11BA"/>
    <w:rsid w:val="11515ABE"/>
    <w:rsid w:val="116021A5"/>
    <w:rsid w:val="11A42091"/>
    <w:rsid w:val="11D67B34"/>
    <w:rsid w:val="11F70077"/>
    <w:rsid w:val="11FE6FE0"/>
    <w:rsid w:val="121459A3"/>
    <w:rsid w:val="121611D1"/>
    <w:rsid w:val="127C2803"/>
    <w:rsid w:val="127E10FD"/>
    <w:rsid w:val="12851648"/>
    <w:rsid w:val="128819B3"/>
    <w:rsid w:val="12884038"/>
    <w:rsid w:val="12C13398"/>
    <w:rsid w:val="12F876BF"/>
    <w:rsid w:val="13114669"/>
    <w:rsid w:val="132029E9"/>
    <w:rsid w:val="132F1E2E"/>
    <w:rsid w:val="13351019"/>
    <w:rsid w:val="135B72ED"/>
    <w:rsid w:val="136C6CCA"/>
    <w:rsid w:val="13841C28"/>
    <w:rsid w:val="139A08A3"/>
    <w:rsid w:val="13B3480E"/>
    <w:rsid w:val="13BE434A"/>
    <w:rsid w:val="13C925E9"/>
    <w:rsid w:val="13D87533"/>
    <w:rsid w:val="13E14828"/>
    <w:rsid w:val="13E2760C"/>
    <w:rsid w:val="13E55A7C"/>
    <w:rsid w:val="13ED238A"/>
    <w:rsid w:val="144D28BE"/>
    <w:rsid w:val="14A11363"/>
    <w:rsid w:val="14AD3C82"/>
    <w:rsid w:val="14AD638E"/>
    <w:rsid w:val="14D507B4"/>
    <w:rsid w:val="14E82BDD"/>
    <w:rsid w:val="150717C8"/>
    <w:rsid w:val="1530421B"/>
    <w:rsid w:val="15335E3C"/>
    <w:rsid w:val="15585425"/>
    <w:rsid w:val="15632821"/>
    <w:rsid w:val="156E0438"/>
    <w:rsid w:val="159710CE"/>
    <w:rsid w:val="1613202A"/>
    <w:rsid w:val="161D4E95"/>
    <w:rsid w:val="162C017A"/>
    <w:rsid w:val="16435C60"/>
    <w:rsid w:val="165B50B5"/>
    <w:rsid w:val="16715F6C"/>
    <w:rsid w:val="16744260"/>
    <w:rsid w:val="168C342C"/>
    <w:rsid w:val="16921052"/>
    <w:rsid w:val="16991967"/>
    <w:rsid w:val="16A92C1F"/>
    <w:rsid w:val="16AB4918"/>
    <w:rsid w:val="16DF3B6C"/>
    <w:rsid w:val="16E216B8"/>
    <w:rsid w:val="17292082"/>
    <w:rsid w:val="17394FF8"/>
    <w:rsid w:val="17A50E24"/>
    <w:rsid w:val="17DE305B"/>
    <w:rsid w:val="17EB6EF9"/>
    <w:rsid w:val="17EF123E"/>
    <w:rsid w:val="181E2472"/>
    <w:rsid w:val="186F67C2"/>
    <w:rsid w:val="18AC5722"/>
    <w:rsid w:val="18BA750B"/>
    <w:rsid w:val="18C03544"/>
    <w:rsid w:val="18D45DFC"/>
    <w:rsid w:val="18DD6311"/>
    <w:rsid w:val="19000928"/>
    <w:rsid w:val="192856B3"/>
    <w:rsid w:val="19506374"/>
    <w:rsid w:val="19AB63C4"/>
    <w:rsid w:val="1A0D6313"/>
    <w:rsid w:val="1A3810FE"/>
    <w:rsid w:val="1A3D0F0C"/>
    <w:rsid w:val="1A4A48FF"/>
    <w:rsid w:val="1A501F1B"/>
    <w:rsid w:val="1A7C0E8F"/>
    <w:rsid w:val="1A9A0468"/>
    <w:rsid w:val="1ABE60EB"/>
    <w:rsid w:val="1AC45552"/>
    <w:rsid w:val="1AFB4481"/>
    <w:rsid w:val="1B106078"/>
    <w:rsid w:val="1B3626B5"/>
    <w:rsid w:val="1B544E28"/>
    <w:rsid w:val="1B550FE4"/>
    <w:rsid w:val="1B5938A5"/>
    <w:rsid w:val="1B5D1E9E"/>
    <w:rsid w:val="1B6323E0"/>
    <w:rsid w:val="1B776451"/>
    <w:rsid w:val="1BAE4064"/>
    <w:rsid w:val="1BD16179"/>
    <w:rsid w:val="1BD712B5"/>
    <w:rsid w:val="1BDB2B53"/>
    <w:rsid w:val="1C0D795C"/>
    <w:rsid w:val="1C0F788B"/>
    <w:rsid w:val="1C141501"/>
    <w:rsid w:val="1C3D55BC"/>
    <w:rsid w:val="1C7726C5"/>
    <w:rsid w:val="1C7F5BD5"/>
    <w:rsid w:val="1C814C75"/>
    <w:rsid w:val="1C8F2794"/>
    <w:rsid w:val="1CAE7812"/>
    <w:rsid w:val="1CB20AFB"/>
    <w:rsid w:val="1CB751D0"/>
    <w:rsid w:val="1CB919A4"/>
    <w:rsid w:val="1CD83537"/>
    <w:rsid w:val="1CEF0DA9"/>
    <w:rsid w:val="1CFC2D19"/>
    <w:rsid w:val="1D105D93"/>
    <w:rsid w:val="1D1E0445"/>
    <w:rsid w:val="1D270AE4"/>
    <w:rsid w:val="1D44283A"/>
    <w:rsid w:val="1D60342F"/>
    <w:rsid w:val="1D78009C"/>
    <w:rsid w:val="1D871C03"/>
    <w:rsid w:val="1D884CF0"/>
    <w:rsid w:val="1D8E0177"/>
    <w:rsid w:val="1DA3413D"/>
    <w:rsid w:val="1E095D84"/>
    <w:rsid w:val="1E231CF3"/>
    <w:rsid w:val="1E545B64"/>
    <w:rsid w:val="1E6D05AB"/>
    <w:rsid w:val="1E7B6870"/>
    <w:rsid w:val="1EC73280"/>
    <w:rsid w:val="1EFF124F"/>
    <w:rsid w:val="1F114792"/>
    <w:rsid w:val="1F1E1F01"/>
    <w:rsid w:val="1F444EB4"/>
    <w:rsid w:val="1F503858"/>
    <w:rsid w:val="1F8E7284"/>
    <w:rsid w:val="1FB360E7"/>
    <w:rsid w:val="1FB873A4"/>
    <w:rsid w:val="1FF232DB"/>
    <w:rsid w:val="1FF45850"/>
    <w:rsid w:val="202D1235"/>
    <w:rsid w:val="203013AA"/>
    <w:rsid w:val="20327A15"/>
    <w:rsid w:val="206E565F"/>
    <w:rsid w:val="20D364EF"/>
    <w:rsid w:val="20E97676"/>
    <w:rsid w:val="21295B5E"/>
    <w:rsid w:val="212D27FA"/>
    <w:rsid w:val="219E373C"/>
    <w:rsid w:val="21A93CF7"/>
    <w:rsid w:val="21AF599B"/>
    <w:rsid w:val="21D0774F"/>
    <w:rsid w:val="223713D9"/>
    <w:rsid w:val="227B2B13"/>
    <w:rsid w:val="22A461F0"/>
    <w:rsid w:val="22B12CDA"/>
    <w:rsid w:val="22C92E53"/>
    <w:rsid w:val="22FC4CE3"/>
    <w:rsid w:val="23187739"/>
    <w:rsid w:val="23291E8B"/>
    <w:rsid w:val="23437531"/>
    <w:rsid w:val="236457F5"/>
    <w:rsid w:val="236E081B"/>
    <w:rsid w:val="2387194A"/>
    <w:rsid w:val="238C2DA9"/>
    <w:rsid w:val="23E85901"/>
    <w:rsid w:val="241E63E6"/>
    <w:rsid w:val="24213A15"/>
    <w:rsid w:val="24372BE7"/>
    <w:rsid w:val="245105A4"/>
    <w:rsid w:val="245A0AF2"/>
    <w:rsid w:val="245C2F8D"/>
    <w:rsid w:val="249066DD"/>
    <w:rsid w:val="24E707BB"/>
    <w:rsid w:val="251C369C"/>
    <w:rsid w:val="25536401"/>
    <w:rsid w:val="2566287E"/>
    <w:rsid w:val="25FD1164"/>
    <w:rsid w:val="2612287C"/>
    <w:rsid w:val="26196704"/>
    <w:rsid w:val="26217CFD"/>
    <w:rsid w:val="26440673"/>
    <w:rsid w:val="26623C6C"/>
    <w:rsid w:val="26C86BA7"/>
    <w:rsid w:val="26E06C71"/>
    <w:rsid w:val="26EA0CB5"/>
    <w:rsid w:val="26FD55DC"/>
    <w:rsid w:val="27017996"/>
    <w:rsid w:val="273C36E8"/>
    <w:rsid w:val="2744740D"/>
    <w:rsid w:val="274B251F"/>
    <w:rsid w:val="274B5F1C"/>
    <w:rsid w:val="274C5507"/>
    <w:rsid w:val="274E67F3"/>
    <w:rsid w:val="27725362"/>
    <w:rsid w:val="27C923FA"/>
    <w:rsid w:val="281250A7"/>
    <w:rsid w:val="28131DB1"/>
    <w:rsid w:val="28251659"/>
    <w:rsid w:val="283C7070"/>
    <w:rsid w:val="284618DF"/>
    <w:rsid w:val="286F2FA1"/>
    <w:rsid w:val="289531DE"/>
    <w:rsid w:val="28E47B36"/>
    <w:rsid w:val="291C1B2F"/>
    <w:rsid w:val="29234F87"/>
    <w:rsid w:val="29554B1B"/>
    <w:rsid w:val="29671ECA"/>
    <w:rsid w:val="298A6B2C"/>
    <w:rsid w:val="29B66A0D"/>
    <w:rsid w:val="29F05B24"/>
    <w:rsid w:val="29F179E6"/>
    <w:rsid w:val="2A350D3C"/>
    <w:rsid w:val="2A4D7E90"/>
    <w:rsid w:val="2A7A1696"/>
    <w:rsid w:val="2A960744"/>
    <w:rsid w:val="2AB51533"/>
    <w:rsid w:val="2AC60E73"/>
    <w:rsid w:val="2ADA3A0F"/>
    <w:rsid w:val="2AFF2BF3"/>
    <w:rsid w:val="2B037A34"/>
    <w:rsid w:val="2B593377"/>
    <w:rsid w:val="2B7C1908"/>
    <w:rsid w:val="2BC1086B"/>
    <w:rsid w:val="2BDC351D"/>
    <w:rsid w:val="2BE13AE1"/>
    <w:rsid w:val="2BEF2275"/>
    <w:rsid w:val="2C230203"/>
    <w:rsid w:val="2C8D32F9"/>
    <w:rsid w:val="2CEB0040"/>
    <w:rsid w:val="2D0A4DD2"/>
    <w:rsid w:val="2D427EAD"/>
    <w:rsid w:val="2D9515C6"/>
    <w:rsid w:val="2DC826D3"/>
    <w:rsid w:val="2DEF1607"/>
    <w:rsid w:val="2DF27D49"/>
    <w:rsid w:val="2DF803FC"/>
    <w:rsid w:val="2E0C16EA"/>
    <w:rsid w:val="2E4F3581"/>
    <w:rsid w:val="2E857AA5"/>
    <w:rsid w:val="2E910CDC"/>
    <w:rsid w:val="2EBD1EFD"/>
    <w:rsid w:val="2EC715D4"/>
    <w:rsid w:val="2F0B092E"/>
    <w:rsid w:val="2F1D4D98"/>
    <w:rsid w:val="2F4E3303"/>
    <w:rsid w:val="2F625641"/>
    <w:rsid w:val="2FBF699C"/>
    <w:rsid w:val="301C3E1D"/>
    <w:rsid w:val="303C6E79"/>
    <w:rsid w:val="304479DC"/>
    <w:rsid w:val="306A1172"/>
    <w:rsid w:val="306B0278"/>
    <w:rsid w:val="308E63ED"/>
    <w:rsid w:val="30BF65F3"/>
    <w:rsid w:val="30C47C02"/>
    <w:rsid w:val="315F570D"/>
    <w:rsid w:val="31615422"/>
    <w:rsid w:val="3163741B"/>
    <w:rsid w:val="31E0281A"/>
    <w:rsid w:val="31FE12D4"/>
    <w:rsid w:val="32364B30"/>
    <w:rsid w:val="32B271D3"/>
    <w:rsid w:val="32BA0022"/>
    <w:rsid w:val="332643F5"/>
    <w:rsid w:val="33791178"/>
    <w:rsid w:val="33CB12A8"/>
    <w:rsid w:val="33D267D7"/>
    <w:rsid w:val="33D66E83"/>
    <w:rsid w:val="33E82ECD"/>
    <w:rsid w:val="33F7209D"/>
    <w:rsid w:val="34022441"/>
    <w:rsid w:val="340D366E"/>
    <w:rsid w:val="3428064F"/>
    <w:rsid w:val="3460329E"/>
    <w:rsid w:val="34675E29"/>
    <w:rsid w:val="34864348"/>
    <w:rsid w:val="34E70363"/>
    <w:rsid w:val="34E76031"/>
    <w:rsid w:val="350C3E26"/>
    <w:rsid w:val="3511371C"/>
    <w:rsid w:val="352178D8"/>
    <w:rsid w:val="352251C2"/>
    <w:rsid w:val="353F2CB2"/>
    <w:rsid w:val="35435F75"/>
    <w:rsid w:val="357F2541"/>
    <w:rsid w:val="35827B62"/>
    <w:rsid w:val="358562B5"/>
    <w:rsid w:val="35AD5109"/>
    <w:rsid w:val="35B84990"/>
    <w:rsid w:val="35BA3E5B"/>
    <w:rsid w:val="35F21282"/>
    <w:rsid w:val="362F5B1E"/>
    <w:rsid w:val="36395EE4"/>
    <w:rsid w:val="36493477"/>
    <w:rsid w:val="364D6ED6"/>
    <w:rsid w:val="36673031"/>
    <w:rsid w:val="36B726AE"/>
    <w:rsid w:val="36C3101C"/>
    <w:rsid w:val="36F3211B"/>
    <w:rsid w:val="373525CE"/>
    <w:rsid w:val="374F73CF"/>
    <w:rsid w:val="375873B1"/>
    <w:rsid w:val="375A09AF"/>
    <w:rsid w:val="3766112D"/>
    <w:rsid w:val="37984905"/>
    <w:rsid w:val="37B46FED"/>
    <w:rsid w:val="37CF580A"/>
    <w:rsid w:val="37D1291E"/>
    <w:rsid w:val="37D4026E"/>
    <w:rsid w:val="37DA5E90"/>
    <w:rsid w:val="37ED7A3F"/>
    <w:rsid w:val="383A4B00"/>
    <w:rsid w:val="38A019C9"/>
    <w:rsid w:val="38A61F0C"/>
    <w:rsid w:val="38B03362"/>
    <w:rsid w:val="38B67EB0"/>
    <w:rsid w:val="38D26C34"/>
    <w:rsid w:val="38E01244"/>
    <w:rsid w:val="392A60A6"/>
    <w:rsid w:val="393A310B"/>
    <w:rsid w:val="39471031"/>
    <w:rsid w:val="39684A29"/>
    <w:rsid w:val="3971644D"/>
    <w:rsid w:val="397C551E"/>
    <w:rsid w:val="3994602B"/>
    <w:rsid w:val="39A92D27"/>
    <w:rsid w:val="39B953E3"/>
    <w:rsid w:val="3A081ED6"/>
    <w:rsid w:val="3A0B3E46"/>
    <w:rsid w:val="3A2C5B75"/>
    <w:rsid w:val="3A483652"/>
    <w:rsid w:val="3A5024DC"/>
    <w:rsid w:val="3A6366DE"/>
    <w:rsid w:val="3AE13585"/>
    <w:rsid w:val="3AE500CF"/>
    <w:rsid w:val="3B051543"/>
    <w:rsid w:val="3B071DE4"/>
    <w:rsid w:val="3B1F5DC1"/>
    <w:rsid w:val="3B3A4AB6"/>
    <w:rsid w:val="3B4006E0"/>
    <w:rsid w:val="3B43221E"/>
    <w:rsid w:val="3B732D74"/>
    <w:rsid w:val="3B8B7F8C"/>
    <w:rsid w:val="3B9A46DD"/>
    <w:rsid w:val="3BA174BE"/>
    <w:rsid w:val="3BA34FDA"/>
    <w:rsid w:val="3BBB7C7B"/>
    <w:rsid w:val="3BBD0245"/>
    <w:rsid w:val="3BC5576C"/>
    <w:rsid w:val="3BCC3E0F"/>
    <w:rsid w:val="3BF5322F"/>
    <w:rsid w:val="3C35213B"/>
    <w:rsid w:val="3C5067EE"/>
    <w:rsid w:val="3C581218"/>
    <w:rsid w:val="3CD218F9"/>
    <w:rsid w:val="3CD704BD"/>
    <w:rsid w:val="3CE75849"/>
    <w:rsid w:val="3D1A6A65"/>
    <w:rsid w:val="3D4B689C"/>
    <w:rsid w:val="3D8F7C9A"/>
    <w:rsid w:val="3E4A665D"/>
    <w:rsid w:val="3E88226F"/>
    <w:rsid w:val="3EBC63BD"/>
    <w:rsid w:val="3EDB4A95"/>
    <w:rsid w:val="3EE057E6"/>
    <w:rsid w:val="3F18690D"/>
    <w:rsid w:val="3F1B285B"/>
    <w:rsid w:val="3F2A3743"/>
    <w:rsid w:val="3F310B59"/>
    <w:rsid w:val="3F43243B"/>
    <w:rsid w:val="3F47212A"/>
    <w:rsid w:val="3F6A3CD5"/>
    <w:rsid w:val="3FCB19D9"/>
    <w:rsid w:val="3FCB2D5B"/>
    <w:rsid w:val="3FE57C96"/>
    <w:rsid w:val="3FF81D2D"/>
    <w:rsid w:val="402847E9"/>
    <w:rsid w:val="40302BBE"/>
    <w:rsid w:val="405E34A3"/>
    <w:rsid w:val="40672358"/>
    <w:rsid w:val="407C7161"/>
    <w:rsid w:val="407D5E86"/>
    <w:rsid w:val="40807762"/>
    <w:rsid w:val="409A44DC"/>
    <w:rsid w:val="40A92971"/>
    <w:rsid w:val="40BC08F6"/>
    <w:rsid w:val="40BE0F76"/>
    <w:rsid w:val="40CB718C"/>
    <w:rsid w:val="40DD59C2"/>
    <w:rsid w:val="41610361"/>
    <w:rsid w:val="41A8307D"/>
    <w:rsid w:val="41C06995"/>
    <w:rsid w:val="41DB1250"/>
    <w:rsid w:val="41E2613A"/>
    <w:rsid w:val="421B6FDC"/>
    <w:rsid w:val="42595C18"/>
    <w:rsid w:val="429E14C7"/>
    <w:rsid w:val="429F2762"/>
    <w:rsid w:val="42AB17FE"/>
    <w:rsid w:val="42B11DCD"/>
    <w:rsid w:val="42E3216A"/>
    <w:rsid w:val="42FF5094"/>
    <w:rsid w:val="436C03B1"/>
    <w:rsid w:val="43C7528C"/>
    <w:rsid w:val="43CB220C"/>
    <w:rsid w:val="445415FA"/>
    <w:rsid w:val="445B3984"/>
    <w:rsid w:val="445B5455"/>
    <w:rsid w:val="44943A7F"/>
    <w:rsid w:val="44DF70BA"/>
    <w:rsid w:val="450F631C"/>
    <w:rsid w:val="453971E4"/>
    <w:rsid w:val="453C54BE"/>
    <w:rsid w:val="45476363"/>
    <w:rsid w:val="456D040C"/>
    <w:rsid w:val="458938E1"/>
    <w:rsid w:val="463F7FFF"/>
    <w:rsid w:val="46484BFF"/>
    <w:rsid w:val="46512233"/>
    <w:rsid w:val="46540D24"/>
    <w:rsid w:val="46A737E8"/>
    <w:rsid w:val="46C14018"/>
    <w:rsid w:val="46C73076"/>
    <w:rsid w:val="46D07EE5"/>
    <w:rsid w:val="46E465A3"/>
    <w:rsid w:val="46F806BD"/>
    <w:rsid w:val="47043CAB"/>
    <w:rsid w:val="472705CE"/>
    <w:rsid w:val="479A2C46"/>
    <w:rsid w:val="479C5136"/>
    <w:rsid w:val="47A264F9"/>
    <w:rsid w:val="47E06018"/>
    <w:rsid w:val="484D17C1"/>
    <w:rsid w:val="48653A64"/>
    <w:rsid w:val="48811B8A"/>
    <w:rsid w:val="48C40B78"/>
    <w:rsid w:val="48C43988"/>
    <w:rsid w:val="48E83E36"/>
    <w:rsid w:val="49345B93"/>
    <w:rsid w:val="494C4B08"/>
    <w:rsid w:val="49951EFC"/>
    <w:rsid w:val="499A26FB"/>
    <w:rsid w:val="49B026D9"/>
    <w:rsid w:val="49B722B7"/>
    <w:rsid w:val="49B94735"/>
    <w:rsid w:val="49C15E4A"/>
    <w:rsid w:val="49D955C3"/>
    <w:rsid w:val="49ED65A4"/>
    <w:rsid w:val="49F10AB5"/>
    <w:rsid w:val="4A307756"/>
    <w:rsid w:val="4A6D7DCA"/>
    <w:rsid w:val="4A9910AB"/>
    <w:rsid w:val="4A992597"/>
    <w:rsid w:val="4A9B332A"/>
    <w:rsid w:val="4AD625B4"/>
    <w:rsid w:val="4AFF509B"/>
    <w:rsid w:val="4B4014D1"/>
    <w:rsid w:val="4B5E2E2F"/>
    <w:rsid w:val="4B675E1C"/>
    <w:rsid w:val="4B9F7C0E"/>
    <w:rsid w:val="4BC73F17"/>
    <w:rsid w:val="4BEB73D9"/>
    <w:rsid w:val="4C166235"/>
    <w:rsid w:val="4C1C544C"/>
    <w:rsid w:val="4C313219"/>
    <w:rsid w:val="4C5D1828"/>
    <w:rsid w:val="4C6C738D"/>
    <w:rsid w:val="4C6D0CF6"/>
    <w:rsid w:val="4C7E6A54"/>
    <w:rsid w:val="4C865C08"/>
    <w:rsid w:val="4D317F76"/>
    <w:rsid w:val="4D7E2A50"/>
    <w:rsid w:val="4DA23565"/>
    <w:rsid w:val="4DA9629F"/>
    <w:rsid w:val="4DB7491F"/>
    <w:rsid w:val="4DD038A9"/>
    <w:rsid w:val="4DE1199C"/>
    <w:rsid w:val="4E49490E"/>
    <w:rsid w:val="4E551A8D"/>
    <w:rsid w:val="4EB250E6"/>
    <w:rsid w:val="4EE207BB"/>
    <w:rsid w:val="4EF75916"/>
    <w:rsid w:val="4F1720D5"/>
    <w:rsid w:val="4F1D51EC"/>
    <w:rsid w:val="4F1F0C9F"/>
    <w:rsid w:val="4F244C6A"/>
    <w:rsid w:val="4F2D0B1A"/>
    <w:rsid w:val="4FB00148"/>
    <w:rsid w:val="4FD90EC4"/>
    <w:rsid w:val="4FE12F08"/>
    <w:rsid w:val="4FF63972"/>
    <w:rsid w:val="500B4BE0"/>
    <w:rsid w:val="504A7CCC"/>
    <w:rsid w:val="504B329A"/>
    <w:rsid w:val="50580297"/>
    <w:rsid w:val="50697817"/>
    <w:rsid w:val="506F6B37"/>
    <w:rsid w:val="5086682B"/>
    <w:rsid w:val="5090365A"/>
    <w:rsid w:val="51096E4A"/>
    <w:rsid w:val="51106525"/>
    <w:rsid w:val="511A6C71"/>
    <w:rsid w:val="512567F5"/>
    <w:rsid w:val="513C4D1D"/>
    <w:rsid w:val="514C3DAD"/>
    <w:rsid w:val="515047BA"/>
    <w:rsid w:val="5157430C"/>
    <w:rsid w:val="516A7F37"/>
    <w:rsid w:val="51916F53"/>
    <w:rsid w:val="51AA4C59"/>
    <w:rsid w:val="51CB4CC2"/>
    <w:rsid w:val="51D829D5"/>
    <w:rsid w:val="51ED0D38"/>
    <w:rsid w:val="51F31FFB"/>
    <w:rsid w:val="51FA103F"/>
    <w:rsid w:val="520170B1"/>
    <w:rsid w:val="524428F4"/>
    <w:rsid w:val="5257047F"/>
    <w:rsid w:val="525B5D4E"/>
    <w:rsid w:val="52693AF2"/>
    <w:rsid w:val="52765BD3"/>
    <w:rsid w:val="52851E0F"/>
    <w:rsid w:val="529B0943"/>
    <w:rsid w:val="52F44E38"/>
    <w:rsid w:val="52FE3AEF"/>
    <w:rsid w:val="53284056"/>
    <w:rsid w:val="536B2B1F"/>
    <w:rsid w:val="537038AC"/>
    <w:rsid w:val="537540CD"/>
    <w:rsid w:val="53911E0A"/>
    <w:rsid w:val="53E13EC3"/>
    <w:rsid w:val="53E415EA"/>
    <w:rsid w:val="54140409"/>
    <w:rsid w:val="546837CB"/>
    <w:rsid w:val="54723DA3"/>
    <w:rsid w:val="547A0454"/>
    <w:rsid w:val="548C2969"/>
    <w:rsid w:val="54934AA7"/>
    <w:rsid w:val="549624AE"/>
    <w:rsid w:val="54CF254E"/>
    <w:rsid w:val="550B7745"/>
    <w:rsid w:val="55194B5B"/>
    <w:rsid w:val="554A42CB"/>
    <w:rsid w:val="55607267"/>
    <w:rsid w:val="556421BF"/>
    <w:rsid w:val="55676BB4"/>
    <w:rsid w:val="55835251"/>
    <w:rsid w:val="55913CA7"/>
    <w:rsid w:val="55CC6A83"/>
    <w:rsid w:val="560E3249"/>
    <w:rsid w:val="56186177"/>
    <w:rsid w:val="561B7A15"/>
    <w:rsid w:val="56532D14"/>
    <w:rsid w:val="56643F7B"/>
    <w:rsid w:val="56821842"/>
    <w:rsid w:val="568B06F7"/>
    <w:rsid w:val="569F0646"/>
    <w:rsid w:val="56B45E9F"/>
    <w:rsid w:val="56D3302D"/>
    <w:rsid w:val="56D973CF"/>
    <w:rsid w:val="56FC63ED"/>
    <w:rsid w:val="57035F7F"/>
    <w:rsid w:val="570E4942"/>
    <w:rsid w:val="573222F5"/>
    <w:rsid w:val="5737262D"/>
    <w:rsid w:val="579A0B0F"/>
    <w:rsid w:val="57BA102C"/>
    <w:rsid w:val="57D61931"/>
    <w:rsid w:val="57DD6DD0"/>
    <w:rsid w:val="582A366D"/>
    <w:rsid w:val="585169D2"/>
    <w:rsid w:val="58861256"/>
    <w:rsid w:val="58906680"/>
    <w:rsid w:val="58D03F93"/>
    <w:rsid w:val="59016B9E"/>
    <w:rsid w:val="595963DC"/>
    <w:rsid w:val="595A456A"/>
    <w:rsid w:val="59607A95"/>
    <w:rsid w:val="59962910"/>
    <w:rsid w:val="59964FFE"/>
    <w:rsid w:val="59DB6FF7"/>
    <w:rsid w:val="59E20C6B"/>
    <w:rsid w:val="5A2515C6"/>
    <w:rsid w:val="5A2E66EC"/>
    <w:rsid w:val="5A395940"/>
    <w:rsid w:val="5A513553"/>
    <w:rsid w:val="5A7F7348"/>
    <w:rsid w:val="5A8329E1"/>
    <w:rsid w:val="5A8D4028"/>
    <w:rsid w:val="5A976D2B"/>
    <w:rsid w:val="5A9B5D67"/>
    <w:rsid w:val="5AD059E8"/>
    <w:rsid w:val="5AE92B8E"/>
    <w:rsid w:val="5B075A06"/>
    <w:rsid w:val="5B153530"/>
    <w:rsid w:val="5B3168E5"/>
    <w:rsid w:val="5B4C3B08"/>
    <w:rsid w:val="5B6D574D"/>
    <w:rsid w:val="5B8338B0"/>
    <w:rsid w:val="5B885B4D"/>
    <w:rsid w:val="5BE73EC9"/>
    <w:rsid w:val="5BFB6474"/>
    <w:rsid w:val="5C0D7037"/>
    <w:rsid w:val="5C2A7DE1"/>
    <w:rsid w:val="5C2F5E74"/>
    <w:rsid w:val="5C323783"/>
    <w:rsid w:val="5C3D06E5"/>
    <w:rsid w:val="5C6829AF"/>
    <w:rsid w:val="5C6D1843"/>
    <w:rsid w:val="5C806B92"/>
    <w:rsid w:val="5C8F1D6F"/>
    <w:rsid w:val="5C9F5B4C"/>
    <w:rsid w:val="5CDC1F44"/>
    <w:rsid w:val="5CF26970"/>
    <w:rsid w:val="5D1860EA"/>
    <w:rsid w:val="5D352289"/>
    <w:rsid w:val="5D5B375C"/>
    <w:rsid w:val="5D5D1495"/>
    <w:rsid w:val="5D634689"/>
    <w:rsid w:val="5D6D26E9"/>
    <w:rsid w:val="5D703886"/>
    <w:rsid w:val="5D9A4716"/>
    <w:rsid w:val="5E0733DA"/>
    <w:rsid w:val="5E1406C1"/>
    <w:rsid w:val="5E1A1D20"/>
    <w:rsid w:val="5E2F7E48"/>
    <w:rsid w:val="5E602469"/>
    <w:rsid w:val="5E717821"/>
    <w:rsid w:val="5EAB5584"/>
    <w:rsid w:val="5EC52DEA"/>
    <w:rsid w:val="5ECB3D0A"/>
    <w:rsid w:val="5ED510A9"/>
    <w:rsid w:val="5EF263E7"/>
    <w:rsid w:val="5EF75F46"/>
    <w:rsid w:val="5F21609C"/>
    <w:rsid w:val="5F230BEF"/>
    <w:rsid w:val="5F622ECF"/>
    <w:rsid w:val="5FA665A1"/>
    <w:rsid w:val="5FAB7FB5"/>
    <w:rsid w:val="5FAD2544"/>
    <w:rsid w:val="5FB66017"/>
    <w:rsid w:val="5FFE29B9"/>
    <w:rsid w:val="60786190"/>
    <w:rsid w:val="608E7761"/>
    <w:rsid w:val="60915473"/>
    <w:rsid w:val="6092153B"/>
    <w:rsid w:val="609B683C"/>
    <w:rsid w:val="60A00576"/>
    <w:rsid w:val="60AF2097"/>
    <w:rsid w:val="60B34A44"/>
    <w:rsid w:val="60B753A8"/>
    <w:rsid w:val="60BB7E2A"/>
    <w:rsid w:val="60C870C1"/>
    <w:rsid w:val="60F51603"/>
    <w:rsid w:val="6144156E"/>
    <w:rsid w:val="615D7134"/>
    <w:rsid w:val="618F268C"/>
    <w:rsid w:val="61EA23B0"/>
    <w:rsid w:val="620A72BB"/>
    <w:rsid w:val="62287615"/>
    <w:rsid w:val="622F67B3"/>
    <w:rsid w:val="627D4254"/>
    <w:rsid w:val="62897466"/>
    <w:rsid w:val="62AD3683"/>
    <w:rsid w:val="62B261AF"/>
    <w:rsid w:val="62F57B08"/>
    <w:rsid w:val="6303429D"/>
    <w:rsid w:val="63205356"/>
    <w:rsid w:val="63424833"/>
    <w:rsid w:val="63464D73"/>
    <w:rsid w:val="635822A8"/>
    <w:rsid w:val="63583AEB"/>
    <w:rsid w:val="6373268F"/>
    <w:rsid w:val="63737FC7"/>
    <w:rsid w:val="63C656BB"/>
    <w:rsid w:val="63CE3380"/>
    <w:rsid w:val="63E36016"/>
    <w:rsid w:val="63F21DB5"/>
    <w:rsid w:val="63FF6480"/>
    <w:rsid w:val="640A1EA8"/>
    <w:rsid w:val="642900E6"/>
    <w:rsid w:val="64302590"/>
    <w:rsid w:val="6439089B"/>
    <w:rsid w:val="64495DD6"/>
    <w:rsid w:val="64623809"/>
    <w:rsid w:val="64746C6E"/>
    <w:rsid w:val="647C3D75"/>
    <w:rsid w:val="65080F89"/>
    <w:rsid w:val="651E4E2C"/>
    <w:rsid w:val="655A76A7"/>
    <w:rsid w:val="655C6589"/>
    <w:rsid w:val="66047425"/>
    <w:rsid w:val="661052EF"/>
    <w:rsid w:val="66207331"/>
    <w:rsid w:val="662830CF"/>
    <w:rsid w:val="66747DFB"/>
    <w:rsid w:val="66767F83"/>
    <w:rsid w:val="66D54C1C"/>
    <w:rsid w:val="66F41F1E"/>
    <w:rsid w:val="6701113C"/>
    <w:rsid w:val="671C40AC"/>
    <w:rsid w:val="672D4EE4"/>
    <w:rsid w:val="677658C0"/>
    <w:rsid w:val="6797113A"/>
    <w:rsid w:val="67AF1F51"/>
    <w:rsid w:val="67BC1DD1"/>
    <w:rsid w:val="67C86935"/>
    <w:rsid w:val="67D14F07"/>
    <w:rsid w:val="67E07000"/>
    <w:rsid w:val="67E77C07"/>
    <w:rsid w:val="67EA3883"/>
    <w:rsid w:val="67EC51A3"/>
    <w:rsid w:val="680F17C8"/>
    <w:rsid w:val="681C04AD"/>
    <w:rsid w:val="683A6B4A"/>
    <w:rsid w:val="68444162"/>
    <w:rsid w:val="686A6F2B"/>
    <w:rsid w:val="68825416"/>
    <w:rsid w:val="68AA0B6B"/>
    <w:rsid w:val="68AC217A"/>
    <w:rsid w:val="68C77ED2"/>
    <w:rsid w:val="68E24AEE"/>
    <w:rsid w:val="68E331BF"/>
    <w:rsid w:val="6922138F"/>
    <w:rsid w:val="69F85C86"/>
    <w:rsid w:val="6A09523D"/>
    <w:rsid w:val="6A1B26B7"/>
    <w:rsid w:val="6A244C92"/>
    <w:rsid w:val="6A2809FC"/>
    <w:rsid w:val="6A883CBC"/>
    <w:rsid w:val="6A902328"/>
    <w:rsid w:val="6B19056F"/>
    <w:rsid w:val="6B340F05"/>
    <w:rsid w:val="6B345E30"/>
    <w:rsid w:val="6B3A216D"/>
    <w:rsid w:val="6B4A7E40"/>
    <w:rsid w:val="6B505357"/>
    <w:rsid w:val="6B874EAB"/>
    <w:rsid w:val="6B985938"/>
    <w:rsid w:val="6BFB3E5A"/>
    <w:rsid w:val="6BFD3458"/>
    <w:rsid w:val="6C423778"/>
    <w:rsid w:val="6CAF118B"/>
    <w:rsid w:val="6CBB7E1F"/>
    <w:rsid w:val="6CC01E51"/>
    <w:rsid w:val="6CF372CA"/>
    <w:rsid w:val="6D027F59"/>
    <w:rsid w:val="6D2D1C64"/>
    <w:rsid w:val="6D475F5F"/>
    <w:rsid w:val="6D600E21"/>
    <w:rsid w:val="6D68133A"/>
    <w:rsid w:val="6DA82289"/>
    <w:rsid w:val="6DC03AFE"/>
    <w:rsid w:val="6DE915B6"/>
    <w:rsid w:val="6E061A11"/>
    <w:rsid w:val="6E345B45"/>
    <w:rsid w:val="6E63668A"/>
    <w:rsid w:val="6E671CA5"/>
    <w:rsid w:val="6E741E30"/>
    <w:rsid w:val="6E7E1055"/>
    <w:rsid w:val="6E9A5352"/>
    <w:rsid w:val="6EA0733B"/>
    <w:rsid w:val="6EBB122E"/>
    <w:rsid w:val="6EBB2C83"/>
    <w:rsid w:val="6EC77A48"/>
    <w:rsid w:val="6EC77E06"/>
    <w:rsid w:val="6EC97030"/>
    <w:rsid w:val="6F135451"/>
    <w:rsid w:val="6F2B35AD"/>
    <w:rsid w:val="6F332F4A"/>
    <w:rsid w:val="6F3C2DD2"/>
    <w:rsid w:val="6F8063CA"/>
    <w:rsid w:val="6FB66044"/>
    <w:rsid w:val="6FE25DC9"/>
    <w:rsid w:val="6FE8588F"/>
    <w:rsid w:val="6FF0664D"/>
    <w:rsid w:val="700A492A"/>
    <w:rsid w:val="702529D1"/>
    <w:rsid w:val="703F6602"/>
    <w:rsid w:val="70F34F86"/>
    <w:rsid w:val="70F759D2"/>
    <w:rsid w:val="71211F2C"/>
    <w:rsid w:val="713E329A"/>
    <w:rsid w:val="7146159B"/>
    <w:rsid w:val="714D0321"/>
    <w:rsid w:val="715C7211"/>
    <w:rsid w:val="718D73C3"/>
    <w:rsid w:val="71900A0A"/>
    <w:rsid w:val="719A4E18"/>
    <w:rsid w:val="71BC787F"/>
    <w:rsid w:val="71BE3E19"/>
    <w:rsid w:val="72011EEA"/>
    <w:rsid w:val="720A0C12"/>
    <w:rsid w:val="727517BE"/>
    <w:rsid w:val="72BB53F2"/>
    <w:rsid w:val="72D442B8"/>
    <w:rsid w:val="73004C22"/>
    <w:rsid w:val="73555EBD"/>
    <w:rsid w:val="7386317F"/>
    <w:rsid w:val="7395781C"/>
    <w:rsid w:val="73A53748"/>
    <w:rsid w:val="73B01345"/>
    <w:rsid w:val="73F00452"/>
    <w:rsid w:val="73F97D41"/>
    <w:rsid w:val="74A353FC"/>
    <w:rsid w:val="74B55FCA"/>
    <w:rsid w:val="751E6462"/>
    <w:rsid w:val="7547670C"/>
    <w:rsid w:val="754B5EDD"/>
    <w:rsid w:val="756D7FC7"/>
    <w:rsid w:val="75B626CC"/>
    <w:rsid w:val="75D86956"/>
    <w:rsid w:val="75EE1EAC"/>
    <w:rsid w:val="761205FE"/>
    <w:rsid w:val="761518EF"/>
    <w:rsid w:val="761D11FC"/>
    <w:rsid w:val="76393874"/>
    <w:rsid w:val="76753CC2"/>
    <w:rsid w:val="768947FB"/>
    <w:rsid w:val="768A49A6"/>
    <w:rsid w:val="76BA279A"/>
    <w:rsid w:val="76BD3140"/>
    <w:rsid w:val="76D75E34"/>
    <w:rsid w:val="76DB2A57"/>
    <w:rsid w:val="76DD04DF"/>
    <w:rsid w:val="76EE5BC6"/>
    <w:rsid w:val="76F1318D"/>
    <w:rsid w:val="76F226CA"/>
    <w:rsid w:val="770245AD"/>
    <w:rsid w:val="77360703"/>
    <w:rsid w:val="773B1F42"/>
    <w:rsid w:val="77492189"/>
    <w:rsid w:val="776E61EE"/>
    <w:rsid w:val="777D019A"/>
    <w:rsid w:val="779D0C3B"/>
    <w:rsid w:val="77BA27C4"/>
    <w:rsid w:val="77C16217"/>
    <w:rsid w:val="781E6439"/>
    <w:rsid w:val="78214A6B"/>
    <w:rsid w:val="7824041B"/>
    <w:rsid w:val="78897474"/>
    <w:rsid w:val="78A64B86"/>
    <w:rsid w:val="78BD078C"/>
    <w:rsid w:val="78DE3D6C"/>
    <w:rsid w:val="78E33867"/>
    <w:rsid w:val="78E52BDC"/>
    <w:rsid w:val="78F11367"/>
    <w:rsid w:val="78F93EFF"/>
    <w:rsid w:val="790776EC"/>
    <w:rsid w:val="7924559A"/>
    <w:rsid w:val="798701EE"/>
    <w:rsid w:val="798720C7"/>
    <w:rsid w:val="798B75C8"/>
    <w:rsid w:val="798D230A"/>
    <w:rsid w:val="79A3081B"/>
    <w:rsid w:val="79A8143C"/>
    <w:rsid w:val="7A071D78"/>
    <w:rsid w:val="7A2D742D"/>
    <w:rsid w:val="7A5600FC"/>
    <w:rsid w:val="7A5C06AF"/>
    <w:rsid w:val="7A6447EC"/>
    <w:rsid w:val="7A6E489C"/>
    <w:rsid w:val="7A716D06"/>
    <w:rsid w:val="7AB14A59"/>
    <w:rsid w:val="7AC662B5"/>
    <w:rsid w:val="7B347D8A"/>
    <w:rsid w:val="7B8F4980"/>
    <w:rsid w:val="7B972CB9"/>
    <w:rsid w:val="7BA61501"/>
    <w:rsid w:val="7BAF14B0"/>
    <w:rsid w:val="7BD06448"/>
    <w:rsid w:val="7BE85AB6"/>
    <w:rsid w:val="7CA103C5"/>
    <w:rsid w:val="7CA420D7"/>
    <w:rsid w:val="7CC52305"/>
    <w:rsid w:val="7CE922B5"/>
    <w:rsid w:val="7CF0056D"/>
    <w:rsid w:val="7CFD4359"/>
    <w:rsid w:val="7D196F8A"/>
    <w:rsid w:val="7D324E38"/>
    <w:rsid w:val="7D376D09"/>
    <w:rsid w:val="7D3A16E9"/>
    <w:rsid w:val="7D4A2A43"/>
    <w:rsid w:val="7D7B5294"/>
    <w:rsid w:val="7D9D74DD"/>
    <w:rsid w:val="7DA92784"/>
    <w:rsid w:val="7DB2187F"/>
    <w:rsid w:val="7DB37D69"/>
    <w:rsid w:val="7DCA019C"/>
    <w:rsid w:val="7DCA17AE"/>
    <w:rsid w:val="7DE55723"/>
    <w:rsid w:val="7DED451A"/>
    <w:rsid w:val="7E2214CE"/>
    <w:rsid w:val="7E2F24BC"/>
    <w:rsid w:val="7E564EE1"/>
    <w:rsid w:val="7E6D3957"/>
    <w:rsid w:val="7E6D67B0"/>
    <w:rsid w:val="7E8D7C7B"/>
    <w:rsid w:val="7EA83077"/>
    <w:rsid w:val="7ECD0B10"/>
    <w:rsid w:val="7ED53E1B"/>
    <w:rsid w:val="7F1D6A6D"/>
    <w:rsid w:val="7F2554A7"/>
    <w:rsid w:val="7F2A34D9"/>
    <w:rsid w:val="7F4D44C9"/>
    <w:rsid w:val="7F7A3881"/>
    <w:rsid w:val="7FA606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styleId="3">
    <w:name w:val="heading 1"/>
    <w:basedOn w:val="1"/>
    <w:next w:val="1"/>
    <w:autoRedefine/>
    <w:qFormat/>
    <w:uiPriority w:val="0"/>
    <w:pPr>
      <w:autoSpaceDE w:val="0"/>
      <w:autoSpaceDN w:val="0"/>
      <w:adjustRightInd w:val="0"/>
      <w:jc w:val="left"/>
      <w:outlineLvl w:val="0"/>
    </w:pPr>
    <w:rPr>
      <w:kern w:val="0"/>
      <w:sz w:val="30"/>
    </w:rPr>
  </w:style>
  <w:style w:type="paragraph" w:styleId="4">
    <w:name w:val="heading 2"/>
    <w:basedOn w:val="1"/>
    <w:next w:val="1"/>
    <w:link w:val="161"/>
    <w:autoRedefine/>
    <w:qFormat/>
    <w:uiPriority w:val="0"/>
    <w:pPr>
      <w:autoSpaceDE w:val="0"/>
      <w:autoSpaceDN w:val="0"/>
      <w:adjustRightInd w:val="0"/>
      <w:jc w:val="left"/>
      <w:outlineLvl w:val="1"/>
    </w:pPr>
    <w:rPr>
      <w:kern w:val="0"/>
    </w:rPr>
  </w:style>
  <w:style w:type="paragraph" w:styleId="5">
    <w:name w:val="heading 3"/>
    <w:basedOn w:val="6"/>
    <w:next w:val="6"/>
    <w:autoRedefine/>
    <w:qFormat/>
    <w:uiPriority w:val="0"/>
    <w:pPr>
      <w:keepNext/>
      <w:keepLines/>
      <w:spacing w:before="120" w:after="120"/>
      <w:jc w:val="center"/>
      <w:outlineLvl w:val="2"/>
    </w:pPr>
    <w:rPr>
      <w:rFonts w:ascii="Times New Roman" w:hAnsi="Times New Roman" w:eastAsia="宋体" w:cs="Times New Roman"/>
      <w:sz w:val="24"/>
      <w:lang w:val="en-US" w:eastAsia="zh-CN" w:bidi="ar-SA"/>
    </w:rPr>
  </w:style>
  <w:style w:type="paragraph" w:styleId="7">
    <w:name w:val="heading 4"/>
    <w:basedOn w:val="1"/>
    <w:next w:val="1"/>
    <w:autoRedefine/>
    <w:qFormat/>
    <w:uiPriority w:val="0"/>
    <w:pPr>
      <w:keepNext/>
      <w:keepLines/>
      <w:spacing w:before="280" w:after="290" w:line="374" w:lineRule="auto"/>
      <w:outlineLvl w:val="3"/>
    </w:pPr>
    <w:rPr>
      <w:rFonts w:ascii="Arial" w:hAnsi="Arial"/>
    </w:rPr>
  </w:style>
  <w:style w:type="character" w:default="1" w:styleId="33">
    <w:name w:val="Default Paragraph Font"/>
    <w:semiHidden/>
    <w:unhideWhenUsed/>
    <w:qFormat/>
    <w:uiPriority w:val="1"/>
  </w:style>
  <w:style w:type="table" w:default="1" w:styleId="31">
    <w:name w:val="Normal Table"/>
    <w:semiHidden/>
    <w:unhideWhenUsed/>
    <w:qFormat/>
    <w:uiPriority w:val="99"/>
    <w:tblPr>
      <w:tblCellMar>
        <w:top w:w="0" w:type="dxa"/>
        <w:left w:w="108" w:type="dxa"/>
        <w:bottom w:w="0" w:type="dxa"/>
        <w:right w:w="108" w:type="dxa"/>
      </w:tblCellMar>
    </w:tblPr>
  </w:style>
  <w:style w:type="paragraph" w:styleId="2">
    <w:name w:val="Plain Text"/>
    <w:basedOn w:val="1"/>
    <w:qFormat/>
    <w:uiPriority w:val="0"/>
    <w:rPr>
      <w:rFonts w:ascii="宋体" w:hAnsi="Courier New" w:eastAsia="宋体" w:cs="Courier New"/>
      <w:szCs w:val="21"/>
    </w:rPr>
  </w:style>
  <w:style w:type="paragraph" w:styleId="6">
    <w:name w:val="Normal Indent"/>
    <w:basedOn w:val="1"/>
    <w:qFormat/>
    <w:uiPriority w:val="0"/>
    <w:pPr>
      <w:widowControl/>
      <w:ind w:firstLine="420"/>
      <w:jc w:val="left"/>
    </w:pPr>
    <w:rPr>
      <w:kern w:val="0"/>
      <w:sz w:val="20"/>
    </w:rPr>
  </w:style>
  <w:style w:type="paragraph" w:styleId="8">
    <w:name w:val="toc 7"/>
    <w:basedOn w:val="1"/>
    <w:next w:val="1"/>
    <w:autoRedefine/>
    <w:qFormat/>
    <w:uiPriority w:val="0"/>
    <w:pPr>
      <w:ind w:left="1680"/>
      <w:jc w:val="left"/>
    </w:pPr>
  </w:style>
  <w:style w:type="paragraph" w:styleId="9">
    <w:name w:val="table of authorities"/>
    <w:basedOn w:val="1"/>
    <w:next w:val="1"/>
    <w:autoRedefine/>
    <w:qFormat/>
    <w:uiPriority w:val="0"/>
    <w:pPr>
      <w:ind w:left="420" w:leftChars="200"/>
    </w:pPr>
  </w:style>
  <w:style w:type="paragraph" w:styleId="10">
    <w:name w:val="Document Map"/>
    <w:basedOn w:val="1"/>
    <w:autoRedefine/>
    <w:qFormat/>
    <w:uiPriority w:val="0"/>
    <w:pPr>
      <w:shd w:val="clear" w:color="auto" w:fill="000080"/>
    </w:pPr>
  </w:style>
  <w:style w:type="paragraph" w:styleId="11">
    <w:name w:val="annotation text"/>
    <w:basedOn w:val="1"/>
    <w:next w:val="1"/>
    <w:autoRedefine/>
    <w:qFormat/>
    <w:uiPriority w:val="0"/>
    <w:pPr>
      <w:adjustRightInd w:val="0"/>
      <w:spacing w:line="360" w:lineRule="atLeast"/>
      <w:jc w:val="left"/>
      <w:textAlignment w:val="baseline"/>
    </w:pPr>
    <w:rPr>
      <w:kern w:val="0"/>
    </w:rPr>
  </w:style>
  <w:style w:type="paragraph" w:styleId="12">
    <w:name w:val="Body Text"/>
    <w:basedOn w:val="1"/>
    <w:autoRedefine/>
    <w:qFormat/>
    <w:uiPriority w:val="0"/>
    <w:pPr>
      <w:spacing w:after="120"/>
    </w:pPr>
  </w:style>
  <w:style w:type="paragraph" w:styleId="13">
    <w:name w:val="Body Text Indent"/>
    <w:basedOn w:val="1"/>
    <w:link w:val="46"/>
    <w:autoRedefine/>
    <w:qFormat/>
    <w:uiPriority w:val="0"/>
    <w:pPr>
      <w:ind w:firstLine="560" w:firstLineChars="200"/>
    </w:pPr>
  </w:style>
  <w:style w:type="paragraph" w:styleId="14">
    <w:name w:val="toc 5"/>
    <w:basedOn w:val="1"/>
    <w:next w:val="1"/>
    <w:autoRedefine/>
    <w:qFormat/>
    <w:uiPriority w:val="0"/>
    <w:pPr>
      <w:ind w:left="1120"/>
      <w:jc w:val="left"/>
    </w:pPr>
  </w:style>
  <w:style w:type="paragraph" w:styleId="15">
    <w:name w:val="toc 3"/>
    <w:basedOn w:val="1"/>
    <w:next w:val="1"/>
    <w:autoRedefine/>
    <w:qFormat/>
    <w:uiPriority w:val="0"/>
    <w:pPr>
      <w:ind w:left="561"/>
      <w:jc w:val="left"/>
    </w:pPr>
  </w:style>
  <w:style w:type="paragraph" w:styleId="16">
    <w:name w:val="toc 8"/>
    <w:basedOn w:val="1"/>
    <w:next w:val="1"/>
    <w:autoRedefine/>
    <w:qFormat/>
    <w:uiPriority w:val="0"/>
    <w:pPr>
      <w:ind w:left="1960"/>
      <w:jc w:val="left"/>
    </w:pPr>
  </w:style>
  <w:style w:type="paragraph" w:styleId="17">
    <w:name w:val="Body Text Indent 2"/>
    <w:basedOn w:val="1"/>
    <w:autoRedefine/>
    <w:qFormat/>
    <w:uiPriority w:val="0"/>
    <w:pPr>
      <w:spacing w:line="480" w:lineRule="auto"/>
      <w:ind w:firstLine="561"/>
    </w:pPr>
  </w:style>
  <w:style w:type="paragraph" w:styleId="18">
    <w:name w:val="Balloon Text"/>
    <w:basedOn w:val="1"/>
    <w:autoRedefine/>
    <w:qFormat/>
    <w:uiPriority w:val="0"/>
    <w:rPr>
      <w:sz w:val="18"/>
      <w:szCs w:val="18"/>
    </w:rPr>
  </w:style>
  <w:style w:type="paragraph" w:styleId="19">
    <w:name w:val="footer"/>
    <w:basedOn w:val="1"/>
    <w:autoRedefine/>
    <w:qFormat/>
    <w:uiPriority w:val="0"/>
    <w:pPr>
      <w:widowControl/>
      <w:tabs>
        <w:tab w:val="center" w:pos="4153"/>
        <w:tab w:val="right" w:pos="8306"/>
      </w:tabs>
      <w:snapToGrid w:val="0"/>
      <w:jc w:val="left"/>
    </w:pPr>
    <w:rPr>
      <w:kern w:val="0"/>
      <w:sz w:val="18"/>
    </w:rPr>
  </w:style>
  <w:style w:type="paragraph" w:styleId="20">
    <w:name w:val="header"/>
    <w:basedOn w:val="1"/>
    <w:autoRedefine/>
    <w:qFormat/>
    <w:uiPriority w:val="0"/>
    <w:pPr>
      <w:widowControl/>
      <w:pBdr>
        <w:bottom w:val="single" w:color="auto" w:sz="6" w:space="1"/>
      </w:pBdr>
      <w:tabs>
        <w:tab w:val="center" w:pos="4153"/>
        <w:tab w:val="right" w:pos="8306"/>
      </w:tabs>
      <w:snapToGrid w:val="0"/>
      <w:jc w:val="center"/>
    </w:pPr>
    <w:rPr>
      <w:kern w:val="0"/>
      <w:sz w:val="18"/>
    </w:rPr>
  </w:style>
  <w:style w:type="paragraph" w:styleId="21">
    <w:name w:val="toc 1"/>
    <w:basedOn w:val="1"/>
    <w:next w:val="1"/>
    <w:autoRedefine/>
    <w:qFormat/>
    <w:uiPriority w:val="0"/>
    <w:pPr>
      <w:spacing w:before="120" w:after="120"/>
      <w:jc w:val="left"/>
    </w:pPr>
    <w:rPr>
      <w:caps/>
    </w:rPr>
  </w:style>
  <w:style w:type="paragraph" w:styleId="22">
    <w:name w:val="toc 4"/>
    <w:basedOn w:val="1"/>
    <w:next w:val="1"/>
    <w:autoRedefine/>
    <w:qFormat/>
    <w:uiPriority w:val="0"/>
    <w:pPr>
      <w:ind w:left="840"/>
      <w:jc w:val="left"/>
    </w:pPr>
  </w:style>
  <w:style w:type="paragraph" w:styleId="23">
    <w:name w:val="toc 6"/>
    <w:basedOn w:val="1"/>
    <w:next w:val="1"/>
    <w:autoRedefine/>
    <w:qFormat/>
    <w:uiPriority w:val="0"/>
    <w:pPr>
      <w:ind w:left="1400"/>
      <w:jc w:val="left"/>
    </w:pPr>
  </w:style>
  <w:style w:type="paragraph" w:styleId="24">
    <w:name w:val="Body Text Indent 3"/>
    <w:basedOn w:val="1"/>
    <w:link w:val="47"/>
    <w:autoRedefine/>
    <w:qFormat/>
    <w:uiPriority w:val="0"/>
    <w:pPr>
      <w:ind w:firstLine="560"/>
    </w:pPr>
    <w:rPr>
      <w:color w:val="FF0000"/>
    </w:rPr>
  </w:style>
  <w:style w:type="paragraph" w:styleId="25">
    <w:name w:val="toc 2"/>
    <w:basedOn w:val="1"/>
    <w:next w:val="1"/>
    <w:autoRedefine/>
    <w:qFormat/>
    <w:uiPriority w:val="0"/>
    <w:pPr>
      <w:ind w:left="278"/>
      <w:jc w:val="left"/>
    </w:pPr>
    <w:rPr>
      <w:smallCaps/>
    </w:rPr>
  </w:style>
  <w:style w:type="paragraph" w:styleId="26">
    <w:name w:val="toc 9"/>
    <w:basedOn w:val="1"/>
    <w:next w:val="1"/>
    <w:autoRedefine/>
    <w:qFormat/>
    <w:uiPriority w:val="0"/>
    <w:pPr>
      <w:ind w:left="2240"/>
      <w:jc w:val="left"/>
    </w:pPr>
  </w:style>
  <w:style w:type="paragraph" w:styleId="27">
    <w:name w:val="Body Text 2"/>
    <w:basedOn w:val="1"/>
    <w:next w:val="12"/>
    <w:autoRedefine/>
    <w:qFormat/>
    <w:uiPriority w:val="0"/>
    <w:pPr>
      <w:spacing w:line="500" w:lineRule="exact"/>
    </w:pPr>
  </w:style>
  <w:style w:type="paragraph" w:styleId="28">
    <w:name w:val="Normal (Web)"/>
    <w:basedOn w:val="1"/>
    <w:autoRedefine/>
    <w:qFormat/>
    <w:uiPriority w:val="0"/>
    <w:pPr>
      <w:widowControl/>
      <w:spacing w:before="100" w:beforeAutospacing="1" w:after="100" w:afterAutospacing="1" w:line="240" w:lineRule="auto"/>
      <w:jc w:val="left"/>
    </w:pPr>
    <w:rPr>
      <w:rFonts w:hAnsi="宋体" w:cs="宋体"/>
      <w:color w:val="000000"/>
      <w:kern w:val="0"/>
      <w:szCs w:val="24"/>
    </w:rPr>
  </w:style>
  <w:style w:type="paragraph" w:styleId="29">
    <w:name w:val="annotation subject"/>
    <w:basedOn w:val="11"/>
    <w:next w:val="11"/>
    <w:autoRedefine/>
    <w:qFormat/>
    <w:uiPriority w:val="0"/>
    <w:pPr>
      <w:adjustRightInd/>
      <w:spacing w:line="360" w:lineRule="auto"/>
      <w:textAlignment w:val="auto"/>
    </w:pPr>
    <w:rPr>
      <w:b/>
      <w:bCs/>
      <w:kern w:val="2"/>
    </w:rPr>
  </w:style>
  <w:style w:type="paragraph" w:styleId="30">
    <w:name w:val="Body Text First Indent 2"/>
    <w:autoRedefine/>
    <w:qFormat/>
    <w:uiPriority w:val="0"/>
    <w:pPr>
      <w:widowControl w:val="0"/>
      <w:spacing w:line="360" w:lineRule="auto"/>
      <w:ind w:firstLine="420"/>
      <w:jc w:val="both"/>
    </w:pPr>
    <w:rPr>
      <w:rFonts w:ascii="宋体" w:hAnsi="宋体" w:eastAsia="宋体" w:cs="Times New Roman"/>
      <w:kern w:val="1"/>
      <w:sz w:val="24"/>
      <w:lang w:val="en-US" w:eastAsia="zh-CN" w:bidi="ar-SA"/>
    </w:rPr>
  </w:style>
  <w:style w:type="table" w:styleId="32">
    <w:name w:val="Table Grid"/>
    <w:basedOn w:val="31"/>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4">
    <w:name w:val="Strong"/>
    <w:basedOn w:val="33"/>
    <w:autoRedefine/>
    <w:qFormat/>
    <w:uiPriority w:val="0"/>
    <w:rPr>
      <w:b/>
      <w:bCs/>
    </w:rPr>
  </w:style>
  <w:style w:type="character" w:styleId="35">
    <w:name w:val="page number"/>
    <w:basedOn w:val="33"/>
    <w:autoRedefine/>
    <w:qFormat/>
    <w:uiPriority w:val="0"/>
  </w:style>
  <w:style w:type="character" w:styleId="36">
    <w:name w:val="FollowedHyperlink"/>
    <w:autoRedefine/>
    <w:qFormat/>
    <w:uiPriority w:val="0"/>
    <w:rPr>
      <w:color w:val="800080"/>
      <w:u w:val="single"/>
    </w:rPr>
  </w:style>
  <w:style w:type="character" w:styleId="37">
    <w:name w:val="Emphasis"/>
    <w:basedOn w:val="33"/>
    <w:qFormat/>
    <w:uiPriority w:val="0"/>
    <w:rPr>
      <w:i/>
    </w:rPr>
  </w:style>
  <w:style w:type="character" w:styleId="38">
    <w:name w:val="Hyperlink"/>
    <w:autoRedefine/>
    <w:qFormat/>
    <w:uiPriority w:val="0"/>
    <w:rPr>
      <w:color w:val="0000FF"/>
      <w:u w:val="single"/>
    </w:rPr>
  </w:style>
  <w:style w:type="character" w:styleId="39">
    <w:name w:val="annotation reference"/>
    <w:autoRedefine/>
    <w:qFormat/>
    <w:uiPriority w:val="0"/>
    <w:rPr>
      <w:sz w:val="21"/>
    </w:rPr>
  </w:style>
  <w:style w:type="paragraph" w:customStyle="1" w:styleId="40">
    <w:name w:val="章标题"/>
    <w:next w:val="1"/>
    <w:qFormat/>
    <w:uiPriority w:val="0"/>
    <w:pPr>
      <w:spacing w:before="50" w:after="50"/>
      <w:jc w:val="both"/>
      <w:outlineLvl w:val="1"/>
    </w:pPr>
    <w:rPr>
      <w:rFonts w:ascii="黑体" w:hAnsi="Calibri" w:eastAsia="黑体" w:cs="Times New Roman"/>
      <w:kern w:val="0"/>
      <w:sz w:val="21"/>
      <w:szCs w:val="20"/>
      <w:lang w:val="en-US" w:eastAsia="zh-CN" w:bidi="ar-SA"/>
    </w:rPr>
  </w:style>
  <w:style w:type="paragraph" w:customStyle="1" w:styleId="41">
    <w:name w:val="Normal Indent1"/>
    <w:basedOn w:val="1"/>
    <w:autoRedefine/>
    <w:qFormat/>
    <w:uiPriority w:val="0"/>
    <w:pPr>
      <w:widowControl/>
      <w:ind w:firstLine="420"/>
      <w:jc w:val="left"/>
    </w:pPr>
    <w:rPr>
      <w:rFonts w:ascii="Times New Roman"/>
      <w:kern w:val="0"/>
    </w:rPr>
  </w:style>
  <w:style w:type="paragraph" w:customStyle="1" w:styleId="42">
    <w:name w:val="样式 宋体 行距: 1.5 倍行距"/>
    <w:basedOn w:val="43"/>
    <w:next w:val="1"/>
    <w:autoRedefine/>
    <w:qFormat/>
    <w:uiPriority w:val="0"/>
    <w:pPr>
      <w:jc w:val="center"/>
    </w:pPr>
    <w:rPr>
      <w:rFonts w:ascii="Times New Roman"/>
      <w:b/>
    </w:rPr>
  </w:style>
  <w:style w:type="paragraph" w:customStyle="1" w:styleId="43">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next w:val="42"/>
    <w:qFormat/>
    <w:uiPriority w:val="0"/>
    <w:pPr>
      <w:widowControl w:val="0"/>
      <w:jc w:val="both"/>
    </w:pPr>
    <w:rPr>
      <w:rFonts w:ascii="Calibri" w:hAnsi="Calibri" w:eastAsia="宋体" w:cs="黑体"/>
      <w:kern w:val="2"/>
      <w:sz w:val="21"/>
      <w:szCs w:val="24"/>
      <w:lang w:val="en-US" w:eastAsia="zh-CN" w:bidi="ar-SA"/>
    </w:rPr>
  </w:style>
  <w:style w:type="paragraph" w:customStyle="1" w:styleId="44">
    <w:name w:val="正文 New New New New New New New New New New New New New New New New New New New New New New New New New New New New New New New New New New New New New New New New New New New New New New New New New New New New New New New New New New New New New New Ne"/>
    <w:next w:val="42"/>
    <w:autoRedefine/>
    <w:qFormat/>
    <w:uiPriority w:val="0"/>
    <w:pPr>
      <w:widowControl w:val="0"/>
      <w:jc w:val="both"/>
    </w:pPr>
    <w:rPr>
      <w:rFonts w:ascii="Calibri" w:hAnsi="Calibri" w:eastAsia="宋体" w:cs="黑体"/>
      <w:kern w:val="2"/>
      <w:sz w:val="21"/>
      <w:szCs w:val="24"/>
      <w:lang w:val="en-US" w:eastAsia="zh-CN" w:bidi="ar-SA"/>
    </w:rPr>
  </w:style>
  <w:style w:type="paragraph" w:customStyle="1" w:styleId="45">
    <w:name w:val="Char Char2"/>
    <w:basedOn w:val="10"/>
    <w:autoRedefine/>
    <w:qFormat/>
    <w:uiPriority w:val="0"/>
    <w:pPr>
      <w:spacing w:line="240" w:lineRule="auto"/>
    </w:pPr>
  </w:style>
  <w:style w:type="character" w:customStyle="1" w:styleId="46">
    <w:name w:val="正文文本缩进 字符"/>
    <w:link w:val="13"/>
    <w:autoRedefine/>
    <w:qFormat/>
    <w:uiPriority w:val="0"/>
    <w:rPr>
      <w:rFonts w:ascii="宋体"/>
      <w:kern w:val="2"/>
      <w:sz w:val="24"/>
    </w:rPr>
  </w:style>
  <w:style w:type="character" w:customStyle="1" w:styleId="47">
    <w:name w:val="正文文本缩进 3 字符"/>
    <w:link w:val="24"/>
    <w:autoRedefine/>
    <w:qFormat/>
    <w:uiPriority w:val="0"/>
    <w:rPr>
      <w:rFonts w:ascii="宋体" w:eastAsia="宋体"/>
      <w:color w:val="FF0000"/>
      <w:kern w:val="2"/>
      <w:sz w:val="24"/>
      <w:lang w:val="en-US" w:eastAsia="zh-CN" w:bidi="ar-SA"/>
    </w:rPr>
  </w:style>
  <w:style w:type="character" w:customStyle="1" w:styleId="48">
    <w:name w:val="超链接 New New"/>
    <w:autoRedefine/>
    <w:qFormat/>
    <w:uiPriority w:val="0"/>
    <w:rPr>
      <w:color w:val="000000"/>
      <w:sz w:val="18"/>
      <w:szCs w:val="18"/>
      <w:u w:val="none"/>
    </w:rPr>
  </w:style>
  <w:style w:type="character" w:customStyle="1" w:styleId="49">
    <w:name w:val="超链接 New"/>
    <w:autoRedefine/>
    <w:qFormat/>
    <w:uiPriority w:val="0"/>
    <w:rPr>
      <w:color w:val="000000"/>
      <w:sz w:val="18"/>
      <w:szCs w:val="18"/>
      <w:u w:val="none"/>
    </w:rPr>
  </w:style>
  <w:style w:type="character" w:customStyle="1" w:styleId="50">
    <w:name w:val="默认段落字体1"/>
    <w:autoRedefine/>
    <w:qFormat/>
    <w:uiPriority w:val="0"/>
    <w:rPr>
      <w:rFonts w:hint="default"/>
    </w:rPr>
  </w:style>
  <w:style w:type="character" w:customStyle="1" w:styleId="51">
    <w:name w:val="默认段落字体 New New"/>
    <w:link w:val="52"/>
    <w:autoRedefine/>
    <w:qFormat/>
    <w:uiPriority w:val="0"/>
    <w:rPr>
      <w:rFonts w:ascii="Tahoma" w:hAnsi="Tahoma"/>
      <w:szCs w:val="24"/>
    </w:rPr>
  </w:style>
  <w:style w:type="paragraph" w:customStyle="1" w:styleId="52">
    <w:name w:val="Char New New"/>
    <w:basedOn w:val="1"/>
    <w:link w:val="51"/>
    <w:autoRedefine/>
    <w:qFormat/>
    <w:uiPriority w:val="0"/>
    <w:pPr>
      <w:spacing w:line="240" w:lineRule="auto"/>
    </w:pPr>
    <w:rPr>
      <w:rFonts w:ascii="Tahoma" w:hAnsi="Tahoma"/>
      <w:szCs w:val="24"/>
    </w:rPr>
  </w:style>
  <w:style w:type="character" w:customStyle="1" w:styleId="53">
    <w:name w:val="默认段落字体 New"/>
    <w:link w:val="54"/>
    <w:autoRedefine/>
    <w:qFormat/>
    <w:uiPriority w:val="0"/>
    <w:rPr>
      <w:rFonts w:ascii="Tahoma" w:hAnsi="Tahoma"/>
      <w:szCs w:val="24"/>
    </w:rPr>
  </w:style>
  <w:style w:type="paragraph" w:customStyle="1" w:styleId="54">
    <w:name w:val="Char New"/>
    <w:basedOn w:val="1"/>
    <w:link w:val="53"/>
    <w:autoRedefine/>
    <w:qFormat/>
    <w:uiPriority w:val="0"/>
    <w:pPr>
      <w:spacing w:line="240" w:lineRule="auto"/>
    </w:pPr>
    <w:rPr>
      <w:rFonts w:ascii="Tahoma" w:hAnsi="Tahoma"/>
      <w:szCs w:val="24"/>
    </w:rPr>
  </w:style>
  <w:style w:type="character" w:customStyle="1" w:styleId="55">
    <w:name w:val="页码 New New New"/>
    <w:autoRedefine/>
    <w:qFormat/>
    <w:uiPriority w:val="0"/>
    <w:rPr>
      <w:rFonts w:eastAsia="宋体"/>
      <w:kern w:val="2"/>
      <w:sz w:val="24"/>
      <w:szCs w:val="24"/>
      <w:lang w:val="en-US" w:eastAsia="zh-CN" w:bidi="ar-SA"/>
    </w:rPr>
  </w:style>
  <w:style w:type="character" w:customStyle="1" w:styleId="56">
    <w:name w:val="页码 New New"/>
    <w:autoRedefine/>
    <w:qFormat/>
    <w:uiPriority w:val="0"/>
    <w:rPr>
      <w:rFonts w:eastAsia="宋体"/>
      <w:kern w:val="2"/>
      <w:sz w:val="24"/>
      <w:szCs w:val="24"/>
      <w:lang w:val="en-US" w:eastAsia="zh-CN" w:bidi="ar-SA"/>
    </w:rPr>
  </w:style>
  <w:style w:type="character" w:customStyle="1" w:styleId="57">
    <w:name w:val="Char Char1"/>
    <w:autoRedefine/>
    <w:qFormat/>
    <w:uiPriority w:val="0"/>
    <w:rPr>
      <w:rFonts w:ascii="宋体" w:eastAsia="宋体"/>
      <w:color w:val="FF0000"/>
      <w:kern w:val="2"/>
      <w:sz w:val="24"/>
      <w:lang w:val="en-US" w:eastAsia="zh-CN" w:bidi="ar-SA"/>
    </w:rPr>
  </w:style>
  <w:style w:type="character" w:customStyle="1" w:styleId="58">
    <w:name w:val="页码 New"/>
    <w:autoRedefine/>
    <w:qFormat/>
    <w:uiPriority w:val="0"/>
    <w:rPr>
      <w:rFonts w:eastAsia="宋体"/>
      <w:kern w:val="2"/>
      <w:sz w:val="24"/>
      <w:szCs w:val="24"/>
      <w:lang w:val="en-US" w:eastAsia="zh-CN" w:bidi="ar-SA"/>
    </w:rPr>
  </w:style>
  <w:style w:type="paragraph" w:customStyle="1" w:styleId="59">
    <w:name w:val="标题 3 New"/>
    <w:autoRedefine/>
    <w:qFormat/>
    <w:uiPriority w:val="0"/>
    <w:pPr>
      <w:keepNext/>
      <w:keepLines/>
      <w:spacing w:before="120" w:after="120"/>
      <w:jc w:val="center"/>
      <w:outlineLvl w:val="2"/>
    </w:pPr>
    <w:rPr>
      <w:rFonts w:ascii="Times New Roman" w:hAnsi="Times New Roman" w:eastAsia="宋体" w:cs="Times New Roman"/>
      <w:sz w:val="24"/>
      <w:lang w:val="en-US" w:eastAsia="zh-CN" w:bidi="ar-SA"/>
    </w:rPr>
  </w:style>
  <w:style w:type="paragraph" w:customStyle="1" w:styleId="60">
    <w:name w:val="正文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61">
    <w:name w:val="页脚 New New New New New New New New New New New New New"/>
    <w:basedOn w:val="62"/>
    <w:autoRedefine/>
    <w:qFormat/>
    <w:uiPriority w:val="0"/>
    <w:pPr>
      <w:widowControl/>
      <w:tabs>
        <w:tab w:val="center" w:pos="4153"/>
        <w:tab w:val="right" w:pos="8306"/>
      </w:tabs>
      <w:snapToGrid w:val="0"/>
      <w:jc w:val="left"/>
    </w:pPr>
    <w:rPr>
      <w:sz w:val="18"/>
    </w:rPr>
  </w:style>
  <w:style w:type="paragraph" w:customStyle="1" w:styleId="62">
    <w:name w:val="正文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63">
    <w:name w:val="正文 New New New New New New New New New New New New New New New New New New New New New New New New New New New New New New New New New New New New New New New New New New New New New"/>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64">
    <w:name w:val="正文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65">
    <w:name w:val="正文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66">
    <w:name w:val="页脚 New New New New New"/>
    <w:basedOn w:val="67"/>
    <w:autoRedefine/>
    <w:qFormat/>
    <w:uiPriority w:val="0"/>
    <w:pPr>
      <w:tabs>
        <w:tab w:val="center" w:pos="4153"/>
        <w:tab w:val="right" w:pos="8306"/>
      </w:tabs>
      <w:snapToGrid w:val="0"/>
      <w:jc w:val="left"/>
    </w:pPr>
    <w:rPr>
      <w:sz w:val="18"/>
    </w:rPr>
  </w:style>
  <w:style w:type="paragraph" w:customStyle="1" w:styleId="67">
    <w:name w:val="正文 New New New New New New New New New New New New New New New New New New New New New"/>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68">
    <w:name w:val="纯文本 New New"/>
    <w:basedOn w:val="69"/>
    <w:autoRedefine/>
    <w:qFormat/>
    <w:uiPriority w:val="0"/>
    <w:rPr>
      <w:rFonts w:ascii="宋体" w:hAnsi="Courier New"/>
      <w:szCs w:val="24"/>
    </w:rPr>
  </w:style>
  <w:style w:type="paragraph" w:customStyle="1" w:styleId="69">
    <w:name w:val="正文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70">
    <w:name w:val="正文1"/>
    <w:autoRedefine/>
    <w:qFormat/>
    <w:uiPriority w:val="0"/>
    <w:pPr>
      <w:widowControl w:val="0"/>
      <w:spacing w:line="360" w:lineRule="auto"/>
      <w:jc w:val="both"/>
    </w:pPr>
    <w:rPr>
      <w:rFonts w:hint="eastAsia" w:ascii="宋体" w:hAnsi="Times New Roman" w:eastAsia="宋体" w:cs="Times New Roman"/>
      <w:kern w:val="2"/>
      <w:sz w:val="24"/>
      <w:lang w:val="en-US" w:eastAsia="zh-CN" w:bidi="ar-SA"/>
    </w:rPr>
  </w:style>
  <w:style w:type="paragraph" w:customStyle="1" w:styleId="71">
    <w:name w:val="页脚1"/>
    <w:basedOn w:val="70"/>
    <w:autoRedefine/>
    <w:qFormat/>
    <w:uiPriority w:val="0"/>
    <w:pPr>
      <w:widowControl/>
      <w:tabs>
        <w:tab w:val="center" w:pos="4153"/>
        <w:tab w:val="right" w:pos="8306"/>
      </w:tabs>
      <w:snapToGrid w:val="0"/>
      <w:jc w:val="left"/>
    </w:pPr>
    <w:rPr>
      <w:kern w:val="0"/>
      <w:sz w:val="18"/>
    </w:rPr>
  </w:style>
  <w:style w:type="paragraph" w:customStyle="1" w:styleId="72">
    <w:name w:val="正文 New New New New New New New New New New New New New New New New New New New New New New New New"/>
    <w:autoRedefine/>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customStyle="1" w:styleId="73">
    <w:name w:val="标题 3 New New"/>
    <w:basedOn w:val="74"/>
    <w:next w:val="74"/>
    <w:autoRedefine/>
    <w:qFormat/>
    <w:uiPriority w:val="0"/>
    <w:pPr>
      <w:keepNext/>
      <w:keepLines/>
      <w:spacing w:before="120" w:after="120"/>
      <w:jc w:val="center"/>
      <w:outlineLvl w:val="2"/>
    </w:pPr>
    <w:rPr>
      <w:sz w:val="24"/>
    </w:rPr>
  </w:style>
  <w:style w:type="paragraph" w:customStyle="1" w:styleId="74">
    <w:name w:val="正文缩进 New"/>
    <w:basedOn w:val="75"/>
    <w:autoRedefine/>
    <w:qFormat/>
    <w:uiPriority w:val="0"/>
    <w:pPr>
      <w:widowControl/>
      <w:ind w:firstLine="420"/>
      <w:jc w:val="left"/>
    </w:pPr>
    <w:rPr>
      <w:kern w:val="0"/>
      <w:sz w:val="20"/>
    </w:rPr>
  </w:style>
  <w:style w:type="paragraph" w:customStyle="1" w:styleId="75">
    <w:name w:val="正文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76">
    <w:name w:val="普通(网站) New"/>
    <w:basedOn w:val="77"/>
    <w:autoRedefine/>
    <w:qFormat/>
    <w:uiPriority w:val="0"/>
    <w:rPr>
      <w:sz w:val="24"/>
    </w:rPr>
  </w:style>
  <w:style w:type="paragraph" w:customStyle="1" w:styleId="77">
    <w:name w:val="正文 New New New New New New New New New New New New New New New New New New New New New New"/>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78">
    <w:name w:val="正文文本缩进 New"/>
    <w:basedOn w:val="75"/>
    <w:autoRedefine/>
    <w:qFormat/>
    <w:uiPriority w:val="0"/>
    <w:pPr>
      <w:ind w:firstLine="560" w:firstLineChars="200"/>
    </w:pPr>
  </w:style>
  <w:style w:type="paragraph" w:customStyle="1" w:styleId="79">
    <w:name w:val="Char"/>
    <w:basedOn w:val="10"/>
    <w:autoRedefine/>
    <w:qFormat/>
    <w:uiPriority w:val="0"/>
    <w:pPr>
      <w:spacing w:line="240" w:lineRule="auto"/>
    </w:pPr>
  </w:style>
  <w:style w:type="paragraph" w:customStyle="1" w:styleId="80">
    <w:name w:val="正文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81">
    <w:name w:val="页脚 New New New New"/>
    <w:basedOn w:val="82"/>
    <w:autoRedefine/>
    <w:qFormat/>
    <w:uiPriority w:val="0"/>
    <w:pPr>
      <w:tabs>
        <w:tab w:val="center" w:pos="4153"/>
        <w:tab w:val="right" w:pos="8306"/>
      </w:tabs>
      <w:snapToGrid w:val="0"/>
      <w:jc w:val="left"/>
    </w:pPr>
    <w:rPr>
      <w:sz w:val="18"/>
      <w:szCs w:val="18"/>
    </w:rPr>
  </w:style>
  <w:style w:type="paragraph" w:customStyle="1" w:styleId="82">
    <w:name w:val="正文 New New New New New New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3">
    <w:name w:val="正文 New New New New New New New New New New New New New New New New New New New New New New New New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4">
    <w:name w:val="正文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85">
    <w:name w:val="页眉 New New New New New New New New New"/>
    <w:basedOn w:val="62"/>
    <w:autoRedefine/>
    <w:qFormat/>
    <w:uiPriority w:val="0"/>
    <w:pPr>
      <w:widowControl/>
      <w:pBdr>
        <w:bottom w:val="single" w:color="auto" w:sz="6" w:space="1"/>
      </w:pBdr>
      <w:tabs>
        <w:tab w:val="center" w:pos="4153"/>
        <w:tab w:val="right" w:pos="8306"/>
      </w:tabs>
      <w:snapToGrid w:val="0"/>
      <w:jc w:val="center"/>
    </w:pPr>
    <w:rPr>
      <w:sz w:val="18"/>
    </w:rPr>
  </w:style>
  <w:style w:type="paragraph" w:customStyle="1" w:styleId="86">
    <w:name w:val="正文 New New New New New New New New New New New New New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87">
    <w:name w:val="页眉 New New New New New New New New"/>
    <w:basedOn w:val="88"/>
    <w:autoRedefine/>
    <w:qFormat/>
    <w:uiPriority w:val="0"/>
    <w:pPr>
      <w:widowControl/>
      <w:pBdr>
        <w:bottom w:val="single" w:color="auto" w:sz="6" w:space="1"/>
      </w:pBdr>
      <w:tabs>
        <w:tab w:val="center" w:pos="4153"/>
        <w:tab w:val="right" w:pos="8306"/>
      </w:tabs>
      <w:snapToGrid w:val="0"/>
      <w:jc w:val="center"/>
    </w:pPr>
    <w:rPr>
      <w:sz w:val="18"/>
    </w:rPr>
  </w:style>
  <w:style w:type="paragraph" w:customStyle="1" w:styleId="88">
    <w:name w:val="正文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89">
    <w:name w:val="正文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90">
    <w:name w:val="正文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1">
    <w:name w:val="p18"/>
    <w:autoRedefine/>
    <w:qFormat/>
    <w:uiPriority w:val="0"/>
    <w:pPr>
      <w:spacing w:after="120" w:line="360" w:lineRule="auto"/>
    </w:pPr>
    <w:rPr>
      <w:rFonts w:ascii="宋体" w:hAnsi="宋体" w:eastAsia="宋体" w:cs="宋体"/>
      <w:sz w:val="24"/>
      <w:szCs w:val="24"/>
      <w:lang w:val="en-US" w:eastAsia="zh-CN" w:bidi="ar-SA"/>
    </w:rPr>
  </w:style>
  <w:style w:type="paragraph" w:customStyle="1" w:styleId="92">
    <w:name w:val="正文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93">
    <w:name w:val="样式2"/>
    <w:basedOn w:val="21"/>
    <w:autoRedefine/>
    <w:qFormat/>
    <w:uiPriority w:val="0"/>
    <w:pPr>
      <w:tabs>
        <w:tab w:val="right" w:leader="dot" w:pos="9345"/>
      </w:tabs>
    </w:pPr>
    <w:rPr>
      <w:rFonts w:hAnsi="宋体"/>
      <w:b/>
      <w:color w:val="0000FF"/>
      <w:u w:val="single"/>
    </w:rPr>
  </w:style>
  <w:style w:type="paragraph" w:customStyle="1" w:styleId="94">
    <w:name w:val="页脚 New New New New New New New New"/>
    <w:basedOn w:val="95"/>
    <w:autoRedefine/>
    <w:qFormat/>
    <w:uiPriority w:val="0"/>
    <w:pPr>
      <w:tabs>
        <w:tab w:val="center" w:pos="4153"/>
        <w:tab w:val="right" w:pos="8306"/>
      </w:tabs>
      <w:snapToGrid w:val="0"/>
      <w:jc w:val="left"/>
    </w:pPr>
    <w:rPr>
      <w:sz w:val="18"/>
      <w:szCs w:val="18"/>
    </w:rPr>
  </w:style>
  <w:style w:type="paragraph" w:customStyle="1" w:styleId="95">
    <w:name w:val="正文 New New New New New New New New New New New New New New New New New New New New New New New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6">
    <w:name w:val="正文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97">
    <w:name w:val="页脚 New New New New New New New New New New"/>
    <w:basedOn w:val="92"/>
    <w:autoRedefine/>
    <w:qFormat/>
    <w:uiPriority w:val="0"/>
    <w:pPr>
      <w:widowControl/>
      <w:tabs>
        <w:tab w:val="center" w:pos="4153"/>
        <w:tab w:val="right" w:pos="8306"/>
      </w:tabs>
      <w:snapToGrid w:val="0"/>
      <w:jc w:val="left"/>
    </w:pPr>
    <w:rPr>
      <w:sz w:val="18"/>
    </w:rPr>
  </w:style>
  <w:style w:type="paragraph" w:customStyle="1" w:styleId="98">
    <w:name w:val="正文 New New New New New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99">
    <w:name w:val="页脚 New New New New New New"/>
    <w:basedOn w:val="77"/>
    <w:autoRedefine/>
    <w:qFormat/>
    <w:uiPriority w:val="0"/>
    <w:pPr>
      <w:tabs>
        <w:tab w:val="center" w:pos="4153"/>
        <w:tab w:val="right" w:pos="8306"/>
      </w:tabs>
      <w:snapToGrid w:val="0"/>
      <w:jc w:val="left"/>
    </w:pPr>
    <w:rPr>
      <w:sz w:val="18"/>
    </w:rPr>
  </w:style>
  <w:style w:type="paragraph" w:customStyle="1" w:styleId="100">
    <w:name w:val="正文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01">
    <w:name w:val="正文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02">
    <w:name w:val="正文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03">
    <w:name w:val="页眉 New New New New New"/>
    <w:basedOn w:val="77"/>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customStyle="1" w:styleId="104">
    <w:name w:val="页脚 New New New New New New New New New New New"/>
    <w:basedOn w:val="88"/>
    <w:autoRedefine/>
    <w:qFormat/>
    <w:uiPriority w:val="0"/>
    <w:pPr>
      <w:widowControl/>
      <w:tabs>
        <w:tab w:val="center" w:pos="4153"/>
        <w:tab w:val="right" w:pos="8306"/>
      </w:tabs>
      <w:snapToGrid w:val="0"/>
      <w:jc w:val="left"/>
    </w:pPr>
    <w:rPr>
      <w:sz w:val="18"/>
    </w:rPr>
  </w:style>
  <w:style w:type="paragraph" w:customStyle="1" w:styleId="105">
    <w:name w:val="页眉 New New New New New New"/>
    <w:basedOn w:val="84"/>
    <w:autoRedefine/>
    <w:qFormat/>
    <w:uiPriority w:val="0"/>
    <w:pPr>
      <w:widowControl/>
      <w:pBdr>
        <w:bottom w:val="single" w:color="auto" w:sz="6" w:space="1"/>
      </w:pBdr>
      <w:tabs>
        <w:tab w:val="center" w:pos="4153"/>
        <w:tab w:val="right" w:pos="8306"/>
      </w:tabs>
      <w:snapToGrid w:val="0"/>
      <w:jc w:val="center"/>
    </w:pPr>
    <w:rPr>
      <w:kern w:val="0"/>
      <w:sz w:val="18"/>
      <w:szCs w:val="20"/>
    </w:rPr>
  </w:style>
  <w:style w:type="paragraph" w:customStyle="1" w:styleId="106">
    <w:name w:val="正文 New New New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07">
    <w:name w:val="页眉 New New"/>
    <w:basedOn w:val="64"/>
    <w:autoRedefine/>
    <w:qFormat/>
    <w:uiPriority w:val="0"/>
    <w:pPr>
      <w:pBdr>
        <w:bottom w:val="single" w:color="auto" w:sz="6" w:space="1"/>
      </w:pBdr>
      <w:tabs>
        <w:tab w:val="center" w:pos="4153"/>
        <w:tab w:val="right" w:pos="8306"/>
      </w:tabs>
      <w:snapToGrid w:val="0"/>
      <w:jc w:val="center"/>
    </w:pPr>
    <w:rPr>
      <w:sz w:val="18"/>
      <w:szCs w:val="18"/>
    </w:rPr>
  </w:style>
  <w:style w:type="paragraph" w:customStyle="1" w:styleId="108">
    <w:name w:val="页眉 New"/>
    <w:basedOn w:val="109"/>
    <w:autoRedefine/>
    <w:qFormat/>
    <w:uiPriority w:val="0"/>
    <w:pPr>
      <w:pBdr>
        <w:bottom w:val="single" w:color="auto" w:sz="6" w:space="1"/>
      </w:pBdr>
      <w:tabs>
        <w:tab w:val="center" w:pos="4153"/>
        <w:tab w:val="right" w:pos="8306"/>
      </w:tabs>
      <w:snapToGrid w:val="0"/>
      <w:jc w:val="center"/>
    </w:pPr>
    <w:rPr>
      <w:sz w:val="18"/>
      <w:szCs w:val="18"/>
    </w:rPr>
  </w:style>
  <w:style w:type="paragraph" w:customStyle="1" w:styleId="109">
    <w:name w:val="正文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10">
    <w:name w:val="正文 New New New New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11">
    <w:name w:val="页脚 New"/>
    <w:basedOn w:val="109"/>
    <w:autoRedefine/>
    <w:qFormat/>
    <w:uiPriority w:val="0"/>
    <w:pPr>
      <w:tabs>
        <w:tab w:val="center" w:pos="4153"/>
        <w:tab w:val="right" w:pos="8306"/>
      </w:tabs>
      <w:snapToGrid w:val="0"/>
      <w:jc w:val="left"/>
    </w:pPr>
    <w:rPr>
      <w:sz w:val="18"/>
      <w:szCs w:val="18"/>
    </w:rPr>
  </w:style>
  <w:style w:type="paragraph" w:customStyle="1" w:styleId="112">
    <w:name w:val="正文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13">
    <w:name w:val="正文 New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14">
    <w:name w:val="正文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15">
    <w:name w:val="页脚 New New New"/>
    <w:basedOn w:val="69"/>
    <w:autoRedefine/>
    <w:qFormat/>
    <w:uiPriority w:val="0"/>
    <w:pPr>
      <w:tabs>
        <w:tab w:val="center" w:pos="4153"/>
        <w:tab w:val="right" w:pos="8306"/>
      </w:tabs>
      <w:snapToGrid w:val="0"/>
      <w:jc w:val="left"/>
    </w:pPr>
    <w:rPr>
      <w:sz w:val="18"/>
      <w:szCs w:val="18"/>
    </w:rPr>
  </w:style>
  <w:style w:type="paragraph" w:customStyle="1" w:styleId="116">
    <w:name w:val="页眉 New New New New"/>
    <w:basedOn w:val="67"/>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customStyle="1" w:styleId="117">
    <w:name w:val="纯文本 New"/>
    <w:basedOn w:val="64"/>
    <w:autoRedefine/>
    <w:qFormat/>
    <w:uiPriority w:val="0"/>
    <w:rPr>
      <w:rFonts w:ascii="宋体" w:hAnsi="Courier New"/>
      <w:szCs w:val="24"/>
    </w:rPr>
  </w:style>
  <w:style w:type="paragraph" w:customStyle="1" w:styleId="118">
    <w:name w:val="正文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19">
    <w:name w:val="正文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0">
    <w:name w:val="正文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21">
    <w:name w:val="正文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22">
    <w:name w:val="正文 New New New New New New New New New New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3">
    <w:name w:val="页脚 New New New New New New New New New New New New"/>
    <w:basedOn w:val="124"/>
    <w:autoRedefine/>
    <w:qFormat/>
    <w:uiPriority w:val="0"/>
    <w:pPr>
      <w:tabs>
        <w:tab w:val="center" w:pos="4153"/>
        <w:tab w:val="right" w:pos="8306"/>
      </w:tabs>
      <w:snapToGrid w:val="0"/>
      <w:jc w:val="left"/>
    </w:pPr>
    <w:rPr>
      <w:sz w:val="18"/>
      <w:szCs w:val="18"/>
    </w:rPr>
  </w:style>
  <w:style w:type="paragraph" w:customStyle="1" w:styleId="124">
    <w:name w:val="正文 New New New New New New New New New New New New New New New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25">
    <w:name w:val="目录 31"/>
    <w:basedOn w:val="70"/>
    <w:next w:val="70"/>
    <w:autoRedefine/>
    <w:qFormat/>
    <w:uiPriority w:val="0"/>
    <w:pPr>
      <w:ind w:left="561"/>
      <w:jc w:val="left"/>
    </w:pPr>
  </w:style>
  <w:style w:type="paragraph" w:customStyle="1" w:styleId="126">
    <w:name w:val="p0"/>
    <w:basedOn w:val="63"/>
    <w:autoRedefine/>
    <w:qFormat/>
    <w:uiPriority w:val="0"/>
    <w:pPr>
      <w:widowControl/>
      <w:spacing w:line="360" w:lineRule="auto"/>
    </w:pPr>
    <w:rPr>
      <w:rFonts w:ascii="宋体" w:hAnsi="宋体" w:cs="宋体"/>
      <w:kern w:val="0"/>
      <w:sz w:val="24"/>
      <w:szCs w:val="24"/>
    </w:rPr>
  </w:style>
  <w:style w:type="paragraph" w:customStyle="1" w:styleId="127">
    <w:name w:val="页眉 New New New New New New New"/>
    <w:basedOn w:val="92"/>
    <w:autoRedefine/>
    <w:qFormat/>
    <w:uiPriority w:val="0"/>
    <w:pPr>
      <w:widowControl/>
      <w:pBdr>
        <w:bottom w:val="single" w:color="auto" w:sz="6" w:space="1"/>
      </w:pBdr>
      <w:tabs>
        <w:tab w:val="center" w:pos="4153"/>
        <w:tab w:val="right" w:pos="8306"/>
      </w:tabs>
      <w:snapToGrid w:val="0"/>
      <w:jc w:val="center"/>
    </w:pPr>
    <w:rPr>
      <w:sz w:val="18"/>
    </w:rPr>
  </w:style>
  <w:style w:type="paragraph" w:customStyle="1" w:styleId="128">
    <w:name w:val="正文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29">
    <w:name w:val="正文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130">
    <w:name w:val="正文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31">
    <w:name w:val="标题 2 New"/>
    <w:basedOn w:val="90"/>
    <w:autoRedefine/>
    <w:qFormat/>
    <w:uiPriority w:val="0"/>
    <w:pPr>
      <w:widowControl/>
      <w:spacing w:before="100" w:beforeAutospacing="1" w:after="100" w:afterAutospacing="1"/>
      <w:jc w:val="left"/>
      <w:outlineLvl w:val="1"/>
    </w:pPr>
    <w:rPr>
      <w:rFonts w:ascii="宋体" w:hAnsi="宋体" w:cs="宋体"/>
      <w:b/>
      <w:bCs/>
      <w:kern w:val="0"/>
      <w:sz w:val="36"/>
      <w:szCs w:val="36"/>
    </w:rPr>
  </w:style>
  <w:style w:type="paragraph" w:customStyle="1" w:styleId="132">
    <w:name w:val="正文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33">
    <w:name w:val="blockquote"/>
    <w:basedOn w:val="1"/>
    <w:autoRedefine/>
    <w:qFormat/>
    <w:uiPriority w:val="0"/>
    <w:pPr>
      <w:widowControl/>
      <w:spacing w:before="100" w:beforeAutospacing="1" w:after="100" w:afterAutospacing="1" w:line="240" w:lineRule="auto"/>
      <w:jc w:val="left"/>
    </w:pPr>
    <w:rPr>
      <w:rFonts w:hAnsi="宋体"/>
      <w:kern w:val="0"/>
    </w:rPr>
  </w:style>
  <w:style w:type="paragraph" w:customStyle="1" w:styleId="134">
    <w:name w:val="正文 New New New New New New New New New New New New New New New New New New New New"/>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35">
    <w:name w:val="Normal New"/>
    <w:autoRedefine/>
    <w:qFormat/>
    <w:uiPriority w:val="0"/>
    <w:pPr>
      <w:widowControl w:val="0"/>
      <w:jc w:val="both"/>
    </w:pPr>
    <w:rPr>
      <w:rFonts w:hint="eastAsia" w:ascii="Times New Roman" w:hAnsi="Times New Roman" w:eastAsia="宋体" w:cs="Times New Roman"/>
      <w:kern w:val="2"/>
      <w:sz w:val="21"/>
      <w:lang w:val="en-US" w:eastAsia="zh-CN" w:bidi="ar-SA"/>
    </w:rPr>
  </w:style>
  <w:style w:type="paragraph" w:customStyle="1" w:styleId="136">
    <w:name w:val="正文文本缩进 New New New New"/>
    <w:basedOn w:val="129"/>
    <w:autoRedefine/>
    <w:qFormat/>
    <w:uiPriority w:val="0"/>
    <w:pPr>
      <w:ind w:firstLine="560" w:firstLineChars="200"/>
    </w:pPr>
    <w:rPr>
      <w:szCs w:val="28"/>
    </w:rPr>
  </w:style>
  <w:style w:type="paragraph" w:customStyle="1" w:styleId="137">
    <w:name w:val="页脚 New New New New New New New"/>
    <w:basedOn w:val="84"/>
    <w:autoRedefine/>
    <w:qFormat/>
    <w:uiPriority w:val="0"/>
    <w:pPr>
      <w:widowControl/>
      <w:tabs>
        <w:tab w:val="center" w:pos="4153"/>
        <w:tab w:val="right" w:pos="8306"/>
      </w:tabs>
      <w:snapToGrid w:val="0"/>
      <w:jc w:val="left"/>
    </w:pPr>
    <w:rPr>
      <w:kern w:val="0"/>
      <w:sz w:val="18"/>
      <w:szCs w:val="20"/>
    </w:rPr>
  </w:style>
  <w:style w:type="paragraph" w:customStyle="1" w:styleId="138">
    <w:name w:val="正文 New New New New New New New New New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9">
    <w:name w:val="页脚 New New New New New New New New New"/>
    <w:basedOn w:val="83"/>
    <w:autoRedefine/>
    <w:qFormat/>
    <w:uiPriority w:val="0"/>
    <w:pPr>
      <w:tabs>
        <w:tab w:val="center" w:pos="4153"/>
        <w:tab w:val="right" w:pos="8306"/>
      </w:tabs>
      <w:snapToGrid w:val="0"/>
      <w:jc w:val="left"/>
    </w:pPr>
    <w:rPr>
      <w:sz w:val="18"/>
      <w:szCs w:val="18"/>
    </w:rPr>
  </w:style>
  <w:style w:type="paragraph" w:customStyle="1" w:styleId="140">
    <w:name w:val="页脚 New New"/>
    <w:basedOn w:val="64"/>
    <w:autoRedefine/>
    <w:qFormat/>
    <w:uiPriority w:val="0"/>
    <w:pPr>
      <w:tabs>
        <w:tab w:val="center" w:pos="4153"/>
        <w:tab w:val="right" w:pos="8306"/>
      </w:tabs>
      <w:snapToGrid w:val="0"/>
      <w:jc w:val="left"/>
    </w:pPr>
    <w:rPr>
      <w:sz w:val="18"/>
      <w:szCs w:val="18"/>
    </w:rPr>
  </w:style>
  <w:style w:type="paragraph" w:customStyle="1" w:styleId="141">
    <w:name w:val="正文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42">
    <w:name w:val="正文 New New New New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2"/>
      <w:lang w:val="en-US" w:eastAsia="zh-CN" w:bidi="ar-SA"/>
    </w:rPr>
  </w:style>
  <w:style w:type="paragraph" w:customStyle="1" w:styleId="143">
    <w:name w:val="正文 New New New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2"/>
      <w:lang w:val="en-US" w:eastAsia="zh-CN" w:bidi="ar-SA"/>
    </w:rPr>
  </w:style>
  <w:style w:type="paragraph" w:customStyle="1" w:styleId="144">
    <w:name w:val="样式1"/>
    <w:basedOn w:val="7"/>
    <w:autoRedefine/>
    <w:qFormat/>
    <w:uiPriority w:val="0"/>
    <w:pPr>
      <w:tabs>
        <w:tab w:val="right" w:leader="dot" w:pos="9345"/>
      </w:tabs>
    </w:pPr>
    <w:rPr>
      <w:rFonts w:ascii="宋体" w:hAnsi="宋体"/>
      <w:b/>
      <w:caps/>
      <w:u w:val="single"/>
    </w:rPr>
  </w:style>
  <w:style w:type="paragraph" w:customStyle="1" w:styleId="145">
    <w:name w:val="页眉 New New New"/>
    <w:basedOn w:val="69"/>
    <w:autoRedefine/>
    <w:qFormat/>
    <w:uiPriority w:val="0"/>
    <w:pPr>
      <w:pBdr>
        <w:bottom w:val="single" w:color="auto" w:sz="6" w:space="1"/>
      </w:pBdr>
      <w:tabs>
        <w:tab w:val="center" w:pos="4153"/>
        <w:tab w:val="right" w:pos="8306"/>
      </w:tabs>
      <w:snapToGrid w:val="0"/>
      <w:jc w:val="center"/>
    </w:pPr>
    <w:rPr>
      <w:sz w:val="18"/>
      <w:szCs w:val="18"/>
    </w:rPr>
  </w:style>
  <w:style w:type="paragraph" w:customStyle="1" w:styleId="146">
    <w:name w:val="正文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47">
    <w:name w:val="正文 New New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48">
    <w:name w:val="正文正"/>
    <w:basedOn w:val="1"/>
    <w:autoRedefine/>
    <w:qFormat/>
    <w:uiPriority w:val="0"/>
    <w:pPr>
      <w:spacing w:line="560" w:lineRule="exact"/>
      <w:ind w:firstLine="561"/>
    </w:pPr>
    <w:rPr>
      <w:rFonts w:ascii="Calibri" w:hAnsi="Calibri"/>
      <w:sz w:val="28"/>
      <w:szCs w:val="28"/>
    </w:rPr>
  </w:style>
  <w:style w:type="paragraph" w:customStyle="1" w:styleId="149">
    <w:name w:val="正文 New New New New New New New New New New New New New New New New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2"/>
      <w:lang w:val="en-US" w:eastAsia="zh-CN" w:bidi="ar-SA"/>
    </w:rPr>
  </w:style>
  <w:style w:type="paragraph" w:customStyle="1" w:styleId="150">
    <w:name w:val="标题 2 New New"/>
    <w:basedOn w:val="119"/>
    <w:next w:val="119"/>
    <w:autoRedefine/>
    <w:qFormat/>
    <w:uiPriority w:val="0"/>
    <w:pPr>
      <w:autoSpaceDE w:val="0"/>
      <w:autoSpaceDN w:val="0"/>
      <w:adjustRightInd w:val="0"/>
      <w:jc w:val="left"/>
      <w:outlineLvl w:val="1"/>
    </w:pPr>
    <w:rPr>
      <w:kern w:val="0"/>
      <w:sz w:val="24"/>
    </w:rPr>
  </w:style>
  <w:style w:type="paragraph" w:customStyle="1" w:styleId="151">
    <w:name w:val="标题 1 New"/>
    <w:basedOn w:val="119"/>
    <w:next w:val="119"/>
    <w:autoRedefine/>
    <w:qFormat/>
    <w:uiPriority w:val="0"/>
    <w:pPr>
      <w:autoSpaceDE w:val="0"/>
      <w:autoSpaceDN w:val="0"/>
      <w:adjustRightInd w:val="0"/>
      <w:jc w:val="left"/>
      <w:outlineLvl w:val="0"/>
    </w:pPr>
    <w:rPr>
      <w:kern w:val="0"/>
      <w:sz w:val="30"/>
    </w:rPr>
  </w:style>
  <w:style w:type="paragraph" w:customStyle="1" w:styleId="152">
    <w:name w:val="WPSOffice手动目录 1"/>
    <w:autoRedefine/>
    <w:qFormat/>
    <w:uiPriority w:val="0"/>
    <w:rPr>
      <w:rFonts w:ascii="Times New Roman" w:hAnsi="Times New Roman" w:eastAsia="宋体" w:cs="Times New Roman"/>
      <w:lang w:val="en-US" w:eastAsia="zh-CN" w:bidi="ar-SA"/>
    </w:rPr>
  </w:style>
  <w:style w:type="paragraph" w:customStyle="1" w:styleId="153">
    <w:name w:val="WPSOffice手动目录 2"/>
    <w:autoRedefine/>
    <w:qFormat/>
    <w:uiPriority w:val="0"/>
    <w:pPr>
      <w:ind w:left="200" w:leftChars="200"/>
    </w:pPr>
    <w:rPr>
      <w:rFonts w:ascii="Times New Roman" w:hAnsi="Times New Roman" w:eastAsia="宋体" w:cs="Times New Roman"/>
      <w:lang w:val="en-US" w:eastAsia="zh-CN" w:bidi="ar-SA"/>
    </w:rPr>
  </w:style>
  <w:style w:type="paragraph" w:customStyle="1" w:styleId="154">
    <w:name w:val="WPSOffice手动目录 3"/>
    <w:autoRedefine/>
    <w:qFormat/>
    <w:uiPriority w:val="0"/>
    <w:pPr>
      <w:ind w:left="400" w:leftChars="400"/>
    </w:pPr>
    <w:rPr>
      <w:rFonts w:ascii="Times New Roman" w:hAnsi="Times New Roman" w:eastAsia="宋体" w:cs="Times New Roman"/>
      <w:lang w:val="en-US" w:eastAsia="zh-CN" w:bidi="ar-SA"/>
    </w:rPr>
  </w:style>
  <w:style w:type="paragraph" w:customStyle="1" w:styleId="155">
    <w:name w:val="正文缩进1"/>
    <w:basedOn w:val="1"/>
    <w:autoRedefine/>
    <w:qFormat/>
    <w:uiPriority w:val="0"/>
    <w:pPr>
      <w:widowControl/>
      <w:ind w:firstLine="420"/>
      <w:jc w:val="left"/>
    </w:pPr>
    <w:rPr>
      <w:kern w:val="0"/>
    </w:rPr>
  </w:style>
  <w:style w:type="character" w:styleId="156">
    <w:name w:val="Placeholder Text"/>
    <w:basedOn w:val="33"/>
    <w:semiHidden/>
    <w:qFormat/>
    <w:uiPriority w:val="99"/>
    <w:rPr>
      <w:color w:val="808080"/>
    </w:rPr>
  </w:style>
  <w:style w:type="paragraph" w:customStyle="1" w:styleId="157">
    <w:name w:val="正文文本1"/>
    <w:basedOn w:val="1"/>
    <w:qFormat/>
    <w:uiPriority w:val="0"/>
    <w:pPr>
      <w:spacing w:after="120"/>
    </w:pPr>
  </w:style>
  <w:style w:type="character" w:customStyle="1" w:styleId="158">
    <w:name w:val="NormalCharacter"/>
    <w:qFormat/>
    <w:uiPriority w:val="99"/>
  </w:style>
  <w:style w:type="paragraph" w:customStyle="1" w:styleId="159">
    <w:name w:val="UserStyle_76"/>
    <w:basedOn w:val="160"/>
    <w:qFormat/>
    <w:uiPriority w:val="99"/>
    <w:pPr>
      <w:ind w:firstLine="420"/>
      <w:jc w:val="left"/>
    </w:pPr>
    <w:rPr>
      <w:kern w:val="0"/>
      <w:sz w:val="20"/>
      <w:szCs w:val="20"/>
    </w:rPr>
  </w:style>
  <w:style w:type="paragraph" w:customStyle="1" w:styleId="160">
    <w:name w:val="UserStyle_15"/>
    <w:qFormat/>
    <w:uiPriority w:val="99"/>
    <w:pPr>
      <w:spacing w:line="360" w:lineRule="auto"/>
      <w:jc w:val="both"/>
      <w:textAlignment w:val="baseline"/>
    </w:pPr>
    <w:rPr>
      <w:rFonts w:ascii="宋体" w:hAnsi="Times New Roman" w:eastAsia="宋体" w:cs="宋体"/>
      <w:kern w:val="2"/>
      <w:sz w:val="24"/>
      <w:szCs w:val="24"/>
      <w:lang w:val="en-US" w:eastAsia="zh-CN" w:bidi="ar-SA"/>
    </w:rPr>
  </w:style>
  <w:style w:type="character" w:customStyle="1" w:styleId="161">
    <w:name w:val="标题 2 字符"/>
    <w:link w:val="4"/>
    <w:qFormat/>
    <w:uiPriority w:val="0"/>
    <w:rPr>
      <w:kern w:val="0"/>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1</Company>
  <Pages>75</Pages>
  <Words>2337</Words>
  <Characters>2547</Characters>
  <Lines>1</Lines>
  <Paragraphs>1</Paragraphs>
  <TotalTime>1</TotalTime>
  <ScaleCrop>false</ScaleCrop>
  <LinksUpToDate>false</LinksUpToDate>
  <CharactersWithSpaces>2653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2014-03-11T01:35:00Z</dcterms:created>
  <dc:creator>kingsons</dc:creator>
  <cp:lastModifiedBy>（翁源）汇龙工程咨询13380720065</cp:lastModifiedBy>
  <cp:lastPrinted>2026-03-26T06:20:00Z</cp:lastPrinted>
  <dcterms:modified xsi:type="dcterms:W3CDTF">2026-03-27T08:36:36Z</dcterms:modified>
  <dc:title>广东省韶关学院第三期学生公寓第一、二组团工程施工</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ribbonExt">
    <vt:lpwstr>{"WPSExtOfficeTab":{"OnGetEnabled":false,"OnGetVisible":false}}</vt:lpwstr>
  </property>
  <property fmtid="{D5CDD505-2E9C-101B-9397-08002B2CF9AE}" pid="4" name="ICV">
    <vt:lpwstr>7CD96722E3B1478499F5809AF98FC5E2_13</vt:lpwstr>
  </property>
  <property fmtid="{D5CDD505-2E9C-101B-9397-08002B2CF9AE}" pid="5" name="KSOTemplateDocerSaveRecord">
    <vt:lpwstr>eyJoZGlkIjoiYWRlNGFkMDI0YWViNjQ1MTRmODlkODQxYWMwNWJjNDAiLCJ1c2VySWQiOiIxNzc3NTIyMTE5In0=</vt:lpwstr>
  </property>
</Properties>
</file>