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DDB548">
      <w:pPr>
        <w:rPr>
          <w:color w:val="auto"/>
          <w:highlight w:val="none"/>
        </w:rPr>
        <w:sectPr>
          <w:head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drawing>
          <wp:inline distT="0" distB="0" distL="114300" distR="114300">
            <wp:extent cx="6219190" cy="8798560"/>
            <wp:effectExtent l="0" t="0" r="1016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6219190" cy="8798560"/>
                    </a:xfrm>
                    <a:prstGeom prst="rect">
                      <a:avLst/>
                    </a:prstGeom>
                    <a:noFill/>
                    <a:ln>
                      <a:noFill/>
                    </a:ln>
                  </pic:spPr>
                </pic:pic>
              </a:graphicData>
            </a:graphic>
          </wp:inline>
        </w:drawing>
      </w:r>
    </w:p>
    <w:p w14:paraId="0B006F5F">
      <w:pPr>
        <w:pStyle w:val="119"/>
        <w:tabs>
          <w:tab w:val="left" w:pos="1890"/>
          <w:tab w:val="left" w:pos="4935"/>
        </w:tabs>
        <w:rPr>
          <w:rFonts w:hint="eastAsia" w:ascii="宋体" w:hAnsi="宋体" w:eastAsia="宋体" w:cs="宋体"/>
          <w:b/>
          <w:color w:val="auto"/>
          <w:sz w:val="28"/>
          <w:szCs w:val="28"/>
          <w:highlight w:val="none"/>
        </w:rPr>
        <w:sectPr>
          <w:footerReference r:id="rId6"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p>
    <w:p w14:paraId="65C97C1D">
      <w:pPr>
        <w:spacing w:line="240" w:lineRule="auto"/>
        <w:jc w:val="center"/>
        <w:rPr>
          <w:b/>
          <w:bCs/>
          <w:color w:val="auto"/>
          <w:sz w:val="44"/>
          <w:szCs w:val="32"/>
          <w:highlight w:val="none"/>
        </w:rPr>
      </w:pPr>
      <w:r>
        <w:rPr>
          <w:rFonts w:hAnsi="宋体"/>
          <w:b/>
          <w:bCs/>
          <w:color w:val="auto"/>
          <w:sz w:val="36"/>
          <w:szCs w:val="32"/>
          <w:highlight w:val="none"/>
        </w:rPr>
        <w:t>目</w:t>
      </w:r>
      <w:r>
        <w:rPr>
          <w:rFonts w:hint="eastAsia" w:hAnsi="宋体"/>
          <w:b/>
          <w:bCs/>
          <w:color w:val="auto"/>
          <w:sz w:val="36"/>
          <w:szCs w:val="32"/>
          <w:highlight w:val="none"/>
        </w:rPr>
        <w:t xml:space="preserve">  </w:t>
      </w:r>
      <w:r>
        <w:rPr>
          <w:rFonts w:hAnsi="宋体"/>
          <w:b/>
          <w:bCs/>
          <w:color w:val="auto"/>
          <w:sz w:val="36"/>
          <w:szCs w:val="32"/>
          <w:highlight w:val="none"/>
        </w:rPr>
        <w:t>录</w:t>
      </w:r>
    </w:p>
    <w:p w14:paraId="228A6914">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TOC \o "1-3" \h \u </w:instrText>
      </w:r>
      <w:r>
        <w:rPr>
          <w:rFonts w:hint="eastAsia" w:hAnsi="宋体" w:cs="宋体"/>
          <w:color w:val="auto"/>
          <w:szCs w:val="24"/>
          <w:highlight w:val="none"/>
        </w:rPr>
        <w:fldChar w:fldCharType="separate"/>
      </w: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_Toc28684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_Toc28684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szCs w:val="24"/>
          <w:highlight w:val="none"/>
        </w:rPr>
        <w:fldChar w:fldCharType="end"/>
      </w:r>
    </w:p>
    <w:p w14:paraId="5D3DC25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_Toc32446 </w:instrText>
      </w:r>
      <w:r>
        <w:rPr>
          <w:rFonts w:hint="eastAsia" w:hAnsi="宋体" w:cs="宋体"/>
          <w:color w:val="auto"/>
          <w:szCs w:val="24"/>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_Toc32446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szCs w:val="24"/>
          <w:highlight w:val="none"/>
        </w:rPr>
        <w:fldChar w:fldCharType="end"/>
      </w:r>
    </w:p>
    <w:p w14:paraId="2634A27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_Toc32522 </w:instrText>
      </w:r>
      <w:r>
        <w:rPr>
          <w:rFonts w:hint="eastAsia" w:hAnsi="宋体" w:cs="宋体"/>
          <w:color w:val="auto"/>
          <w:szCs w:val="24"/>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_Toc32522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szCs w:val="24"/>
          <w:highlight w:val="none"/>
        </w:rPr>
        <w:fldChar w:fldCharType="end"/>
      </w:r>
    </w:p>
    <w:p w14:paraId="28D7332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_Toc16304 </w:instrText>
      </w:r>
      <w:r>
        <w:rPr>
          <w:rFonts w:hint="eastAsia" w:hAnsi="宋体" w:cs="宋体"/>
          <w:color w:val="auto"/>
          <w:szCs w:val="24"/>
          <w:highlight w:val="none"/>
        </w:rPr>
        <w:fldChar w:fldCharType="separate"/>
      </w:r>
      <w:r>
        <w:rPr>
          <w:rFonts w:hint="eastAsia"/>
          <w:bCs/>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_Toc16304 \h </w:instrText>
      </w:r>
      <w:r>
        <w:rPr>
          <w:color w:val="auto"/>
          <w:highlight w:val="none"/>
        </w:rPr>
        <w:fldChar w:fldCharType="separate"/>
      </w:r>
      <w:r>
        <w:rPr>
          <w:color w:val="auto"/>
          <w:highlight w:val="none"/>
        </w:rPr>
        <w:t>9</w:t>
      </w:r>
      <w:r>
        <w:rPr>
          <w:color w:val="auto"/>
          <w:highlight w:val="none"/>
        </w:rPr>
        <w:fldChar w:fldCharType="end"/>
      </w:r>
      <w:r>
        <w:rPr>
          <w:rFonts w:hint="eastAsia" w:hAnsi="宋体" w:cs="宋体"/>
          <w:color w:val="auto"/>
          <w:szCs w:val="24"/>
          <w:highlight w:val="none"/>
        </w:rPr>
        <w:fldChar w:fldCharType="end"/>
      </w:r>
    </w:p>
    <w:p w14:paraId="5C4F335A">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_Toc9487 </w:instrText>
      </w:r>
      <w:r>
        <w:rPr>
          <w:rFonts w:hint="eastAsia" w:hAnsi="宋体" w:cs="宋体"/>
          <w:color w:val="auto"/>
          <w:szCs w:val="24"/>
          <w:highlight w:val="none"/>
        </w:rPr>
        <w:fldChar w:fldCharType="separate"/>
      </w:r>
      <w:r>
        <w:rPr>
          <w:rFonts w:hint="eastAsia"/>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_Toc9487 \h </w:instrText>
      </w:r>
      <w:r>
        <w:rPr>
          <w:color w:val="auto"/>
          <w:highlight w:val="none"/>
        </w:rPr>
        <w:fldChar w:fldCharType="separate"/>
      </w:r>
      <w:r>
        <w:rPr>
          <w:color w:val="auto"/>
          <w:highlight w:val="none"/>
        </w:rPr>
        <w:t>9</w:t>
      </w:r>
      <w:r>
        <w:rPr>
          <w:color w:val="auto"/>
          <w:highlight w:val="none"/>
        </w:rPr>
        <w:fldChar w:fldCharType="end"/>
      </w:r>
      <w:r>
        <w:rPr>
          <w:rFonts w:hint="eastAsia" w:hAnsi="宋体" w:cs="宋体"/>
          <w:color w:val="auto"/>
          <w:szCs w:val="24"/>
          <w:highlight w:val="none"/>
        </w:rPr>
        <w:fldChar w:fldCharType="end"/>
      </w:r>
    </w:p>
    <w:p w14:paraId="69377FD3">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_Toc31535 </w:instrText>
      </w:r>
      <w:r>
        <w:rPr>
          <w:rFonts w:hint="eastAsia" w:hAnsi="宋体" w:cs="宋体"/>
          <w:color w:val="auto"/>
          <w:szCs w:val="24"/>
          <w:highlight w:val="none"/>
        </w:rPr>
        <w:fldChar w:fldCharType="separate"/>
      </w:r>
      <w:r>
        <w:rPr>
          <w:rFonts w:hint="eastAsia"/>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_Toc31535 \h </w:instrText>
      </w:r>
      <w:r>
        <w:rPr>
          <w:color w:val="auto"/>
          <w:highlight w:val="none"/>
        </w:rPr>
        <w:fldChar w:fldCharType="separate"/>
      </w:r>
      <w:r>
        <w:rPr>
          <w:color w:val="auto"/>
          <w:highlight w:val="none"/>
        </w:rPr>
        <w:t>9</w:t>
      </w:r>
      <w:r>
        <w:rPr>
          <w:color w:val="auto"/>
          <w:highlight w:val="none"/>
        </w:rPr>
        <w:fldChar w:fldCharType="end"/>
      </w:r>
      <w:r>
        <w:rPr>
          <w:rFonts w:hint="eastAsia" w:hAnsi="宋体" w:cs="宋体"/>
          <w:color w:val="auto"/>
          <w:szCs w:val="24"/>
          <w:highlight w:val="none"/>
        </w:rPr>
        <w:fldChar w:fldCharType="end"/>
      </w:r>
    </w:p>
    <w:p w14:paraId="7D4B0FCB">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_Toc12683 </w:instrText>
      </w:r>
      <w:r>
        <w:rPr>
          <w:rFonts w:hint="eastAsia" w:hAnsi="宋体" w:cs="宋体"/>
          <w:color w:val="auto"/>
          <w:szCs w:val="24"/>
          <w:highlight w:val="none"/>
        </w:rPr>
        <w:fldChar w:fldCharType="separate"/>
      </w:r>
      <w:r>
        <w:rPr>
          <w:rFonts w:hint="eastAsia" w:ascii="宋体" w:hAnsi="宋体" w:cs="宋体"/>
          <w:bCs/>
          <w:snapToGrid w:val="0"/>
          <w:color w:val="auto"/>
          <w:kern w:val="0"/>
          <w:highlight w:val="none"/>
        </w:rPr>
        <w:t>3．获取招标文件</w:t>
      </w:r>
      <w:r>
        <w:rPr>
          <w:color w:val="auto"/>
          <w:highlight w:val="none"/>
        </w:rPr>
        <w:tab/>
      </w:r>
      <w:r>
        <w:rPr>
          <w:color w:val="auto"/>
          <w:highlight w:val="none"/>
        </w:rPr>
        <w:fldChar w:fldCharType="begin"/>
      </w:r>
      <w:r>
        <w:rPr>
          <w:color w:val="auto"/>
          <w:highlight w:val="none"/>
        </w:rPr>
        <w:instrText xml:space="preserve"> PAGEREF _Toc12683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4D955DB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_Toc16883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_Toc16883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2215BC69">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_Toc7476 </w:instrText>
      </w:r>
      <w:r>
        <w:rPr>
          <w:rFonts w:hint="eastAsia" w:hAnsi="宋体" w:cs="宋体"/>
          <w:color w:val="auto"/>
          <w:szCs w:val="24"/>
          <w:highlight w:val="none"/>
        </w:rPr>
        <w:fldChar w:fldCharType="separate"/>
      </w:r>
      <w:r>
        <w:rPr>
          <w:rFonts w:hint="eastAsia" w:hAnsi="宋体" w:cs="宋体"/>
          <w:snapToGrid w:val="0"/>
          <w:color w:val="auto"/>
          <w:highlight w:val="none"/>
        </w:rPr>
        <w:t>5．服务标准</w:t>
      </w:r>
      <w:r>
        <w:rPr>
          <w:color w:val="auto"/>
          <w:highlight w:val="none"/>
        </w:rPr>
        <w:tab/>
      </w:r>
      <w:r>
        <w:rPr>
          <w:color w:val="auto"/>
          <w:highlight w:val="none"/>
        </w:rPr>
        <w:fldChar w:fldCharType="begin"/>
      </w:r>
      <w:r>
        <w:rPr>
          <w:color w:val="auto"/>
          <w:highlight w:val="none"/>
        </w:rPr>
        <w:instrText xml:space="preserve"> PAGEREF _Toc7476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69695AEA">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_Toc12596 </w:instrText>
      </w:r>
      <w:r>
        <w:rPr>
          <w:rFonts w:hint="eastAsia" w:hAnsi="宋体" w:cs="宋体"/>
          <w:color w:val="auto"/>
          <w:szCs w:val="24"/>
          <w:highlight w:val="none"/>
        </w:rPr>
        <w:fldChar w:fldCharType="separate"/>
      </w:r>
      <w:r>
        <w:rPr>
          <w:rFonts w:hint="eastAsia" w:hAnsi="宋体" w:cs="宋体"/>
          <w:snapToGrid w:val="0"/>
          <w:color w:val="auto"/>
          <w:highlight w:val="none"/>
        </w:rPr>
        <w:t>6．现场踏勘</w:t>
      </w:r>
      <w:r>
        <w:rPr>
          <w:color w:val="auto"/>
          <w:highlight w:val="none"/>
        </w:rPr>
        <w:tab/>
      </w:r>
      <w:r>
        <w:rPr>
          <w:color w:val="auto"/>
          <w:highlight w:val="none"/>
        </w:rPr>
        <w:fldChar w:fldCharType="begin"/>
      </w:r>
      <w:r>
        <w:rPr>
          <w:color w:val="auto"/>
          <w:highlight w:val="none"/>
        </w:rPr>
        <w:instrText xml:space="preserve"> PAGEREF _Toc12596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13525909">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_Toc25173 </w:instrText>
      </w:r>
      <w:r>
        <w:rPr>
          <w:rFonts w:hint="eastAsia" w:hAnsi="宋体" w:cs="宋体"/>
          <w:color w:val="auto"/>
          <w:szCs w:val="24"/>
          <w:highlight w:val="none"/>
        </w:rPr>
        <w:fldChar w:fldCharType="separate"/>
      </w:r>
      <w:r>
        <w:rPr>
          <w:rFonts w:hint="eastAsia" w:hAnsi="宋体" w:cs="宋体"/>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_Toc25173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45A168FD">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_Toc11326 </w:instrText>
      </w:r>
      <w:r>
        <w:rPr>
          <w:rFonts w:hint="eastAsia" w:hAnsi="宋体" w:cs="宋体"/>
          <w:color w:val="auto"/>
          <w:szCs w:val="24"/>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_Toc11326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60AD7DFA">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_Toc2193 </w:instrText>
      </w:r>
      <w:r>
        <w:rPr>
          <w:rFonts w:hint="eastAsia" w:hAnsi="宋体" w:cs="宋体"/>
          <w:color w:val="auto"/>
          <w:szCs w:val="24"/>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_Toc2193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09F56172">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_Toc4002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_Toc4002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15C486C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_Toc1986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11．电子投标</w:t>
      </w:r>
      <w:r>
        <w:rPr>
          <w:color w:val="auto"/>
          <w:highlight w:val="none"/>
        </w:rPr>
        <w:tab/>
      </w:r>
      <w:r>
        <w:rPr>
          <w:color w:val="auto"/>
          <w:highlight w:val="none"/>
        </w:rPr>
        <w:fldChar w:fldCharType="begin"/>
      </w:r>
      <w:r>
        <w:rPr>
          <w:color w:val="auto"/>
          <w:highlight w:val="none"/>
        </w:rPr>
        <w:instrText xml:space="preserve"> PAGEREF _Toc1986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5384DBF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_Toc4888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12. 投标文件的提交</w:t>
      </w:r>
      <w:r>
        <w:rPr>
          <w:color w:val="auto"/>
          <w:highlight w:val="none"/>
        </w:rPr>
        <w:tab/>
      </w:r>
      <w:r>
        <w:rPr>
          <w:color w:val="auto"/>
          <w:highlight w:val="none"/>
        </w:rPr>
        <w:fldChar w:fldCharType="begin"/>
      </w:r>
      <w:r>
        <w:rPr>
          <w:color w:val="auto"/>
          <w:highlight w:val="none"/>
        </w:rPr>
        <w:instrText xml:space="preserve"> PAGEREF _Toc4888 \h </w:instrText>
      </w:r>
      <w:r>
        <w:rPr>
          <w:color w:val="auto"/>
          <w:highlight w:val="none"/>
        </w:rPr>
        <w:fldChar w:fldCharType="separate"/>
      </w:r>
      <w:r>
        <w:rPr>
          <w:color w:val="auto"/>
          <w:highlight w:val="none"/>
        </w:rPr>
        <w:t>19</w:t>
      </w:r>
      <w:r>
        <w:rPr>
          <w:color w:val="auto"/>
          <w:highlight w:val="none"/>
        </w:rPr>
        <w:fldChar w:fldCharType="end"/>
      </w:r>
      <w:r>
        <w:rPr>
          <w:rFonts w:hint="eastAsia" w:hAnsi="宋体" w:cs="宋体"/>
          <w:color w:val="auto"/>
          <w:szCs w:val="24"/>
          <w:highlight w:val="none"/>
        </w:rPr>
        <w:fldChar w:fldCharType="end"/>
      </w:r>
    </w:p>
    <w:p w14:paraId="3EA20A99">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_Toc739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13．投标有效期</w:t>
      </w:r>
      <w:r>
        <w:rPr>
          <w:color w:val="auto"/>
          <w:highlight w:val="none"/>
        </w:rPr>
        <w:tab/>
      </w:r>
      <w:r>
        <w:rPr>
          <w:color w:val="auto"/>
          <w:highlight w:val="none"/>
        </w:rPr>
        <w:fldChar w:fldCharType="begin"/>
      </w:r>
      <w:r>
        <w:rPr>
          <w:color w:val="auto"/>
          <w:highlight w:val="none"/>
        </w:rPr>
        <w:instrText xml:space="preserve"> PAGEREF _Toc739 \h </w:instrText>
      </w:r>
      <w:r>
        <w:rPr>
          <w:color w:val="auto"/>
          <w:highlight w:val="none"/>
        </w:rPr>
        <w:fldChar w:fldCharType="separate"/>
      </w:r>
      <w:r>
        <w:rPr>
          <w:color w:val="auto"/>
          <w:highlight w:val="none"/>
        </w:rPr>
        <w:t>19</w:t>
      </w:r>
      <w:r>
        <w:rPr>
          <w:color w:val="auto"/>
          <w:highlight w:val="none"/>
        </w:rPr>
        <w:fldChar w:fldCharType="end"/>
      </w:r>
      <w:r>
        <w:rPr>
          <w:rFonts w:hint="eastAsia" w:hAnsi="宋体" w:cs="宋体"/>
          <w:color w:val="auto"/>
          <w:szCs w:val="24"/>
          <w:highlight w:val="none"/>
        </w:rPr>
        <w:fldChar w:fldCharType="end"/>
      </w:r>
    </w:p>
    <w:p w14:paraId="1551660B">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_Toc30542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14．开标</w:t>
      </w:r>
      <w:r>
        <w:rPr>
          <w:color w:val="auto"/>
          <w:highlight w:val="none"/>
        </w:rPr>
        <w:tab/>
      </w:r>
      <w:r>
        <w:rPr>
          <w:color w:val="auto"/>
          <w:highlight w:val="none"/>
        </w:rPr>
        <w:fldChar w:fldCharType="begin"/>
      </w:r>
      <w:r>
        <w:rPr>
          <w:color w:val="auto"/>
          <w:highlight w:val="none"/>
        </w:rPr>
        <w:instrText xml:space="preserve"> PAGEREF _Toc30542 \h </w:instrText>
      </w:r>
      <w:r>
        <w:rPr>
          <w:color w:val="auto"/>
          <w:highlight w:val="none"/>
        </w:rPr>
        <w:fldChar w:fldCharType="separate"/>
      </w:r>
      <w:r>
        <w:rPr>
          <w:color w:val="auto"/>
          <w:highlight w:val="none"/>
        </w:rPr>
        <w:t>19</w:t>
      </w:r>
      <w:r>
        <w:rPr>
          <w:color w:val="auto"/>
          <w:highlight w:val="none"/>
        </w:rPr>
        <w:fldChar w:fldCharType="end"/>
      </w:r>
      <w:r>
        <w:rPr>
          <w:rFonts w:hint="eastAsia" w:hAnsi="宋体" w:cs="宋体"/>
          <w:color w:val="auto"/>
          <w:szCs w:val="24"/>
          <w:highlight w:val="none"/>
        </w:rPr>
        <w:fldChar w:fldCharType="end"/>
      </w:r>
    </w:p>
    <w:p w14:paraId="3D02FAD1">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_Toc8989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_Toc8989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szCs w:val="24"/>
          <w:highlight w:val="none"/>
        </w:rPr>
        <w:fldChar w:fldCharType="end"/>
      </w:r>
    </w:p>
    <w:p w14:paraId="4A369EC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_Toc23668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16．推荐中标候选人</w:t>
      </w:r>
      <w:r>
        <w:rPr>
          <w:color w:val="auto"/>
          <w:highlight w:val="none"/>
        </w:rPr>
        <w:tab/>
      </w:r>
      <w:r>
        <w:rPr>
          <w:color w:val="auto"/>
          <w:highlight w:val="none"/>
        </w:rPr>
        <w:fldChar w:fldCharType="begin"/>
      </w:r>
      <w:r>
        <w:rPr>
          <w:color w:val="auto"/>
          <w:highlight w:val="none"/>
        </w:rPr>
        <w:instrText xml:space="preserve"> PAGEREF _Toc23668 \h </w:instrText>
      </w:r>
      <w:r>
        <w:rPr>
          <w:color w:val="auto"/>
          <w:highlight w:val="none"/>
        </w:rPr>
        <w:fldChar w:fldCharType="separate"/>
      </w:r>
      <w:r>
        <w:rPr>
          <w:color w:val="auto"/>
          <w:highlight w:val="none"/>
        </w:rPr>
        <w:t>31</w:t>
      </w:r>
      <w:r>
        <w:rPr>
          <w:color w:val="auto"/>
          <w:highlight w:val="none"/>
        </w:rPr>
        <w:fldChar w:fldCharType="end"/>
      </w:r>
      <w:r>
        <w:rPr>
          <w:rFonts w:hint="eastAsia" w:hAnsi="宋体" w:cs="宋体"/>
          <w:color w:val="auto"/>
          <w:szCs w:val="24"/>
          <w:highlight w:val="none"/>
        </w:rPr>
        <w:fldChar w:fldCharType="end"/>
      </w:r>
    </w:p>
    <w:p w14:paraId="2868C0B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_Toc22756 </w:instrText>
      </w:r>
      <w:r>
        <w:rPr>
          <w:rFonts w:hint="eastAsia" w:hAnsi="宋体" w:cs="宋体"/>
          <w:color w:val="auto"/>
          <w:szCs w:val="24"/>
          <w:highlight w:val="none"/>
        </w:rPr>
        <w:fldChar w:fldCharType="separate"/>
      </w:r>
      <w:r>
        <w:rPr>
          <w:rFonts w:hint="eastAsia" w:ascii="宋体" w:hAnsi="宋体" w:eastAsia="宋体" w:cs="宋体"/>
          <w:snapToGrid w:val="0"/>
          <w:color w:val="auto"/>
          <w:kern w:val="0"/>
          <w:highlight w:val="none"/>
        </w:rPr>
        <w:t>1</w:t>
      </w:r>
      <w:r>
        <w:rPr>
          <w:rFonts w:hint="eastAsia" w:ascii="宋体" w:hAnsi="宋体" w:eastAsia="宋体" w:cs="宋体"/>
          <w:snapToGrid w:val="0"/>
          <w:color w:val="auto"/>
          <w:kern w:val="0"/>
          <w:highlight w:val="none"/>
          <w:lang w:val="en-US" w:eastAsia="zh-CN"/>
        </w:rPr>
        <w:t>7</w:t>
      </w:r>
      <w:r>
        <w:rPr>
          <w:rFonts w:hint="eastAsia" w:ascii="宋体" w:hAnsi="宋体" w:eastAsia="宋体" w:cs="宋体"/>
          <w:snapToGrid w:val="0"/>
          <w:color w:val="auto"/>
          <w:kern w:val="0"/>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_Toc22756 \h </w:instrText>
      </w:r>
      <w:r>
        <w:rPr>
          <w:color w:val="auto"/>
          <w:highlight w:val="none"/>
        </w:rPr>
        <w:fldChar w:fldCharType="separate"/>
      </w:r>
      <w:r>
        <w:rPr>
          <w:color w:val="auto"/>
          <w:highlight w:val="none"/>
        </w:rPr>
        <w:t>31</w:t>
      </w:r>
      <w:r>
        <w:rPr>
          <w:color w:val="auto"/>
          <w:highlight w:val="none"/>
        </w:rPr>
        <w:fldChar w:fldCharType="end"/>
      </w:r>
      <w:r>
        <w:rPr>
          <w:rFonts w:hint="eastAsia" w:hAnsi="宋体" w:cs="宋体"/>
          <w:color w:val="auto"/>
          <w:szCs w:val="24"/>
          <w:highlight w:val="none"/>
        </w:rPr>
        <w:fldChar w:fldCharType="end"/>
      </w:r>
    </w:p>
    <w:p w14:paraId="35168E0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_Toc17009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_Toc17009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3A4AB3C0">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_Toc8541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_Toc8541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41A1BB7F">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_Toc22542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_Toc22542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5B6FDA13">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_Toc1804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_Toc1804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2853B870">
      <w:pPr>
        <w:pStyle w:val="1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_Toc22668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_Toc22668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szCs w:val="24"/>
          <w:highlight w:val="none"/>
        </w:rPr>
        <w:fldChar w:fldCharType="end"/>
      </w:r>
    </w:p>
    <w:p w14:paraId="44B608E3">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_Toc401 </w:instrText>
      </w:r>
      <w:r>
        <w:rPr>
          <w:rFonts w:hint="eastAsia" w:hAnsi="宋体" w:cs="宋体"/>
          <w:color w:val="auto"/>
          <w:szCs w:val="24"/>
          <w:highlight w:val="none"/>
        </w:rPr>
        <w:fldChar w:fldCharType="separate"/>
      </w:r>
      <w:r>
        <w:rPr>
          <w:rFonts w:hint="eastAsia" w:hAnsi="宋体" w:cs="宋体"/>
          <w:snapToGrid w:val="0"/>
          <w:color w:val="auto"/>
          <w:szCs w:val="22"/>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_Toc401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13810C5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_Toc17192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1．中标通知书</w:t>
      </w:r>
      <w:r>
        <w:rPr>
          <w:color w:val="auto"/>
          <w:highlight w:val="none"/>
        </w:rPr>
        <w:tab/>
      </w:r>
      <w:r>
        <w:rPr>
          <w:color w:val="auto"/>
          <w:highlight w:val="none"/>
        </w:rPr>
        <w:fldChar w:fldCharType="begin"/>
      </w:r>
      <w:r>
        <w:rPr>
          <w:color w:val="auto"/>
          <w:highlight w:val="none"/>
        </w:rPr>
        <w:instrText xml:space="preserve"> PAGEREF _Toc17192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09285EA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_Toc18659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2．中标结果公示</w:t>
      </w:r>
      <w:r>
        <w:rPr>
          <w:color w:val="auto"/>
          <w:highlight w:val="none"/>
        </w:rPr>
        <w:tab/>
      </w:r>
      <w:r>
        <w:rPr>
          <w:color w:val="auto"/>
          <w:highlight w:val="none"/>
        </w:rPr>
        <w:fldChar w:fldCharType="begin"/>
      </w:r>
      <w:r>
        <w:rPr>
          <w:color w:val="auto"/>
          <w:highlight w:val="none"/>
        </w:rPr>
        <w:instrText xml:space="preserve"> PAGEREF _Toc18659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74273051">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_Toc5857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3</w:t>
      </w:r>
      <w:r>
        <w:rPr>
          <w:rFonts w:hint="eastAsia" w:hAnsi="宋体" w:cs="宋体"/>
          <w:bCs/>
          <w:snapToGrid w:val="0"/>
          <w:color w:val="auto"/>
          <w:kern w:val="0"/>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_Toc5857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75EBF91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_Toc4933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4.合同订立</w:t>
      </w:r>
      <w:r>
        <w:rPr>
          <w:color w:val="auto"/>
          <w:highlight w:val="none"/>
        </w:rPr>
        <w:tab/>
      </w:r>
      <w:r>
        <w:rPr>
          <w:color w:val="auto"/>
          <w:highlight w:val="none"/>
        </w:rPr>
        <w:fldChar w:fldCharType="begin"/>
      </w:r>
      <w:r>
        <w:rPr>
          <w:color w:val="auto"/>
          <w:highlight w:val="none"/>
        </w:rPr>
        <w:instrText xml:space="preserve"> PAGEREF _Toc4933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0D7BF36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_Toc7981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5</w:t>
      </w:r>
      <w:r>
        <w:rPr>
          <w:rFonts w:hint="eastAsia" w:hAnsi="宋体" w:cs="宋体"/>
          <w:bCs/>
          <w:snapToGrid w:val="0"/>
          <w:color w:val="auto"/>
          <w:kern w:val="0"/>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_Toc7981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4DA8DE1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_Toc7088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6</w:t>
      </w:r>
      <w:r>
        <w:rPr>
          <w:rFonts w:hint="eastAsia" w:hAnsi="宋体" w:cs="宋体"/>
          <w:bCs/>
          <w:snapToGrid w:val="0"/>
          <w:color w:val="auto"/>
          <w:kern w:val="0"/>
          <w:szCs w:val="24"/>
          <w:highlight w:val="none"/>
        </w:rPr>
        <w:t>．分包</w:t>
      </w:r>
      <w:r>
        <w:rPr>
          <w:color w:val="auto"/>
          <w:highlight w:val="none"/>
        </w:rPr>
        <w:tab/>
      </w:r>
      <w:r>
        <w:rPr>
          <w:color w:val="auto"/>
          <w:highlight w:val="none"/>
        </w:rPr>
        <w:fldChar w:fldCharType="begin"/>
      </w:r>
      <w:r>
        <w:rPr>
          <w:color w:val="auto"/>
          <w:highlight w:val="none"/>
        </w:rPr>
        <w:instrText xml:space="preserve"> PAGEREF _Toc7088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0AAC41D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_Toc6953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7</w:t>
      </w:r>
      <w:r>
        <w:rPr>
          <w:rFonts w:hint="eastAsia" w:hAnsi="宋体" w:cs="宋体"/>
          <w:bCs/>
          <w:snapToGrid w:val="0"/>
          <w:color w:val="auto"/>
          <w:kern w:val="0"/>
          <w:szCs w:val="24"/>
          <w:highlight w:val="none"/>
        </w:rPr>
        <w:t>．监理服务期限</w:t>
      </w:r>
      <w:r>
        <w:rPr>
          <w:color w:val="auto"/>
          <w:highlight w:val="none"/>
        </w:rPr>
        <w:tab/>
      </w:r>
      <w:r>
        <w:rPr>
          <w:color w:val="auto"/>
          <w:highlight w:val="none"/>
        </w:rPr>
        <w:fldChar w:fldCharType="begin"/>
      </w:r>
      <w:r>
        <w:rPr>
          <w:color w:val="auto"/>
          <w:highlight w:val="none"/>
        </w:rPr>
        <w:instrText xml:space="preserve"> PAGEREF _Toc6953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3955497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_Toc31907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8</w:t>
      </w:r>
      <w:r>
        <w:rPr>
          <w:rFonts w:hint="eastAsia" w:hAnsi="宋体" w:cs="宋体"/>
          <w:bCs/>
          <w:snapToGrid w:val="0"/>
          <w:color w:val="auto"/>
          <w:kern w:val="0"/>
          <w:szCs w:val="24"/>
          <w:highlight w:val="none"/>
        </w:rPr>
        <w:t>．项目监理机构</w:t>
      </w:r>
      <w:r>
        <w:rPr>
          <w:color w:val="auto"/>
          <w:highlight w:val="none"/>
        </w:rPr>
        <w:tab/>
      </w:r>
      <w:r>
        <w:rPr>
          <w:color w:val="auto"/>
          <w:highlight w:val="none"/>
        </w:rPr>
        <w:fldChar w:fldCharType="begin"/>
      </w:r>
      <w:r>
        <w:rPr>
          <w:color w:val="auto"/>
          <w:highlight w:val="none"/>
        </w:rPr>
        <w:instrText xml:space="preserve"> PAGEREF _Toc31907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3FD75F6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_Toc15281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9</w:t>
      </w:r>
      <w:r>
        <w:rPr>
          <w:rFonts w:hint="eastAsia" w:hAnsi="宋体" w:cs="宋体"/>
          <w:snapToGrid w:val="0"/>
          <w:color w:val="auto"/>
          <w:kern w:val="0"/>
          <w:szCs w:val="24"/>
          <w:highlight w:val="none"/>
        </w:rPr>
        <w:t>．安全防护</w:t>
      </w:r>
      <w:r>
        <w:rPr>
          <w:color w:val="auto"/>
          <w:highlight w:val="none"/>
        </w:rPr>
        <w:tab/>
      </w:r>
      <w:r>
        <w:rPr>
          <w:color w:val="auto"/>
          <w:highlight w:val="none"/>
        </w:rPr>
        <w:fldChar w:fldCharType="begin"/>
      </w:r>
      <w:r>
        <w:rPr>
          <w:color w:val="auto"/>
          <w:highlight w:val="none"/>
        </w:rPr>
        <w:instrText xml:space="preserve"> PAGEREF _Toc15281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2819528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_Toc2694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10</w:t>
      </w:r>
      <w:r>
        <w:rPr>
          <w:rFonts w:hint="eastAsia" w:hAnsi="宋体" w:cs="宋体"/>
          <w:snapToGrid w:val="0"/>
          <w:color w:val="auto"/>
          <w:kern w:val="0"/>
          <w:szCs w:val="24"/>
          <w:highlight w:val="none"/>
        </w:rPr>
        <w:t>．接受监督</w:t>
      </w:r>
      <w:r>
        <w:rPr>
          <w:color w:val="auto"/>
          <w:highlight w:val="none"/>
        </w:rPr>
        <w:tab/>
      </w:r>
      <w:r>
        <w:rPr>
          <w:color w:val="auto"/>
          <w:highlight w:val="none"/>
        </w:rPr>
        <w:fldChar w:fldCharType="begin"/>
      </w:r>
      <w:r>
        <w:rPr>
          <w:color w:val="auto"/>
          <w:highlight w:val="none"/>
        </w:rPr>
        <w:instrText xml:space="preserve"> PAGEREF _Toc2694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1F210F2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_Toc5818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rPr>
        <w:t>．监理档案移交</w:t>
      </w:r>
      <w:r>
        <w:rPr>
          <w:color w:val="auto"/>
          <w:highlight w:val="none"/>
        </w:rPr>
        <w:tab/>
      </w:r>
      <w:r>
        <w:rPr>
          <w:color w:val="auto"/>
          <w:highlight w:val="none"/>
        </w:rPr>
        <w:fldChar w:fldCharType="begin"/>
      </w:r>
      <w:r>
        <w:rPr>
          <w:color w:val="auto"/>
          <w:highlight w:val="none"/>
        </w:rPr>
        <w:instrText xml:space="preserve"> PAGEREF _Toc5818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5B6B91AF">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_Toc29177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w:t>
      </w:r>
      <w:r>
        <w:rPr>
          <w:rFonts w:hint="eastAsia" w:hAnsi="宋体" w:cs="宋体"/>
          <w:bCs/>
          <w:snapToGrid w:val="0"/>
          <w:color w:val="auto"/>
          <w:kern w:val="0"/>
          <w:szCs w:val="24"/>
          <w:highlight w:val="none"/>
          <w:lang w:val="en-US" w:eastAsia="zh-CN"/>
        </w:rPr>
        <w:t>2</w:t>
      </w:r>
      <w:r>
        <w:rPr>
          <w:rFonts w:hint="eastAsia" w:hAnsi="宋体" w:cs="宋体"/>
          <w:snapToGrid w:val="0"/>
          <w:color w:val="auto"/>
          <w:kern w:val="0"/>
          <w:szCs w:val="24"/>
          <w:highlight w:val="none"/>
        </w:rPr>
        <w:t>．不良行为处理</w:t>
      </w:r>
      <w:r>
        <w:rPr>
          <w:color w:val="auto"/>
          <w:highlight w:val="none"/>
        </w:rPr>
        <w:tab/>
      </w:r>
      <w:r>
        <w:rPr>
          <w:color w:val="auto"/>
          <w:highlight w:val="none"/>
        </w:rPr>
        <w:fldChar w:fldCharType="begin"/>
      </w:r>
      <w:r>
        <w:rPr>
          <w:color w:val="auto"/>
          <w:highlight w:val="none"/>
        </w:rPr>
        <w:instrText xml:space="preserve"> PAGEREF _Toc29177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76D0EA0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_Toc25306 </w:instrText>
      </w:r>
      <w:r>
        <w:rPr>
          <w:rFonts w:hint="eastAsia" w:hAnsi="宋体" w:cs="宋体"/>
          <w:color w:val="auto"/>
          <w:szCs w:val="24"/>
          <w:highlight w:val="none"/>
        </w:rPr>
        <w:fldChar w:fldCharType="separate"/>
      </w:r>
      <w:r>
        <w:rPr>
          <w:rFonts w:hint="eastAsia" w:ascii="宋体" w:hAnsi="宋体" w:cs="宋体"/>
          <w:bCs/>
          <w:snapToGrid w:val="0"/>
          <w:color w:val="auto"/>
          <w:kern w:val="0"/>
          <w:szCs w:val="24"/>
          <w:highlight w:val="none"/>
        </w:rPr>
        <w:t>1</w:t>
      </w:r>
      <w:r>
        <w:rPr>
          <w:rFonts w:hint="eastAsia" w:ascii="宋体" w:hAnsi="宋体" w:cs="宋体"/>
          <w:bCs/>
          <w:snapToGrid w:val="0"/>
          <w:color w:val="auto"/>
          <w:kern w:val="0"/>
          <w:szCs w:val="24"/>
          <w:highlight w:val="none"/>
          <w:lang w:val="en-US" w:eastAsia="zh-CN"/>
        </w:rPr>
        <w:t>3</w:t>
      </w:r>
      <w:r>
        <w:rPr>
          <w:rFonts w:hint="eastAsia" w:ascii="宋体" w:hAnsi="宋体" w:cs="宋体"/>
          <w:snapToGrid w:val="0"/>
          <w:color w:val="auto"/>
          <w:kern w:val="0"/>
          <w:szCs w:val="24"/>
          <w:highlight w:val="none"/>
        </w:rPr>
        <w:t>．</w:t>
      </w:r>
      <w:r>
        <w:rPr>
          <w:rFonts w:hint="eastAsia" w:ascii="宋体" w:hAnsi="宋体" w:cs="宋体"/>
          <w:bCs/>
          <w:snapToGrid w:val="0"/>
          <w:color w:val="auto"/>
          <w:kern w:val="0"/>
          <w:szCs w:val="24"/>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_Toc25306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54FEA325">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_Toc16840 </w:instrText>
      </w:r>
      <w:r>
        <w:rPr>
          <w:rFonts w:hint="eastAsia" w:hAnsi="宋体" w:cs="宋体"/>
          <w:color w:val="auto"/>
          <w:szCs w:val="24"/>
          <w:highlight w:val="none"/>
        </w:rPr>
        <w:fldChar w:fldCharType="separate"/>
      </w:r>
      <w:r>
        <w:rPr>
          <w:rFonts w:hint="eastAsia" w:hAnsi="宋体" w:cs="宋体"/>
          <w:snapToGrid w:val="0"/>
          <w:color w:val="auto"/>
          <w:szCs w:val="32"/>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_Toc16840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4CB09E6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_Toc9210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1．现场办公条件</w:t>
      </w:r>
      <w:r>
        <w:rPr>
          <w:color w:val="auto"/>
          <w:highlight w:val="none"/>
        </w:rPr>
        <w:tab/>
      </w:r>
      <w:r>
        <w:rPr>
          <w:color w:val="auto"/>
          <w:highlight w:val="none"/>
        </w:rPr>
        <w:fldChar w:fldCharType="begin"/>
      </w:r>
      <w:r>
        <w:rPr>
          <w:color w:val="auto"/>
          <w:highlight w:val="none"/>
        </w:rPr>
        <w:instrText xml:space="preserve"> PAGEREF _Toc9210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130DB693">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_Toc1375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2．监理服务费</w:t>
      </w:r>
      <w:r>
        <w:rPr>
          <w:color w:val="auto"/>
          <w:highlight w:val="none"/>
        </w:rPr>
        <w:tab/>
      </w:r>
      <w:r>
        <w:rPr>
          <w:color w:val="auto"/>
          <w:highlight w:val="none"/>
        </w:rPr>
        <w:fldChar w:fldCharType="begin"/>
      </w:r>
      <w:r>
        <w:rPr>
          <w:color w:val="auto"/>
          <w:highlight w:val="none"/>
        </w:rPr>
        <w:instrText xml:space="preserve"> PAGEREF _Toc1375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0BB35D7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_Toc31344 </w:instrText>
      </w:r>
      <w:r>
        <w:rPr>
          <w:rFonts w:hint="eastAsia" w:hAnsi="宋体" w:cs="宋体"/>
          <w:color w:val="auto"/>
          <w:szCs w:val="24"/>
          <w:highlight w:val="none"/>
        </w:rPr>
        <w:fldChar w:fldCharType="separate"/>
      </w:r>
      <w:r>
        <w:rPr>
          <w:rFonts w:hint="eastAsia" w:ascii="宋体" w:hAnsi="宋体" w:eastAsia="宋体" w:cs="宋体"/>
          <w:bCs/>
          <w:snapToGrid w:val="0"/>
          <w:color w:val="auto"/>
          <w:kern w:val="0"/>
          <w:szCs w:val="24"/>
          <w:highlight w:val="none"/>
        </w:rPr>
        <w:t>3．监理服务费发票</w:t>
      </w:r>
      <w:r>
        <w:rPr>
          <w:color w:val="auto"/>
          <w:highlight w:val="none"/>
        </w:rPr>
        <w:tab/>
      </w:r>
      <w:r>
        <w:rPr>
          <w:color w:val="auto"/>
          <w:highlight w:val="none"/>
        </w:rPr>
        <w:fldChar w:fldCharType="begin"/>
      </w:r>
      <w:r>
        <w:rPr>
          <w:color w:val="auto"/>
          <w:highlight w:val="none"/>
        </w:rPr>
        <w:instrText xml:space="preserve"> PAGEREF _Toc31344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4816AA6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_Toc31725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4．违约责任</w:t>
      </w:r>
      <w:r>
        <w:rPr>
          <w:color w:val="auto"/>
          <w:highlight w:val="none"/>
        </w:rPr>
        <w:tab/>
      </w:r>
      <w:r>
        <w:rPr>
          <w:color w:val="auto"/>
          <w:highlight w:val="none"/>
        </w:rPr>
        <w:fldChar w:fldCharType="begin"/>
      </w:r>
      <w:r>
        <w:rPr>
          <w:color w:val="auto"/>
          <w:highlight w:val="none"/>
        </w:rPr>
        <w:instrText xml:space="preserve"> PAGEREF _Toc31725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6CE27B2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_Toc4121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5．</w:t>
      </w:r>
      <w:r>
        <w:rPr>
          <w:rFonts w:hint="eastAsia" w:hAnsi="宋体" w:cs="宋体"/>
          <w:bCs/>
          <w:snapToGrid w:val="0"/>
          <w:color w:val="auto"/>
          <w:kern w:val="0"/>
          <w:szCs w:val="24"/>
          <w:highlight w:val="none"/>
          <w:lang w:val="en-US" w:eastAsia="zh-CN"/>
        </w:rPr>
        <w:t>监理服务费的</w:t>
      </w:r>
      <w:r>
        <w:rPr>
          <w:rFonts w:hint="eastAsia" w:hAnsi="宋体" w:cs="宋体"/>
          <w:bCs/>
          <w:snapToGrid w:val="0"/>
          <w:color w:val="auto"/>
          <w:kern w:val="0"/>
          <w:szCs w:val="24"/>
          <w:highlight w:val="none"/>
        </w:rPr>
        <w:t>支付</w:t>
      </w:r>
      <w:r>
        <w:rPr>
          <w:color w:val="auto"/>
          <w:highlight w:val="none"/>
        </w:rPr>
        <w:tab/>
      </w:r>
      <w:r>
        <w:rPr>
          <w:color w:val="auto"/>
          <w:highlight w:val="none"/>
        </w:rPr>
        <w:fldChar w:fldCharType="begin"/>
      </w:r>
      <w:r>
        <w:rPr>
          <w:color w:val="auto"/>
          <w:highlight w:val="none"/>
        </w:rPr>
        <w:instrText xml:space="preserve"> PAGEREF _Toc4121 \h </w:instrText>
      </w:r>
      <w:r>
        <w:rPr>
          <w:color w:val="auto"/>
          <w:highlight w:val="none"/>
        </w:rPr>
        <w:fldChar w:fldCharType="separate"/>
      </w:r>
      <w:r>
        <w:rPr>
          <w:color w:val="auto"/>
          <w:highlight w:val="none"/>
        </w:rPr>
        <w:t>42</w:t>
      </w:r>
      <w:r>
        <w:rPr>
          <w:color w:val="auto"/>
          <w:highlight w:val="none"/>
        </w:rPr>
        <w:fldChar w:fldCharType="end"/>
      </w:r>
      <w:r>
        <w:rPr>
          <w:rFonts w:hint="eastAsia" w:hAnsi="宋体" w:cs="宋体"/>
          <w:color w:val="auto"/>
          <w:szCs w:val="24"/>
          <w:highlight w:val="none"/>
        </w:rPr>
        <w:fldChar w:fldCharType="end"/>
      </w:r>
    </w:p>
    <w:p w14:paraId="6E8AE961">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_Toc6555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6．</w:t>
      </w:r>
      <w:r>
        <w:rPr>
          <w:rFonts w:hint="eastAsia" w:ascii="Times New Roman"/>
          <w:snapToGrid w:val="0"/>
          <w:color w:val="auto"/>
          <w:szCs w:val="22"/>
          <w:highlight w:val="none"/>
        </w:rPr>
        <w:t>监理人违约及违约责任</w:t>
      </w:r>
      <w:r>
        <w:rPr>
          <w:color w:val="auto"/>
          <w:highlight w:val="none"/>
        </w:rPr>
        <w:tab/>
      </w:r>
      <w:r>
        <w:rPr>
          <w:color w:val="auto"/>
          <w:highlight w:val="none"/>
        </w:rPr>
        <w:fldChar w:fldCharType="begin"/>
      </w:r>
      <w:r>
        <w:rPr>
          <w:color w:val="auto"/>
          <w:highlight w:val="none"/>
        </w:rPr>
        <w:instrText xml:space="preserve"> PAGEREF _Toc6555 \h </w:instrText>
      </w:r>
      <w:r>
        <w:rPr>
          <w:color w:val="auto"/>
          <w:highlight w:val="none"/>
        </w:rPr>
        <w:fldChar w:fldCharType="separate"/>
      </w:r>
      <w:r>
        <w:rPr>
          <w:color w:val="auto"/>
          <w:highlight w:val="none"/>
        </w:rPr>
        <w:t>44</w:t>
      </w:r>
      <w:r>
        <w:rPr>
          <w:color w:val="auto"/>
          <w:highlight w:val="none"/>
        </w:rPr>
        <w:fldChar w:fldCharType="end"/>
      </w:r>
      <w:r>
        <w:rPr>
          <w:rFonts w:hint="eastAsia" w:hAnsi="宋体" w:cs="宋体"/>
          <w:color w:val="auto"/>
          <w:szCs w:val="24"/>
          <w:highlight w:val="none"/>
        </w:rPr>
        <w:fldChar w:fldCharType="end"/>
      </w:r>
    </w:p>
    <w:p w14:paraId="56A6CE3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_Toc15156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7. 工程质量、造价、进度控制及安全生产管理</w:t>
      </w:r>
      <w:r>
        <w:rPr>
          <w:color w:val="auto"/>
          <w:highlight w:val="none"/>
        </w:rPr>
        <w:tab/>
      </w:r>
      <w:r>
        <w:rPr>
          <w:color w:val="auto"/>
          <w:highlight w:val="none"/>
        </w:rPr>
        <w:fldChar w:fldCharType="begin"/>
      </w:r>
      <w:r>
        <w:rPr>
          <w:color w:val="auto"/>
          <w:highlight w:val="none"/>
        </w:rPr>
        <w:instrText xml:space="preserve"> PAGEREF _Toc15156 \h </w:instrText>
      </w:r>
      <w:r>
        <w:rPr>
          <w:color w:val="auto"/>
          <w:highlight w:val="none"/>
        </w:rPr>
        <w:fldChar w:fldCharType="separate"/>
      </w:r>
      <w:r>
        <w:rPr>
          <w:color w:val="auto"/>
          <w:highlight w:val="none"/>
        </w:rPr>
        <w:t>49</w:t>
      </w:r>
      <w:r>
        <w:rPr>
          <w:color w:val="auto"/>
          <w:highlight w:val="none"/>
        </w:rPr>
        <w:fldChar w:fldCharType="end"/>
      </w:r>
      <w:r>
        <w:rPr>
          <w:rFonts w:hint="eastAsia" w:hAnsi="宋体" w:cs="宋体"/>
          <w:color w:val="auto"/>
          <w:szCs w:val="24"/>
          <w:highlight w:val="none"/>
        </w:rPr>
        <w:fldChar w:fldCharType="end"/>
      </w:r>
    </w:p>
    <w:p w14:paraId="57CB4514">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_Toc11137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_Toc11137 \h </w:instrText>
      </w:r>
      <w:r>
        <w:rPr>
          <w:color w:val="auto"/>
          <w:highlight w:val="none"/>
        </w:rPr>
        <w:fldChar w:fldCharType="separate"/>
      </w:r>
      <w:r>
        <w:rPr>
          <w:color w:val="auto"/>
          <w:highlight w:val="none"/>
        </w:rPr>
        <w:t>54</w:t>
      </w:r>
      <w:r>
        <w:rPr>
          <w:color w:val="auto"/>
          <w:highlight w:val="none"/>
        </w:rPr>
        <w:fldChar w:fldCharType="end"/>
      </w:r>
      <w:r>
        <w:rPr>
          <w:rFonts w:hint="eastAsia" w:hAnsi="宋体" w:cs="宋体"/>
          <w:color w:val="auto"/>
          <w:szCs w:val="24"/>
          <w:highlight w:val="none"/>
        </w:rPr>
        <w:fldChar w:fldCharType="end"/>
      </w:r>
    </w:p>
    <w:p w14:paraId="0ED31A41">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_Toc27904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_Toc27904 \h </w:instrText>
      </w:r>
      <w:r>
        <w:rPr>
          <w:color w:val="auto"/>
          <w:highlight w:val="none"/>
        </w:rPr>
        <w:fldChar w:fldCharType="separate"/>
      </w:r>
      <w:r>
        <w:rPr>
          <w:color w:val="auto"/>
          <w:highlight w:val="none"/>
        </w:rPr>
        <w:t>56</w:t>
      </w:r>
      <w:r>
        <w:rPr>
          <w:color w:val="auto"/>
          <w:highlight w:val="none"/>
        </w:rPr>
        <w:fldChar w:fldCharType="end"/>
      </w:r>
      <w:r>
        <w:rPr>
          <w:rFonts w:hint="eastAsia" w:hAnsi="宋体" w:cs="宋体"/>
          <w:color w:val="auto"/>
          <w:szCs w:val="24"/>
          <w:highlight w:val="none"/>
        </w:rPr>
        <w:fldChar w:fldCharType="end"/>
      </w:r>
    </w:p>
    <w:p w14:paraId="3BA92CE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_Toc31809 </w:instrText>
      </w:r>
      <w:r>
        <w:rPr>
          <w:rFonts w:hint="eastAsia" w:hAnsi="宋体" w:cs="宋体"/>
          <w:color w:val="auto"/>
          <w:szCs w:val="24"/>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_Toc31809 \h </w:instrText>
      </w:r>
      <w:r>
        <w:rPr>
          <w:color w:val="auto"/>
          <w:highlight w:val="none"/>
        </w:rPr>
        <w:fldChar w:fldCharType="separate"/>
      </w:r>
      <w:r>
        <w:rPr>
          <w:color w:val="auto"/>
          <w:highlight w:val="none"/>
        </w:rPr>
        <w:t>56</w:t>
      </w:r>
      <w:r>
        <w:rPr>
          <w:color w:val="auto"/>
          <w:highlight w:val="none"/>
        </w:rPr>
        <w:fldChar w:fldCharType="end"/>
      </w:r>
      <w:r>
        <w:rPr>
          <w:rFonts w:hint="eastAsia" w:hAnsi="宋体" w:cs="宋体"/>
          <w:color w:val="auto"/>
          <w:szCs w:val="24"/>
          <w:highlight w:val="none"/>
        </w:rPr>
        <w:fldChar w:fldCharType="end"/>
      </w:r>
    </w:p>
    <w:p w14:paraId="59EAEB6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_Toc29299 </w:instrText>
      </w:r>
      <w:r>
        <w:rPr>
          <w:rFonts w:hint="eastAsia" w:hAnsi="宋体" w:cs="宋体"/>
          <w:color w:val="auto"/>
          <w:szCs w:val="24"/>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_Toc29299 \h </w:instrText>
      </w:r>
      <w:r>
        <w:rPr>
          <w:color w:val="auto"/>
          <w:highlight w:val="none"/>
        </w:rPr>
        <w:fldChar w:fldCharType="separate"/>
      </w:r>
      <w:r>
        <w:rPr>
          <w:color w:val="auto"/>
          <w:highlight w:val="none"/>
        </w:rPr>
        <w:t>57</w:t>
      </w:r>
      <w:r>
        <w:rPr>
          <w:color w:val="auto"/>
          <w:highlight w:val="none"/>
        </w:rPr>
        <w:fldChar w:fldCharType="end"/>
      </w:r>
      <w:r>
        <w:rPr>
          <w:rFonts w:hint="eastAsia" w:hAnsi="宋体" w:cs="宋体"/>
          <w:color w:val="auto"/>
          <w:szCs w:val="24"/>
          <w:highlight w:val="none"/>
        </w:rPr>
        <w:fldChar w:fldCharType="end"/>
      </w:r>
    </w:p>
    <w:p w14:paraId="2786B9E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_Toc1644 </w:instrText>
      </w:r>
      <w:r>
        <w:rPr>
          <w:rFonts w:hint="eastAsia" w:hAnsi="宋体" w:cs="宋体"/>
          <w:color w:val="auto"/>
          <w:szCs w:val="24"/>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_Toc1644 \h </w:instrText>
      </w:r>
      <w:r>
        <w:rPr>
          <w:color w:val="auto"/>
          <w:highlight w:val="none"/>
        </w:rPr>
        <w:fldChar w:fldCharType="separate"/>
      </w:r>
      <w:r>
        <w:rPr>
          <w:color w:val="auto"/>
          <w:highlight w:val="none"/>
        </w:rPr>
        <w:t>58</w:t>
      </w:r>
      <w:r>
        <w:rPr>
          <w:color w:val="auto"/>
          <w:highlight w:val="none"/>
        </w:rPr>
        <w:fldChar w:fldCharType="end"/>
      </w:r>
      <w:r>
        <w:rPr>
          <w:rFonts w:hint="eastAsia" w:hAnsi="宋体" w:cs="宋体"/>
          <w:color w:val="auto"/>
          <w:szCs w:val="24"/>
          <w:highlight w:val="none"/>
        </w:rPr>
        <w:fldChar w:fldCharType="end"/>
      </w:r>
    </w:p>
    <w:p w14:paraId="00F16A01">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_Toc32644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_Toc32644 \h </w:instrText>
      </w:r>
      <w:r>
        <w:rPr>
          <w:color w:val="auto"/>
          <w:highlight w:val="none"/>
        </w:rPr>
        <w:fldChar w:fldCharType="separate"/>
      </w:r>
      <w:r>
        <w:rPr>
          <w:color w:val="auto"/>
          <w:highlight w:val="none"/>
        </w:rPr>
        <w:t>60</w:t>
      </w:r>
      <w:r>
        <w:rPr>
          <w:color w:val="auto"/>
          <w:highlight w:val="none"/>
        </w:rPr>
        <w:fldChar w:fldCharType="end"/>
      </w:r>
      <w:r>
        <w:rPr>
          <w:rFonts w:hint="eastAsia" w:hAnsi="宋体" w:cs="宋体"/>
          <w:color w:val="auto"/>
          <w:szCs w:val="24"/>
          <w:highlight w:val="none"/>
        </w:rPr>
        <w:fldChar w:fldCharType="end"/>
      </w:r>
    </w:p>
    <w:p w14:paraId="1942015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_Toc27423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_Toc27423 \h </w:instrText>
      </w:r>
      <w:r>
        <w:rPr>
          <w:color w:val="auto"/>
          <w:highlight w:val="none"/>
        </w:rPr>
        <w:fldChar w:fldCharType="separate"/>
      </w:r>
      <w:r>
        <w:rPr>
          <w:color w:val="auto"/>
          <w:highlight w:val="none"/>
        </w:rPr>
        <w:t>61</w:t>
      </w:r>
      <w:r>
        <w:rPr>
          <w:color w:val="auto"/>
          <w:highlight w:val="none"/>
        </w:rPr>
        <w:fldChar w:fldCharType="end"/>
      </w:r>
      <w:r>
        <w:rPr>
          <w:rFonts w:hint="eastAsia" w:hAnsi="宋体" w:cs="宋体"/>
          <w:color w:val="auto"/>
          <w:szCs w:val="24"/>
          <w:highlight w:val="none"/>
        </w:rPr>
        <w:fldChar w:fldCharType="end"/>
      </w:r>
    </w:p>
    <w:p w14:paraId="0819493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_Toc474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_Toc474 \h </w:instrText>
      </w:r>
      <w:r>
        <w:rPr>
          <w:color w:val="auto"/>
          <w:highlight w:val="none"/>
        </w:rPr>
        <w:fldChar w:fldCharType="separate"/>
      </w:r>
      <w:r>
        <w:rPr>
          <w:color w:val="auto"/>
          <w:highlight w:val="none"/>
        </w:rPr>
        <w:t>62</w:t>
      </w:r>
      <w:r>
        <w:rPr>
          <w:color w:val="auto"/>
          <w:highlight w:val="none"/>
        </w:rPr>
        <w:fldChar w:fldCharType="end"/>
      </w:r>
      <w:r>
        <w:rPr>
          <w:rFonts w:hint="eastAsia" w:hAnsi="宋体" w:cs="宋体"/>
          <w:color w:val="auto"/>
          <w:szCs w:val="24"/>
          <w:highlight w:val="none"/>
        </w:rPr>
        <w:fldChar w:fldCharType="end"/>
      </w:r>
    </w:p>
    <w:p w14:paraId="3C333620">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_Toc22135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格式七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_Toc22135 \h </w:instrText>
      </w:r>
      <w:r>
        <w:rPr>
          <w:color w:val="auto"/>
          <w:highlight w:val="none"/>
        </w:rPr>
        <w:fldChar w:fldCharType="separate"/>
      </w:r>
      <w:r>
        <w:rPr>
          <w:color w:val="auto"/>
          <w:highlight w:val="none"/>
        </w:rPr>
        <w:t>63</w:t>
      </w:r>
      <w:r>
        <w:rPr>
          <w:color w:val="auto"/>
          <w:highlight w:val="none"/>
        </w:rPr>
        <w:fldChar w:fldCharType="end"/>
      </w:r>
      <w:r>
        <w:rPr>
          <w:rFonts w:hint="eastAsia" w:hAnsi="宋体" w:cs="宋体"/>
          <w:color w:val="auto"/>
          <w:szCs w:val="24"/>
          <w:highlight w:val="none"/>
        </w:rPr>
        <w:fldChar w:fldCharType="end"/>
      </w:r>
    </w:p>
    <w:p w14:paraId="59F91C3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_Toc24032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格式八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_Toc24032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szCs w:val="24"/>
          <w:highlight w:val="none"/>
        </w:rPr>
        <w:fldChar w:fldCharType="end"/>
      </w:r>
    </w:p>
    <w:p w14:paraId="4CA2EE3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_Toc2263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格式九 总监理工程师任职项目情况表</w:t>
      </w:r>
      <w:r>
        <w:rPr>
          <w:color w:val="auto"/>
          <w:highlight w:val="none"/>
        </w:rPr>
        <w:tab/>
      </w:r>
      <w:r>
        <w:rPr>
          <w:color w:val="auto"/>
          <w:highlight w:val="none"/>
        </w:rPr>
        <w:fldChar w:fldCharType="begin"/>
      </w:r>
      <w:r>
        <w:rPr>
          <w:color w:val="auto"/>
          <w:highlight w:val="none"/>
        </w:rPr>
        <w:instrText xml:space="preserve"> PAGEREF _Toc2263 \h </w:instrText>
      </w:r>
      <w:r>
        <w:rPr>
          <w:color w:val="auto"/>
          <w:highlight w:val="none"/>
        </w:rPr>
        <w:fldChar w:fldCharType="separate"/>
      </w:r>
      <w:r>
        <w:rPr>
          <w:color w:val="auto"/>
          <w:highlight w:val="none"/>
        </w:rPr>
        <w:t>65</w:t>
      </w:r>
      <w:r>
        <w:rPr>
          <w:color w:val="auto"/>
          <w:highlight w:val="none"/>
        </w:rPr>
        <w:fldChar w:fldCharType="end"/>
      </w:r>
      <w:r>
        <w:rPr>
          <w:rFonts w:hint="eastAsia" w:hAnsi="宋体" w:cs="宋体"/>
          <w:color w:val="auto"/>
          <w:szCs w:val="24"/>
          <w:highlight w:val="none"/>
        </w:rPr>
        <w:fldChar w:fldCharType="end"/>
      </w:r>
    </w:p>
    <w:p w14:paraId="7E7E218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_Toc4492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w:t>
      </w:r>
      <w:r>
        <w:rPr>
          <w:rFonts w:hint="eastAsia" w:hAnsi="宋体" w:cs="宋体"/>
          <w:bCs/>
          <w:snapToGrid w:val="0"/>
          <w:color w:val="auto"/>
          <w:kern w:val="0"/>
          <w:szCs w:val="24"/>
          <w:highlight w:val="none"/>
        </w:rPr>
        <w:t>十 项目监理机构组成人员汇总表</w:t>
      </w:r>
      <w:r>
        <w:rPr>
          <w:color w:val="auto"/>
          <w:highlight w:val="none"/>
        </w:rPr>
        <w:tab/>
      </w:r>
      <w:r>
        <w:rPr>
          <w:color w:val="auto"/>
          <w:highlight w:val="none"/>
        </w:rPr>
        <w:fldChar w:fldCharType="begin"/>
      </w:r>
      <w:r>
        <w:rPr>
          <w:color w:val="auto"/>
          <w:highlight w:val="none"/>
        </w:rPr>
        <w:instrText xml:space="preserve"> PAGEREF _Toc4492 \h </w:instrText>
      </w:r>
      <w:r>
        <w:rPr>
          <w:color w:val="auto"/>
          <w:highlight w:val="none"/>
        </w:rPr>
        <w:fldChar w:fldCharType="separate"/>
      </w:r>
      <w:r>
        <w:rPr>
          <w:color w:val="auto"/>
          <w:highlight w:val="none"/>
        </w:rPr>
        <w:t>66</w:t>
      </w:r>
      <w:r>
        <w:rPr>
          <w:color w:val="auto"/>
          <w:highlight w:val="none"/>
        </w:rPr>
        <w:fldChar w:fldCharType="end"/>
      </w:r>
      <w:r>
        <w:rPr>
          <w:rFonts w:hint="eastAsia" w:hAnsi="宋体" w:cs="宋体"/>
          <w:color w:val="auto"/>
          <w:szCs w:val="24"/>
          <w:highlight w:val="none"/>
        </w:rPr>
        <w:fldChar w:fldCharType="end"/>
      </w:r>
    </w:p>
    <w:p w14:paraId="1C693EA0">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_Toc13068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格式十一 总监理工程师简历表</w:t>
      </w:r>
      <w:r>
        <w:rPr>
          <w:color w:val="auto"/>
          <w:highlight w:val="none"/>
        </w:rPr>
        <w:tab/>
      </w:r>
      <w:r>
        <w:rPr>
          <w:color w:val="auto"/>
          <w:highlight w:val="none"/>
        </w:rPr>
        <w:fldChar w:fldCharType="begin"/>
      </w:r>
      <w:r>
        <w:rPr>
          <w:color w:val="auto"/>
          <w:highlight w:val="none"/>
        </w:rPr>
        <w:instrText xml:space="preserve"> PAGEREF _Toc13068 \h </w:instrText>
      </w:r>
      <w:r>
        <w:rPr>
          <w:color w:val="auto"/>
          <w:highlight w:val="none"/>
        </w:rPr>
        <w:fldChar w:fldCharType="separate"/>
      </w:r>
      <w:r>
        <w:rPr>
          <w:color w:val="auto"/>
          <w:highlight w:val="none"/>
        </w:rPr>
        <w:t>67</w:t>
      </w:r>
      <w:r>
        <w:rPr>
          <w:color w:val="auto"/>
          <w:highlight w:val="none"/>
        </w:rPr>
        <w:fldChar w:fldCharType="end"/>
      </w:r>
      <w:r>
        <w:rPr>
          <w:rFonts w:hint="eastAsia" w:hAnsi="宋体" w:cs="宋体"/>
          <w:color w:val="auto"/>
          <w:szCs w:val="24"/>
          <w:highlight w:val="none"/>
        </w:rPr>
        <w:fldChar w:fldCharType="end"/>
      </w:r>
    </w:p>
    <w:p w14:paraId="3119295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_Toc21090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格式十二 其他拟派人员简历表</w:t>
      </w:r>
      <w:r>
        <w:rPr>
          <w:color w:val="auto"/>
          <w:highlight w:val="none"/>
        </w:rPr>
        <w:tab/>
      </w:r>
      <w:r>
        <w:rPr>
          <w:color w:val="auto"/>
          <w:highlight w:val="none"/>
        </w:rPr>
        <w:fldChar w:fldCharType="begin"/>
      </w:r>
      <w:r>
        <w:rPr>
          <w:color w:val="auto"/>
          <w:highlight w:val="none"/>
        </w:rPr>
        <w:instrText xml:space="preserve"> PAGEREF _Toc21090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szCs w:val="24"/>
          <w:highlight w:val="none"/>
        </w:rPr>
        <w:fldChar w:fldCharType="end"/>
      </w:r>
    </w:p>
    <w:p w14:paraId="061617B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_Toc1230 </w:instrText>
      </w:r>
      <w:r>
        <w:rPr>
          <w:rFonts w:hint="eastAsia" w:hAnsi="宋体" w:cs="宋体"/>
          <w:color w:val="auto"/>
          <w:szCs w:val="24"/>
          <w:highlight w:val="none"/>
        </w:rPr>
        <w:fldChar w:fldCharType="separate"/>
      </w:r>
      <w:r>
        <w:rPr>
          <w:rFonts w:hint="eastAsia"/>
          <w:bCs/>
          <w:color w:val="auto"/>
          <w:highlight w:val="none"/>
          <w:lang w:val="en-US" w:eastAsia="zh-CN"/>
        </w:rPr>
        <w:t>格式十三 原件一览表</w:t>
      </w:r>
      <w:r>
        <w:rPr>
          <w:color w:val="auto"/>
          <w:highlight w:val="none"/>
        </w:rPr>
        <w:tab/>
      </w:r>
      <w:r>
        <w:rPr>
          <w:color w:val="auto"/>
          <w:highlight w:val="none"/>
        </w:rPr>
        <w:fldChar w:fldCharType="begin"/>
      </w:r>
      <w:r>
        <w:rPr>
          <w:color w:val="auto"/>
          <w:highlight w:val="none"/>
        </w:rPr>
        <w:instrText xml:space="preserve"> PAGEREF _Toc1230 \h </w:instrText>
      </w:r>
      <w:r>
        <w:rPr>
          <w:color w:val="auto"/>
          <w:highlight w:val="none"/>
        </w:rPr>
        <w:fldChar w:fldCharType="separate"/>
      </w:r>
      <w:r>
        <w:rPr>
          <w:color w:val="auto"/>
          <w:highlight w:val="none"/>
        </w:rPr>
        <w:t>69</w:t>
      </w:r>
      <w:r>
        <w:rPr>
          <w:color w:val="auto"/>
          <w:highlight w:val="none"/>
        </w:rPr>
        <w:fldChar w:fldCharType="end"/>
      </w:r>
      <w:r>
        <w:rPr>
          <w:rFonts w:hint="eastAsia" w:hAnsi="宋体" w:cs="宋体"/>
          <w:color w:val="auto"/>
          <w:szCs w:val="24"/>
          <w:highlight w:val="none"/>
        </w:rPr>
        <w:fldChar w:fldCharType="end"/>
      </w:r>
    </w:p>
    <w:p w14:paraId="1849A53E">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_Toc10354 </w:instrText>
      </w:r>
      <w:r>
        <w:rPr>
          <w:rFonts w:hint="eastAsia" w:hAnsi="宋体" w:cs="宋体"/>
          <w:color w:val="auto"/>
          <w:szCs w:val="24"/>
          <w:highlight w:val="none"/>
        </w:rPr>
        <w:fldChar w:fldCharType="separate"/>
      </w:r>
      <w:r>
        <w:rPr>
          <w:rFonts w:hint="eastAsia" w:ascii="宋体" w:hAnsi="宋体" w:cs="宋体"/>
          <w:color w:val="auto"/>
          <w:kern w:val="44"/>
          <w:szCs w:val="22"/>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_Toc10354 \h </w:instrText>
      </w:r>
      <w:r>
        <w:rPr>
          <w:color w:val="auto"/>
          <w:highlight w:val="none"/>
        </w:rPr>
        <w:fldChar w:fldCharType="separate"/>
      </w:r>
      <w:r>
        <w:rPr>
          <w:color w:val="auto"/>
          <w:highlight w:val="none"/>
        </w:rPr>
        <w:t>70</w:t>
      </w:r>
      <w:r>
        <w:rPr>
          <w:color w:val="auto"/>
          <w:highlight w:val="none"/>
        </w:rPr>
        <w:fldChar w:fldCharType="end"/>
      </w:r>
      <w:r>
        <w:rPr>
          <w:rFonts w:hint="eastAsia" w:hAnsi="宋体" w:cs="宋体"/>
          <w:color w:val="auto"/>
          <w:szCs w:val="24"/>
          <w:highlight w:val="none"/>
        </w:rPr>
        <w:fldChar w:fldCharType="end"/>
      </w:r>
    </w:p>
    <w:p w14:paraId="04AFE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Cs w:val="24"/>
          <w:highlight w:val="none"/>
        </w:rPr>
      </w:pPr>
      <w:r>
        <w:rPr>
          <w:rFonts w:hint="eastAsia" w:hAnsi="宋体" w:cs="宋体"/>
          <w:color w:val="auto"/>
          <w:szCs w:val="24"/>
          <w:highlight w:val="none"/>
        </w:rPr>
        <w:fldChar w:fldCharType="end"/>
      </w:r>
    </w:p>
    <w:p w14:paraId="72C6CDF7">
      <w:pPr>
        <w:bidi w:val="0"/>
        <w:rPr>
          <w:rFonts w:hint="eastAsia"/>
          <w:color w:val="auto"/>
          <w:highlight w:val="none"/>
        </w:rPr>
      </w:pPr>
    </w:p>
    <w:p w14:paraId="44E278EF">
      <w:pPr>
        <w:bidi w:val="0"/>
        <w:rPr>
          <w:rFonts w:hint="eastAsia"/>
          <w:color w:val="auto"/>
          <w:highlight w:val="none"/>
        </w:rPr>
      </w:pPr>
    </w:p>
    <w:p w14:paraId="4CFFDCA3">
      <w:pPr>
        <w:bidi w:val="0"/>
        <w:rPr>
          <w:rFonts w:hint="eastAsia"/>
          <w:color w:val="auto"/>
          <w:highlight w:val="none"/>
        </w:rPr>
      </w:pPr>
    </w:p>
    <w:p w14:paraId="49FACEF0">
      <w:pPr>
        <w:bidi w:val="0"/>
        <w:rPr>
          <w:rFonts w:hint="eastAsia"/>
          <w:color w:val="auto"/>
          <w:highlight w:val="none"/>
        </w:rPr>
      </w:pPr>
    </w:p>
    <w:p w14:paraId="67D59685">
      <w:pPr>
        <w:bidi w:val="0"/>
        <w:rPr>
          <w:rFonts w:hint="eastAsia"/>
          <w:color w:val="auto"/>
          <w:highlight w:val="none"/>
        </w:rPr>
      </w:pPr>
    </w:p>
    <w:p w14:paraId="3CF29BF7">
      <w:pPr>
        <w:bidi w:val="0"/>
        <w:rPr>
          <w:rFonts w:hint="eastAsia"/>
          <w:color w:val="auto"/>
          <w:highlight w:val="none"/>
        </w:rPr>
      </w:pPr>
    </w:p>
    <w:p w14:paraId="1C6B5B71">
      <w:pPr>
        <w:bidi w:val="0"/>
        <w:rPr>
          <w:rFonts w:hint="eastAsia"/>
          <w:color w:val="auto"/>
          <w:highlight w:val="none"/>
        </w:rPr>
      </w:pPr>
    </w:p>
    <w:p w14:paraId="00CD5A72">
      <w:pPr>
        <w:bidi w:val="0"/>
        <w:rPr>
          <w:rFonts w:hint="eastAsia"/>
          <w:color w:val="auto"/>
          <w:highlight w:val="none"/>
        </w:rPr>
      </w:pPr>
    </w:p>
    <w:p w14:paraId="7906C4F8">
      <w:pPr>
        <w:bidi w:val="0"/>
        <w:rPr>
          <w:rFonts w:hint="eastAsia"/>
          <w:color w:val="auto"/>
          <w:highlight w:val="none"/>
        </w:rPr>
      </w:pPr>
    </w:p>
    <w:p w14:paraId="7FA25707">
      <w:pPr>
        <w:bidi w:val="0"/>
        <w:rPr>
          <w:rFonts w:hint="eastAsia"/>
          <w:color w:val="auto"/>
          <w:highlight w:val="none"/>
        </w:rPr>
      </w:pPr>
    </w:p>
    <w:p w14:paraId="1AC08286">
      <w:pPr>
        <w:bidi w:val="0"/>
        <w:rPr>
          <w:rFonts w:hint="eastAsia"/>
          <w:color w:val="auto"/>
          <w:highlight w:val="none"/>
        </w:rPr>
      </w:pPr>
    </w:p>
    <w:p w14:paraId="31F3C68A">
      <w:pPr>
        <w:pStyle w:val="2"/>
        <w:rPr>
          <w:rFonts w:hint="eastAsia"/>
          <w:color w:val="auto"/>
          <w:highlight w:val="none"/>
        </w:rPr>
      </w:pPr>
    </w:p>
    <w:p w14:paraId="12FDD6C5">
      <w:pPr>
        <w:pStyle w:val="2"/>
        <w:rPr>
          <w:rFonts w:hint="eastAsia"/>
          <w:color w:val="auto"/>
          <w:highlight w:val="none"/>
        </w:rPr>
      </w:pPr>
    </w:p>
    <w:p w14:paraId="4E7A238C">
      <w:pPr>
        <w:pStyle w:val="2"/>
        <w:rPr>
          <w:rFonts w:hint="eastAsia"/>
          <w:color w:val="auto"/>
          <w:highlight w:val="none"/>
        </w:rPr>
      </w:pPr>
    </w:p>
    <w:p w14:paraId="4D4B16C5">
      <w:pPr>
        <w:pStyle w:val="2"/>
        <w:rPr>
          <w:rFonts w:hint="eastAsia"/>
          <w:color w:val="auto"/>
          <w:highlight w:val="none"/>
        </w:rPr>
      </w:pPr>
    </w:p>
    <w:p w14:paraId="4E126C67">
      <w:pPr>
        <w:pStyle w:val="2"/>
        <w:rPr>
          <w:rFonts w:hint="eastAsia"/>
          <w:color w:val="auto"/>
          <w:highlight w:val="none"/>
        </w:rPr>
      </w:pPr>
    </w:p>
    <w:p w14:paraId="79BD6181">
      <w:pPr>
        <w:bidi w:val="0"/>
        <w:rPr>
          <w:rFonts w:hint="eastAsia"/>
          <w:color w:val="auto"/>
          <w:highlight w:val="none"/>
        </w:rPr>
      </w:pPr>
    </w:p>
    <w:p w14:paraId="4FB68F0F">
      <w:pPr>
        <w:bidi w:val="0"/>
        <w:rPr>
          <w:rFonts w:hint="eastAsia"/>
          <w:color w:val="auto"/>
          <w:highlight w:val="none"/>
        </w:rPr>
      </w:pPr>
    </w:p>
    <w:p w14:paraId="1B29D6E3">
      <w:pPr>
        <w:bidi w:val="0"/>
        <w:rPr>
          <w:color w:val="auto"/>
          <w:highlight w:val="none"/>
        </w:rPr>
      </w:pPr>
    </w:p>
    <w:p w14:paraId="4C65F4F3">
      <w:pPr>
        <w:pStyle w:val="3"/>
        <w:wordWrap w:val="0"/>
        <w:autoSpaceDE/>
        <w:autoSpaceDN/>
        <w:snapToGrid w:val="0"/>
        <w:spacing w:line="440" w:lineRule="exact"/>
        <w:jc w:val="center"/>
        <w:rPr>
          <w:rFonts w:hint="eastAsia" w:ascii="Times New Roman"/>
          <w:b/>
          <w:snapToGrid w:val="0"/>
          <w:color w:val="auto"/>
          <w:sz w:val="32"/>
          <w:szCs w:val="22"/>
          <w:highlight w:val="none"/>
        </w:rPr>
        <w:sectPr>
          <w:footerReference r:id="rId7" w:type="default"/>
          <w:endnotePr>
            <w:numFmt w:val="decimal"/>
          </w:endnotePr>
          <w:pgSz w:w="11906" w:h="16838"/>
          <w:pgMar w:top="1417" w:right="1417" w:bottom="1417" w:left="1417" w:header="850" w:footer="992" w:gutter="0"/>
          <w:pgNumType w:start="1"/>
          <w:cols w:space="0" w:num="1"/>
          <w:docGrid w:linePitch="327" w:charSpace="0"/>
        </w:sectPr>
      </w:pPr>
    </w:p>
    <w:p w14:paraId="73AD38DD">
      <w:pPr>
        <w:pStyle w:val="3"/>
        <w:wordWrap w:val="0"/>
        <w:autoSpaceDE/>
        <w:autoSpaceDN/>
        <w:snapToGrid w:val="0"/>
        <w:spacing w:line="440" w:lineRule="exact"/>
        <w:jc w:val="center"/>
        <w:rPr>
          <w:rFonts w:ascii="Times New Roman"/>
          <w:b/>
          <w:snapToGrid w:val="0"/>
          <w:color w:val="auto"/>
          <w:sz w:val="32"/>
          <w:szCs w:val="22"/>
          <w:highlight w:val="none"/>
        </w:rPr>
      </w:pPr>
      <w:bookmarkStart w:id="0" w:name="_Toc28684"/>
      <w:r>
        <w:rPr>
          <w:rFonts w:hint="eastAsia" w:ascii="Times New Roman"/>
          <w:b/>
          <w:snapToGrid w:val="0"/>
          <w:color w:val="auto"/>
          <w:sz w:val="32"/>
          <w:szCs w:val="22"/>
          <w:highlight w:val="none"/>
        </w:rPr>
        <w:t>第一章 投标人须知</w:t>
      </w:r>
      <w:bookmarkEnd w:id="0"/>
    </w:p>
    <w:p w14:paraId="64D39061">
      <w:pPr>
        <w:pStyle w:val="4"/>
        <w:wordWrap w:val="0"/>
        <w:autoSpaceDE/>
        <w:autoSpaceDN/>
        <w:snapToGrid w:val="0"/>
        <w:spacing w:before="260" w:after="260" w:line="440" w:lineRule="exact"/>
        <w:jc w:val="both"/>
        <w:rPr>
          <w:rFonts w:ascii="Times New Roman"/>
          <w:b/>
          <w:snapToGrid w:val="0"/>
          <w:color w:val="auto"/>
          <w:highlight w:val="none"/>
        </w:rPr>
      </w:pPr>
      <w:bookmarkStart w:id="1" w:name="_Hlt127175444"/>
      <w:bookmarkEnd w:id="1"/>
      <w:bookmarkStart w:id="2" w:name="_Toc4883"/>
      <w:bookmarkStart w:id="3" w:name="_Toc32446"/>
      <w:bookmarkStart w:id="4" w:name="_Hlt120077520"/>
      <w:r>
        <w:rPr>
          <w:rFonts w:hint="eastAsia" w:ascii="Times New Roman"/>
          <w:b/>
          <w:snapToGrid w:val="0"/>
          <w:color w:val="auto"/>
          <w:highlight w:val="none"/>
        </w:rPr>
        <w:t>第一节 投标人须知前附表</w:t>
      </w:r>
      <w:bookmarkEnd w:id="2"/>
      <w:bookmarkEnd w:id="3"/>
    </w:p>
    <w:tbl>
      <w:tblPr>
        <w:tblStyle w:val="31"/>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68"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eastAsia="宋体" w:cs="宋体"/>
                <w:snapToGrid w:val="0"/>
                <w:color w:val="auto"/>
                <w:kern w:val="0"/>
                <w:szCs w:val="24"/>
                <w:highlight w:val="none"/>
                <w:lang w:val="en-US" w:eastAsia="zh-CN"/>
              </w:rPr>
            </w:pPr>
            <w:r>
              <w:rPr>
                <w:rFonts w:hint="eastAsia" w:hAnsi="宋体" w:eastAsia="宋体" w:cs="宋体"/>
                <w:snapToGrid w:val="0"/>
                <w:color w:val="auto"/>
                <w:kern w:val="0"/>
                <w:szCs w:val="24"/>
                <w:highlight w:val="none"/>
                <w:lang w:eastAsia="zh-CN"/>
              </w:rPr>
              <w:t>翁源产业园区产城融合基础设施配套项目（电源工业基地标准厂房）</w:t>
            </w:r>
            <w:r>
              <w:rPr>
                <w:rFonts w:hint="eastAsia" w:hAnsi="宋体" w:cs="宋体"/>
                <w:snapToGrid w:val="0"/>
                <w:color w:val="auto"/>
                <w:kern w:val="0"/>
                <w:szCs w:val="24"/>
                <w:highlight w:val="none"/>
                <w:lang w:val="en-US" w:eastAsia="zh-CN"/>
              </w:rPr>
              <w:t>全过程监理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highlight w:val="none"/>
                <w:lang w:val="en-US" w:eastAsia="zh-CN"/>
              </w:rPr>
            </w:pPr>
            <w:r>
              <w:rPr>
                <w:rFonts w:hint="default" w:hAnsi="宋体" w:eastAsia="宋体" w:cs="宋体"/>
                <w:snapToGrid w:val="0"/>
                <w:color w:val="auto"/>
                <w:kern w:val="0"/>
                <w:szCs w:val="24"/>
                <w:highlight w:val="none"/>
                <w:lang w:val="en-US" w:eastAsia="zh-CN"/>
              </w:rPr>
              <w:t>广东翁源经济开发区管理委员会</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翁源县发展和改革局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52204F50">
            <w:pPr>
              <w:pStyle w:val="119"/>
              <w:keepNext w:val="0"/>
              <w:keepLines w:val="0"/>
              <w:pageBreakBefore w:val="0"/>
              <w:widowControl w:val="0"/>
              <w:kinsoku/>
              <w:overflowPunct/>
              <w:topLinePunct w:val="0"/>
              <w:autoSpaceDE/>
              <w:autoSpaceDN/>
              <w:bidi w:val="0"/>
              <w:spacing w:line="500" w:lineRule="exact"/>
              <w:ind w:firstLine="480" w:firstLineChars="200"/>
              <w:jc w:val="left"/>
              <w:rPr>
                <w:rFonts w:hint="default" w:ascii="宋体" w:hAnsi="宋体" w:eastAsia="宋体" w:cs="宋体"/>
                <w:snapToGrid w:val="0"/>
                <w:color w:val="auto"/>
                <w:kern w:val="0"/>
                <w:sz w:val="24"/>
                <w:highlight w:val="none"/>
                <w:lang w:val="en-US" w:eastAsia="zh-CN"/>
              </w:rPr>
            </w:pPr>
            <w:r>
              <w:rPr>
                <w:rFonts w:hint="default" w:ascii="宋体" w:hAnsi="宋体" w:eastAsia="宋体" w:cs="宋体"/>
                <w:snapToGrid w:val="0"/>
                <w:color w:val="auto"/>
                <w:kern w:val="0"/>
                <w:sz w:val="24"/>
                <w:highlight w:val="none"/>
                <w:lang w:val="en-US" w:eastAsia="zh-CN"/>
              </w:rPr>
              <w:t>翁发改投审〔2021〕13号</w:t>
            </w:r>
            <w:r>
              <w:rPr>
                <w:rFonts w:hint="eastAsia" w:ascii="宋体" w:hAnsi="宋体" w:cs="宋体"/>
                <w:snapToGrid w:val="0"/>
                <w:color w:val="auto"/>
                <w:kern w:val="0"/>
                <w:sz w:val="24"/>
                <w:highlight w:val="none"/>
                <w:lang w:val="en-US" w:eastAsia="zh-CN"/>
              </w:rPr>
              <w:t>、翁发改投审〔2025〕50号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9"/>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2110-440229-04-01-834756</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ind w:firstLine="480" w:firstLineChars="200"/>
              <w:jc w:val="left"/>
              <w:textAlignment w:val="auto"/>
              <w:rPr>
                <w:rFonts w:hint="default" w:hAnsi="宋体" w:eastAsia="宋体" w:cs="宋体"/>
                <w:color w:val="auto"/>
                <w:kern w:val="0"/>
                <w:szCs w:val="24"/>
                <w:highlight w:val="none"/>
                <w:lang w:val="en-US" w:eastAsia="zh-CN"/>
              </w:rPr>
            </w:pPr>
            <w:r>
              <w:rPr>
                <w:rFonts w:hint="eastAsia" w:hAnsi="宋体" w:cs="宋体"/>
                <w:color w:val="auto"/>
                <w:kern w:val="0"/>
                <w:szCs w:val="24"/>
                <w:highlight w:val="none"/>
                <w:lang w:eastAsia="zh-CN"/>
              </w:rPr>
              <w:t>建设资金来源于地方政府专项债券、县级统筹资金和厚街翁源对口帮扶协作资金，</w:t>
            </w:r>
            <w:r>
              <w:rPr>
                <w:rFonts w:hint="eastAsia" w:hAnsi="宋体" w:cs="宋体"/>
                <w:color w:val="auto"/>
                <w:kern w:val="0"/>
                <w:szCs w:val="24"/>
                <w:highlight w:val="none"/>
                <w:lang w:val="en-US" w:eastAsia="zh-CN"/>
              </w:rPr>
              <w:t>100%</w:t>
            </w:r>
            <w:r>
              <w:rPr>
                <w:rFonts w:hint="eastAsia" w:hAnsi="宋体" w:cs="宋体"/>
                <w:color w:val="auto"/>
                <w:kern w:val="0"/>
                <w:szCs w:val="24"/>
                <w:highlight w:val="none"/>
                <w:lang w:eastAsia="zh-CN"/>
              </w:rPr>
              <w:tab/>
            </w:r>
            <w:r>
              <w:rPr>
                <w:rFonts w:hint="eastAsia" w:hAnsi="宋体" w:cs="宋体"/>
                <w:color w:val="auto"/>
                <w:kern w:val="0"/>
                <w:szCs w:val="24"/>
                <w:highlight w:val="none"/>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pStyle w:val="119"/>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default" w:hAnsi="宋体" w:eastAsia="宋体" w:cs="宋体"/>
                <w:snapToGrid w:val="0"/>
                <w:color w:val="auto"/>
                <w:kern w:val="0"/>
                <w:sz w:val="24"/>
                <w:szCs w:val="32"/>
                <w:highlight w:val="none"/>
                <w:lang w:val="en-US" w:eastAsia="zh-CN"/>
              </w:rPr>
              <w:t>广东翁源经济开发区管理委员会</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pStyle w:val="119"/>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汇龙工程咨询有限公司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highlight w:val="none"/>
                <w:lang w:val="en-US" w:eastAsia="zh-CN"/>
              </w:rPr>
            </w:pPr>
            <w:r>
              <w:rPr>
                <w:rFonts w:hint="eastAsia" w:hAnsi="宋体" w:cs="宋体"/>
                <w:bCs/>
                <w:snapToGrid w:val="0"/>
                <w:color w:val="auto"/>
                <w:kern w:val="0"/>
                <w:szCs w:val="24"/>
                <w:highlight w:val="none"/>
                <w:lang w:val="en-US" w:eastAsia="zh-CN"/>
              </w:rPr>
              <w:t>待定</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auto"/>
                <w:kern w:val="0"/>
                <w:szCs w:val="24"/>
                <w:highlight w:val="none"/>
              </w:rPr>
            </w:pPr>
            <w:r>
              <w:rPr>
                <w:rFonts w:hint="eastAsia" w:hAnsi="宋体" w:cs="宋体"/>
                <w:bCs/>
                <w:snapToGrid w:val="0"/>
                <w:color w:val="auto"/>
                <w:kern w:val="0"/>
                <w:szCs w:val="24"/>
                <w:highlight w:val="none"/>
              </w:rPr>
              <w:t>翁源产业园区</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64"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该项目用地面积20787㎡，具体建设内容如下:新建1栋单层钢结构厂房(长100米x宽55米x高15.45米)，建筑面积5500㎡，新建1栋两层框架结构商务和生活配套设施(长28米x宽18米x高8.25米)，建筑面积1054.89㎡;新建1个单层框架结构值班室，建筑面积15㎡。同时，对地块内原有厂房(建筑面积3232.41㎡)进行改造，增设侧墙及设备用房，并在用地红线范围内开展场地平整、混凝土路面浇筑、新建围墙及绿化种植等。</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0"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项目总投资3979.75万元，其中建安费2602.04万元。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4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项目建设范围内的建设全过程监理(含勘察、设计阶段、施工准备阶段、施工阶段、工程竣工验收及结算阶段和缺陷责任保修期阶段的全过程监理)。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Cs w:val="24"/>
                <w:highlight w:val="none"/>
              </w:rPr>
            </w:pPr>
            <w:r>
              <w:rPr>
                <w:rFonts w:hint="eastAsia" w:hAnsi="宋体" w:cs="宋体"/>
                <w:color w:val="auto"/>
                <w:szCs w:val="24"/>
                <w:highlight w:val="none"/>
              </w:rPr>
              <w:t xml:space="preserve">2.2 </w:t>
            </w:r>
            <w:r>
              <w:rPr>
                <w:rFonts w:hint="eastAsia" w:ascii="宋体" w:hAnsi="宋体" w:eastAsia="宋体" w:cs="宋体"/>
                <w:color w:val="auto"/>
                <w:szCs w:val="24"/>
                <w:highlight w:val="none"/>
              </w:rPr>
              <w:t>投标人须具备以下资质之一：①工程监理综合资质；②房屋建筑工程监理乙级资质及以上（含</w:t>
            </w:r>
            <w:r>
              <w:rPr>
                <w:rFonts w:hint="eastAsia" w:hAnsi="宋体" w:cs="宋体"/>
                <w:color w:val="auto"/>
                <w:szCs w:val="24"/>
                <w:highlight w:val="none"/>
                <w:lang w:val="en-US" w:eastAsia="zh-CN"/>
              </w:rPr>
              <w:t>乙</w:t>
            </w:r>
            <w:r>
              <w:rPr>
                <w:rFonts w:hint="eastAsia" w:ascii="宋体" w:hAnsi="宋体" w:eastAsia="宋体" w:cs="宋体"/>
                <w:color w:val="auto"/>
                <w:szCs w:val="24"/>
                <w:highlight w:val="none"/>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3.1 拟派总监理工程师为房屋建筑工程专业注册监理工程师，应持有国家住建部印发的有效注册证书，其担任总监理工程师职务的其他在施（包括已中标未开工、已开工未竣工）建设工程项目不得超过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（14）</w:t>
            </w:r>
            <w:r>
              <w:rPr>
                <w:rFonts w:hint="eastAsia" w:hAnsi="宋体" w:cs="宋体"/>
                <w:color w:val="auto"/>
                <w:kern w:val="0"/>
                <w:highlight w:val="none"/>
              </w:rPr>
              <w:t>被“信用中国”网站（https://www.creditchina.gov.cn）发布的《法人和非法人组织公共信用信息报告》列为严重失信主体名单的</w:t>
            </w:r>
            <w:r>
              <w:rPr>
                <w:rFonts w:hint="eastAsia" w:hAnsi="宋体" w:cs="宋体"/>
                <w:color w:val="auto"/>
                <w:szCs w:val="24"/>
                <w:highlight w:val="none"/>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4.2 招标人拒绝以下名单中的单位参加本次投标：</w:t>
            </w:r>
          </w:p>
          <w:tbl>
            <w:tblPr>
              <w:tblStyle w:val="31"/>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3025"/>
              <w:gridCol w:w="2966"/>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025"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noWrap w:val="0"/>
                  <w:vAlign w:val="center"/>
                </w:tcPr>
                <w:p w14:paraId="5B757AB9">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025" w:type="dxa"/>
                  <w:noWrap w:val="0"/>
                  <w:vAlign w:val="center"/>
                </w:tcPr>
                <w:p w14:paraId="33309A4E">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广东翁源经济开发区管理委员会</w:t>
                  </w:r>
                </w:p>
              </w:tc>
              <w:tc>
                <w:tcPr>
                  <w:tcW w:w="2966" w:type="dxa"/>
                  <w:noWrap w:val="0"/>
                  <w:vAlign w:val="center"/>
                </w:tcPr>
                <w:p w14:paraId="3109F4A9">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rPr>
                    <w:t>招标人</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noWrap w:val="0"/>
                  <w:vAlign w:val="center"/>
                </w:tcPr>
                <w:p w14:paraId="28FEDDA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025" w:type="dxa"/>
                  <w:noWrap w:val="0"/>
                  <w:vAlign w:val="center"/>
                </w:tcPr>
                <w:p w14:paraId="22B974FA">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汇龙工程咨询有限公司</w:t>
                  </w:r>
                </w:p>
              </w:tc>
              <w:tc>
                <w:tcPr>
                  <w:tcW w:w="2966" w:type="dxa"/>
                  <w:noWrap w:val="0"/>
                  <w:vAlign w:val="center"/>
                </w:tcPr>
                <w:p w14:paraId="3A221F21">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noWrap w:val="0"/>
                  <w:vAlign w:val="center"/>
                </w:tcPr>
                <w:p w14:paraId="74118216">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025" w:type="dxa"/>
                  <w:noWrap w:val="0"/>
                  <w:vAlign w:val="center"/>
                </w:tcPr>
                <w:p w14:paraId="0A3FF80A">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both"/>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福建建盛工程管理有限公司</w:t>
                  </w:r>
                </w:p>
              </w:tc>
              <w:tc>
                <w:tcPr>
                  <w:tcW w:w="2966" w:type="dxa"/>
                  <w:noWrap w:val="0"/>
                  <w:vAlign w:val="center"/>
                </w:tcPr>
                <w:p w14:paraId="5C95264F">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noWrap w:val="0"/>
                  <w:vAlign w:val="center"/>
                </w:tcPr>
                <w:p w14:paraId="0D97E1E8">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025" w:type="dxa"/>
                  <w:noWrap w:val="0"/>
                  <w:vAlign w:val="center"/>
                </w:tcPr>
                <w:p w14:paraId="5DD32DF6">
                  <w:pPr>
                    <w:pStyle w:val="28"/>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国昇设计有限责任公司</w:t>
                  </w:r>
                </w:p>
              </w:tc>
              <w:tc>
                <w:tcPr>
                  <w:tcW w:w="2966" w:type="dxa"/>
                  <w:noWrap w:val="0"/>
                  <w:vAlign w:val="center"/>
                </w:tcPr>
                <w:p w14:paraId="0884CAA7">
                  <w:pPr>
                    <w:pStyle w:val="90"/>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2F8D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8" w:type="dxa"/>
                  <w:noWrap w:val="0"/>
                  <w:vAlign w:val="center"/>
                </w:tcPr>
                <w:p w14:paraId="3F0EB04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3025" w:type="dxa"/>
                  <w:noWrap w:val="0"/>
                  <w:vAlign w:val="center"/>
                </w:tcPr>
                <w:p w14:paraId="0072C1F5">
                  <w:pPr>
                    <w:pStyle w:val="28"/>
                    <w:keepNext w:val="0"/>
                    <w:keepLines w:val="0"/>
                    <w:widowControl/>
                    <w:suppressLineNumbers w:val="0"/>
                    <w:spacing w:before="0" w:beforeAutospacing="0" w:after="0" w:afterAutospacing="0" w:line="240" w:lineRule="auto"/>
                    <w:ind w:right="0" w:rightChars="0"/>
                    <w:jc w:val="center"/>
                    <w:textAlignment w:val="center"/>
                    <w:rPr>
                      <w:rFonts w:hint="default"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韶关市建韶工程造价咨询有限公司</w:t>
                  </w:r>
                </w:p>
              </w:tc>
              <w:tc>
                <w:tcPr>
                  <w:tcW w:w="2966" w:type="dxa"/>
                  <w:noWrap w:val="0"/>
                  <w:vAlign w:val="center"/>
                </w:tcPr>
                <w:p w14:paraId="718D3F5F">
                  <w:pPr>
                    <w:pStyle w:val="90"/>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w:t>
                  </w:r>
                  <w:r>
                    <w:rPr>
                      <w:rFonts w:hint="eastAsia" w:ascii="宋体" w:hAnsi="宋体" w:cs="宋体"/>
                      <w:snapToGrid w:val="0"/>
                      <w:color w:val="auto"/>
                      <w:kern w:val="0"/>
                      <w:sz w:val="24"/>
                      <w:szCs w:val="24"/>
                      <w:highlight w:val="none"/>
                      <w:lang w:val="en-US" w:eastAsia="zh-CN" w:bidi="ar-SA"/>
                    </w:rPr>
                    <w:t>概算审核</w:t>
                  </w:r>
                  <w:r>
                    <w:rPr>
                      <w:rFonts w:hint="eastAsia" w:ascii="宋体" w:hAnsi="宋体" w:eastAsia="宋体" w:cs="宋体"/>
                      <w:snapToGrid w:val="0"/>
                      <w:color w:val="auto"/>
                      <w:kern w:val="0"/>
                      <w:sz w:val="24"/>
                      <w:szCs w:val="24"/>
                      <w:highlight w:val="none"/>
                      <w:lang w:val="en-US" w:eastAsia="zh-CN" w:bidi="ar-SA"/>
                    </w:rPr>
                    <w:t>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lang w:val="en-US" w:eastAsia="zh-CN"/>
              </w:rPr>
              <w:t>本项目施工工期是360日历天，</w:t>
            </w:r>
            <w:r>
              <w:rPr>
                <w:rFonts w:hint="eastAsia" w:hAnsi="宋体" w:cs="宋体"/>
                <w:snapToGrid w:val="0"/>
                <w:color w:val="auto"/>
                <w:kern w:val="0"/>
                <w:szCs w:val="24"/>
                <w:highlight w:val="none"/>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bCs/>
                <w:color w:val="auto"/>
                <w:szCs w:val="24"/>
                <w:highlight w:val="none"/>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eastAsia="宋体" w:cs="宋体"/>
                <w:color w:val="auto"/>
                <w:highlight w:val="none"/>
                <w:lang w:eastAsia="zh-CN"/>
              </w:rPr>
            </w:pPr>
            <w:r>
              <w:rPr>
                <w:rFonts w:hint="eastAsia" w:hAnsi="宋体" w:cs="宋体"/>
                <w:color w:val="auto"/>
                <w:highlight w:val="none"/>
              </w:rPr>
              <w:t>1.投标人须缴纳金额为人民币</w:t>
            </w:r>
            <w:r>
              <w:rPr>
                <w:rFonts w:hint="eastAsia" w:hAnsi="宋体" w:cs="宋体"/>
                <w:color w:val="auto"/>
                <w:highlight w:val="none"/>
                <w:u w:val="single"/>
                <w:lang w:val="en-US" w:eastAsia="zh-CN"/>
              </w:rPr>
              <w:t>伍仟</w:t>
            </w:r>
            <w:r>
              <w:rPr>
                <w:rFonts w:hint="eastAsia" w:hAnsi="宋体" w:cs="宋体"/>
                <w:color w:val="auto"/>
                <w:highlight w:val="none"/>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本次招标的投标有效期为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投标文件包括商务标书、监理大纲</w:t>
            </w:r>
            <w:r>
              <w:rPr>
                <w:rFonts w:hint="eastAsia" w:hAnsi="宋体" w:cs="宋体"/>
                <w:snapToGrid w:val="0"/>
                <w:color w:val="auto"/>
                <w:kern w:val="0"/>
                <w:szCs w:val="24"/>
                <w:highlight w:val="none"/>
                <w:lang w:val="en-US" w:eastAsia="zh-CN"/>
              </w:rPr>
              <w:t>两</w:t>
            </w:r>
            <w:r>
              <w:rPr>
                <w:rFonts w:hint="eastAsia" w:hAnsi="宋体" w:cs="宋体"/>
                <w:snapToGrid w:val="0"/>
                <w:color w:val="auto"/>
                <w:kern w:val="0"/>
                <w:szCs w:val="24"/>
                <w:highlight w:val="none"/>
              </w:rPr>
              <w:t>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综合评估法</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23</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本次招标监理大纲</w:t>
            </w:r>
            <w:r>
              <w:rPr>
                <w:rFonts w:hint="eastAsia" w:hAnsi="宋体" w:cs="宋体"/>
                <w:snapToGrid w:val="0"/>
                <w:color w:val="auto"/>
                <w:kern w:val="0"/>
                <w:szCs w:val="24"/>
                <w:highlight w:val="none"/>
                <w:u w:val="single"/>
              </w:rPr>
              <w:t xml:space="preserve"> 不采用 </w:t>
            </w:r>
            <w:r>
              <w:rPr>
                <w:rFonts w:hint="eastAsia" w:hAnsi="宋体" w:cs="宋体"/>
                <w:snapToGrid w:val="0"/>
                <w:color w:val="auto"/>
                <w:kern w:val="0"/>
                <w:szCs w:val="24"/>
                <w:highlight w:val="none"/>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评标委员会由</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人组成，其中招标人代表</w:t>
            </w:r>
            <w:r>
              <w:rPr>
                <w:rFonts w:hint="eastAsia" w:hAnsi="宋体" w:cs="宋体"/>
                <w:snapToGrid w:val="0"/>
                <w:color w:val="auto"/>
                <w:kern w:val="0"/>
                <w:szCs w:val="24"/>
                <w:highlight w:val="none"/>
                <w:u w:val="single"/>
              </w:rPr>
              <w:t xml:space="preserve"> 0 </w:t>
            </w:r>
            <w:r>
              <w:rPr>
                <w:rFonts w:hint="eastAsia" w:hAnsi="宋体" w:cs="宋体"/>
                <w:snapToGrid w:val="0"/>
                <w:color w:val="auto"/>
                <w:kern w:val="0"/>
                <w:szCs w:val="24"/>
                <w:highlight w:val="none"/>
              </w:rPr>
              <w:t>人，专家</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szCs w:val="24"/>
                <w:highlight w:val="none"/>
              </w:rPr>
              <w:t>中随机抽取，其中技术类专家</w:t>
            </w:r>
            <w:r>
              <w:rPr>
                <w:rFonts w:hint="eastAsia" w:hAnsi="宋体" w:cs="宋体"/>
                <w:snapToGrid w:val="0"/>
                <w:color w:val="auto"/>
                <w:kern w:val="0"/>
                <w:szCs w:val="24"/>
                <w:highlight w:val="none"/>
                <w:u w:val="single"/>
              </w:rPr>
              <w:t xml:space="preserve"> 3 </w:t>
            </w:r>
            <w:r>
              <w:rPr>
                <w:rFonts w:hint="eastAsia" w:hAnsi="宋体" w:cs="宋体"/>
                <w:snapToGrid w:val="0"/>
                <w:color w:val="auto"/>
                <w:kern w:val="0"/>
                <w:szCs w:val="24"/>
                <w:highlight w:val="none"/>
              </w:rPr>
              <w:t>人，经济类专家</w:t>
            </w:r>
            <w:r>
              <w:rPr>
                <w:rFonts w:hint="eastAsia" w:hAnsi="宋体" w:cs="宋体"/>
                <w:snapToGrid w:val="0"/>
                <w:color w:val="auto"/>
                <w:kern w:val="0"/>
                <w:szCs w:val="24"/>
                <w:highlight w:val="none"/>
                <w:u w:val="single"/>
              </w:rPr>
              <w:t xml:space="preserve"> 2 </w:t>
            </w:r>
            <w:r>
              <w:rPr>
                <w:rFonts w:hint="eastAsia" w:hAnsi="宋体" w:cs="宋体"/>
                <w:snapToGrid w:val="0"/>
                <w:color w:val="auto"/>
                <w:kern w:val="0"/>
                <w:szCs w:val="24"/>
                <w:highlight w:val="none"/>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5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6</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34AA6CF6">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单位名称：广东翁源经济开发区管理委员会</w:t>
            </w:r>
          </w:p>
          <w:p w14:paraId="3B223CC1">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地址：翁源县翁城镇厚源大厦210</w:t>
            </w:r>
          </w:p>
          <w:p w14:paraId="4B0747A0">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联系人：蓝工</w:t>
            </w:r>
          </w:p>
          <w:p w14:paraId="1511AD60">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40" w:firstLineChars="100"/>
              <w:jc w:val="left"/>
              <w:rPr>
                <w:rFonts w:hAnsi="宋体" w:cs="宋体"/>
                <w:snapToGrid w:val="0"/>
                <w:color w:val="auto"/>
                <w:kern w:val="0"/>
                <w:szCs w:val="24"/>
                <w:highlight w:val="none"/>
              </w:rPr>
            </w:pPr>
            <w:r>
              <w:rPr>
                <w:rFonts w:hint="eastAsia" w:asciiTheme="minorEastAsia" w:hAnsiTheme="minorEastAsia" w:eastAsiaTheme="minorEastAsia" w:cstheme="minorEastAsia"/>
                <w:snapToGrid w:val="0"/>
                <w:color w:val="auto"/>
                <w:kern w:val="0"/>
                <w:sz w:val="24"/>
                <w:szCs w:val="24"/>
                <w:highlight w:val="none"/>
              </w:rPr>
              <w:t>联系电话：</w:t>
            </w:r>
            <w:r>
              <w:rPr>
                <w:rFonts w:hint="eastAsia" w:asciiTheme="minorEastAsia" w:hAnsiTheme="minorEastAsia" w:eastAsiaTheme="minorEastAsia" w:cstheme="minorEastAsia"/>
                <w:snapToGrid w:val="0"/>
                <w:color w:val="auto"/>
                <w:kern w:val="0"/>
                <w:sz w:val="24"/>
                <w:szCs w:val="24"/>
                <w:highlight w:val="none"/>
                <w:lang w:val="en-US" w:eastAsia="zh-CN"/>
              </w:rPr>
              <w:t>0751-</w:t>
            </w:r>
            <w:r>
              <w:rPr>
                <w:rFonts w:hint="eastAsia" w:asciiTheme="minorEastAsia" w:hAnsiTheme="minorEastAsia" w:eastAsiaTheme="minorEastAsia" w:cstheme="minorEastAsia"/>
                <w:snapToGrid w:val="0"/>
                <w:color w:val="auto"/>
                <w:kern w:val="0"/>
                <w:sz w:val="24"/>
                <w:szCs w:val="24"/>
                <w:highlight w:val="none"/>
              </w:rPr>
              <w:t>6928836</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7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lang w:val="en-US" w:eastAsia="zh-CN" w:bidi="ar-SA"/>
              </w:rPr>
              <w:t>27</w:t>
            </w:r>
          </w:p>
        </w:tc>
        <w:tc>
          <w:tcPr>
            <w:tcW w:w="1725" w:type="dxa"/>
            <w:tcBorders>
              <w:top w:val="single" w:color="auto" w:sz="4" w:space="0"/>
              <w:left w:val="single" w:color="auto" w:sz="4" w:space="0"/>
              <w:bottom w:val="single" w:color="auto" w:sz="4" w:space="0"/>
              <w:right w:val="single" w:color="auto" w:sz="4" w:space="0"/>
            </w:tcBorders>
            <w:vAlign w:val="center"/>
          </w:tcPr>
          <w:p w14:paraId="08D285B7">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招标代理机构</w:t>
            </w:r>
          </w:p>
          <w:p w14:paraId="61EAB285">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center"/>
              <w:textAlignment w:val="auto"/>
              <w:rPr>
                <w:rFonts w:hAnsi="宋体" w:cs="宋体"/>
                <w:snapToGrid w:val="0"/>
                <w:color w:val="auto"/>
                <w:kern w:val="0"/>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2BCE90B">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单位名称：</w:t>
            </w:r>
            <w:r>
              <w:rPr>
                <w:rFonts w:hint="eastAsia" w:asciiTheme="minorEastAsia" w:hAnsiTheme="minorEastAsia" w:eastAsiaTheme="minorEastAsia" w:cstheme="minorEastAsia"/>
                <w:snapToGrid w:val="0"/>
                <w:color w:val="auto"/>
                <w:kern w:val="0"/>
                <w:sz w:val="24"/>
                <w:szCs w:val="24"/>
                <w:highlight w:val="none"/>
                <w:lang w:eastAsia="zh-CN"/>
              </w:rPr>
              <w:t>汇龙工程咨询有限公司</w:t>
            </w:r>
          </w:p>
          <w:p w14:paraId="10D85320">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40" w:firstLineChars="100"/>
              <w:jc w:val="left"/>
              <w:rPr>
                <w:rFonts w:hint="default"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办公地址：韶关市翁源县龙仙镇河口村日光小组文化室201房</w:t>
            </w:r>
          </w:p>
          <w:p w14:paraId="38C5590E">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40" w:firstLineChars="100"/>
              <w:jc w:val="left"/>
              <w:rPr>
                <w:rFonts w:hint="default"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联 系 人：</w:t>
            </w:r>
            <w:r>
              <w:rPr>
                <w:rFonts w:hint="eastAsia" w:asciiTheme="minorEastAsia" w:hAnsiTheme="minorEastAsia" w:eastAsiaTheme="minorEastAsia" w:cstheme="minorEastAsia"/>
                <w:snapToGrid w:val="0"/>
                <w:color w:val="auto"/>
                <w:kern w:val="0"/>
                <w:sz w:val="24"/>
                <w:szCs w:val="24"/>
                <w:highlight w:val="none"/>
                <w:lang w:val="en-US" w:eastAsia="zh-CN"/>
              </w:rPr>
              <w:t>李工</w:t>
            </w:r>
          </w:p>
          <w:p w14:paraId="455FD8F5">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40" w:firstLineChars="100"/>
              <w:jc w:val="left"/>
              <w:rPr>
                <w:rFonts w:hint="default" w:ascii="宋体" w:hAnsi="宋体" w:eastAsia="宋体" w:cs="宋体"/>
                <w:snapToGrid w:val="0"/>
                <w:color w:val="auto"/>
                <w:kern w:val="0"/>
                <w:sz w:val="24"/>
                <w:szCs w:val="24"/>
                <w:highlight w:val="none"/>
                <w:lang w:val="en-US"/>
              </w:rPr>
            </w:pPr>
            <w:r>
              <w:rPr>
                <w:rFonts w:hint="eastAsia" w:asciiTheme="minorEastAsia" w:hAnsiTheme="minorEastAsia" w:eastAsiaTheme="minorEastAsia" w:cstheme="minorEastAsia"/>
                <w:snapToGrid w:val="0"/>
                <w:color w:val="auto"/>
                <w:kern w:val="0"/>
                <w:sz w:val="24"/>
                <w:szCs w:val="24"/>
                <w:highlight w:val="none"/>
              </w:rPr>
              <w:t>电    话：0751-2828218</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lang w:val="en-US" w:eastAsia="zh-CN" w:bidi="ar-SA"/>
              </w:rPr>
              <w:t>28</w:t>
            </w:r>
          </w:p>
        </w:tc>
        <w:tc>
          <w:tcPr>
            <w:tcW w:w="1725" w:type="dxa"/>
            <w:tcBorders>
              <w:top w:val="single" w:color="auto" w:sz="4" w:space="0"/>
              <w:left w:val="single" w:color="auto" w:sz="4" w:space="0"/>
              <w:bottom w:val="single" w:color="auto" w:sz="4" w:space="0"/>
              <w:right w:val="single" w:color="auto" w:sz="4" w:space="0"/>
            </w:tcBorders>
            <w:vAlign w:val="center"/>
          </w:tcPr>
          <w:p w14:paraId="58C58EBE">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交易场所</w:t>
            </w:r>
          </w:p>
          <w:p w14:paraId="39E802A2">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center"/>
              <w:textAlignment w:val="auto"/>
              <w:rPr>
                <w:rFonts w:hAnsi="宋体" w:cs="宋体"/>
                <w:snapToGrid w:val="0"/>
                <w:color w:val="auto"/>
                <w:kern w:val="0"/>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6648CDF2">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单位名称：韶关市公共资源交易中心</w:t>
            </w:r>
          </w:p>
          <w:p w14:paraId="517F5633">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办公地址：翁源县龙仙镇朝阳路63号韶关市公共资源交易中心翁源分中心</w:t>
            </w:r>
          </w:p>
          <w:p w14:paraId="53F2F02E">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联系人（部门）：工程交易股 </w:t>
            </w:r>
          </w:p>
          <w:p w14:paraId="52A159D9">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联系电话：0751-2815819</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lang w:val="en-US" w:eastAsia="zh-CN" w:bidi="ar-SA"/>
              </w:rPr>
              <w:t>29</w:t>
            </w:r>
          </w:p>
        </w:tc>
        <w:tc>
          <w:tcPr>
            <w:tcW w:w="1725" w:type="dxa"/>
            <w:tcBorders>
              <w:top w:val="single" w:color="auto" w:sz="4" w:space="0"/>
              <w:left w:val="single" w:color="auto" w:sz="4" w:space="0"/>
              <w:bottom w:val="single" w:color="auto" w:sz="4" w:space="0"/>
              <w:right w:val="single" w:color="auto" w:sz="4" w:space="0"/>
            </w:tcBorders>
            <w:vAlign w:val="center"/>
          </w:tcPr>
          <w:p w14:paraId="798C7F0A">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行政监督部门</w:t>
            </w:r>
          </w:p>
          <w:p w14:paraId="7D06EA50">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center"/>
              <w:textAlignment w:val="auto"/>
              <w:rPr>
                <w:rFonts w:hAnsi="宋体" w:cs="宋体"/>
                <w:snapToGrid w:val="0"/>
                <w:color w:val="auto"/>
                <w:kern w:val="0"/>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5088574B">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单位名称：翁源县住房和城乡建设管理局</w:t>
            </w:r>
          </w:p>
          <w:p w14:paraId="707C3045">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办公地址：翁源县龙仙镇朝阳路186号</w:t>
            </w:r>
          </w:p>
          <w:p w14:paraId="13719F46">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联系人(部门)：建管股</w:t>
            </w:r>
          </w:p>
          <w:p w14:paraId="38D48A3B">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联系电话：0751-2870501 </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2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bookmarkStart w:id="5" w:name="_Toc122769943"/>
            <w:bookmarkStart w:id="6" w:name="_Toc122859103"/>
            <w:bookmarkStart w:id="7" w:name="_Toc122671103"/>
            <w:r>
              <w:rPr>
                <w:rFonts w:hint="eastAsia" w:hAnsi="宋体" w:cs="宋体"/>
                <w:snapToGrid w:val="0"/>
                <w:color w:val="auto"/>
                <w:kern w:val="0"/>
                <w:szCs w:val="24"/>
                <w:highlight w:val="none"/>
              </w:rPr>
              <w:t>3</w:t>
            </w:r>
            <w:r>
              <w:rPr>
                <w:rFonts w:hint="eastAsia" w:hAnsi="宋体" w:cs="宋体"/>
                <w:snapToGrid w:val="0"/>
                <w:color w:val="auto"/>
                <w:kern w:val="0"/>
                <w:szCs w:val="24"/>
                <w:highlight w:val="none"/>
                <w:lang w:val="en-US" w:eastAsia="zh-CN"/>
              </w:rPr>
              <w:t>0</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其他费用</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Ansi="宋体" w:cs="宋体"/>
                <w:snapToGrid w:val="0"/>
                <w:color w:val="auto"/>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本工程的招标代理服务费由中标人支付，该费用不再另行报价，由投标人在投标报价时综合考虑在内。中标人须向招标代理机构一次性支付（招标代理服务费：参照《关于印发&lt;招标代理服务收费管理暂行办法&gt;通知》[2002]1980号文以中标价为基数并下浮20%计取，</w:t>
            </w:r>
            <w:r>
              <w:rPr>
                <w:rFonts w:hint="eastAsia" w:ascii="宋体" w:hAnsi="宋体" w:eastAsia="宋体" w:cs="宋体"/>
                <w:snapToGrid w:val="0"/>
                <w:color w:val="auto"/>
                <w:kern w:val="0"/>
                <w:sz w:val="24"/>
                <w:szCs w:val="24"/>
                <w:highlight w:val="none"/>
                <w:lang w:val="en-US" w:eastAsia="zh-CN"/>
              </w:rPr>
              <w:t>中标人在领取中标通知书前须向招标代理机构一次性支付本项目的招标代理服务费。</w:t>
            </w:r>
            <w:r>
              <w:rPr>
                <w:rFonts w:hint="eastAsia" w:asciiTheme="minorEastAsia" w:hAnsiTheme="minorEastAsia" w:eastAsiaTheme="minorEastAsia" w:cstheme="minorEastAsia"/>
                <w:snapToGrid w:val="0"/>
                <w:color w:val="auto"/>
                <w:kern w:val="0"/>
                <w:sz w:val="24"/>
                <w:szCs w:val="24"/>
                <w:highlight w:val="none"/>
                <w:lang w:val="en-US" w:eastAsia="zh-CN"/>
              </w:rPr>
              <w:t>具体以签订的合同为准。</w:t>
            </w:r>
          </w:p>
        </w:tc>
      </w:tr>
    </w:tbl>
    <w:p w14:paraId="7C81AEA2">
      <w:pPr>
        <w:pStyle w:val="4"/>
        <w:wordWrap w:val="0"/>
        <w:autoSpaceDE/>
        <w:autoSpaceDN/>
        <w:snapToGrid w:val="0"/>
        <w:spacing w:before="260" w:after="260" w:line="440" w:lineRule="exact"/>
        <w:jc w:val="both"/>
        <w:rPr>
          <w:rFonts w:ascii="Times New Roman"/>
          <w:b/>
          <w:snapToGrid w:val="0"/>
          <w:color w:val="auto"/>
          <w:highlight w:val="none"/>
        </w:rPr>
        <w:sectPr>
          <w:footerReference r:id="rId8" w:type="default"/>
          <w:endnotePr>
            <w:numFmt w:val="decimal"/>
          </w:endnotePr>
          <w:pgSz w:w="11906" w:h="16838"/>
          <w:pgMar w:top="1417" w:right="1417" w:bottom="1417" w:left="1417" w:header="850" w:footer="992" w:gutter="0"/>
          <w:pgNumType w:fmt="decimal" w:start="1"/>
          <w:cols w:space="0" w:num="1"/>
          <w:docGrid w:linePitch="327" w:charSpace="0"/>
        </w:sectPr>
      </w:pPr>
    </w:p>
    <w:p w14:paraId="21CE9C32">
      <w:pPr>
        <w:pStyle w:val="4"/>
        <w:wordWrap w:val="0"/>
        <w:autoSpaceDE/>
        <w:autoSpaceDN/>
        <w:snapToGrid w:val="0"/>
        <w:spacing w:after="120" w:afterLines="50" w:line="440" w:lineRule="exact"/>
        <w:jc w:val="both"/>
        <w:rPr>
          <w:rFonts w:ascii="Times New Roman"/>
          <w:snapToGrid w:val="0"/>
          <w:color w:val="auto"/>
          <w:highlight w:val="none"/>
        </w:rPr>
      </w:pPr>
      <w:bookmarkStart w:id="8" w:name="_Toc32522"/>
      <w:bookmarkStart w:id="9" w:name="_Toc714"/>
      <w:r>
        <w:rPr>
          <w:rFonts w:hint="eastAsia" w:ascii="Times New Roman"/>
          <w:b/>
          <w:snapToGrid w:val="0"/>
          <w:color w:val="auto"/>
          <w:highlight w:val="none"/>
        </w:rPr>
        <w:t>第二节 重要事项时间地点一览表</w:t>
      </w:r>
      <w:bookmarkEnd w:id="8"/>
      <w:bookmarkEnd w:id="9"/>
    </w:p>
    <w:tbl>
      <w:tblPr>
        <w:tblStyle w:val="31"/>
        <w:tblW w:w="10179"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491"/>
        <w:gridCol w:w="1756"/>
        <w:gridCol w:w="7932"/>
      </w:tblGrid>
      <w:tr w14:paraId="673165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4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1B6C0CD">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756" w:type="dxa"/>
            <w:tcBorders>
              <w:top w:val="single" w:color="080000" w:sz="4" w:space="0"/>
              <w:left w:val="single" w:color="080000" w:sz="4" w:space="0"/>
              <w:bottom w:val="single" w:color="080000" w:sz="4" w:space="0"/>
              <w:right w:val="single" w:color="080000" w:sz="4" w:space="0"/>
            </w:tcBorders>
            <w:vAlign w:val="center"/>
          </w:tcPr>
          <w:p w14:paraId="0797CB9C">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招标公告</w:t>
            </w:r>
          </w:p>
          <w:p w14:paraId="13F62A2A">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发布时间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2F4E5CEF">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3</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27</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17</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5A0D20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2"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1FD2847">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56" w:type="dxa"/>
            <w:tcBorders>
              <w:top w:val="single" w:color="080000" w:sz="4" w:space="0"/>
              <w:left w:val="single" w:color="080000" w:sz="4" w:space="0"/>
              <w:bottom w:val="single" w:color="080000" w:sz="4" w:space="0"/>
              <w:right w:val="single" w:color="080000" w:sz="4" w:space="0"/>
            </w:tcBorders>
            <w:vAlign w:val="center"/>
          </w:tcPr>
          <w:p w14:paraId="6D4969C3">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获取招标文件截止时间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78D661A0">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21</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bookmarkStart w:id="351" w:name="_GoBack"/>
            <w:bookmarkEnd w:id="351"/>
          </w:p>
        </w:tc>
      </w:tr>
      <w:tr w14:paraId="7B0509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8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BDAC1CA">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56" w:type="dxa"/>
            <w:tcBorders>
              <w:top w:val="single" w:color="080000" w:sz="4" w:space="0"/>
              <w:left w:val="single" w:color="080000" w:sz="4" w:space="0"/>
              <w:bottom w:val="single" w:color="080000" w:sz="4" w:space="0"/>
              <w:right w:val="single" w:color="080000" w:sz="4" w:space="0"/>
            </w:tcBorders>
            <w:vAlign w:val="center"/>
          </w:tcPr>
          <w:p w14:paraId="62596278">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网上提问</w:t>
            </w:r>
          </w:p>
          <w:p w14:paraId="57C3AED6">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5370E150">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101064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1"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A03DB83">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56" w:type="dxa"/>
            <w:tcBorders>
              <w:top w:val="single" w:color="080000" w:sz="4" w:space="0"/>
              <w:left w:val="single" w:color="080000" w:sz="4" w:space="0"/>
              <w:bottom w:val="single" w:color="080000" w:sz="4" w:space="0"/>
              <w:right w:val="single" w:color="080000" w:sz="4" w:space="0"/>
            </w:tcBorders>
            <w:vAlign w:val="center"/>
          </w:tcPr>
          <w:p w14:paraId="4D015354">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网上答疑</w:t>
            </w:r>
          </w:p>
          <w:p w14:paraId="2D7C8154">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58246610">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30 </w:t>
            </w:r>
            <w:r>
              <w:rPr>
                <w:rFonts w:hint="eastAsia" w:ascii="宋体" w:hAnsi="宋体" w:eastAsia="宋体" w:cs="宋体"/>
                <w:color w:val="auto"/>
                <w:kern w:val="0"/>
                <w:sz w:val="24"/>
                <w:szCs w:val="24"/>
                <w:highlight w:val="none"/>
                <w:lang w:val="en-US" w:eastAsia="zh-CN" w:bidi="ar-SA"/>
              </w:rPr>
              <w:t>分至</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14</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00</w:t>
            </w:r>
            <w:r>
              <w:rPr>
                <w:rFonts w:hint="eastAsia" w:ascii="宋体" w:hAnsi="宋体" w:eastAsia="宋体" w:cs="宋体"/>
                <w:color w:val="auto"/>
                <w:kern w:val="0"/>
                <w:sz w:val="24"/>
                <w:szCs w:val="24"/>
                <w:highlight w:val="none"/>
                <w:lang w:val="en-US" w:eastAsia="zh-CN" w:bidi="ar-SA"/>
              </w:rPr>
              <w:t>分</w:t>
            </w:r>
          </w:p>
        </w:tc>
      </w:tr>
      <w:tr w14:paraId="38C9A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638"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085E5DA">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56" w:type="dxa"/>
            <w:tcBorders>
              <w:top w:val="single" w:color="080000" w:sz="4" w:space="0"/>
              <w:left w:val="single" w:color="080000" w:sz="4" w:space="0"/>
              <w:bottom w:val="single" w:color="080000" w:sz="4" w:space="0"/>
              <w:right w:val="single" w:color="080000" w:sz="4" w:space="0"/>
            </w:tcBorders>
            <w:vAlign w:val="center"/>
          </w:tcPr>
          <w:p w14:paraId="4FE4E15B">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投标保证缴</w:t>
            </w:r>
          </w:p>
          <w:p w14:paraId="534BCB01">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纳截止时间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5C00812F">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投标保证金到账截止时间：</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20</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4FD62677">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投标保证担保上传截止时间：</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20</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02A26BBC">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投标保证保险投保截止时间：</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20</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19C78D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9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3AED9F60">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56" w:type="dxa"/>
            <w:tcBorders>
              <w:top w:val="single" w:color="080000" w:sz="4" w:space="0"/>
              <w:left w:val="single" w:color="080000" w:sz="4" w:space="0"/>
              <w:bottom w:val="single" w:color="080000" w:sz="4" w:space="0"/>
              <w:right w:val="single" w:color="080000" w:sz="4" w:space="0"/>
            </w:tcBorders>
            <w:vAlign w:val="center"/>
          </w:tcPr>
          <w:p w14:paraId="35292E2C">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电子投标</w:t>
            </w:r>
          </w:p>
          <w:p w14:paraId="083CEE58">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17827926">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21</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2E7EDE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AE7DCF3">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756" w:type="dxa"/>
            <w:tcBorders>
              <w:top w:val="single" w:color="080000" w:sz="4" w:space="0"/>
              <w:left w:val="single" w:color="080000" w:sz="4" w:space="0"/>
              <w:bottom w:val="single" w:color="080000" w:sz="4" w:space="0"/>
              <w:right w:val="single" w:color="080000" w:sz="4" w:space="0"/>
            </w:tcBorders>
            <w:vAlign w:val="center"/>
          </w:tcPr>
          <w:p w14:paraId="16535467">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投标相关资料（如有）</w:t>
            </w:r>
          </w:p>
          <w:p w14:paraId="326B11F8">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2B87C0CA">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21</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分至</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21</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588584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5E5C405">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756" w:type="dxa"/>
            <w:tcBorders>
              <w:top w:val="single" w:color="080000" w:sz="4" w:space="0"/>
              <w:left w:val="single" w:color="080000" w:sz="4" w:space="0"/>
              <w:bottom w:val="single" w:color="080000" w:sz="4" w:space="0"/>
              <w:right w:val="single" w:color="080000" w:sz="4" w:space="0"/>
            </w:tcBorders>
            <w:vAlign w:val="center"/>
          </w:tcPr>
          <w:p w14:paraId="382D945C">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投标相关资料（如有）</w:t>
            </w:r>
          </w:p>
          <w:p w14:paraId="7752393B">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递交地点</w:t>
            </w:r>
          </w:p>
        </w:tc>
        <w:tc>
          <w:tcPr>
            <w:tcW w:w="7932" w:type="dxa"/>
            <w:tcBorders>
              <w:top w:val="single" w:color="080000" w:sz="4" w:space="0"/>
              <w:left w:val="single" w:color="080000" w:sz="4" w:space="0"/>
              <w:bottom w:val="single" w:color="080000" w:sz="4" w:space="0"/>
              <w:right w:val="single" w:color="080000" w:sz="4" w:space="0"/>
            </w:tcBorders>
            <w:vAlign w:val="center"/>
          </w:tcPr>
          <w:p w14:paraId="4046774B">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递交场所： 韶关市公共资源交易中心</w:t>
            </w:r>
            <w:r>
              <w:rPr>
                <w:rFonts w:hint="eastAsia" w:asciiTheme="minorEastAsia" w:hAnsiTheme="minorEastAsia" w:eastAsiaTheme="minorEastAsia" w:cstheme="minorEastAsia"/>
                <w:snapToGrid w:val="0"/>
                <w:color w:val="auto"/>
                <w:kern w:val="0"/>
                <w:sz w:val="24"/>
                <w:szCs w:val="24"/>
                <w:highlight w:val="none"/>
                <w:lang w:val="en-US" w:eastAsia="zh-CN"/>
              </w:rPr>
              <w:t>翁源分中心</w:t>
            </w:r>
            <w:r>
              <w:rPr>
                <w:rFonts w:hint="eastAsia" w:ascii="宋体" w:hAnsi="宋体" w:eastAsia="宋体" w:cs="宋体"/>
                <w:snapToGrid w:val="0"/>
                <w:color w:val="auto"/>
                <w:kern w:val="0"/>
                <w:sz w:val="24"/>
                <w:szCs w:val="24"/>
                <w:highlight w:val="none"/>
                <w:lang w:val="en-US" w:eastAsia="zh-CN" w:bidi="ar-SA"/>
              </w:rPr>
              <w:t>，地址：</w:t>
            </w:r>
            <w:r>
              <w:rPr>
                <w:rFonts w:hint="eastAsia" w:asciiTheme="minorEastAsia" w:hAnsiTheme="minorEastAsia" w:eastAsiaTheme="minorEastAsia" w:cstheme="minorEastAsia"/>
                <w:snapToGrid w:val="0"/>
                <w:color w:val="auto"/>
                <w:kern w:val="0"/>
                <w:sz w:val="24"/>
                <w:szCs w:val="24"/>
                <w:highlight w:val="none"/>
                <w:lang w:val="en-US" w:eastAsia="zh-CN"/>
              </w:rPr>
              <w:t>翁源县龙仙镇朝阳路63号韶关市公共资源交易中心翁源分中心</w:t>
            </w:r>
            <w:r>
              <w:rPr>
                <w:rFonts w:hint="eastAsia" w:ascii="宋体" w:hAnsi="宋体" w:eastAsia="宋体" w:cs="宋体"/>
                <w:snapToGrid w:val="0"/>
                <w:color w:val="auto"/>
                <w:kern w:val="0"/>
                <w:sz w:val="24"/>
                <w:szCs w:val="24"/>
                <w:highlight w:val="none"/>
                <w:lang w:val="en-US" w:eastAsia="zh-CN" w:bidi="ar-SA"/>
              </w:rPr>
              <w:t>，具体房间号以当日现场通知为准。</w:t>
            </w:r>
          </w:p>
        </w:tc>
      </w:tr>
      <w:tr w14:paraId="3AE67C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A26C4B5">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756" w:type="dxa"/>
            <w:tcBorders>
              <w:top w:val="single" w:color="080000" w:sz="4" w:space="0"/>
              <w:left w:val="single" w:color="080000" w:sz="4" w:space="0"/>
              <w:bottom w:val="single" w:color="080000" w:sz="4" w:space="0"/>
              <w:right w:val="single" w:color="080000" w:sz="4" w:space="0"/>
            </w:tcBorders>
            <w:vAlign w:val="center"/>
          </w:tcPr>
          <w:p w14:paraId="25C68903">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开标时间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2ED0604D">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4</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21</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9</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15756B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1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C43D769">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756" w:type="dxa"/>
            <w:tcBorders>
              <w:top w:val="single" w:color="080000" w:sz="4" w:space="0"/>
              <w:left w:val="single" w:color="080000" w:sz="4" w:space="0"/>
              <w:bottom w:val="single" w:color="080000" w:sz="4" w:space="0"/>
              <w:right w:val="single" w:color="080000" w:sz="4" w:space="0"/>
            </w:tcBorders>
            <w:vAlign w:val="center"/>
          </w:tcPr>
          <w:p w14:paraId="17EE823E">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开标地点 </w:t>
            </w:r>
          </w:p>
        </w:tc>
        <w:tc>
          <w:tcPr>
            <w:tcW w:w="7932" w:type="dxa"/>
            <w:tcBorders>
              <w:top w:val="single" w:color="080000" w:sz="4" w:space="0"/>
              <w:left w:val="single" w:color="080000" w:sz="4" w:space="0"/>
              <w:bottom w:val="single" w:color="080000" w:sz="4" w:space="0"/>
              <w:right w:val="single" w:color="080000" w:sz="4" w:space="0"/>
            </w:tcBorders>
            <w:vAlign w:val="center"/>
          </w:tcPr>
          <w:p w14:paraId="1FC1AD23">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开标地点： 韶关市公共资源交易中心</w:t>
            </w:r>
            <w:r>
              <w:rPr>
                <w:rFonts w:hint="eastAsia" w:asciiTheme="minorEastAsia" w:hAnsiTheme="minorEastAsia" w:eastAsiaTheme="minorEastAsia" w:cstheme="minorEastAsia"/>
                <w:snapToGrid w:val="0"/>
                <w:color w:val="auto"/>
                <w:kern w:val="0"/>
                <w:sz w:val="24"/>
                <w:szCs w:val="24"/>
                <w:highlight w:val="none"/>
                <w:lang w:val="en-US" w:eastAsia="zh-CN"/>
              </w:rPr>
              <w:t>翁源</w:t>
            </w:r>
            <w:r>
              <w:rPr>
                <w:rFonts w:hint="eastAsia" w:ascii="宋体" w:hAnsi="宋体" w:eastAsia="宋体" w:cs="宋体"/>
                <w:snapToGrid w:val="0"/>
                <w:color w:val="auto"/>
                <w:kern w:val="0"/>
                <w:sz w:val="24"/>
                <w:szCs w:val="24"/>
                <w:highlight w:val="none"/>
                <w:lang w:val="en-US" w:eastAsia="zh-CN" w:bidi="ar-SA"/>
              </w:rPr>
              <w:t>分中心，地址：</w:t>
            </w:r>
            <w:r>
              <w:rPr>
                <w:rFonts w:hint="eastAsia" w:asciiTheme="minorEastAsia" w:hAnsiTheme="minorEastAsia" w:eastAsiaTheme="minorEastAsia" w:cstheme="minorEastAsia"/>
                <w:snapToGrid w:val="0"/>
                <w:color w:val="auto"/>
                <w:kern w:val="0"/>
                <w:sz w:val="24"/>
                <w:szCs w:val="24"/>
                <w:highlight w:val="none"/>
                <w:lang w:val="en-US" w:eastAsia="zh-CN"/>
              </w:rPr>
              <w:t>翁源县龙仙镇朝阳路63号韶关市公共资源交易中心翁源分中心</w:t>
            </w:r>
            <w:r>
              <w:rPr>
                <w:rFonts w:hint="eastAsia" w:ascii="宋体" w:hAnsi="宋体" w:eastAsia="宋体" w:cs="宋体"/>
                <w:snapToGrid w:val="0"/>
                <w:color w:val="auto"/>
                <w:kern w:val="0"/>
                <w:sz w:val="24"/>
                <w:szCs w:val="24"/>
                <w:highlight w:val="none"/>
                <w:lang w:val="en-US" w:eastAsia="zh-CN" w:bidi="ar-SA"/>
              </w:rPr>
              <w:t>，具体房间号以当日现场通知为准。</w:t>
            </w:r>
          </w:p>
        </w:tc>
      </w:tr>
      <w:tr w14:paraId="3B00E9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732" w:hRule="atLeast"/>
        </w:trPr>
        <w:tc>
          <w:tcPr>
            <w:tcW w:w="2247" w:type="dxa"/>
            <w:gridSpan w:val="2"/>
            <w:tcBorders>
              <w:top w:val="single" w:color="080000" w:sz="4" w:space="0"/>
              <w:left w:val="single" w:color="080000" w:sz="4" w:space="0"/>
              <w:bottom w:val="single" w:color="080000" w:sz="4" w:space="0"/>
              <w:right w:val="single" w:color="080000" w:sz="4" w:space="0"/>
            </w:tcBorders>
            <w:vAlign w:val="center"/>
          </w:tcPr>
          <w:p w14:paraId="1338FC7C">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备注</w:t>
            </w:r>
          </w:p>
        </w:tc>
        <w:tc>
          <w:tcPr>
            <w:tcW w:w="7932" w:type="dxa"/>
            <w:tcBorders>
              <w:top w:val="single" w:color="080000" w:sz="4" w:space="0"/>
              <w:left w:val="single" w:color="080000" w:sz="4" w:space="0"/>
              <w:bottom w:val="single" w:color="080000" w:sz="4" w:space="0"/>
              <w:right w:val="single" w:color="080000" w:sz="4" w:space="0"/>
            </w:tcBorders>
            <w:vAlign w:val="center"/>
          </w:tcPr>
          <w:p w14:paraId="09CD714A">
            <w:pPr>
              <w:pStyle w:val="90"/>
              <w:keepNext w:val="0"/>
              <w:keepLines w:val="0"/>
              <w:pageBreakBefore w:val="0"/>
              <w:widowControl w:val="0"/>
              <w:kinsoku/>
              <w:wordWrap w:val="0"/>
              <w:overflowPunct/>
              <w:topLinePunct/>
              <w:autoSpaceDE/>
              <w:autoSpaceDN/>
              <w:bidi w:val="0"/>
              <w:adjustRightInd w:val="0"/>
              <w:snapToGrid w:val="0"/>
              <w:spacing w:line="400" w:lineRule="exact"/>
              <w:ind w:right="96" w:rightChars="40" w:firstLine="240" w:firstLineChars="1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2ED65E25">
      <w:pPr>
        <w:pStyle w:val="42"/>
        <w:rPr>
          <w:color w:val="auto"/>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auto"/>
          <w:highlight w:val="none"/>
        </w:rPr>
      </w:pPr>
      <w:bookmarkStart w:id="10" w:name="_Hlt87793819"/>
      <w:bookmarkEnd w:id="10"/>
      <w:bookmarkStart w:id="11" w:name="_Toc16304"/>
      <w:bookmarkStart w:id="12" w:name="_Toc29916"/>
      <w:bookmarkStart w:id="13" w:name="_Hlt69698754"/>
      <w:bookmarkStart w:id="14" w:name="_Hlt69698705"/>
      <w:r>
        <w:rPr>
          <w:rFonts w:hint="eastAsia"/>
          <w:b/>
          <w:bCs/>
          <w:color w:val="auto"/>
          <w:highlight w:val="none"/>
        </w:rPr>
        <w:t>第三节 投标人须知</w:t>
      </w:r>
      <w:bookmarkStart w:id="15" w:name="_Hlt69669159"/>
      <w:bookmarkEnd w:id="15"/>
      <w:r>
        <w:rPr>
          <w:rFonts w:hint="eastAsia"/>
          <w:b/>
          <w:bCs/>
          <w:color w:val="auto"/>
          <w:highlight w:val="none"/>
        </w:rPr>
        <w:t>正文</w:t>
      </w:r>
      <w:bookmarkEnd w:id="11"/>
      <w:bookmarkEnd w:id="12"/>
    </w:p>
    <w:bookmarkEnd w:id="13"/>
    <w:bookmarkEnd w:id="14"/>
    <w:p w14:paraId="1CAD0699">
      <w:pPr>
        <w:pStyle w:val="11"/>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hAnsi="宋体" w:cs="宋体"/>
          <w:color w:val="auto"/>
          <w:sz w:val="24"/>
          <w:szCs w:val="24"/>
          <w:highlight w:val="none"/>
          <w:u w:val="single"/>
          <w:lang w:val="en-US" w:eastAsia="zh-CN"/>
        </w:rPr>
        <w:t>翁源产业园区产城融合基础设施配套项目（电源工业基地标准厂房）全过程监理</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hAnsi="宋体" w:cs="宋体"/>
          <w:b w:val="0"/>
          <w:bCs w:val="0"/>
          <w:color w:val="auto"/>
          <w:kern w:val="0"/>
          <w:sz w:val="24"/>
          <w:szCs w:val="22"/>
          <w:highlight w:val="none"/>
          <w:u w:val="single"/>
          <w:lang w:val="en-US" w:eastAsia="zh-CN"/>
        </w:rPr>
        <w:t>翁源县发展和改革局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rPr>
        <w:t>翁源县发展和改革局关于翁源产业园区产城融合基础设施配套项目可行性研究报告的批复</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lang w:val="en-US" w:eastAsia="zh-CN"/>
        </w:rPr>
        <w:t>翁发改投审〔2021〕13号</w:t>
      </w:r>
      <w:r>
        <w:rPr>
          <w:rFonts w:hint="eastAsia" w:ascii="宋体" w:hAnsi="宋体" w:eastAsia="宋体" w:cs="宋体"/>
          <w:color w:val="auto"/>
          <w:kern w:val="0"/>
          <w:sz w:val="24"/>
          <w:szCs w:val="22"/>
          <w:highlight w:val="none"/>
          <w:u w:val="single"/>
          <w:lang w:eastAsia="zh-CN"/>
        </w:rPr>
        <w:t>）</w:t>
      </w:r>
      <w:r>
        <w:rPr>
          <w:rFonts w:hint="eastAsia" w:hAnsi="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lang w:eastAsia="zh-CN"/>
        </w:rPr>
        <w:t>《翁源县发展和改革局关于翁源产业园区产城融合基础设施配套项目变更的复函》（</w:t>
      </w:r>
      <w:r>
        <w:rPr>
          <w:rFonts w:hint="eastAsia" w:ascii="宋体" w:hAnsi="宋体" w:eastAsia="宋体" w:cs="宋体"/>
          <w:color w:val="auto"/>
          <w:kern w:val="0"/>
          <w:sz w:val="24"/>
          <w:szCs w:val="22"/>
          <w:highlight w:val="none"/>
          <w:u w:val="single"/>
          <w:lang w:val="en-US" w:eastAsia="zh-CN"/>
        </w:rPr>
        <w:t>翁发改投审〔2025〕50号</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rPr>
        <w:t>文批准建设，项目代码为</w:t>
      </w:r>
      <w:r>
        <w:rPr>
          <w:rFonts w:hint="eastAsia" w:ascii="宋体" w:hAnsi="宋体" w:eastAsia="宋体" w:cs="宋体"/>
          <w:color w:val="auto"/>
          <w:kern w:val="0"/>
          <w:sz w:val="24"/>
          <w:szCs w:val="22"/>
          <w:highlight w:val="none"/>
          <w:u w:val="single"/>
          <w:lang w:val="en-US" w:eastAsia="zh-CN"/>
        </w:rPr>
        <w:t>2110-440229-04-01-834756</w:t>
      </w:r>
      <w:r>
        <w:rPr>
          <w:rFonts w:hint="eastAsia" w:ascii="宋体" w:hAnsi="宋体" w:eastAsia="宋体" w:cs="宋体"/>
          <w:color w:val="auto"/>
          <w:kern w:val="0"/>
          <w:sz w:val="24"/>
          <w:szCs w:val="22"/>
          <w:highlight w:val="none"/>
        </w:rPr>
        <w:t>。本项目业主为</w:t>
      </w:r>
      <w:r>
        <w:rPr>
          <w:rFonts w:hint="eastAsia" w:hAnsi="宋体" w:cs="宋体"/>
          <w:color w:val="auto"/>
          <w:kern w:val="0"/>
          <w:sz w:val="24"/>
          <w:szCs w:val="22"/>
          <w:highlight w:val="none"/>
          <w:u w:val="single"/>
          <w:lang w:val="en-US" w:eastAsia="zh-CN"/>
        </w:rPr>
        <w:t>广东翁源经济开发区管理委员会</w:t>
      </w:r>
      <w:r>
        <w:rPr>
          <w:rFonts w:hint="eastAsia" w:ascii="宋体" w:hAnsi="宋体" w:eastAsia="宋体" w:cs="宋体"/>
          <w:color w:val="auto"/>
          <w:kern w:val="0"/>
          <w:sz w:val="24"/>
          <w:szCs w:val="22"/>
          <w:highlight w:val="none"/>
        </w:rPr>
        <w:t>，建设资金来自</w:t>
      </w:r>
      <w:r>
        <w:rPr>
          <w:rFonts w:hint="eastAsia" w:hAnsi="宋体" w:cs="宋体"/>
          <w:color w:val="auto"/>
          <w:kern w:val="0"/>
          <w:sz w:val="24"/>
          <w:szCs w:val="22"/>
          <w:highlight w:val="none"/>
          <w:u w:val="single"/>
          <w:lang w:val="en-US" w:eastAsia="zh-CN"/>
        </w:rPr>
        <w:t>地方政府专项债券、县级统筹资金和厚街翁源对口帮扶协作资金</w:t>
      </w:r>
      <w:r>
        <w:rPr>
          <w:rFonts w:hint="eastAsia" w:ascii="宋体" w:hAnsi="宋体" w:eastAsia="宋体" w:cs="宋体"/>
          <w:color w:val="auto"/>
          <w:kern w:val="0"/>
          <w:sz w:val="24"/>
          <w:szCs w:val="22"/>
          <w:highlight w:val="none"/>
        </w:rPr>
        <w:t>，招标人为</w:t>
      </w:r>
      <w:r>
        <w:rPr>
          <w:rFonts w:hint="eastAsia" w:hAnsi="宋体" w:cs="宋体"/>
          <w:color w:val="auto"/>
          <w:kern w:val="0"/>
          <w:sz w:val="24"/>
          <w:szCs w:val="22"/>
          <w:highlight w:val="none"/>
          <w:u w:val="single"/>
          <w:lang w:val="en-US" w:eastAsia="zh-CN"/>
        </w:rPr>
        <w:t>广东翁源经济开发区管理委员会</w:t>
      </w:r>
      <w:r>
        <w:rPr>
          <w:rFonts w:hint="eastAsia" w:ascii="宋体" w:hAnsi="宋体" w:eastAsia="宋体" w:cs="宋体"/>
          <w:color w:val="auto"/>
          <w:kern w:val="0"/>
          <w:sz w:val="24"/>
          <w:szCs w:val="22"/>
          <w:highlight w:val="none"/>
        </w:rPr>
        <w:t>，招标代理机构为</w:t>
      </w:r>
      <w:r>
        <w:rPr>
          <w:rFonts w:hint="eastAsia" w:hAnsi="宋体" w:cs="宋体"/>
          <w:color w:val="auto"/>
          <w:kern w:val="0"/>
          <w:sz w:val="24"/>
          <w:szCs w:val="22"/>
          <w:highlight w:val="none"/>
          <w:u w:val="single"/>
          <w:lang w:val="en-US" w:eastAsia="zh-CN"/>
        </w:rPr>
        <w:t>汇龙工程咨询有限公司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hAnsi="宋体" w:cs="宋体"/>
          <w:color w:val="auto"/>
          <w:sz w:val="24"/>
          <w:szCs w:val="24"/>
          <w:highlight w:val="none"/>
          <w:u w:val="single"/>
          <w:lang w:val="en-US" w:eastAsia="zh-CN"/>
        </w:rPr>
        <w:t>项目全过程监理服务</w:t>
      </w:r>
      <w:r>
        <w:rPr>
          <w:rFonts w:hint="eastAsia" w:ascii="宋体" w:hAnsi="宋体" w:eastAsia="宋体" w:cs="宋体"/>
          <w:color w:val="auto"/>
          <w:kern w:val="0"/>
          <w:sz w:val="24"/>
          <w:szCs w:val="22"/>
          <w:highlight w:val="none"/>
        </w:rPr>
        <w:t>进行公开招标。</w:t>
      </w:r>
    </w:p>
    <w:p w14:paraId="6E939B6A">
      <w:pPr>
        <w:pStyle w:val="90"/>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highlight w:val="none"/>
        </w:rPr>
      </w:pPr>
      <w:bookmarkStart w:id="16" w:name="_Toc9487"/>
      <w:r>
        <w:rPr>
          <w:rFonts w:hint="eastAsia"/>
          <w:b/>
          <w:bCs/>
          <w:snapToGrid w:val="0"/>
          <w:color w:val="auto"/>
          <w:kern w:val="0"/>
          <w:sz w:val="24"/>
          <w:highlight w:val="none"/>
        </w:rPr>
        <w:t>1．项目概况、招标范围和标段划分、投标费用</w:t>
      </w:r>
      <w:bookmarkEnd w:id="16"/>
    </w:p>
    <w:p w14:paraId="5A9B532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项目概况</w:t>
      </w:r>
    </w:p>
    <w:p w14:paraId="457EF3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 xml:space="preserve"> 建设地点：翁源产业园区</w:t>
      </w:r>
    </w:p>
    <w:p w14:paraId="538AC66F">
      <w:pPr>
        <w:pStyle w:val="90"/>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b w:val="0"/>
          <w:bCs w:val="0"/>
          <w:snapToGrid w:val="0"/>
          <w:color w:val="auto"/>
          <w:kern w:val="0"/>
          <w:sz w:val="24"/>
          <w:highlight w:val="none"/>
          <w:lang w:val="en-US" w:eastAsia="zh-CN"/>
        </w:rPr>
      </w:pPr>
      <w:r>
        <w:rPr>
          <w:rFonts w:hint="eastAsia" w:ascii="宋体" w:hAnsi="宋体" w:cs="宋体"/>
          <w:b/>
          <w:bCs/>
          <w:snapToGrid w:val="0"/>
          <w:color w:val="auto"/>
          <w:kern w:val="0"/>
          <w:sz w:val="24"/>
          <w:highlight w:val="none"/>
          <w:lang w:val="en-US" w:eastAsia="zh-CN"/>
        </w:rPr>
        <w:t xml:space="preserve">1.1.2 </w:t>
      </w:r>
      <w:r>
        <w:rPr>
          <w:rFonts w:hint="eastAsia" w:ascii="宋体" w:hAnsi="宋体" w:cs="宋体"/>
          <w:b w:val="0"/>
          <w:bCs w:val="0"/>
          <w:snapToGrid w:val="0"/>
          <w:color w:val="auto"/>
          <w:kern w:val="0"/>
          <w:sz w:val="24"/>
          <w:highlight w:val="none"/>
          <w:lang w:val="en-US" w:eastAsia="zh-CN"/>
        </w:rPr>
        <w:t>建设内容：该项目用地面积20787㎡，具体建设内容如下:新建1栋单层钢结构厂房(长100米x宽55米x高15.45米)，建筑面积5500㎡，新建1栋两层框架结构商务和生活配套设施(长28米x宽18米x高8.25米)，建筑面积1054.89㎡;新建1个单层框架结构值班室，建筑面积15㎡。同时，对地块内原有厂房(建筑面积3232.41㎡)进行改造，增设侧墙及设备用房，并在用地红线范围内开展场地平整、混凝土路面浇筑、新建围墙及绿化种植等。</w:t>
      </w:r>
    </w:p>
    <w:p w14:paraId="2E42ACE0">
      <w:pPr>
        <w:pStyle w:val="90"/>
        <w:keepNext w:val="0"/>
        <w:keepLines w:val="0"/>
        <w:pageBreakBefore w:val="0"/>
        <w:wordWrap w:val="0"/>
        <w:topLinePunct w:val="0"/>
        <w:bidi w:val="0"/>
        <w:adjustRightInd w:val="0"/>
        <w:snapToGrid w:val="0"/>
        <w:spacing w:line="500" w:lineRule="exact"/>
        <w:ind w:firstLine="48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cs="宋体"/>
          <w:b/>
          <w:bCs/>
          <w:snapToGrid w:val="0"/>
          <w:color w:val="auto"/>
          <w:kern w:val="0"/>
          <w:sz w:val="24"/>
          <w:highlight w:val="none"/>
        </w:rPr>
        <w:t xml:space="preserve">1.1.3 </w:t>
      </w:r>
      <w:r>
        <w:rPr>
          <w:rFonts w:hint="eastAsia" w:ascii="宋体" w:hAnsi="宋体" w:eastAsia="宋体" w:cs="宋体"/>
          <w:snapToGrid w:val="0"/>
          <w:color w:val="auto"/>
          <w:kern w:val="0"/>
          <w:sz w:val="24"/>
          <w:szCs w:val="24"/>
          <w:highlight w:val="none"/>
          <w:lang w:val="en-US" w:eastAsia="zh-CN"/>
        </w:rPr>
        <w:t>项目总投资：</w:t>
      </w:r>
      <w:r>
        <w:rPr>
          <w:rFonts w:hint="eastAsia" w:ascii="宋体" w:hAnsi="宋体" w:cs="宋体"/>
          <w:snapToGrid w:val="0"/>
          <w:color w:val="auto"/>
          <w:kern w:val="0"/>
          <w:sz w:val="24"/>
          <w:szCs w:val="24"/>
          <w:highlight w:val="none"/>
          <w:lang w:val="en-US" w:eastAsia="zh-CN"/>
        </w:rPr>
        <w:t>项目总投资</w:t>
      </w:r>
      <w:r>
        <w:rPr>
          <w:rFonts w:hint="eastAsia" w:ascii="宋体" w:hAnsi="宋体" w:eastAsia="宋体" w:cs="宋体"/>
          <w:snapToGrid w:val="0"/>
          <w:color w:val="auto"/>
          <w:kern w:val="0"/>
          <w:sz w:val="24"/>
          <w:szCs w:val="24"/>
          <w:highlight w:val="none"/>
          <w:lang w:val="en-US" w:eastAsia="zh-CN"/>
        </w:rPr>
        <w:t>397</w:t>
      </w:r>
      <w:r>
        <w:rPr>
          <w:rFonts w:hint="eastAsia" w:ascii="宋体" w:hAnsi="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lang w:val="en-US" w:eastAsia="zh-CN"/>
        </w:rPr>
        <w:t>.7</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val="en-US" w:eastAsia="zh-CN"/>
        </w:rPr>
        <w:t>万元，其中建安费2602.04万元。</w:t>
      </w:r>
    </w:p>
    <w:p w14:paraId="737B5441">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5C8BB66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0F812CFE">
      <w:pPr>
        <w:pStyle w:val="90"/>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监理：项目建设范围内的建设全过程监理(含勘察、设计阶段、施工准备阶段、施工阶段、工程竣工验收及结算阶段和缺陷责任保修期阶段的全过程监理)。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1.2.2</w:t>
      </w:r>
      <w:r>
        <w:rPr>
          <w:rFonts w:hint="eastAsia" w:hAnsi="宋体" w:cs="宋体"/>
          <w:snapToGrid w:val="0"/>
          <w:color w:val="auto"/>
          <w:kern w:val="0"/>
          <w:szCs w:val="24"/>
          <w:highlight w:val="none"/>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6BE91A1C">
      <w:pPr>
        <w:pStyle w:val="90"/>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highlight w:val="none"/>
        </w:rPr>
      </w:pPr>
      <w:bookmarkStart w:id="17" w:name="_Toc31535"/>
      <w:bookmarkStart w:id="18" w:name="_Toc31795"/>
      <w:r>
        <w:rPr>
          <w:rFonts w:hint="eastAsia"/>
          <w:b/>
          <w:bCs/>
          <w:snapToGrid w:val="0"/>
          <w:color w:val="auto"/>
          <w:kern w:val="0"/>
          <w:sz w:val="24"/>
          <w:highlight w:val="none"/>
        </w:rPr>
        <w:t>2．投标人资格要求</w:t>
      </w:r>
      <w:bookmarkEnd w:id="17"/>
      <w:bookmarkEnd w:id="18"/>
      <w:bookmarkStart w:id="19" w:name="_Hlt74496495"/>
      <w:bookmarkEnd w:id="19"/>
    </w:p>
    <w:p w14:paraId="229AFBAA">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本次招标不接受联合体投标。</w:t>
      </w:r>
    </w:p>
    <w:p w14:paraId="376870E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296608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2.2.2</w:t>
      </w:r>
      <w:r>
        <w:rPr>
          <w:rFonts w:hint="eastAsia" w:hAnsi="宋体" w:cs="宋体"/>
          <w:snapToGrid w:val="0"/>
          <w:color w:val="auto"/>
          <w:kern w:val="0"/>
          <w:szCs w:val="24"/>
          <w:highlight w:val="none"/>
        </w:rPr>
        <w:t xml:space="preserve"> </w:t>
      </w:r>
      <w:r>
        <w:rPr>
          <w:rFonts w:hint="eastAsia" w:ascii="宋体" w:hAnsi="宋体" w:eastAsia="宋体" w:cs="宋体"/>
          <w:color w:val="auto"/>
          <w:szCs w:val="24"/>
          <w:highlight w:val="none"/>
        </w:rPr>
        <w:t>投标人须具备以下资质之一：①工程监理综合资质；②房屋建筑工程监理乙级资质及以上（含</w:t>
      </w:r>
      <w:r>
        <w:rPr>
          <w:rFonts w:hint="eastAsia" w:hAnsi="宋体" w:cs="宋体"/>
          <w:color w:val="auto"/>
          <w:szCs w:val="24"/>
          <w:highlight w:val="none"/>
          <w:lang w:val="en-US" w:eastAsia="zh-CN"/>
        </w:rPr>
        <w:t>乙</w:t>
      </w:r>
      <w:r>
        <w:rPr>
          <w:rFonts w:hint="eastAsia" w:ascii="宋体" w:hAnsi="宋体" w:eastAsia="宋体" w:cs="宋体"/>
          <w:color w:val="auto"/>
          <w:szCs w:val="24"/>
          <w:highlight w:val="none"/>
        </w:rPr>
        <w:t>级）资质</w:t>
      </w:r>
      <w:r>
        <w:rPr>
          <w:rFonts w:hint="eastAsia" w:hAnsi="宋体" w:cs="宋体"/>
          <w:snapToGrid w:val="0"/>
          <w:color w:val="auto"/>
          <w:kern w:val="0"/>
          <w:szCs w:val="24"/>
          <w:highlight w:val="none"/>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hAnsi="宋体" w:cs="宋体"/>
          <w:b/>
          <w:bCs/>
          <w:snapToGrid w:val="0"/>
          <w:color w:val="auto"/>
          <w:kern w:val="0"/>
          <w:szCs w:val="24"/>
          <w:highlight w:val="none"/>
        </w:rPr>
        <w:t>2.2.3</w:t>
      </w:r>
      <w:r>
        <w:rPr>
          <w:rFonts w:hint="eastAsia" w:hAnsi="宋体" w:cs="宋体"/>
          <w:snapToGrid w:val="0"/>
          <w:color w:val="auto"/>
          <w:kern w:val="0"/>
          <w:szCs w:val="24"/>
          <w:highlight w:val="none"/>
        </w:rPr>
        <w:t xml:space="preserve"> </w:t>
      </w:r>
      <w:r>
        <w:rPr>
          <w:rFonts w:hint="eastAsia" w:hAnsi="宋体" w:cs="宋体"/>
          <w:color w:val="auto"/>
          <w:szCs w:val="24"/>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3EE323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ascii="宋体" w:hAnsi="宋体" w:cs="宋体"/>
          <w:b/>
          <w:bCs/>
          <w:snapToGrid w:val="0"/>
          <w:color w:val="auto"/>
          <w:kern w:val="0"/>
          <w:sz w:val="24"/>
          <w:highlight w:val="none"/>
        </w:rPr>
        <w:t>2.3.1</w:t>
      </w:r>
      <w:r>
        <w:rPr>
          <w:rFonts w:hint="eastAsia" w:ascii="宋体" w:hAnsi="宋体" w:cs="宋体"/>
          <w:snapToGrid w:val="0"/>
          <w:color w:val="auto"/>
          <w:kern w:val="0"/>
          <w:sz w:val="24"/>
          <w:highlight w:val="none"/>
        </w:rPr>
        <w:t xml:space="preserve"> </w:t>
      </w:r>
      <w:r>
        <w:rPr>
          <w:rFonts w:hint="eastAsia" w:hAnsi="宋体" w:cs="宋体"/>
          <w:color w:val="auto"/>
          <w:szCs w:val="24"/>
          <w:highlight w:val="none"/>
        </w:rPr>
        <w:t>拟派总监理工程师为</w:t>
      </w:r>
      <w:r>
        <w:rPr>
          <w:rFonts w:hint="eastAsia" w:hAnsi="宋体" w:cs="宋体"/>
          <w:color w:val="auto"/>
          <w:szCs w:val="24"/>
          <w:highlight w:val="none"/>
          <w:lang w:val="en-US" w:eastAsia="zh-CN"/>
        </w:rPr>
        <w:t>房屋建筑</w:t>
      </w:r>
      <w:r>
        <w:rPr>
          <w:rFonts w:hint="eastAsia" w:hAnsi="宋体" w:cs="宋体"/>
          <w:color w:val="auto"/>
          <w:szCs w:val="24"/>
          <w:highlight w:val="none"/>
        </w:rPr>
        <w:t>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1B937DB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729B3FCF">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投标人与其拟派往本项目监理机构的所有人员之间必须具备合法、唯一的劳动聘用关系。拟派人员中具备注册执业资格的，其注册单位须与投标人保持一致。</w:t>
      </w:r>
    </w:p>
    <w:p w14:paraId="51D5C150">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7D7AD0E4">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23B2DC3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7B77E29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6A8637F">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6445557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66EBD7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2102A470">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22A7EB6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3FC11BF5">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12857A0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A6FC44A">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68E70B2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75517A3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40C303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（13）在最近三年内发生重大监理质量问题（以相关行业主管部门的行政处罚决定或司法机关出具的有关法律文书为准）；</w:t>
      </w:r>
    </w:p>
    <w:p w14:paraId="331A83DA">
      <w:pPr>
        <w:pStyle w:val="90"/>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 xml:space="preserve"> （14）</w:t>
      </w:r>
      <w:r>
        <w:rPr>
          <w:rFonts w:hint="eastAsia" w:ascii="宋体" w:hAnsi="宋体" w:cs="宋体"/>
          <w:color w:val="auto"/>
          <w:kern w:val="0"/>
          <w:sz w:val="24"/>
          <w:highlight w:val="none"/>
        </w:rPr>
        <w:t>被“信用中国”网站（https://www.creditchina.gov.cn）发布的《法人和非法人组织公共信用信息报告》列为严重失信主体名单的</w:t>
      </w:r>
      <w:r>
        <w:rPr>
          <w:rFonts w:hint="eastAsia" w:ascii="宋体" w:hAnsi="宋体" w:cs="宋体"/>
          <w:snapToGrid w:val="0"/>
          <w:color w:val="auto"/>
          <w:kern w:val="0"/>
          <w:sz w:val="24"/>
          <w:highlight w:val="none"/>
        </w:rPr>
        <w:t>。</w:t>
      </w:r>
    </w:p>
    <w:p w14:paraId="6D2A9BC1">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31"/>
        <w:tblW w:w="82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971"/>
        <w:gridCol w:w="3469"/>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971"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469"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247CC672">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971" w:type="dxa"/>
            <w:noWrap w:val="0"/>
            <w:vAlign w:val="center"/>
          </w:tcPr>
          <w:p w14:paraId="48F92AA4">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广东翁源经济开发区管理委员会</w:t>
            </w:r>
          </w:p>
        </w:tc>
        <w:tc>
          <w:tcPr>
            <w:tcW w:w="3469" w:type="dxa"/>
            <w:noWrap w:val="0"/>
            <w:vAlign w:val="center"/>
          </w:tcPr>
          <w:p w14:paraId="1CA7E40F">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rPr>
              <w:t>招标人</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308BACF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971" w:type="dxa"/>
            <w:noWrap w:val="0"/>
            <w:vAlign w:val="center"/>
          </w:tcPr>
          <w:p w14:paraId="2C7FB050">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汇龙工程咨询有限公司</w:t>
            </w:r>
          </w:p>
        </w:tc>
        <w:tc>
          <w:tcPr>
            <w:tcW w:w="3469" w:type="dxa"/>
            <w:noWrap w:val="0"/>
            <w:vAlign w:val="center"/>
          </w:tcPr>
          <w:p w14:paraId="3659449E">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00828124">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971" w:type="dxa"/>
            <w:noWrap w:val="0"/>
            <w:vAlign w:val="center"/>
          </w:tcPr>
          <w:p w14:paraId="76EC56A5">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福建建盛工程管理有限公司</w:t>
            </w:r>
          </w:p>
        </w:tc>
        <w:tc>
          <w:tcPr>
            <w:tcW w:w="3469" w:type="dxa"/>
            <w:noWrap w:val="0"/>
            <w:vAlign w:val="center"/>
          </w:tcPr>
          <w:p w14:paraId="7789CE8C">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618896A2">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971" w:type="dxa"/>
            <w:noWrap w:val="0"/>
            <w:vAlign w:val="center"/>
          </w:tcPr>
          <w:p w14:paraId="6D80ECC2">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国昇设计有限责任公司</w:t>
            </w:r>
          </w:p>
        </w:tc>
        <w:tc>
          <w:tcPr>
            <w:tcW w:w="3469" w:type="dxa"/>
            <w:noWrap w:val="0"/>
            <w:vAlign w:val="center"/>
          </w:tcPr>
          <w:p w14:paraId="0C8722C2">
            <w:pPr>
              <w:pStyle w:val="90"/>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35F2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shd w:val="clear" w:color="auto" w:fill="auto"/>
            <w:noWrap w:val="0"/>
            <w:vAlign w:val="center"/>
          </w:tcPr>
          <w:p w14:paraId="6C68F077">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3971" w:type="dxa"/>
            <w:shd w:val="clear" w:color="auto" w:fill="auto"/>
            <w:noWrap w:val="0"/>
            <w:vAlign w:val="center"/>
          </w:tcPr>
          <w:p w14:paraId="24A48BEE">
            <w:pPr>
              <w:pStyle w:val="28"/>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韶关市建韶工程造价咨询有限公司</w:t>
            </w:r>
          </w:p>
        </w:tc>
        <w:tc>
          <w:tcPr>
            <w:tcW w:w="3469" w:type="dxa"/>
            <w:shd w:val="clear" w:color="auto" w:fill="auto"/>
            <w:noWrap w:val="0"/>
            <w:vAlign w:val="center"/>
          </w:tcPr>
          <w:p w14:paraId="4F0A6E4D">
            <w:pPr>
              <w:pStyle w:val="90"/>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w:t>
            </w:r>
            <w:r>
              <w:rPr>
                <w:rFonts w:hint="eastAsia" w:ascii="宋体" w:hAnsi="宋体" w:cs="宋体"/>
                <w:snapToGrid w:val="0"/>
                <w:color w:val="auto"/>
                <w:kern w:val="0"/>
                <w:sz w:val="24"/>
                <w:szCs w:val="24"/>
                <w:highlight w:val="none"/>
                <w:lang w:val="en-US" w:eastAsia="zh-CN" w:bidi="ar-SA"/>
              </w:rPr>
              <w:t>概算审核</w:t>
            </w:r>
            <w:r>
              <w:rPr>
                <w:rFonts w:hint="eastAsia" w:ascii="宋体" w:hAnsi="宋体" w:eastAsia="宋体" w:cs="宋体"/>
                <w:snapToGrid w:val="0"/>
                <w:color w:val="auto"/>
                <w:kern w:val="0"/>
                <w:sz w:val="24"/>
                <w:szCs w:val="24"/>
                <w:highlight w:val="none"/>
                <w:lang w:val="en-US" w:eastAsia="zh-CN" w:bidi="ar-SA"/>
              </w:rPr>
              <w:t>单位</w:t>
            </w:r>
          </w:p>
        </w:tc>
      </w:tr>
    </w:tbl>
    <w:p w14:paraId="436A391F">
      <w:pPr>
        <w:pStyle w:val="90"/>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574A12A8">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90"/>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highlight w:val="none"/>
        </w:rPr>
      </w:pPr>
      <w:bookmarkStart w:id="20" w:name="_Toc12683"/>
      <w:r>
        <w:rPr>
          <w:rFonts w:hint="eastAsia" w:ascii="宋体" w:hAnsi="宋体" w:cs="宋体"/>
          <w:b/>
          <w:bCs/>
          <w:snapToGrid w:val="0"/>
          <w:color w:val="auto"/>
          <w:kern w:val="0"/>
          <w:sz w:val="24"/>
          <w:highlight w:val="none"/>
        </w:rPr>
        <w:t>3．获取招标文件</w:t>
      </w:r>
      <w:bookmarkEnd w:id="20"/>
    </w:p>
    <w:p w14:paraId="1DF04FBD">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highlight w:val="none"/>
          <w:shd w:val="clear" w:color="auto" w:fill="FFFFFF"/>
        </w:rPr>
      </w:pPr>
      <w:r>
        <w:rPr>
          <w:rFonts w:hint="eastAsia" w:ascii="宋体" w:hAnsi="宋体" w:cs="宋体"/>
          <w:snapToGrid w:val="0"/>
          <w:color w:val="auto"/>
          <w:kern w:val="0"/>
          <w:sz w:val="24"/>
          <w:highlight w:val="none"/>
        </w:rPr>
        <w:t xml:space="preserve">3.1 </w:t>
      </w:r>
      <w:r>
        <w:rPr>
          <w:rFonts w:hint="eastAsia" w:ascii="宋体" w:hAnsi="宋体" w:cs="宋体"/>
          <w:color w:val="auto"/>
          <w:sz w:val="24"/>
          <w:highlight w:val="none"/>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8"/>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highlight w:val="none"/>
        </w:rPr>
      </w:pPr>
      <w:r>
        <w:rPr>
          <w:rFonts w:hint="eastAsia"/>
          <w:snapToGrid w:val="0"/>
          <w:color w:val="auto"/>
          <w:highlight w:val="none"/>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8"/>
        <w:keepNext w:val="0"/>
        <w:keepLines w:val="0"/>
        <w:pageBreakBefore w:val="0"/>
        <w:topLinePunct w:val="0"/>
        <w:bidi w:val="0"/>
        <w:spacing w:before="0" w:beforeAutospacing="0" w:after="0" w:afterAutospacing="0" w:line="500" w:lineRule="exact"/>
        <w:ind w:firstLine="480" w:firstLineChars="200"/>
        <w:textAlignment w:val="auto"/>
        <w:rPr>
          <w:bCs/>
          <w:color w:val="auto"/>
          <w:highlight w:val="none"/>
        </w:rPr>
      </w:pPr>
      <w:r>
        <w:rPr>
          <w:rFonts w:hint="eastAsia"/>
          <w:snapToGrid w:val="0"/>
          <w:color w:val="auto"/>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highlight w:val="none"/>
        </w:rPr>
        <w:t xml:space="preserve"> </w:t>
      </w:r>
    </w:p>
    <w:p w14:paraId="3710C64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kern w:val="0"/>
          <w:sz w:val="24"/>
          <w:highlight w:val="none"/>
        </w:rPr>
        <w:t>已入库企业的有关信息（如单位名称、基本账号、资质、人员等）发生变化的，应及时在建设工程交易系统进行相应变更。投标人未及时变更而造成的损失和后果，由投标人自行承担。</w:t>
      </w:r>
    </w:p>
    <w:p w14:paraId="5349E3D5">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 投标保证</w:t>
      </w:r>
    </w:p>
    <w:p w14:paraId="71FD51A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3.3.1 投标人须缴纳金额为人民币</w:t>
      </w:r>
      <w:r>
        <w:rPr>
          <w:rFonts w:hint="eastAsia" w:ascii="宋体" w:hAnsi="宋体" w:cs="宋体"/>
          <w:color w:val="auto"/>
          <w:sz w:val="24"/>
          <w:highlight w:val="none"/>
          <w:u w:val="single"/>
          <w:shd w:val="clear" w:color="auto" w:fill="FFFFFF"/>
          <w:lang w:val="en-US" w:eastAsia="zh-CN"/>
        </w:rPr>
        <w:t>伍仟</w:t>
      </w:r>
      <w:r>
        <w:rPr>
          <w:rFonts w:hint="eastAsia" w:ascii="宋体" w:hAnsi="宋体" w:cs="宋体"/>
          <w:color w:val="auto"/>
          <w:sz w:val="24"/>
          <w:highlight w:val="none"/>
          <w:shd w:val="clear" w:color="auto" w:fill="FFFFFF"/>
        </w:rPr>
        <w:t xml:space="preserve">元的投标保证。 </w:t>
      </w:r>
    </w:p>
    <w:p w14:paraId="081C9AA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highlight w:val="none"/>
          <w:lang w:val="en-US" w:eastAsia="zh-CN"/>
        </w:rPr>
        <w:t>见</w:t>
      </w:r>
      <w:r>
        <w:rPr>
          <w:rFonts w:hint="eastAsia" w:hAnsi="宋体" w:cs="宋体"/>
          <w:color w:val="auto"/>
          <w:highlight w:val="none"/>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highlight w:val="none"/>
        </w:rPr>
        <w:t>延长</w:t>
      </w:r>
      <w:r>
        <w:rPr>
          <w:rFonts w:hint="eastAsia" w:ascii="宋体" w:hAnsi="宋体" w:cs="宋体"/>
          <w:color w:val="auto"/>
          <w:sz w:val="24"/>
          <w:highlight w:val="none"/>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highlight w:val="none"/>
        </w:rPr>
      </w:pPr>
      <w:bookmarkStart w:id="21" w:name="_Toc16883"/>
      <w:r>
        <w:rPr>
          <w:rFonts w:hint="eastAsia" w:hAnsi="宋体" w:cs="宋体"/>
          <w:b/>
          <w:bCs/>
          <w:snapToGrid w:val="0"/>
          <w:color w:val="auto"/>
          <w:kern w:val="0"/>
          <w:highlight w:val="none"/>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监理：</w:t>
      </w:r>
      <w:r>
        <w:rPr>
          <w:rFonts w:hint="eastAsia" w:hAnsi="宋体" w:cs="宋体"/>
          <w:snapToGrid w:val="0"/>
          <w:color w:val="auto"/>
          <w:kern w:val="0"/>
          <w:szCs w:val="24"/>
          <w:highlight w:val="none"/>
          <w:lang w:val="en-US" w:eastAsia="zh-CN"/>
        </w:rPr>
        <w:t>本项目施工工期是360日历天，</w:t>
      </w:r>
      <w:r>
        <w:rPr>
          <w:rFonts w:hint="eastAsia" w:hAnsi="宋体" w:cs="宋体"/>
          <w:snapToGrid w:val="0"/>
          <w:color w:val="auto"/>
          <w:kern w:val="0"/>
          <w:highlight w:val="none"/>
        </w:rPr>
        <w:t>监理服务期从监理合同签订之日起计，至本工程缺陷责任保修期结束且本工程结算金额经政府主管部门审定且双方的责任义务履行完毕时止。</w:t>
      </w:r>
    </w:p>
    <w:p w14:paraId="4006A3C3">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2" w:name="_Toc10746"/>
      <w:bookmarkStart w:id="23" w:name="_Toc7476"/>
      <w:r>
        <w:rPr>
          <w:rFonts w:hint="eastAsia" w:hAnsi="宋体" w:cs="宋体"/>
          <w:b/>
          <w:snapToGrid w:val="0"/>
          <w:color w:val="auto"/>
          <w:highlight w:val="none"/>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监理：</w:t>
      </w:r>
      <w:r>
        <w:rPr>
          <w:rFonts w:hint="eastAsia" w:hAnsi="宋体" w:cs="宋体"/>
          <w:color w:val="auto"/>
          <w:szCs w:val="24"/>
          <w:highlight w:val="none"/>
        </w:rPr>
        <w:t>工程质量达到合格或以上标准。</w:t>
      </w:r>
      <w:r>
        <w:rPr>
          <w:rFonts w:hint="eastAsia" w:hAnsi="宋体" w:cs="宋体"/>
          <w:snapToGrid w:val="0"/>
          <w:color w:val="auto"/>
          <w:kern w:val="0"/>
          <w:highlight w:val="none"/>
        </w:rPr>
        <w:t xml:space="preserve"> </w:t>
      </w:r>
    </w:p>
    <w:p w14:paraId="4CCCF34C">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4" w:name="_Toc32757"/>
      <w:bookmarkStart w:id="25" w:name="_Toc12596"/>
      <w:r>
        <w:rPr>
          <w:rFonts w:hint="eastAsia" w:hAnsi="宋体" w:cs="宋体"/>
          <w:b/>
          <w:snapToGrid w:val="0"/>
          <w:color w:val="auto"/>
          <w:highlight w:val="none"/>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p>
    <w:p w14:paraId="7ACE9C36">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6" w:name="_Toc8198"/>
      <w:bookmarkStart w:id="27" w:name="_Toc25173"/>
      <w:r>
        <w:rPr>
          <w:rFonts w:hint="eastAsia" w:hAnsi="宋体" w:cs="宋体"/>
          <w:b/>
          <w:snapToGrid w:val="0"/>
          <w:color w:val="auto"/>
          <w:highlight w:val="none"/>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lang w:bidi="ar"/>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3906303B">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9" w:name="_Hlt92513715"/>
      <w:bookmarkEnd w:id="29"/>
      <w:bookmarkStart w:id="30" w:name="_Hlt69699188"/>
      <w:bookmarkEnd w:id="30"/>
      <w:bookmarkStart w:id="31" w:name="_Hlt92513711"/>
      <w:bookmarkEnd w:id="31"/>
      <w:bookmarkStart w:id="32" w:name="_Toc11326"/>
      <w:bookmarkStart w:id="33" w:name="_Toc23036"/>
      <w:r>
        <w:rPr>
          <w:rFonts w:hint="eastAsia" w:hAnsi="宋体" w:cs="宋体"/>
          <w:b/>
          <w:snapToGrid w:val="0"/>
          <w:color w:val="auto"/>
          <w:highlight w:val="none"/>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（5）项目所在地市场价格。</w:t>
      </w:r>
    </w:p>
    <w:p w14:paraId="729BA8FC">
      <w:pPr>
        <w:pStyle w:val="42"/>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highlight w:val="none"/>
          <w:u w:val="none"/>
        </w:rPr>
      </w:pPr>
      <w:r>
        <w:rPr>
          <w:rFonts w:hint="eastAsia" w:ascii="宋体" w:hAnsi="宋体" w:cs="宋体"/>
          <w:bCs/>
          <w:snapToGrid w:val="0"/>
          <w:color w:val="auto"/>
          <w:kern w:val="0"/>
          <w:sz w:val="24"/>
          <w:highlight w:val="none"/>
        </w:rPr>
        <w:t xml:space="preserve">   8.2</w:t>
      </w:r>
      <w:r>
        <w:rPr>
          <w:rFonts w:hint="eastAsia" w:ascii="宋体" w:hAnsi="宋体" w:cs="宋体"/>
          <w:snapToGrid w:val="0"/>
          <w:color w:val="auto"/>
          <w:kern w:val="0"/>
          <w:sz w:val="24"/>
          <w:highlight w:val="none"/>
        </w:rPr>
        <w:t xml:space="preserve"> </w:t>
      </w:r>
      <w:r>
        <w:rPr>
          <w:rFonts w:hint="eastAsia" w:ascii="宋体" w:hAnsi="宋体" w:cs="宋体"/>
          <w:b w:val="0"/>
          <w:bCs/>
          <w:snapToGrid w:val="0"/>
          <w:color w:val="auto"/>
          <w:kern w:val="0"/>
          <w:sz w:val="24"/>
          <w:highlight w:val="none"/>
        </w:rPr>
        <w:t>本次招标最高投标限价为人民币（大写）：</w:t>
      </w:r>
      <w:r>
        <w:rPr>
          <w:rFonts w:hint="eastAsia" w:ascii="宋体" w:hAnsi="宋体" w:cs="宋体"/>
          <w:b w:val="0"/>
          <w:bCs/>
          <w:snapToGrid w:val="0"/>
          <w:color w:val="auto"/>
          <w:kern w:val="0"/>
          <w:sz w:val="24"/>
          <w:highlight w:val="none"/>
          <w:lang w:val="en-US" w:eastAsia="zh-CN"/>
        </w:rPr>
        <w:t>叁拾壹万贰仟贰佰肆拾肆元捌角整</w:t>
      </w:r>
      <w:r>
        <w:rPr>
          <w:rFonts w:hint="eastAsia" w:hAnsi="宋体" w:cs="宋体"/>
          <w:b w:val="0"/>
          <w:bCs/>
          <w:snapToGrid w:val="0"/>
          <w:color w:val="auto"/>
          <w:kern w:val="0"/>
          <w:sz w:val="24"/>
          <w:highlight w:val="none"/>
          <w:u w:val="none"/>
          <w:lang w:val="en-US" w:eastAsia="zh-CN"/>
        </w:rPr>
        <w:t>（小写：</w:t>
      </w:r>
      <w:r>
        <w:rPr>
          <w:rFonts w:hint="eastAsia" w:ascii="宋体" w:hAnsi="宋体" w:eastAsia="宋体" w:cs="宋体"/>
          <w:b w:val="0"/>
          <w:bCs/>
          <w:snapToGrid w:val="0"/>
          <w:color w:val="auto"/>
          <w:kern w:val="0"/>
          <w:sz w:val="24"/>
          <w:highlight w:val="none"/>
          <w:u w:val="none"/>
          <w:lang w:val="en-US" w:eastAsia="zh-CN"/>
        </w:rPr>
        <w:t>￥</w:t>
      </w:r>
      <w:r>
        <w:rPr>
          <w:rFonts w:hint="eastAsia" w:ascii="宋体" w:hAnsi="宋体" w:eastAsia="宋体" w:cs="宋体"/>
          <w:b w:val="0"/>
          <w:bCs/>
          <w:snapToGrid w:val="0"/>
          <w:color w:val="auto"/>
          <w:kern w:val="0"/>
          <w:sz w:val="24"/>
          <w:highlight w:val="none"/>
          <w:u w:val="single"/>
          <w:lang w:val="en-US" w:eastAsia="zh-CN"/>
        </w:rPr>
        <w:t>312244.80</w:t>
      </w:r>
      <w:r>
        <w:rPr>
          <w:rFonts w:hint="eastAsia" w:ascii="宋体" w:hAnsi="宋体" w:eastAsia="宋体" w:cs="宋体"/>
          <w:b w:val="0"/>
          <w:bCs/>
          <w:snapToGrid w:val="0"/>
          <w:color w:val="auto"/>
          <w:kern w:val="0"/>
          <w:sz w:val="24"/>
          <w:highlight w:val="none"/>
          <w:u w:val="none"/>
          <w:lang w:val="en-US" w:eastAsia="zh-CN"/>
        </w:rPr>
        <w:t xml:space="preserve"> 元）</w:t>
      </w:r>
      <w:r>
        <w:rPr>
          <w:rFonts w:hint="eastAsia" w:ascii="宋体" w:hAnsi="宋体" w:eastAsia="宋体" w:cs="宋体"/>
          <w:b w:val="0"/>
          <w:bCs/>
          <w:snapToGrid w:val="0"/>
          <w:color w:val="auto"/>
          <w:kern w:val="0"/>
          <w:sz w:val="24"/>
          <w:highlight w:val="none"/>
          <w:u w:val="none"/>
          <w:lang w:eastAsia="zh-CN"/>
        </w:rPr>
        <w:t>，监理服务费投标取费费率上限为</w:t>
      </w:r>
      <w:r>
        <w:rPr>
          <w:rFonts w:hint="eastAsia" w:ascii="宋体" w:hAnsi="宋体" w:cs="宋体"/>
          <w:b w:val="0"/>
          <w:bCs/>
          <w:snapToGrid w:val="0"/>
          <w:color w:val="auto"/>
          <w:kern w:val="0"/>
          <w:sz w:val="24"/>
          <w:highlight w:val="none"/>
          <w:u w:val="single"/>
          <w:lang w:val="en-US" w:eastAsia="zh-CN"/>
        </w:rPr>
        <w:t>1.200%</w:t>
      </w:r>
      <w:r>
        <w:rPr>
          <w:rFonts w:hint="eastAsia" w:ascii="宋体" w:hAnsi="宋体" w:eastAsia="宋体" w:cs="宋体"/>
          <w:b w:val="0"/>
          <w:bCs/>
          <w:snapToGrid w:val="0"/>
          <w:color w:val="auto"/>
          <w:kern w:val="0"/>
          <w:sz w:val="24"/>
          <w:highlight w:val="none"/>
          <w:u w:val="none"/>
        </w:rPr>
        <w:t>。</w:t>
      </w:r>
    </w:p>
    <w:p w14:paraId="08F85732">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34" w:name="_Toc7437"/>
      <w:bookmarkStart w:id="35" w:name="_Toc2193"/>
      <w:r>
        <w:rPr>
          <w:rFonts w:hint="eastAsia" w:hAnsi="宋体" w:cs="宋体"/>
          <w:b/>
          <w:snapToGrid w:val="0"/>
          <w:color w:val="auto"/>
          <w:highlight w:val="none"/>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9.1</w:t>
      </w:r>
      <w:r>
        <w:rPr>
          <w:rFonts w:hint="eastAsia" w:hAnsi="宋体" w:cs="宋体"/>
          <w:snapToGrid w:val="0"/>
          <w:color w:val="auto"/>
          <w:kern w:val="0"/>
          <w:highlight w:val="none"/>
        </w:rPr>
        <w:t xml:space="preserve"> 本次招标采用填报</w:t>
      </w:r>
      <w:r>
        <w:rPr>
          <w:rFonts w:hint="eastAsia" w:hAnsi="宋体" w:cs="宋体"/>
          <w:snapToGrid w:val="0"/>
          <w:color w:val="auto"/>
          <w:kern w:val="0"/>
          <w:highlight w:val="none"/>
          <w:u w:val="single"/>
        </w:rPr>
        <w:t xml:space="preserve"> 投标报价及取费费率 </w:t>
      </w:r>
      <w:r>
        <w:rPr>
          <w:rFonts w:hint="eastAsia" w:hAnsi="宋体" w:cs="宋体"/>
          <w:snapToGrid w:val="0"/>
          <w:color w:val="auto"/>
          <w:kern w:val="0"/>
          <w:highlight w:val="none"/>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9.2</w:t>
      </w:r>
      <w:r>
        <w:rPr>
          <w:rFonts w:hint="eastAsia" w:hAnsi="宋体" w:cs="宋体"/>
          <w:snapToGrid w:val="0"/>
          <w:color w:val="auto"/>
          <w:kern w:val="0"/>
          <w:highlight w:val="none"/>
        </w:rPr>
        <w:t xml:space="preserve"> 所有报价均以人民币“元”为单位，并保留两位小数。投标取费费率=投标总价÷建安工程费暂定价×100%，并保留</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位小数。</w:t>
      </w:r>
      <w:r>
        <w:rPr>
          <w:rFonts w:hint="eastAsia" w:hAnsi="宋体" w:cs="宋体"/>
          <w:b w:val="0"/>
          <w:bCs w:val="0"/>
          <w:snapToGrid w:val="0"/>
          <w:color w:val="auto"/>
          <w:kern w:val="0"/>
          <w:highlight w:val="none"/>
        </w:rPr>
        <w:t>本项目的建安工程费暂定价为人民币</w:t>
      </w:r>
      <w:r>
        <w:rPr>
          <w:rFonts w:hint="eastAsia" w:hAnsi="宋体" w:cs="宋体"/>
          <w:b w:val="0"/>
          <w:bCs w:val="0"/>
          <w:snapToGrid w:val="0"/>
          <w:color w:val="auto"/>
          <w:kern w:val="0"/>
          <w:highlight w:val="none"/>
          <w:u w:val="single"/>
          <w:lang w:val="en-US" w:eastAsia="zh-CN"/>
        </w:rPr>
        <w:t>2602.04</w:t>
      </w:r>
      <w:r>
        <w:rPr>
          <w:rFonts w:hint="eastAsia" w:hAnsi="宋体" w:cs="宋体"/>
          <w:b w:val="0"/>
          <w:bCs w:val="0"/>
          <w:snapToGrid w:val="0"/>
          <w:color w:val="auto"/>
          <w:kern w:val="0"/>
          <w:highlight w:val="none"/>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highlight w:val="none"/>
        </w:rPr>
      </w:pPr>
      <w:r>
        <w:rPr>
          <w:rFonts w:hint="eastAsia" w:hAnsi="宋体" w:cs="宋体"/>
          <w:b/>
          <w:bCs/>
          <w:snapToGrid w:val="0"/>
          <w:color w:val="auto"/>
          <w:kern w:val="0"/>
          <w:highlight w:val="none"/>
        </w:rPr>
        <w:t xml:space="preserve">9.3 </w:t>
      </w:r>
      <w:r>
        <w:rPr>
          <w:rFonts w:hint="eastAsia" w:hAnsi="宋体" w:cs="宋体"/>
          <w:b w:val="0"/>
          <w:bCs w:val="0"/>
          <w:snapToGrid w:val="0"/>
          <w:color w:val="auto"/>
          <w:kern w:val="0"/>
          <w:highlight w:val="none"/>
        </w:rPr>
        <w:t>监理服务费结算价在项目的合同价范围内按实结算，即：以施工</w:t>
      </w:r>
      <w:r>
        <w:rPr>
          <w:rFonts w:hint="eastAsia" w:hAnsi="宋体" w:cs="宋体"/>
          <w:b w:val="0"/>
          <w:bCs w:val="0"/>
          <w:snapToGrid w:val="0"/>
          <w:color w:val="auto"/>
          <w:kern w:val="0"/>
          <w:highlight w:val="none"/>
          <w:lang w:val="en-US" w:eastAsia="zh-CN"/>
        </w:rPr>
        <w:t>财审预</w:t>
      </w:r>
      <w:r>
        <w:rPr>
          <w:rFonts w:hint="eastAsia" w:hAnsi="宋体" w:cs="宋体"/>
          <w:b w:val="0"/>
          <w:bCs w:val="0"/>
          <w:snapToGrid w:val="0"/>
          <w:color w:val="auto"/>
          <w:kern w:val="0"/>
          <w:highlight w:val="none"/>
        </w:rPr>
        <w:t>算价为基数乘以监理人中标取费费率计算，若监理服务费结算总价超过签约合同价，则按签约合同价包干结算；若监理服务费结算总价未超过签约合同价，则按以施工</w:t>
      </w:r>
      <w:r>
        <w:rPr>
          <w:rFonts w:hint="eastAsia" w:hAnsi="宋体" w:cs="宋体"/>
          <w:b w:val="0"/>
          <w:bCs w:val="0"/>
          <w:snapToGrid w:val="0"/>
          <w:color w:val="auto"/>
          <w:kern w:val="0"/>
          <w:highlight w:val="none"/>
          <w:lang w:val="en-US" w:eastAsia="zh-CN"/>
        </w:rPr>
        <w:t>预</w:t>
      </w:r>
      <w:r>
        <w:rPr>
          <w:rFonts w:hint="eastAsia" w:hAnsi="宋体" w:cs="宋体"/>
          <w:b w:val="0"/>
          <w:bCs w:val="0"/>
          <w:snapToGrid w:val="0"/>
          <w:color w:val="auto"/>
          <w:kern w:val="0"/>
          <w:highlight w:val="none"/>
        </w:rPr>
        <w:t>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highlight w:val="none"/>
          <w:lang w:val="en-US" w:eastAsia="zh-CN"/>
        </w:rPr>
        <w:t>9.4</w:t>
      </w:r>
      <w:r>
        <w:rPr>
          <w:rFonts w:hint="eastAsia" w:hAnsi="宋体" w:cs="宋体"/>
          <w:snapToGrid w:val="0"/>
          <w:color w:val="auto"/>
          <w:kern w:val="0"/>
          <w:szCs w:val="24"/>
          <w:highlight w:val="none"/>
          <w:lang w:val="en-US" w:eastAsia="zh-CN"/>
        </w:rPr>
        <w:t xml:space="preserve"> </w:t>
      </w:r>
      <w:r>
        <w:rPr>
          <w:rFonts w:hint="eastAsia" w:hAnsi="宋体" w:cs="宋体"/>
          <w:snapToGrid w:val="0"/>
          <w:color w:val="auto"/>
          <w:kern w:val="0"/>
          <w:szCs w:val="24"/>
          <w:highlight w:val="none"/>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5 </w:t>
      </w:r>
      <w:r>
        <w:rPr>
          <w:rFonts w:hint="eastAsia" w:hAnsi="宋体" w:cs="宋体"/>
          <w:snapToGrid w:val="0"/>
          <w:color w:val="auto"/>
          <w:kern w:val="0"/>
          <w:szCs w:val="24"/>
          <w:highlight w:val="none"/>
        </w:rPr>
        <w:t>投标总价应包括国家规定的增值税税金。本次招标增值税税金按</w:t>
      </w:r>
      <w:r>
        <w:rPr>
          <w:rFonts w:hint="eastAsia" w:hAnsi="宋体" w:cs="宋体"/>
          <w:snapToGrid w:val="0"/>
          <w:color w:val="auto"/>
          <w:kern w:val="0"/>
          <w:szCs w:val="24"/>
          <w:highlight w:val="none"/>
          <w:u w:val="single"/>
        </w:rPr>
        <w:t xml:space="preserve"> 一般 </w:t>
      </w:r>
      <w:r>
        <w:rPr>
          <w:rFonts w:hint="eastAsia" w:hAnsi="宋体" w:cs="宋体"/>
          <w:snapToGrid w:val="0"/>
          <w:color w:val="auto"/>
          <w:kern w:val="0"/>
          <w:szCs w:val="24"/>
          <w:highlight w:val="none"/>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6 </w:t>
      </w:r>
      <w:r>
        <w:rPr>
          <w:rFonts w:hint="eastAsia" w:ascii="Times New Roman"/>
          <w:snapToGrid w:val="0"/>
          <w:color w:val="auto"/>
          <w:kern w:val="0"/>
          <w:highlight w:val="none"/>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7 </w:t>
      </w:r>
      <w:r>
        <w:rPr>
          <w:rFonts w:hint="eastAsia" w:hAnsi="宋体" w:cs="宋体"/>
          <w:snapToGrid w:val="0"/>
          <w:color w:val="auto"/>
          <w:kern w:val="0"/>
          <w:szCs w:val="24"/>
          <w:highlight w:val="none"/>
        </w:rPr>
        <w:t>投标人应充分了解招标项目的总体情况以及影响投标报价的其他要素。</w:t>
      </w:r>
      <w:bookmarkStart w:id="37" w:name="_（十）投标文件的编制、包装、密封"/>
      <w:bookmarkEnd w:id="37"/>
    </w:p>
    <w:p w14:paraId="182D9B17">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highlight w:val="none"/>
        </w:rPr>
      </w:pPr>
      <w:bookmarkStart w:id="38" w:name="_Toc684"/>
      <w:bookmarkStart w:id="39" w:name="_Toc4002"/>
      <w:r>
        <w:rPr>
          <w:rFonts w:hint="eastAsia" w:hAnsi="宋体" w:cs="宋体"/>
          <w:b/>
          <w:snapToGrid w:val="0"/>
          <w:color w:val="auto"/>
          <w:szCs w:val="24"/>
          <w:highlight w:val="none"/>
        </w:rPr>
        <w:t>10．投标文件的编制</w:t>
      </w:r>
      <w:bookmarkStart w:id="40" w:name="_Hlt69332370"/>
      <w:bookmarkEnd w:id="40"/>
      <w:bookmarkStart w:id="41" w:name="_Hlt69208262"/>
      <w:bookmarkEnd w:id="41"/>
      <w:r>
        <w:rPr>
          <w:rFonts w:hint="eastAsia" w:hAnsi="宋体" w:cs="宋体"/>
          <w:b/>
          <w:snapToGrid w:val="0"/>
          <w:color w:val="auto"/>
          <w:szCs w:val="24"/>
          <w:highlight w:val="none"/>
        </w:rPr>
        <w:t>要求</w:t>
      </w:r>
      <w:bookmarkEnd w:id="38"/>
      <w:bookmarkEnd w:id="39"/>
      <w:bookmarkStart w:id="42" w:name="_Hlt74497202"/>
      <w:bookmarkEnd w:id="42"/>
      <w:bookmarkStart w:id="43" w:name="_Hlt74495594"/>
      <w:bookmarkEnd w:id="43"/>
      <w:bookmarkStart w:id="44" w:name="_Hlt78768224"/>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highlight w:val="none"/>
        </w:rPr>
      </w:pPr>
      <w:r>
        <w:rPr>
          <w:rFonts w:hint="eastAsia" w:hAnsi="宋体" w:cs="宋体"/>
          <w:b/>
          <w:bCs/>
          <w:snapToGrid w:val="0"/>
          <w:color w:val="auto"/>
          <w:kern w:val="0"/>
          <w:szCs w:val="24"/>
          <w:highlight w:val="none"/>
        </w:rPr>
        <w:t>10.1</w:t>
      </w:r>
      <w:r>
        <w:rPr>
          <w:rFonts w:hint="eastAsia" w:hAnsi="宋体" w:cs="宋体"/>
          <w:bCs/>
          <w:snapToGrid w:val="0"/>
          <w:color w:val="auto"/>
          <w:kern w:val="0"/>
          <w:szCs w:val="24"/>
          <w:highlight w:val="none"/>
        </w:rPr>
        <w:t xml:space="preserve"> 一般要求</w:t>
      </w:r>
    </w:p>
    <w:p w14:paraId="35DD415F">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bookmarkStart w:id="45" w:name="_Hlt74496890"/>
      <w:bookmarkEnd w:id="45"/>
      <w:r>
        <w:rPr>
          <w:rFonts w:hint="eastAsia" w:hAnsi="宋体" w:cs="宋体"/>
          <w:snapToGrid w:val="0"/>
          <w:color w:val="auto"/>
          <w:kern w:val="0"/>
          <w:szCs w:val="24"/>
          <w:highlight w:val="none"/>
        </w:rPr>
        <w:t>投标文件应按第五章 投标文件格式规定的内容，投标人提交的投标文件应当使用招标文件所提供的投标文件全部格式。</w:t>
      </w:r>
    </w:p>
    <w:p w14:paraId="467E50B9">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10.1.1</w:t>
      </w:r>
      <w:r>
        <w:rPr>
          <w:rFonts w:hint="eastAsia" w:hAnsi="宋体" w:cs="宋体"/>
          <w:snapToGrid w:val="0"/>
          <w:color w:val="auto"/>
          <w:kern w:val="0"/>
          <w:szCs w:val="24"/>
          <w:highlight w:val="none"/>
        </w:rPr>
        <w:t>投标人必须响应招标文件，并在充分理解招标文件的基础上编制投标文件。因投标文件不符合招标文件的要求而造成的损失和后果，由投标人自行承担。</w:t>
      </w:r>
    </w:p>
    <w:p w14:paraId="59E34259">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szCs w:val="24"/>
          <w:highlight w:val="none"/>
        </w:rPr>
        <w:t xml:space="preserve"> 投标文件需按以下要求签字、盖章：</w:t>
      </w:r>
    </w:p>
    <w:p w14:paraId="756F2778">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10.1.3.1</w:t>
      </w:r>
      <w:r>
        <w:rPr>
          <w:rFonts w:hint="eastAsia" w:hAnsi="宋体" w:cs="宋体"/>
          <w:snapToGrid w:val="0"/>
          <w:color w:val="auto"/>
          <w:kern w:val="0"/>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10.1.3.2</w:t>
      </w:r>
      <w:r>
        <w:rPr>
          <w:rFonts w:hint="eastAsia" w:hAnsi="宋体" w:cs="宋体"/>
          <w:snapToGrid w:val="0"/>
          <w:color w:val="auto"/>
          <w:kern w:val="0"/>
          <w:szCs w:val="24"/>
          <w:highlight w:val="none"/>
        </w:rPr>
        <w:t xml:space="preserve"> 投标文件封套、封面、组成内容中凡要求录入投标人名称且注明“盖单位章”处盖单位法人公章（电子印章）。</w:t>
      </w:r>
    </w:p>
    <w:p w14:paraId="02444178">
      <w:pPr>
        <w:pStyle w:val="13"/>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10.1.3.3</w:t>
      </w:r>
      <w:r>
        <w:rPr>
          <w:rFonts w:hint="eastAsia" w:hAnsi="宋体" w:cs="宋体"/>
          <w:snapToGrid w:val="0"/>
          <w:color w:val="auto"/>
          <w:kern w:val="0"/>
          <w:szCs w:val="24"/>
          <w:highlight w:val="none"/>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kern w:val="0"/>
          <w:szCs w:val="24"/>
          <w:highlight w:val="none"/>
        </w:rPr>
      </w:pPr>
      <w:bookmarkStart w:id="46" w:name="_Toc257031159"/>
      <w:bookmarkStart w:id="47" w:name="_Toc274313880"/>
      <w:r>
        <w:rPr>
          <w:rFonts w:hint="eastAsia" w:hAnsi="宋体" w:cs="宋体"/>
          <w:b/>
          <w:bCs/>
          <w:snapToGrid w:val="0"/>
          <w:color w:val="auto"/>
          <w:kern w:val="0"/>
          <w:szCs w:val="24"/>
          <w:highlight w:val="none"/>
        </w:rPr>
        <w:t>10.2</w:t>
      </w:r>
      <w:r>
        <w:rPr>
          <w:rFonts w:hint="eastAsia" w:hAnsi="宋体" w:cs="宋体"/>
          <w:bCs/>
          <w:snapToGrid w:val="0"/>
          <w:color w:val="auto"/>
          <w:kern w:val="0"/>
          <w:szCs w:val="24"/>
          <w:highlight w:val="none"/>
        </w:rPr>
        <w:t xml:space="preserve">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highlight w:val="none"/>
          <w:u w:val="single"/>
        </w:rPr>
      </w:pP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商务标书</w:t>
      </w:r>
      <w:r>
        <w:rPr>
          <w:rFonts w:hint="eastAsia" w:hAnsi="宋体" w:cs="宋体"/>
          <w:snapToGrid w:val="0"/>
          <w:color w:val="auto"/>
          <w:kern w:val="0"/>
          <w:szCs w:val="24"/>
          <w:highlight w:val="none"/>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（14）详细评审阶段要求提供的评审资料（详见本节第</w:t>
      </w:r>
      <w:r>
        <w:rPr>
          <w:rFonts w:hint="eastAsia" w:hAnsi="宋体" w:cs="宋体"/>
          <w:b/>
          <w:bCs/>
          <w:snapToGrid w:val="0"/>
          <w:color w:val="auto"/>
          <w:kern w:val="0"/>
          <w:szCs w:val="24"/>
          <w:highlight w:val="none"/>
        </w:rPr>
        <w:t>15.5.1</w:t>
      </w:r>
      <w:r>
        <w:rPr>
          <w:rFonts w:hint="eastAsia" w:hAnsi="宋体" w:cs="宋体"/>
          <w:snapToGrid w:val="0"/>
          <w:color w:val="auto"/>
          <w:kern w:val="0"/>
          <w:szCs w:val="24"/>
          <w:highlight w:val="none"/>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10.2.2</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目中所列出的商务标书组成内容中，第（1）至第（13）项所有投标人均应提供。</w:t>
      </w:r>
      <w:r>
        <w:rPr>
          <w:rFonts w:hint="eastAsia" w:hAnsi="宋体" w:cs="宋体"/>
          <w:b/>
          <w:bCs/>
          <w:snapToGrid w:val="0"/>
          <w:color w:val="auto"/>
          <w:kern w:val="0"/>
          <w:szCs w:val="24"/>
          <w:highlight w:val="none"/>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10.2.3</w:t>
      </w:r>
      <w:r>
        <w:rPr>
          <w:rFonts w:hint="eastAsia" w:hAnsi="宋体" w:cs="宋体"/>
          <w:snapToGrid w:val="0"/>
          <w:color w:val="auto"/>
          <w:kern w:val="0"/>
          <w:szCs w:val="24"/>
          <w:highlight w:val="none"/>
        </w:rPr>
        <w:t xml:space="preserve"> 商务标书的组成内容按本节第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bCs/>
          <w:snapToGrid w:val="0"/>
          <w:color w:val="auto"/>
          <w:kern w:val="0"/>
          <w:szCs w:val="24"/>
          <w:highlight w:val="none"/>
        </w:rPr>
        <w:t>10.3</w:t>
      </w:r>
      <w:r>
        <w:rPr>
          <w:rFonts w:hint="eastAsia" w:hAnsi="宋体" w:cs="宋体"/>
          <w:bCs/>
          <w:snapToGrid w:val="0"/>
          <w:color w:val="auto"/>
          <w:kern w:val="0"/>
          <w:szCs w:val="24"/>
          <w:highlight w:val="none"/>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snapToGrid w:val="0"/>
          <w:color w:val="auto"/>
          <w:kern w:val="0"/>
          <w:szCs w:val="24"/>
          <w:highlight w:val="none"/>
        </w:rPr>
        <w:t>10.3.1</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的编制依据包括且不限于</w:t>
      </w:r>
      <w:r>
        <w:rPr>
          <w:rFonts w:hint="eastAsia" w:hAnsi="宋体" w:cs="宋体"/>
          <w:bCs/>
          <w:snapToGrid w:val="0"/>
          <w:color w:val="auto"/>
          <w:kern w:val="0"/>
          <w:szCs w:val="24"/>
          <w:highlight w:val="none"/>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（1）招标文件及</w:t>
      </w:r>
      <w:r>
        <w:rPr>
          <w:rFonts w:hint="eastAsia" w:hAnsi="宋体" w:cs="宋体"/>
          <w:snapToGrid w:val="0"/>
          <w:color w:val="auto"/>
          <w:kern w:val="0"/>
          <w:szCs w:val="24"/>
          <w:highlight w:val="none"/>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snapToGrid w:val="0"/>
          <w:color w:val="auto"/>
          <w:kern w:val="0"/>
          <w:szCs w:val="24"/>
          <w:highlight w:val="none"/>
        </w:rPr>
        <w:t>10.3.2</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10.3.3</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目中所列出的</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10.3.4</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的组成内容按本节第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目规定的顺序整理、编排后，逐页（页码起始从封面开始）连续标记页码。</w:t>
      </w:r>
    </w:p>
    <w:p w14:paraId="79A97868">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48" w:name="_Toc2864"/>
      <w:bookmarkStart w:id="49" w:name="_Toc1986"/>
      <w:r>
        <w:rPr>
          <w:rFonts w:hint="eastAsia" w:hAnsi="宋体" w:cs="宋体"/>
          <w:b/>
          <w:snapToGrid w:val="0"/>
          <w:color w:val="auto"/>
          <w:szCs w:val="24"/>
          <w:highlight w:val="none"/>
        </w:rPr>
        <w:t>11．</w:t>
      </w:r>
      <w:bookmarkEnd w:id="48"/>
      <w:r>
        <w:rPr>
          <w:rFonts w:hint="eastAsia" w:hAnsi="宋体" w:cs="宋体"/>
          <w:b/>
          <w:snapToGrid w:val="0"/>
          <w:color w:val="auto"/>
          <w:szCs w:val="24"/>
          <w:highlight w:val="none"/>
        </w:rPr>
        <w:t>电子投标</w:t>
      </w:r>
      <w:bookmarkEnd w:id="49"/>
    </w:p>
    <w:p w14:paraId="72F1BB7A">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highlight w:val="none"/>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11.2</w:t>
      </w:r>
      <w:r>
        <w:rPr>
          <w:rFonts w:hint="eastAsia" w:ascii="宋体" w:hAnsi="宋体" w:cs="宋体"/>
          <w:snapToGrid w:val="0"/>
          <w:color w:val="auto"/>
          <w:kern w:val="0"/>
          <w:sz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11.3 </w:t>
      </w:r>
      <w:r>
        <w:rPr>
          <w:rFonts w:hint="eastAsia" w:hAnsi="宋体" w:cs="宋体"/>
          <w:snapToGrid w:val="0"/>
          <w:color w:val="auto"/>
          <w:kern w:val="0"/>
          <w:szCs w:val="24"/>
          <w:highlight w:val="none"/>
        </w:rPr>
        <w:t>电子投标解密失败及突发情况的补救</w:t>
      </w:r>
    </w:p>
    <w:p w14:paraId="55067ABC">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11.3.1</w:t>
      </w:r>
      <w:r>
        <w:rPr>
          <w:rFonts w:hint="eastAsia" w:ascii="宋体" w:hAnsi="宋体" w:cs="宋体"/>
          <w:snapToGrid w:val="0"/>
          <w:color w:val="auto"/>
          <w:kern w:val="0"/>
          <w:sz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11.3.2</w:t>
      </w:r>
      <w:r>
        <w:rPr>
          <w:rFonts w:hint="eastAsia" w:ascii="宋体" w:hAnsi="宋体" w:cs="宋体"/>
          <w:snapToGrid w:val="0"/>
          <w:color w:val="auto"/>
          <w:kern w:val="0"/>
          <w:sz w:val="24"/>
          <w:highlight w:val="none"/>
        </w:rPr>
        <w:t>补救方案：</w:t>
      </w:r>
    </w:p>
    <w:p w14:paraId="0B52C661">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（3）除发生上述情况外，开标评标均以投标人通过交易平台网上提交的电子投标文件为准。</w:t>
      </w:r>
    </w:p>
    <w:p w14:paraId="07C6E646">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50" w:name="_Toc4888"/>
      <w:r>
        <w:rPr>
          <w:rFonts w:hint="eastAsia" w:hAnsi="宋体" w:cs="宋体"/>
          <w:b/>
          <w:snapToGrid w:val="0"/>
          <w:color w:val="auto"/>
          <w:szCs w:val="24"/>
          <w:highlight w:val="none"/>
        </w:rPr>
        <w:t>12. 投标文件的提交</w:t>
      </w:r>
      <w:bookmarkEnd w:id="50"/>
    </w:p>
    <w:p w14:paraId="63A3794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在电子投标截止时间前，投标人通过全国公共资源交易平台（广东省·韶关市）提交已加密投标文件。逾期提交的电子投标文件，全国公共资源交易平台（广东省·韶关市）将予以拒收。</w:t>
      </w:r>
    </w:p>
    <w:p w14:paraId="7CF91D7D">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12.2</w:t>
      </w:r>
      <w:r>
        <w:rPr>
          <w:rFonts w:hint="eastAsia" w:ascii="宋体" w:hAnsi="宋体" w:cs="宋体"/>
          <w:snapToGrid w:val="0"/>
          <w:color w:val="auto"/>
          <w:kern w:val="0"/>
          <w:sz w:val="24"/>
          <w:highlight w:val="none"/>
        </w:rPr>
        <w:t>投标文件提交截止时间（同电子投标截止时间）：见本章第二节“重要事项时间地点一览表”。</w:t>
      </w:r>
    </w:p>
    <w:p w14:paraId="348B16E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12.3</w:t>
      </w:r>
      <w:r>
        <w:rPr>
          <w:rFonts w:hint="eastAsia" w:ascii="宋体" w:hAnsi="宋体" w:cs="宋体"/>
          <w:snapToGrid w:val="0"/>
          <w:color w:val="auto"/>
          <w:kern w:val="0"/>
          <w:sz w:val="24"/>
          <w:highlight w:val="none"/>
        </w:rPr>
        <w:t>代理机构对因不可抗力事件造成的投标文件的损坏、丢失的，不承担责任。</w:t>
      </w:r>
      <w:r>
        <w:rPr>
          <w:rFonts w:hint="eastAsia" w:ascii="宋体" w:hAnsi="宋体" w:cs="宋体"/>
          <w:b/>
          <w:bCs/>
          <w:snapToGrid w:val="0"/>
          <w:color w:val="auto"/>
          <w:kern w:val="0"/>
          <w:sz w:val="24"/>
          <w:highlight w:val="none"/>
        </w:rPr>
        <w:t xml:space="preserve">  </w:t>
      </w:r>
    </w:p>
    <w:p w14:paraId="16456DE3">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 xml:space="preserve">12.4 </w:t>
      </w:r>
      <w:r>
        <w:rPr>
          <w:rFonts w:hint="eastAsia" w:ascii="宋体" w:hAnsi="宋体" w:cs="宋体"/>
          <w:snapToGrid w:val="0"/>
          <w:color w:val="auto"/>
          <w:kern w:val="0"/>
          <w:sz w:val="24"/>
          <w:highlight w:val="none"/>
        </w:rPr>
        <w:t>投标人法定代表人或其委托代理人（以下简称“投标人代表”）应在指定的时间和地点递交以下的资料</w:t>
      </w:r>
      <w:r>
        <w:rPr>
          <w:rFonts w:hint="eastAsia" w:ascii="宋体" w:hAnsi="宋体" w:cs="宋体"/>
          <w:b/>
          <w:bCs/>
          <w:snapToGrid w:val="0"/>
          <w:color w:val="auto"/>
          <w:kern w:val="0"/>
          <w:sz w:val="24"/>
          <w:highlight w:val="none"/>
        </w:rPr>
        <w:t>（如有）</w:t>
      </w:r>
      <w:r>
        <w:rPr>
          <w:rFonts w:hint="eastAsia" w:ascii="宋体" w:hAnsi="宋体" w:cs="宋体"/>
          <w:snapToGrid w:val="0"/>
          <w:color w:val="auto"/>
          <w:kern w:val="0"/>
          <w:sz w:val="24"/>
          <w:highlight w:val="none"/>
        </w:rPr>
        <w:t>：招标文件要求提交的用于评审的证书、证件、证明原件（附一式</w:t>
      </w:r>
      <w:r>
        <w:rPr>
          <w:rFonts w:hint="eastAsia" w:ascii="宋体" w:hAnsi="宋体" w:cs="宋体"/>
          <w:snapToGrid w:val="0"/>
          <w:color w:val="auto"/>
          <w:kern w:val="0"/>
          <w:sz w:val="24"/>
          <w:highlight w:val="none"/>
          <w:u w:val="single"/>
        </w:rPr>
        <w:t xml:space="preserve"> 两 </w:t>
      </w:r>
      <w:r>
        <w:rPr>
          <w:rFonts w:hint="eastAsia" w:ascii="宋体" w:hAnsi="宋体" w:cs="宋体"/>
          <w:snapToGrid w:val="0"/>
          <w:color w:val="auto"/>
          <w:kern w:val="0"/>
          <w:sz w:val="24"/>
          <w:highlight w:val="none"/>
        </w:rPr>
        <w:t>份清单）。</w:t>
      </w:r>
    </w:p>
    <w:p w14:paraId="513CE89F">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12.5</w:t>
      </w:r>
      <w:r>
        <w:rPr>
          <w:rFonts w:hint="eastAsia" w:ascii="宋体" w:hAnsi="宋体" w:cs="宋体"/>
          <w:snapToGrid w:val="0"/>
          <w:color w:val="auto"/>
          <w:kern w:val="0"/>
          <w:sz w:val="24"/>
          <w:highlight w:val="none"/>
        </w:rPr>
        <w:t>出现下述情形之一，属于未成功提交投标文件，按无效投标处理：</w:t>
      </w:r>
    </w:p>
    <w:p w14:paraId="06E3DFD5">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（1）至电子投标截止时间时，投标文件未完整上传或未提交投标</w:t>
      </w:r>
      <w:r>
        <w:rPr>
          <w:rFonts w:hint="eastAsia" w:ascii="宋体" w:hAnsi="宋体" w:cs="宋体"/>
          <w:snapToGrid w:val="0"/>
          <w:color w:val="auto"/>
          <w:kern w:val="0"/>
          <w:sz w:val="24"/>
          <w:highlight w:val="none"/>
          <w:lang w:eastAsia="zh-CN"/>
        </w:rPr>
        <w:t>；</w:t>
      </w:r>
    </w:p>
    <w:p w14:paraId="393C44A8">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（2）解密失败且在规定时间内未重新提交投标文件的；</w:t>
      </w:r>
    </w:p>
    <w:p w14:paraId="1C2ECEAF">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1" w:name="_Toc739"/>
      <w:r>
        <w:rPr>
          <w:rFonts w:hint="eastAsia" w:hAnsi="宋体" w:cs="宋体"/>
          <w:b/>
          <w:snapToGrid w:val="0"/>
          <w:color w:val="auto"/>
          <w:kern w:val="0"/>
          <w:szCs w:val="24"/>
          <w:highlight w:val="none"/>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2" w:name="_Toc30542"/>
      <w:r>
        <w:rPr>
          <w:rFonts w:hint="eastAsia" w:hAnsi="宋体" w:cs="宋体"/>
          <w:b/>
          <w:snapToGrid w:val="0"/>
          <w:color w:val="auto"/>
          <w:kern w:val="0"/>
          <w:szCs w:val="24"/>
          <w:highlight w:val="none"/>
        </w:rPr>
        <w:t>14．开标</w:t>
      </w:r>
      <w:bookmarkEnd w:id="52"/>
    </w:p>
    <w:p w14:paraId="36A9A77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14.1.1</w:t>
      </w:r>
      <w:r>
        <w:rPr>
          <w:rFonts w:hint="eastAsia" w:ascii="宋体" w:hAnsi="宋体" w:cs="宋体"/>
          <w:snapToGrid w:val="0"/>
          <w:color w:val="auto"/>
          <w:kern w:val="0"/>
          <w:sz w:val="24"/>
          <w:highlight w:val="none"/>
        </w:rPr>
        <w:t xml:space="preserve"> 开标时间和地点：见本章第二节“重要事项时间地点一览表”。</w:t>
      </w:r>
    </w:p>
    <w:p w14:paraId="4500A2D1">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14.2</w:t>
      </w:r>
      <w:r>
        <w:rPr>
          <w:rFonts w:hint="eastAsia" w:hAnsi="宋体" w:cs="宋体"/>
          <w:snapToGrid w:val="0"/>
          <w:color w:val="auto"/>
          <w:kern w:val="0"/>
          <w:szCs w:val="24"/>
          <w:highlight w:val="none"/>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highlight w:val="none"/>
        </w:rPr>
      </w:pPr>
      <w:bookmarkStart w:id="53" w:name="_Hlt127093805"/>
      <w:bookmarkEnd w:id="53"/>
      <w:bookmarkStart w:id="54" w:name="_Toc8989"/>
      <w:r>
        <w:rPr>
          <w:rFonts w:hint="eastAsia" w:hAnsi="宋体" w:cs="宋体"/>
          <w:b/>
          <w:snapToGrid w:val="0"/>
          <w:color w:val="auto"/>
          <w:kern w:val="0"/>
          <w:highlight w:val="none"/>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评标委员会由</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人组成，其中招标人代表</w:t>
      </w:r>
      <w:r>
        <w:rPr>
          <w:rFonts w:hint="eastAsia" w:hAnsi="宋体" w:cs="宋体"/>
          <w:snapToGrid w:val="0"/>
          <w:color w:val="auto"/>
          <w:kern w:val="0"/>
          <w:highlight w:val="none"/>
          <w:u w:val="single"/>
          <w:lang w:val="en-US" w:eastAsia="zh-CN"/>
        </w:rPr>
        <w:t>0</w:t>
      </w:r>
      <w:r>
        <w:rPr>
          <w:rFonts w:hint="eastAsia" w:hAnsi="宋体" w:cs="宋体"/>
          <w:snapToGrid w:val="0"/>
          <w:color w:val="auto"/>
          <w:kern w:val="0"/>
          <w:highlight w:val="none"/>
        </w:rPr>
        <w:t>人，专家</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highlight w:val="none"/>
        </w:rPr>
        <w:t>中随机抽取，其中技术类专家</w:t>
      </w:r>
      <w:r>
        <w:rPr>
          <w:rFonts w:hint="eastAsia" w:hAnsi="宋体" w:cs="宋体"/>
          <w:snapToGrid w:val="0"/>
          <w:color w:val="auto"/>
          <w:kern w:val="0"/>
          <w:highlight w:val="none"/>
          <w:u w:val="single"/>
        </w:rPr>
        <w:t xml:space="preserve">3 </w:t>
      </w:r>
      <w:r>
        <w:rPr>
          <w:rFonts w:hint="eastAsia" w:hAnsi="宋体" w:cs="宋体"/>
          <w:snapToGrid w:val="0"/>
          <w:color w:val="auto"/>
          <w:kern w:val="0"/>
          <w:highlight w:val="none"/>
        </w:rPr>
        <w:t>人，经济类专家</w:t>
      </w:r>
      <w:r>
        <w:rPr>
          <w:rFonts w:hint="eastAsia" w:hAnsi="宋体" w:cs="宋体"/>
          <w:snapToGrid w:val="0"/>
          <w:color w:val="auto"/>
          <w:kern w:val="0"/>
          <w:highlight w:val="none"/>
          <w:u w:val="single"/>
        </w:rPr>
        <w:t xml:space="preserve"> 2</w:t>
      </w:r>
      <w:r>
        <w:rPr>
          <w:rFonts w:hint="eastAsia" w:hAnsi="宋体" w:cs="宋体"/>
          <w:snapToGrid w:val="0"/>
          <w:color w:val="auto"/>
          <w:kern w:val="0"/>
          <w:highlight w:val="none"/>
        </w:rPr>
        <w:t>人。评标委员会设负责人，由评标委员会成员推举产生。评标委员会负责人与评标委员会的其他成员有同等的表决权。</w:t>
      </w:r>
    </w:p>
    <w:p w14:paraId="67907CE9">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highlight w:val="none"/>
        </w:rPr>
        <w:t>15.1.2</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sz w:val="24"/>
          <w:szCs w:val="24"/>
          <w:highlight w:val="none"/>
        </w:rPr>
        <w:t>评标委员会应认真、公正、诚实、廉洁地履行职责。有下列情形之一的，不得担任评标委员会成员：</w:t>
      </w:r>
    </w:p>
    <w:p w14:paraId="27E80291">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（1）投标人或投标人主要负责人的近亲属；</w:t>
      </w:r>
    </w:p>
    <w:p w14:paraId="34708A36">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（2）项目主管部门或者行政监督部门的人员；</w:t>
      </w:r>
    </w:p>
    <w:p w14:paraId="2AE6C8FB">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（3）与投标人有经济利益关系，可能影响对投标公正评审的；</w:t>
      </w:r>
    </w:p>
    <w:p w14:paraId="508B469C">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（4）曾因在招标、评标以及其他与招标投标有关活动中从事违法行为而受过行政处罚或刑事处罚的。</w:t>
      </w:r>
    </w:p>
    <w:p w14:paraId="3B95A3BD">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评标委员会成员有以上情形之一的，应主动提出回避。</w:t>
      </w:r>
    </w:p>
    <w:p w14:paraId="272B304C">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snapToGrid w:val="0"/>
          <w:color w:val="auto"/>
          <w:kern w:val="0"/>
          <w:sz w:val="24"/>
          <w:szCs w:val="24"/>
          <w:highlight w:val="none"/>
        </w:rPr>
        <w:t xml:space="preserve"> 评标全过程实行封闭式管理，在中标结果公布前，禁止评标委员会成员以任何方式私下接触投标人。</w:t>
      </w:r>
    </w:p>
    <w:p w14:paraId="08BA1F03">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.1.4</w:t>
      </w:r>
      <w:r>
        <w:rPr>
          <w:rFonts w:hint="eastAsia" w:ascii="宋体" w:hAnsi="宋体" w:eastAsia="宋体" w:cs="宋体"/>
          <w:snapToGrid w:val="0"/>
          <w:color w:val="auto"/>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3E2AB94B">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.1.5</w:t>
      </w:r>
      <w:r>
        <w:rPr>
          <w:rFonts w:hint="eastAsia" w:ascii="宋体" w:hAnsi="宋体" w:eastAsia="宋体" w:cs="宋体"/>
          <w:snapToGrid w:val="0"/>
          <w:color w:val="auto"/>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2</w:t>
      </w:r>
      <w:r>
        <w:rPr>
          <w:rFonts w:hint="eastAsia" w:hAnsi="宋体" w:cs="宋体"/>
          <w:bCs/>
          <w:snapToGrid w:val="0"/>
          <w:color w:val="auto"/>
          <w:kern w:val="0"/>
          <w:szCs w:val="22"/>
          <w:highlight w:val="none"/>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snapToGrid w:val="0"/>
          <w:color w:val="auto"/>
          <w:kern w:val="0"/>
          <w:highlight w:val="none"/>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.1</w:t>
      </w:r>
      <w:r>
        <w:rPr>
          <w:rFonts w:hint="eastAsia" w:hAnsi="宋体" w:cs="宋体"/>
          <w:snapToGrid w:val="0"/>
          <w:color w:val="auto"/>
          <w:kern w:val="0"/>
          <w:highlight w:val="none"/>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.4条“禁止投标条款”规定。如果“禁止投标条款”包括失信惩戒的，投标人信用信息的获取采用现场实时查询的方式实施。由评标委员会成员登录信用中国网站（https://www.creditchina.gov.cn）进行查询。</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.2</w:t>
      </w:r>
      <w:r>
        <w:rPr>
          <w:rFonts w:hint="eastAsia" w:hAnsi="宋体" w:cs="宋体"/>
          <w:snapToGrid w:val="0"/>
          <w:color w:val="auto"/>
          <w:kern w:val="0"/>
          <w:highlight w:val="none"/>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.3</w:t>
      </w:r>
      <w:r>
        <w:rPr>
          <w:rFonts w:hint="eastAsia" w:hAnsi="宋体" w:cs="宋体"/>
          <w:snapToGrid w:val="0"/>
          <w:color w:val="auto"/>
          <w:kern w:val="0"/>
          <w:highlight w:val="none"/>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.4</w:t>
      </w:r>
      <w:r>
        <w:rPr>
          <w:rFonts w:hint="eastAsia" w:hAnsi="宋体" w:cs="宋体"/>
          <w:snapToGrid w:val="0"/>
          <w:color w:val="auto"/>
          <w:kern w:val="0"/>
          <w:highlight w:val="none"/>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w:t>
      </w:r>
      <w:r>
        <w:rPr>
          <w:rFonts w:hint="eastAsia" w:hAnsi="宋体" w:cs="宋体"/>
          <w:b/>
          <w:bCs/>
          <w:snapToGrid w:val="0"/>
          <w:color w:val="auto"/>
          <w:kern w:val="0"/>
          <w:highlight w:val="none"/>
          <w:lang w:val="en-US" w:eastAsia="zh-CN"/>
        </w:rPr>
        <w:t>5</w:t>
      </w:r>
      <w:r>
        <w:rPr>
          <w:rFonts w:hint="eastAsia" w:hAnsi="宋体" w:cs="宋体"/>
          <w:snapToGrid w:val="0"/>
          <w:color w:val="auto"/>
          <w:kern w:val="0"/>
          <w:highlight w:val="none"/>
        </w:rPr>
        <w:t xml:space="preserve"> 详细评审</w:t>
      </w:r>
      <w:bookmarkStart w:id="55" w:name="_Hlt121629839"/>
      <w:r>
        <w:rPr>
          <w:rFonts w:hint="eastAsia" w:hAnsi="宋体" w:cs="宋体"/>
          <w:snapToGrid w:val="0"/>
          <w:color w:val="auto"/>
          <w:kern w:val="0"/>
          <w:highlight w:val="none"/>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.1</w:t>
      </w:r>
      <w:r>
        <w:rPr>
          <w:rFonts w:hint="eastAsia" w:hAnsi="宋体" w:cs="宋体"/>
          <w:bCs/>
          <w:snapToGrid w:val="0"/>
          <w:color w:val="auto"/>
          <w:kern w:val="0"/>
          <w:highlight w:val="none"/>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50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30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2</w:t>
      </w:r>
      <w:r>
        <w:rPr>
          <w:rFonts w:hint="eastAsia" w:hAnsi="宋体" w:cs="宋体"/>
          <w:snapToGrid w:val="0"/>
          <w:color w:val="auto"/>
          <w:kern w:val="0"/>
          <w:highlight w:val="none"/>
          <w:u w:val="single"/>
        </w:rPr>
        <w:t xml:space="preserve">0 </w:t>
      </w:r>
      <w:r>
        <w:rPr>
          <w:rFonts w:hint="eastAsia" w:hAnsi="宋体" w:cs="宋体"/>
          <w:snapToGrid w:val="0"/>
          <w:color w:val="auto"/>
          <w:kern w:val="0"/>
          <w:highlight w:val="none"/>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b．采用内插法计算某投标人的投标报价得分M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0.2</w:t>
      </w:r>
      <w:r>
        <w:rPr>
          <w:rFonts w:hint="eastAsia" w:hAnsi="宋体" w:cs="宋体"/>
          <w:snapToGrid w:val="0"/>
          <w:color w:val="auto"/>
          <w:kern w:val="0"/>
          <w:highlight w:val="none"/>
        </w:rPr>
        <w:t>分, 每低于评标基准价一个百分点扣0.</w:t>
      </w:r>
      <w:r>
        <w:rPr>
          <w:rFonts w:hint="eastAsia" w:hAnsi="宋体" w:cs="宋体"/>
          <w:snapToGrid w:val="0"/>
          <w:color w:val="auto"/>
          <w:kern w:val="0"/>
          <w:highlight w:val="none"/>
          <w:lang w:val="en-US" w:eastAsia="zh-CN"/>
        </w:rPr>
        <w:t>1</w:t>
      </w:r>
      <w:r>
        <w:rPr>
          <w:rFonts w:hint="eastAsia" w:hAnsi="宋体" w:cs="宋体"/>
          <w:snapToGrid w:val="0"/>
          <w:color w:val="auto"/>
          <w:kern w:val="0"/>
          <w:highlight w:val="none"/>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highlight w:val="none"/>
        </w:rPr>
      </w:pP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0.2</w:t>
      </w:r>
      <w:r>
        <w:rPr>
          <w:rFonts w:hint="eastAsia" w:hAnsi="宋体" w:cs="宋体"/>
          <w:snapToGrid w:val="0"/>
          <w:color w:val="auto"/>
          <w:kern w:val="0"/>
          <w:highlight w:val="none"/>
        </w:rPr>
        <w:t>；当Di＜D时，E＝</w:t>
      </w:r>
      <w:r>
        <w:rPr>
          <w:rFonts w:hint="eastAsia" w:hAnsi="宋体" w:cs="宋体"/>
          <w:snapToGrid w:val="0"/>
          <w:color w:val="auto"/>
          <w:kern w:val="0"/>
          <w:highlight w:val="none"/>
          <w:lang w:val="en-US" w:eastAsia="zh-CN"/>
        </w:rPr>
        <w:t>0.1</w:t>
      </w:r>
      <w:r>
        <w:rPr>
          <w:rFonts w:hint="eastAsia" w:hAnsi="宋体" w:cs="宋体"/>
          <w:snapToGrid w:val="0"/>
          <w:color w:val="auto"/>
          <w:kern w:val="0"/>
          <w:highlight w:val="none"/>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ascii="Times New Roman"/>
          <w:snapToGrid w:val="0"/>
          <w:color w:val="auto"/>
          <w:kern w:val="0"/>
          <w:highlight w:val="none"/>
        </w:rPr>
        <w:t>为投标报价得分。</w:t>
      </w:r>
    </w:p>
    <w:p w14:paraId="54DFCA09">
      <w:pPr>
        <w:bidi w:val="0"/>
        <w:rPr>
          <w:rFonts w:hint="eastAsia"/>
          <w:color w:val="auto"/>
          <w:highlight w:val="none"/>
          <w:lang w:val="en-US" w:eastAsia="zh-CN"/>
        </w:rPr>
      </w:pPr>
      <w:bookmarkStart w:id="56" w:name="_Toc31548"/>
      <w:bookmarkStart w:id="57" w:name="_Toc6276"/>
    </w:p>
    <w:p w14:paraId="17C17EA4">
      <w:pPr>
        <w:bidi w:val="0"/>
        <w:rPr>
          <w:rFonts w:hint="eastAsia"/>
          <w:color w:val="auto"/>
          <w:highlight w:val="none"/>
          <w:lang w:val="en-US" w:eastAsia="zh-CN"/>
        </w:rPr>
      </w:pPr>
    </w:p>
    <w:p w14:paraId="427AFC8D">
      <w:pPr>
        <w:pStyle w:val="2"/>
        <w:rPr>
          <w:rFonts w:hint="eastAsia"/>
          <w:color w:val="auto"/>
          <w:highlight w:val="none"/>
          <w:lang w:val="en-US" w:eastAsia="zh-CN"/>
        </w:rPr>
      </w:pPr>
    </w:p>
    <w:p w14:paraId="54D8FB5C">
      <w:pPr>
        <w:pStyle w:val="2"/>
        <w:rPr>
          <w:rFonts w:hint="eastAsia"/>
          <w:color w:val="auto"/>
          <w:highlight w:val="none"/>
          <w:lang w:val="en-US" w:eastAsia="zh-CN"/>
        </w:rPr>
      </w:pPr>
    </w:p>
    <w:p w14:paraId="1BACE770">
      <w:pPr>
        <w:pStyle w:val="2"/>
        <w:rPr>
          <w:rFonts w:hint="eastAsia"/>
          <w:color w:val="auto"/>
          <w:highlight w:val="none"/>
          <w:lang w:val="en-US" w:eastAsia="zh-CN"/>
        </w:rPr>
      </w:pPr>
    </w:p>
    <w:p w14:paraId="2D341B2A">
      <w:pPr>
        <w:pStyle w:val="2"/>
        <w:rPr>
          <w:rFonts w:hint="eastAsia"/>
          <w:color w:val="auto"/>
          <w:highlight w:val="none"/>
          <w:lang w:val="en-US" w:eastAsia="zh-CN"/>
        </w:rPr>
      </w:pPr>
    </w:p>
    <w:p w14:paraId="2A926E05">
      <w:pPr>
        <w:pStyle w:val="2"/>
        <w:rPr>
          <w:rFonts w:hint="eastAsia"/>
          <w:color w:val="auto"/>
          <w:highlight w:val="none"/>
          <w:lang w:val="en-US" w:eastAsia="zh-CN"/>
        </w:rPr>
      </w:pPr>
    </w:p>
    <w:p w14:paraId="3EE47724">
      <w:pPr>
        <w:pStyle w:val="2"/>
        <w:rPr>
          <w:rFonts w:hint="eastAsia"/>
          <w:color w:val="auto"/>
          <w:highlight w:val="none"/>
          <w:lang w:val="en-US" w:eastAsia="zh-CN"/>
        </w:rPr>
      </w:pPr>
    </w:p>
    <w:p w14:paraId="31B39A5A">
      <w:pPr>
        <w:pStyle w:val="2"/>
        <w:rPr>
          <w:rFonts w:hint="eastAsia"/>
          <w:color w:val="auto"/>
          <w:highlight w:val="none"/>
          <w:lang w:val="en-US" w:eastAsia="zh-CN"/>
        </w:rPr>
      </w:pPr>
    </w:p>
    <w:p w14:paraId="35B0C4BF">
      <w:pPr>
        <w:pStyle w:val="2"/>
        <w:rPr>
          <w:rFonts w:hint="eastAsia"/>
          <w:color w:val="auto"/>
          <w:highlight w:val="none"/>
          <w:lang w:val="en-US" w:eastAsia="zh-CN"/>
        </w:rPr>
      </w:pPr>
    </w:p>
    <w:p w14:paraId="1EA72311">
      <w:pPr>
        <w:pStyle w:val="2"/>
        <w:rPr>
          <w:rFonts w:hint="eastAsia"/>
          <w:color w:val="auto"/>
          <w:highlight w:val="none"/>
          <w:lang w:val="en-US" w:eastAsia="zh-CN"/>
        </w:rPr>
      </w:pPr>
    </w:p>
    <w:p w14:paraId="50AF885B">
      <w:pPr>
        <w:pStyle w:val="2"/>
        <w:rPr>
          <w:rFonts w:hint="eastAsia"/>
          <w:color w:val="auto"/>
          <w:highlight w:val="none"/>
          <w:lang w:val="en-US" w:eastAsia="zh-CN"/>
        </w:rPr>
      </w:pPr>
    </w:p>
    <w:p w14:paraId="7314E11C">
      <w:pPr>
        <w:pStyle w:val="2"/>
        <w:rPr>
          <w:rFonts w:hint="eastAsia"/>
          <w:color w:val="auto"/>
          <w:highlight w:val="none"/>
          <w:lang w:val="en-US" w:eastAsia="zh-CN"/>
        </w:rPr>
      </w:pPr>
    </w:p>
    <w:p w14:paraId="7F0B3434">
      <w:pPr>
        <w:pStyle w:val="2"/>
        <w:rPr>
          <w:rFonts w:hint="eastAsia"/>
          <w:color w:val="auto"/>
          <w:highlight w:val="none"/>
          <w:lang w:val="en-US" w:eastAsia="zh-CN"/>
        </w:rPr>
      </w:pPr>
    </w:p>
    <w:p w14:paraId="3AB2D6D2">
      <w:pPr>
        <w:pStyle w:val="2"/>
        <w:rPr>
          <w:rFonts w:hint="eastAsia"/>
          <w:color w:val="auto"/>
          <w:highlight w:val="none"/>
          <w:lang w:val="en-US" w:eastAsia="zh-CN"/>
        </w:rPr>
      </w:pPr>
    </w:p>
    <w:p w14:paraId="62789936">
      <w:pPr>
        <w:pStyle w:val="2"/>
        <w:rPr>
          <w:rFonts w:hint="eastAsia"/>
          <w:color w:val="auto"/>
          <w:highlight w:val="none"/>
          <w:lang w:val="en-US" w:eastAsia="zh-CN"/>
        </w:rPr>
      </w:pPr>
    </w:p>
    <w:p w14:paraId="76829804">
      <w:pPr>
        <w:pStyle w:val="2"/>
        <w:rPr>
          <w:rFonts w:hint="eastAsia"/>
          <w:color w:val="auto"/>
          <w:highlight w:val="none"/>
          <w:lang w:val="en-US" w:eastAsia="zh-CN"/>
        </w:rPr>
      </w:pPr>
    </w:p>
    <w:p w14:paraId="442A2ABB">
      <w:pPr>
        <w:pStyle w:val="2"/>
        <w:rPr>
          <w:rFonts w:hint="eastAsia"/>
          <w:color w:val="auto"/>
          <w:highlight w:val="none"/>
          <w:lang w:val="en-US" w:eastAsia="zh-CN"/>
        </w:rPr>
      </w:pPr>
    </w:p>
    <w:p w14:paraId="0096D610">
      <w:pPr>
        <w:bidi w:val="0"/>
        <w:rPr>
          <w:rFonts w:hint="eastAsia"/>
          <w:color w:val="auto"/>
          <w:highlight w:val="none"/>
          <w:lang w:val="en-US" w:eastAsia="zh-CN"/>
        </w:rPr>
      </w:pPr>
    </w:p>
    <w:p w14:paraId="36C78AF5">
      <w:pPr>
        <w:bidi w:val="0"/>
        <w:rPr>
          <w:rFonts w:hint="eastAsia"/>
          <w:color w:val="auto"/>
          <w:highlight w:val="none"/>
          <w:lang w:val="en-US" w:eastAsia="zh-CN"/>
        </w:rPr>
      </w:pPr>
    </w:p>
    <w:p w14:paraId="7F15CD77">
      <w:pPr>
        <w:pStyle w:val="2"/>
        <w:rPr>
          <w:rFonts w:hint="eastAsia"/>
          <w:color w:val="auto"/>
          <w:highlight w:val="none"/>
          <w:lang w:val="en-US" w:eastAsia="zh-CN"/>
        </w:rPr>
      </w:pPr>
    </w:p>
    <w:p w14:paraId="65DF1DB6">
      <w:pPr>
        <w:pStyle w:val="5"/>
        <w:rPr>
          <w:rFonts w:hint="eastAsia" w:ascii="宋体" w:hAnsi="宋体" w:eastAsia="宋体" w:cs="宋体"/>
          <w:b/>
          <w:bCs/>
          <w:color w:val="auto"/>
          <w:sz w:val="32"/>
          <w:szCs w:val="22"/>
          <w:highlight w:val="none"/>
        </w:rPr>
      </w:pPr>
      <w:bookmarkStart w:id="58" w:name="_Toc29993"/>
      <w:bookmarkStart w:id="59" w:name="_Toc18221"/>
      <w:bookmarkStart w:id="60" w:name="_Toc31720"/>
      <w:bookmarkStart w:id="61" w:name="_Toc30952"/>
      <w:r>
        <w:rPr>
          <w:rFonts w:hint="eastAsia" w:ascii="宋体" w:hAnsi="宋体" w:eastAsia="宋体" w:cs="宋体"/>
          <w:b/>
          <w:bCs/>
          <w:color w:val="auto"/>
          <w:sz w:val="32"/>
          <w:szCs w:val="22"/>
          <w:highlight w:val="none"/>
        </w:rPr>
        <w:t>表1 综合评分表</w:t>
      </w:r>
      <w:bookmarkEnd w:id="56"/>
      <w:bookmarkEnd w:id="57"/>
      <w:bookmarkEnd w:id="58"/>
      <w:bookmarkEnd w:id="59"/>
      <w:bookmarkEnd w:id="60"/>
      <w:bookmarkEnd w:id="61"/>
    </w:p>
    <w:p w14:paraId="086905B1">
      <w:pPr>
        <w:pStyle w:val="42"/>
        <w:jc w:val="both"/>
        <w:rPr>
          <w:rFonts w:ascii="宋体" w:hAnsi="宋体" w:cs="宋体"/>
          <w:color w:val="auto"/>
          <w:sz w:val="24"/>
          <w:highlight w:val="none"/>
        </w:rPr>
      </w:pPr>
    </w:p>
    <w:tbl>
      <w:tblPr>
        <w:tblStyle w:val="31"/>
        <w:tblW w:w="9362" w:type="dxa"/>
        <w:jc w:val="center"/>
        <w:tblLayout w:type="fixed"/>
        <w:tblCellMar>
          <w:top w:w="0" w:type="dxa"/>
          <w:left w:w="108" w:type="dxa"/>
          <w:bottom w:w="0" w:type="dxa"/>
          <w:right w:w="108" w:type="dxa"/>
        </w:tblCellMar>
      </w:tblPr>
      <w:tblGrid>
        <w:gridCol w:w="1404"/>
        <w:gridCol w:w="4480"/>
        <w:gridCol w:w="3478"/>
      </w:tblGrid>
      <w:tr w14:paraId="59C516CC">
        <w:tblPrEx>
          <w:tblCellMar>
            <w:top w:w="0" w:type="dxa"/>
            <w:left w:w="108" w:type="dxa"/>
            <w:bottom w:w="0" w:type="dxa"/>
            <w:right w:w="108" w:type="dxa"/>
          </w:tblCellMar>
        </w:tblPrEx>
        <w:trPr>
          <w:trHeight w:val="62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6A279D21">
            <w:pPr>
              <w:pStyle w:val="12"/>
              <w:tabs>
                <w:tab w:val="left" w:pos="1354"/>
                <w:tab w:val="left" w:pos="1459"/>
                <w:tab w:val="center" w:pos="3902"/>
                <w:tab w:val="right" w:pos="7805"/>
              </w:tabs>
              <w:adjustRightInd w:val="0"/>
              <w:snapToGrid w:val="0"/>
              <w:spacing w:after="0"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商务部分，满分：</w:t>
            </w:r>
            <w:r>
              <w:rPr>
                <w:rFonts w:hint="eastAsia" w:asciiTheme="minorEastAsia" w:hAnsiTheme="minorEastAsia" w:eastAsiaTheme="minorEastAsia" w:cstheme="minorEastAsia"/>
                <w:snapToGrid w:val="0"/>
                <w:color w:val="auto"/>
                <w:kern w:val="0"/>
                <w:sz w:val="24"/>
                <w:szCs w:val="24"/>
                <w:highlight w:val="none"/>
                <w:u w:val="single"/>
              </w:rPr>
              <w:t>50</w:t>
            </w:r>
            <w:r>
              <w:rPr>
                <w:rFonts w:hint="eastAsia" w:asciiTheme="minorEastAsia" w:hAnsiTheme="minorEastAsia" w:eastAsiaTheme="minorEastAsia" w:cstheme="minorEastAsia"/>
                <w:snapToGrid w:val="0"/>
                <w:color w:val="auto"/>
                <w:kern w:val="0"/>
                <w:sz w:val="24"/>
                <w:szCs w:val="24"/>
                <w:highlight w:val="none"/>
              </w:rPr>
              <w:t>分。</w:t>
            </w:r>
          </w:p>
        </w:tc>
      </w:tr>
      <w:tr w14:paraId="76A2A3EF">
        <w:tblPrEx>
          <w:tblCellMar>
            <w:top w:w="0" w:type="dxa"/>
            <w:left w:w="108" w:type="dxa"/>
            <w:bottom w:w="0" w:type="dxa"/>
            <w:right w:w="108" w:type="dxa"/>
          </w:tblCellMar>
        </w:tblPrEx>
        <w:trPr>
          <w:trHeight w:val="624"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20DC6AE">
            <w:pPr>
              <w:pStyle w:val="12"/>
              <w:tabs>
                <w:tab w:val="left" w:pos="1354"/>
                <w:tab w:val="left" w:pos="1459"/>
                <w:tab w:val="center" w:pos="3902"/>
                <w:tab w:val="right" w:pos="7805"/>
              </w:tabs>
              <w:adjustRightInd w:val="0"/>
              <w:snapToGrid w:val="0"/>
              <w:spacing w:after="0"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评分因素</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56243B13">
            <w:pPr>
              <w:pStyle w:val="12"/>
              <w:tabs>
                <w:tab w:val="left" w:pos="1354"/>
                <w:tab w:val="left" w:pos="1459"/>
                <w:tab w:val="center" w:pos="3902"/>
                <w:tab w:val="right" w:pos="7805"/>
              </w:tabs>
              <w:adjustRightInd w:val="0"/>
              <w:snapToGrid w:val="0"/>
              <w:spacing w:after="0"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评分标准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0DBA6E2D">
            <w:pPr>
              <w:pStyle w:val="12"/>
              <w:tabs>
                <w:tab w:val="left" w:pos="1354"/>
                <w:tab w:val="left" w:pos="1459"/>
                <w:tab w:val="center" w:pos="3902"/>
                <w:tab w:val="right" w:pos="7805"/>
              </w:tabs>
              <w:adjustRightInd w:val="0"/>
              <w:snapToGrid w:val="0"/>
              <w:spacing w:after="0"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备注</w:t>
            </w:r>
          </w:p>
        </w:tc>
      </w:tr>
      <w:tr w14:paraId="0274EF36">
        <w:tblPrEx>
          <w:tblCellMar>
            <w:top w:w="0" w:type="dxa"/>
            <w:left w:w="108" w:type="dxa"/>
            <w:bottom w:w="0" w:type="dxa"/>
            <w:right w:w="108" w:type="dxa"/>
          </w:tblCellMar>
        </w:tblPrEx>
        <w:trPr>
          <w:trHeight w:val="320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A03F7CB">
            <w:pPr>
              <w:pStyle w:val="12"/>
              <w:adjustRightInd w:val="0"/>
              <w:snapToGrid w:val="0"/>
              <w:spacing w:after="0"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监理业绩</w:t>
            </w:r>
          </w:p>
          <w:p w14:paraId="4CD55858">
            <w:pPr>
              <w:pStyle w:val="12"/>
              <w:adjustRightInd w:val="0"/>
              <w:snapToGrid w:val="0"/>
              <w:spacing w:after="0"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（15分）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5D917C63">
            <w:pPr>
              <w:spacing w:line="3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1、投标人202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年1月1日至今</w:t>
            </w:r>
            <w:r>
              <w:rPr>
                <w:rFonts w:hint="eastAsia" w:asciiTheme="minorEastAsia" w:hAnsiTheme="minorEastAsia" w:eastAsiaTheme="minorEastAsia" w:cstheme="minorEastAsia"/>
                <w:color w:val="auto"/>
                <w:sz w:val="24"/>
                <w:szCs w:val="24"/>
                <w:highlight w:val="none"/>
                <w:lang w:val="en-US" w:eastAsia="zh-CN"/>
              </w:rPr>
              <w:t>承担</w:t>
            </w:r>
            <w:r>
              <w:rPr>
                <w:rFonts w:hint="eastAsia" w:asciiTheme="minorEastAsia" w:hAnsiTheme="minorEastAsia" w:eastAsiaTheme="minorEastAsia" w:cstheme="minorEastAsia"/>
                <w:color w:val="auto"/>
                <w:sz w:val="24"/>
                <w:szCs w:val="24"/>
                <w:highlight w:val="none"/>
              </w:rPr>
              <w:t>过总投资</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00万元及以上质量合格的</w:t>
            </w:r>
            <w:r>
              <w:rPr>
                <w:rFonts w:hint="eastAsia" w:asciiTheme="minorEastAsia" w:hAnsiTheme="minorEastAsia" w:eastAsiaTheme="minorEastAsia" w:cstheme="minorEastAsia"/>
                <w:color w:val="auto"/>
                <w:sz w:val="24"/>
                <w:szCs w:val="24"/>
                <w:highlight w:val="none"/>
                <w:lang w:val="en-US" w:eastAsia="zh-CN"/>
              </w:rPr>
              <w:t>房屋建筑</w:t>
            </w:r>
            <w:r>
              <w:rPr>
                <w:rFonts w:hint="eastAsia" w:asciiTheme="minorEastAsia" w:hAnsiTheme="minorEastAsia" w:eastAsiaTheme="minorEastAsia" w:cstheme="minorEastAsia"/>
                <w:color w:val="auto"/>
                <w:sz w:val="24"/>
                <w:szCs w:val="24"/>
                <w:highlight w:val="none"/>
              </w:rPr>
              <w:t>工程监理项目的，每个得5分，本项最高得15分。</w:t>
            </w:r>
          </w:p>
          <w:p w14:paraId="7CBDF593">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2、其他情形的，不予计分。</w:t>
            </w:r>
          </w:p>
          <w:p w14:paraId="2FDC9F29">
            <w:pPr>
              <w:pStyle w:val="30"/>
              <w:spacing w:line="360" w:lineRule="exact"/>
              <w:ind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说明：本项最高得15分。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2ED2E967">
            <w:pP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1.须提供中标通知书、监理合同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竣工验收报告</w:t>
            </w:r>
            <w:r>
              <w:rPr>
                <w:rFonts w:hint="eastAsia" w:asciiTheme="minorEastAsia" w:hAnsiTheme="minorEastAsia" w:eastAsiaTheme="minorEastAsia" w:cstheme="minorEastAsia"/>
                <w:color w:val="auto"/>
                <w:sz w:val="24"/>
                <w:szCs w:val="24"/>
                <w:highlight w:val="none"/>
              </w:rPr>
              <w:t>彩色扫描件并加盖单位公章。</w:t>
            </w:r>
          </w:p>
          <w:p w14:paraId="1A6D54B5">
            <w:pP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2.项目业绩认定时间以</w:t>
            </w:r>
            <w:r>
              <w:rPr>
                <w:rFonts w:hint="eastAsia" w:asciiTheme="minorEastAsia" w:hAnsiTheme="minorEastAsia" w:eastAsiaTheme="minorEastAsia" w:cstheme="minorEastAsia"/>
                <w:color w:val="auto"/>
                <w:sz w:val="24"/>
                <w:szCs w:val="24"/>
                <w:highlight w:val="none"/>
                <w:lang w:val="en-US" w:eastAsia="zh-CN"/>
              </w:rPr>
              <w:t>合同签订</w:t>
            </w:r>
            <w:r>
              <w:rPr>
                <w:rFonts w:hint="eastAsia" w:asciiTheme="minorEastAsia" w:hAnsiTheme="minorEastAsia" w:eastAsiaTheme="minorEastAsia" w:cstheme="minorEastAsia"/>
                <w:color w:val="auto"/>
                <w:sz w:val="24"/>
                <w:szCs w:val="24"/>
                <w:highlight w:val="none"/>
              </w:rPr>
              <w:t>时间为准。</w:t>
            </w:r>
          </w:p>
          <w:p w14:paraId="6593A7D8">
            <w:pP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3.未提供证明材料或材料不齐全，业绩不符合评分标准和备注规定的，不予计分。</w:t>
            </w:r>
          </w:p>
        </w:tc>
      </w:tr>
      <w:tr w14:paraId="0B3AB31E">
        <w:tblPrEx>
          <w:tblCellMar>
            <w:top w:w="0" w:type="dxa"/>
            <w:left w:w="108" w:type="dxa"/>
            <w:bottom w:w="0" w:type="dxa"/>
            <w:right w:w="108" w:type="dxa"/>
          </w:tblCellMar>
        </w:tblPrEx>
        <w:trPr>
          <w:trHeight w:val="847" w:hRule="atLeast"/>
          <w:jc w:val="center"/>
        </w:trPr>
        <w:tc>
          <w:tcPr>
            <w:tcW w:w="1404" w:type="dxa"/>
            <w:tcBorders>
              <w:top w:val="single" w:color="auto" w:sz="4" w:space="0"/>
              <w:left w:val="single" w:color="auto" w:sz="4" w:space="0"/>
              <w:right w:val="single" w:color="auto" w:sz="4" w:space="0"/>
            </w:tcBorders>
            <w:noWrap w:val="0"/>
            <w:vAlign w:val="center"/>
          </w:tcPr>
          <w:p w14:paraId="2785AAA0">
            <w:pPr>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其他监理</w:t>
            </w:r>
          </w:p>
          <w:p w14:paraId="759955B9">
            <w:pPr>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人员配备</w:t>
            </w:r>
          </w:p>
          <w:p w14:paraId="06C82BA5">
            <w:pPr>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1A3881CC">
            <w:pPr>
              <w:spacing w:line="3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1、房建</w:t>
            </w:r>
            <w:r>
              <w:rPr>
                <w:rFonts w:hint="eastAsia" w:asciiTheme="minorEastAsia" w:hAnsiTheme="minorEastAsia" w:eastAsiaTheme="minorEastAsia" w:cstheme="minorEastAsia"/>
                <w:color w:val="auto"/>
                <w:sz w:val="24"/>
                <w:szCs w:val="24"/>
                <w:highlight w:val="none"/>
              </w:rPr>
              <w:t>专业监理工程师：具有全国注册监理工程师（</w:t>
            </w:r>
            <w:r>
              <w:rPr>
                <w:rFonts w:hint="eastAsia" w:asciiTheme="minorEastAsia" w:hAnsiTheme="minorEastAsia" w:eastAsiaTheme="minorEastAsia" w:cstheme="minorEastAsia"/>
                <w:color w:val="auto"/>
                <w:sz w:val="24"/>
                <w:szCs w:val="24"/>
                <w:highlight w:val="none"/>
                <w:lang w:val="en-US" w:eastAsia="zh-CN"/>
              </w:rPr>
              <w:t>房屋建筑</w:t>
            </w:r>
            <w:r>
              <w:rPr>
                <w:rFonts w:hint="eastAsia" w:asciiTheme="minorEastAsia" w:hAnsiTheme="minorEastAsia" w:eastAsiaTheme="minorEastAsia" w:cstheme="minorEastAsia"/>
                <w:color w:val="auto"/>
                <w:sz w:val="24"/>
                <w:szCs w:val="24"/>
                <w:highlight w:val="none"/>
              </w:rPr>
              <w:t xml:space="preserve">工程）得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分；</w:t>
            </w:r>
            <w:r>
              <w:rPr>
                <w:rFonts w:hint="eastAsia" w:asciiTheme="minorEastAsia" w:hAnsiTheme="minorEastAsia" w:eastAsiaTheme="minorEastAsia" w:cstheme="minorEastAsia"/>
                <w:color w:val="auto"/>
                <w:sz w:val="24"/>
                <w:szCs w:val="24"/>
                <w:highlight w:val="none"/>
                <w:lang w:val="en-US" w:eastAsia="zh-CN"/>
              </w:rPr>
              <w:t>房建类高级及以上职称加2分</w:t>
            </w:r>
            <w:r>
              <w:rPr>
                <w:rFonts w:hint="eastAsia" w:asciiTheme="minorEastAsia" w:hAnsiTheme="minorEastAsia" w:eastAsiaTheme="minorEastAsia" w:cstheme="minorEastAsia"/>
                <w:color w:val="auto"/>
                <w:sz w:val="24"/>
                <w:szCs w:val="24"/>
                <w:highlight w:val="none"/>
              </w:rPr>
              <w:t xml:space="preserve">。本项最高得 </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65CD39DE">
            <w:pPr>
              <w:spacing w:line="3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3、安装专</w:t>
            </w:r>
            <w:r>
              <w:rPr>
                <w:rFonts w:hint="eastAsia" w:asciiTheme="minorEastAsia" w:hAnsiTheme="minorEastAsia" w:eastAsiaTheme="minorEastAsia" w:cstheme="minorEastAsia"/>
                <w:color w:val="auto"/>
                <w:sz w:val="24"/>
                <w:szCs w:val="24"/>
                <w:highlight w:val="none"/>
              </w:rPr>
              <w:t>业监理工程师：具有全国注册监理工程师（</w:t>
            </w:r>
            <w:r>
              <w:rPr>
                <w:rFonts w:hint="eastAsia" w:asciiTheme="minorEastAsia" w:hAnsiTheme="minorEastAsia" w:eastAsiaTheme="minorEastAsia" w:cstheme="minorEastAsia"/>
                <w:color w:val="auto"/>
                <w:sz w:val="24"/>
                <w:szCs w:val="24"/>
                <w:highlight w:val="none"/>
                <w:lang w:val="en-US" w:eastAsia="zh-CN"/>
              </w:rPr>
              <w:t>机电安装</w:t>
            </w:r>
            <w:r>
              <w:rPr>
                <w:rFonts w:hint="eastAsia" w:asciiTheme="minorEastAsia" w:hAnsiTheme="minorEastAsia" w:eastAsiaTheme="minorEastAsia" w:cstheme="minorEastAsia"/>
                <w:color w:val="auto"/>
                <w:sz w:val="24"/>
                <w:szCs w:val="24"/>
                <w:highlight w:val="none"/>
              </w:rPr>
              <w:t>工程</w:t>
            </w:r>
            <w:r>
              <w:rPr>
                <w:rFonts w:hint="eastAsia" w:asciiTheme="minorEastAsia" w:hAnsiTheme="minorEastAsia" w:eastAsiaTheme="minorEastAsia" w:cstheme="minorEastAsia"/>
                <w:color w:val="auto"/>
                <w:sz w:val="24"/>
                <w:szCs w:val="24"/>
                <w:highlight w:val="none"/>
                <w:lang w:val="en-US" w:eastAsia="zh-CN"/>
              </w:rPr>
              <w:t>专业</w:t>
            </w:r>
            <w:r>
              <w:rPr>
                <w:rFonts w:hint="eastAsia" w:asciiTheme="minorEastAsia" w:hAnsiTheme="minorEastAsia" w:eastAsiaTheme="minorEastAsia" w:cstheme="minorEastAsia"/>
                <w:color w:val="auto"/>
                <w:sz w:val="24"/>
                <w:szCs w:val="24"/>
                <w:highlight w:val="none"/>
              </w:rPr>
              <w:t xml:space="preserve">）得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分；</w:t>
            </w:r>
            <w:r>
              <w:rPr>
                <w:rFonts w:hint="eastAsia" w:asciiTheme="minorEastAsia" w:hAnsiTheme="minorEastAsia" w:eastAsiaTheme="minorEastAsia" w:cstheme="minorEastAsia"/>
                <w:color w:val="auto"/>
                <w:sz w:val="24"/>
                <w:szCs w:val="24"/>
                <w:highlight w:val="none"/>
                <w:lang w:val="en-US" w:eastAsia="zh-CN"/>
              </w:rPr>
              <w:t>机电工程专业高级及以上职称加2分</w:t>
            </w:r>
            <w:r>
              <w:rPr>
                <w:rFonts w:hint="eastAsia" w:asciiTheme="minorEastAsia" w:hAnsiTheme="minorEastAsia" w:eastAsiaTheme="minorEastAsia" w:cstheme="minorEastAsia"/>
                <w:color w:val="auto"/>
                <w:sz w:val="24"/>
                <w:szCs w:val="24"/>
                <w:highlight w:val="none"/>
              </w:rPr>
              <w:t>。本项最高得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6BD880D2">
            <w:pPr>
              <w:spacing w:line="3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安全专业监理工程师：具有全国注册监理工程师（</w:t>
            </w:r>
            <w:r>
              <w:rPr>
                <w:rFonts w:hint="eastAsia" w:asciiTheme="minorEastAsia" w:hAnsiTheme="minorEastAsia" w:eastAsiaTheme="minorEastAsia" w:cstheme="minorEastAsia"/>
                <w:color w:val="auto"/>
                <w:sz w:val="24"/>
                <w:szCs w:val="24"/>
                <w:highlight w:val="none"/>
                <w:lang w:val="en-US" w:eastAsia="zh-CN"/>
              </w:rPr>
              <w:t>房屋建筑</w:t>
            </w:r>
            <w:r>
              <w:rPr>
                <w:rFonts w:hint="eastAsia" w:asciiTheme="minorEastAsia" w:hAnsiTheme="minorEastAsia" w:eastAsiaTheme="minorEastAsia" w:cstheme="minorEastAsia"/>
                <w:color w:val="auto"/>
                <w:sz w:val="24"/>
                <w:szCs w:val="24"/>
                <w:highlight w:val="none"/>
              </w:rPr>
              <w:t>工程</w:t>
            </w:r>
            <w:r>
              <w:rPr>
                <w:rFonts w:hint="eastAsia" w:asciiTheme="minorEastAsia" w:hAnsiTheme="minorEastAsia" w:eastAsiaTheme="minorEastAsia" w:cstheme="minorEastAsia"/>
                <w:color w:val="auto"/>
                <w:sz w:val="24"/>
                <w:szCs w:val="24"/>
                <w:highlight w:val="none"/>
                <w:lang w:val="en-US" w:eastAsia="zh-CN"/>
              </w:rPr>
              <w:t>专业</w:t>
            </w:r>
            <w:r>
              <w:rPr>
                <w:rFonts w:hint="eastAsia" w:asciiTheme="minorEastAsia" w:hAnsiTheme="minorEastAsia" w:eastAsiaTheme="minorEastAsia" w:cstheme="minorEastAsia"/>
                <w:color w:val="auto"/>
                <w:sz w:val="24"/>
                <w:szCs w:val="24"/>
                <w:highlight w:val="none"/>
              </w:rPr>
              <w:t xml:space="preserve">）加 </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xml:space="preserve"> 分，</w:t>
            </w:r>
            <w:r>
              <w:rPr>
                <w:rFonts w:hint="eastAsia" w:asciiTheme="minorEastAsia" w:hAnsiTheme="minorEastAsia" w:eastAsiaTheme="minorEastAsia" w:cstheme="minorEastAsia"/>
                <w:color w:val="auto"/>
                <w:sz w:val="24"/>
                <w:szCs w:val="24"/>
                <w:highlight w:val="none"/>
                <w:lang w:val="en-US" w:eastAsia="zh-CN"/>
              </w:rPr>
              <w:t>具有房建类高级及以上职称加3分</w:t>
            </w:r>
            <w:r>
              <w:rPr>
                <w:rFonts w:hint="eastAsia" w:asciiTheme="minorEastAsia" w:hAnsiTheme="minorEastAsia" w:eastAsiaTheme="minorEastAsia" w:cstheme="minorEastAsia"/>
                <w:color w:val="auto"/>
                <w:sz w:val="24"/>
                <w:szCs w:val="24"/>
                <w:highlight w:val="none"/>
              </w:rPr>
              <w:t xml:space="preserve">。本项最高得 </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66736A84">
            <w:pPr>
              <w:spacing w:line="3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5、造价</w:t>
            </w:r>
            <w:r>
              <w:rPr>
                <w:rFonts w:hint="eastAsia" w:asciiTheme="minorEastAsia" w:hAnsiTheme="minorEastAsia" w:eastAsiaTheme="minorEastAsia" w:cstheme="minorEastAsia"/>
                <w:color w:val="auto"/>
                <w:sz w:val="24"/>
                <w:szCs w:val="24"/>
                <w:highlight w:val="none"/>
              </w:rPr>
              <w:t>专业监理工程师：具有一名全国注册造价工程师或一级注册造价工程师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土建或土木建筑工程专业</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得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分，同时具有全国注册监理工程师（</w:t>
            </w:r>
            <w:r>
              <w:rPr>
                <w:rFonts w:hint="eastAsia" w:asciiTheme="minorEastAsia" w:hAnsiTheme="minorEastAsia" w:eastAsiaTheme="minorEastAsia" w:cstheme="minorEastAsia"/>
                <w:color w:val="auto"/>
                <w:sz w:val="24"/>
                <w:szCs w:val="24"/>
                <w:highlight w:val="none"/>
                <w:lang w:val="en-US" w:eastAsia="zh-CN"/>
              </w:rPr>
              <w:t>房屋建筑</w:t>
            </w:r>
            <w:r>
              <w:rPr>
                <w:rFonts w:hint="eastAsia" w:asciiTheme="minorEastAsia" w:hAnsiTheme="minorEastAsia" w:eastAsiaTheme="minorEastAsia" w:cstheme="minorEastAsia"/>
                <w:color w:val="auto"/>
                <w:sz w:val="24"/>
                <w:szCs w:val="24"/>
                <w:highlight w:val="none"/>
              </w:rPr>
              <w:t>工程</w:t>
            </w:r>
            <w:r>
              <w:rPr>
                <w:rFonts w:hint="eastAsia" w:asciiTheme="minorEastAsia" w:hAnsiTheme="minorEastAsia" w:eastAsiaTheme="minorEastAsia" w:cstheme="minorEastAsia"/>
                <w:color w:val="auto"/>
                <w:sz w:val="24"/>
                <w:szCs w:val="24"/>
                <w:highlight w:val="none"/>
                <w:lang w:val="en-US" w:eastAsia="zh-CN"/>
              </w:rPr>
              <w:t>专业</w:t>
            </w:r>
            <w:r>
              <w:rPr>
                <w:rFonts w:hint="eastAsia" w:asciiTheme="minorEastAsia" w:hAnsiTheme="minorEastAsia" w:eastAsiaTheme="minorEastAsia" w:cstheme="minorEastAsia"/>
                <w:color w:val="auto"/>
                <w:sz w:val="24"/>
                <w:szCs w:val="24"/>
                <w:highlight w:val="none"/>
              </w:rPr>
              <w:t xml:space="preserve">）加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分；</w:t>
            </w:r>
            <w:r>
              <w:rPr>
                <w:rFonts w:hint="eastAsia" w:asciiTheme="minorEastAsia" w:hAnsiTheme="minorEastAsia" w:eastAsiaTheme="minorEastAsia" w:cstheme="minorEastAsia"/>
                <w:color w:val="auto"/>
                <w:sz w:val="24"/>
                <w:szCs w:val="24"/>
                <w:highlight w:val="none"/>
                <w:lang w:val="en-US" w:eastAsia="zh-CN"/>
              </w:rPr>
              <w:t>造价类或经济类高级及以上职称加2分</w:t>
            </w:r>
            <w:r>
              <w:rPr>
                <w:rFonts w:hint="eastAsia" w:asciiTheme="minorEastAsia" w:hAnsiTheme="minorEastAsia" w:eastAsiaTheme="minorEastAsia" w:cstheme="minorEastAsia"/>
                <w:color w:val="auto"/>
                <w:sz w:val="24"/>
                <w:szCs w:val="24"/>
                <w:highlight w:val="none"/>
              </w:rPr>
              <w:t xml:space="preserve">。本项最高得 </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分。</w:t>
            </w:r>
          </w:p>
          <w:p w14:paraId="11FF59FA">
            <w:pPr>
              <w:spacing w:line="3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、以上配备人员，不可重复得分。</w:t>
            </w:r>
          </w:p>
          <w:p w14:paraId="1EB484EB">
            <w:pPr>
              <w:spacing w:line="3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、其他情形的，不予计分。</w:t>
            </w:r>
          </w:p>
          <w:p w14:paraId="75A46BA3">
            <w:pPr>
              <w:spacing w:line="3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说明：本项最高得</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194EC690">
            <w:pP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1.须提供相关证书彩色扫描件并加盖单位公章。</w:t>
            </w:r>
          </w:p>
          <w:p w14:paraId="4EED9F95">
            <w:pP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2.证书不在有效期内的，不予计分。</w:t>
            </w:r>
          </w:p>
        </w:tc>
      </w:tr>
      <w:tr w14:paraId="70806D8D">
        <w:tblPrEx>
          <w:tblCellMar>
            <w:top w:w="0" w:type="dxa"/>
            <w:left w:w="108" w:type="dxa"/>
            <w:bottom w:w="0" w:type="dxa"/>
            <w:right w:w="108" w:type="dxa"/>
          </w:tblCellMar>
        </w:tblPrEx>
        <w:trPr>
          <w:trHeight w:val="975" w:hRule="atLeast"/>
          <w:jc w:val="center"/>
        </w:trPr>
        <w:tc>
          <w:tcPr>
            <w:tcW w:w="1404" w:type="dxa"/>
            <w:vMerge w:val="restart"/>
            <w:tcBorders>
              <w:top w:val="single" w:color="auto" w:sz="4" w:space="0"/>
              <w:left w:val="single" w:color="auto" w:sz="4" w:space="0"/>
              <w:right w:val="single" w:color="auto" w:sz="4" w:space="0"/>
            </w:tcBorders>
            <w:noWrap w:val="0"/>
            <w:vAlign w:val="center"/>
          </w:tcPr>
          <w:p w14:paraId="5E7C4439">
            <w:pPr>
              <w:spacing w:line="360" w:lineRule="exact"/>
              <w:ind w:left="24" w:leftChars="10" w:right="24" w:right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企业信用综合情况</w:t>
            </w:r>
          </w:p>
          <w:p w14:paraId="20ACA7E3">
            <w:pPr>
              <w:spacing w:line="360" w:lineRule="exact"/>
              <w:ind w:left="24" w:leftChars="10" w:right="24" w:rightChars="1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（10分）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51C547EA">
            <w:pPr>
              <w:widowControl/>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1、投标人202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年1月1日至今获得过地市级或以上税务行政主管部门评为“A级纳税人”称号的，得</w:t>
            </w:r>
            <w:r>
              <w:rPr>
                <w:rFonts w:hint="eastAsia" w:asciiTheme="minorEastAsia" w:hAnsiTheme="minorEastAsia" w:eastAsiaTheme="minorEastAsia" w:cstheme="minorEastAsia"/>
                <w:color w:val="auto"/>
                <w:sz w:val="24"/>
                <w:szCs w:val="24"/>
                <w:highlight w:val="none"/>
                <w:u w:val="single"/>
              </w:rPr>
              <w:t>5</w:t>
            </w:r>
            <w:r>
              <w:rPr>
                <w:rFonts w:hint="eastAsia" w:asciiTheme="minorEastAsia" w:hAnsiTheme="minorEastAsia" w:eastAsiaTheme="minorEastAsia" w:cstheme="minorEastAsia"/>
                <w:color w:val="auto"/>
                <w:sz w:val="24"/>
                <w:szCs w:val="24"/>
                <w:highlight w:val="none"/>
              </w:rPr>
              <w:t>分。</w:t>
            </w:r>
          </w:p>
          <w:p w14:paraId="0132F72F">
            <w:pPr>
              <w:widowControl/>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2、其他情形的，不予计分。</w:t>
            </w:r>
          </w:p>
          <w:p w14:paraId="0B0A429A">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说明：本项最高得5分。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0C9574DA">
            <w:pP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1.须提供企业纳税信用A级纳税人相应证书或证明材料彩色扫描件或提供国家税务总局纳税信用A级纳税人查询截图并加盖单位公章，否则不得分。</w:t>
            </w:r>
          </w:p>
          <w:p w14:paraId="296B51E5">
            <w:pP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2.只计算投标人自身（不计算投标人的分公司、子公司及分支机构）。</w:t>
            </w:r>
          </w:p>
        </w:tc>
      </w:tr>
      <w:tr w14:paraId="18A20A53">
        <w:tblPrEx>
          <w:tblCellMar>
            <w:top w:w="0" w:type="dxa"/>
            <w:left w:w="108" w:type="dxa"/>
            <w:bottom w:w="0" w:type="dxa"/>
            <w:right w:w="108" w:type="dxa"/>
          </w:tblCellMar>
        </w:tblPrEx>
        <w:trPr>
          <w:trHeight w:val="1260" w:hRule="atLeast"/>
          <w:jc w:val="center"/>
        </w:trPr>
        <w:tc>
          <w:tcPr>
            <w:tcW w:w="1404" w:type="dxa"/>
            <w:vMerge w:val="continue"/>
            <w:tcBorders>
              <w:left w:val="single" w:color="auto" w:sz="4" w:space="0"/>
              <w:bottom w:val="single" w:color="auto" w:sz="4" w:space="0"/>
              <w:right w:val="single" w:color="auto" w:sz="4" w:space="0"/>
            </w:tcBorders>
            <w:noWrap w:val="0"/>
            <w:vAlign w:val="center"/>
          </w:tcPr>
          <w:p w14:paraId="001B471C">
            <w:pPr>
              <w:spacing w:line="360" w:lineRule="exact"/>
              <w:ind w:left="24" w:leftChars="10" w:right="24" w:rightChars="10"/>
              <w:jc w:val="center"/>
              <w:rPr>
                <w:rFonts w:hint="eastAsia" w:asciiTheme="minorEastAsia" w:hAnsiTheme="minorEastAsia" w:eastAsiaTheme="minorEastAsia" w:cstheme="minorEastAsia"/>
                <w:snapToGrid w:val="0"/>
                <w:color w:val="auto"/>
                <w:kern w:val="0"/>
                <w:sz w:val="24"/>
                <w:szCs w:val="24"/>
                <w:highlight w:val="none"/>
              </w:rPr>
            </w:pPr>
          </w:p>
        </w:tc>
        <w:tc>
          <w:tcPr>
            <w:tcW w:w="4480" w:type="dxa"/>
            <w:tcBorders>
              <w:top w:val="single" w:color="auto" w:sz="4" w:space="0"/>
              <w:left w:val="single" w:color="auto" w:sz="4" w:space="0"/>
              <w:bottom w:val="single" w:color="auto" w:sz="4" w:space="0"/>
              <w:right w:val="single" w:color="auto" w:sz="4" w:space="0"/>
            </w:tcBorders>
            <w:noWrap w:val="0"/>
            <w:vAlign w:val="center"/>
          </w:tcPr>
          <w:p w14:paraId="311744A0">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投标人202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年1月1日至今，投标人获得过企业信用等级证书并在有效期内的：</w:t>
            </w:r>
          </w:p>
          <w:p w14:paraId="18499566">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1、AAA级的得5分；</w:t>
            </w:r>
          </w:p>
          <w:p w14:paraId="340729AC">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2、AA级的得3分；</w:t>
            </w:r>
          </w:p>
          <w:p w14:paraId="085536F9">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3、A级的得1分。</w:t>
            </w:r>
          </w:p>
          <w:p w14:paraId="488E3369">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说明：本项最高得5分。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31BA74BE">
            <w:pP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1.须提供有效期内的认证证书彩色扫描件并加盖单位公章。</w:t>
            </w:r>
          </w:p>
          <w:p w14:paraId="3FD46C23">
            <w:pPr>
              <w:pStyle w:val="42"/>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highlight w:val="none"/>
              </w:rPr>
              <w:t>2.证书不在有效期内的，不予计分。</w:t>
            </w:r>
          </w:p>
        </w:tc>
      </w:tr>
      <w:tr w14:paraId="726C4EFB">
        <w:tblPrEx>
          <w:tblCellMar>
            <w:top w:w="0" w:type="dxa"/>
            <w:left w:w="108" w:type="dxa"/>
            <w:bottom w:w="0" w:type="dxa"/>
            <w:right w:w="108" w:type="dxa"/>
          </w:tblCellMar>
        </w:tblPrEx>
        <w:trPr>
          <w:trHeight w:val="2826"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91A0711">
            <w:pPr>
              <w:pStyle w:val="12"/>
              <w:adjustRightInd w:val="0"/>
              <w:snapToGrid w:val="0"/>
              <w:spacing w:after="0" w:line="360" w:lineRule="exact"/>
              <w:jc w:val="center"/>
              <w:rPr>
                <w:rFonts w:hint="eastAsia" w:asciiTheme="minorEastAsia" w:hAnsiTheme="minorEastAsia" w:eastAsiaTheme="minorEastAsia" w:cstheme="minorEastAsia"/>
                <w:snapToGrid w:val="0"/>
                <w:color w:val="auto"/>
                <w:kern w:val="0"/>
                <w:sz w:val="24"/>
                <w:szCs w:val="24"/>
                <w:highlight w:val="none"/>
                <w:lang w:bidi="ar"/>
              </w:rPr>
            </w:pPr>
            <w:r>
              <w:rPr>
                <w:rFonts w:hint="eastAsia" w:asciiTheme="minorEastAsia" w:hAnsiTheme="minorEastAsia" w:eastAsiaTheme="minorEastAsia" w:cstheme="minorEastAsia"/>
                <w:snapToGrid w:val="0"/>
                <w:color w:val="auto"/>
                <w:kern w:val="0"/>
                <w:sz w:val="24"/>
                <w:szCs w:val="24"/>
                <w:highlight w:val="none"/>
                <w:lang w:bidi="ar"/>
              </w:rPr>
              <w:t>企业管理</w:t>
            </w:r>
          </w:p>
          <w:p w14:paraId="71A12D55">
            <w:pPr>
              <w:pStyle w:val="12"/>
              <w:adjustRightInd w:val="0"/>
              <w:snapToGrid w:val="0"/>
              <w:spacing w:after="0" w:line="360" w:lineRule="exact"/>
              <w:jc w:val="center"/>
              <w:rPr>
                <w:rFonts w:hint="eastAsia" w:asciiTheme="minorEastAsia" w:hAnsiTheme="minorEastAsia" w:eastAsiaTheme="minorEastAsia" w:cstheme="minorEastAsia"/>
                <w:snapToGrid w:val="0"/>
                <w:color w:val="auto"/>
                <w:kern w:val="0"/>
                <w:sz w:val="24"/>
                <w:szCs w:val="24"/>
                <w:highlight w:val="none"/>
                <w:lang w:bidi="ar"/>
              </w:rPr>
            </w:pPr>
            <w:r>
              <w:rPr>
                <w:rFonts w:hint="eastAsia" w:asciiTheme="minorEastAsia" w:hAnsiTheme="minorEastAsia" w:eastAsiaTheme="minorEastAsia" w:cstheme="minorEastAsia"/>
                <w:snapToGrid w:val="0"/>
                <w:color w:val="auto"/>
                <w:kern w:val="0"/>
                <w:sz w:val="24"/>
                <w:szCs w:val="24"/>
                <w:highlight w:val="none"/>
                <w:lang w:bidi="ar"/>
              </w:rPr>
              <w:t>体系认证</w:t>
            </w:r>
          </w:p>
          <w:p w14:paraId="0814FAD4">
            <w:pPr>
              <w:adjustRightInd w:val="0"/>
              <w:snapToGrid w:val="0"/>
              <w:spacing w:line="360" w:lineRule="exact"/>
              <w:jc w:val="center"/>
              <w:rPr>
                <w:rFonts w:hint="eastAsia" w:asciiTheme="minorEastAsia" w:hAnsiTheme="minorEastAsia" w:eastAsiaTheme="minorEastAsia" w:cstheme="minorEastAsia"/>
                <w:b/>
                <w:bCs/>
                <w:snapToGrid w:val="0"/>
                <w:color w:val="auto"/>
                <w:kern w:val="0"/>
                <w:sz w:val="24"/>
                <w:szCs w:val="24"/>
                <w:highlight w:val="none"/>
                <w:lang w:bidi="ar"/>
              </w:rPr>
            </w:pPr>
            <w:r>
              <w:rPr>
                <w:rFonts w:hint="eastAsia" w:asciiTheme="minorEastAsia" w:hAnsiTheme="minorEastAsia" w:eastAsiaTheme="minorEastAsia" w:cstheme="minorEastAsia"/>
                <w:color w:val="auto"/>
                <w:sz w:val="24"/>
                <w:szCs w:val="24"/>
                <w:highlight w:val="none"/>
              </w:rPr>
              <w:t>（5分）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68E82440">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质量管理体系认证证书、职业健康安全管理体系认证证书、环境管理体系认证证书中：</w:t>
            </w:r>
          </w:p>
          <w:p w14:paraId="26B71C9C">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1、企业获得3项证书的得5分；</w:t>
            </w:r>
          </w:p>
          <w:p w14:paraId="3A80B1F5">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2、企业获得其中2项证书的得3分；</w:t>
            </w:r>
          </w:p>
          <w:p w14:paraId="135ADE96">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3、企业获得其中1项证书的得1分；</w:t>
            </w:r>
          </w:p>
          <w:p w14:paraId="0116F351">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4、以上认证证书均未获得的，不予计分。</w:t>
            </w:r>
          </w:p>
          <w:p w14:paraId="073F3F12">
            <w:pPr>
              <w:spacing w:line="3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说明：本项最高得5分。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76F23496">
            <w:pP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1．须提供在有效期内的体系认证证书彩色扫描件并加盖单位公章。</w:t>
            </w:r>
          </w:p>
          <w:p w14:paraId="53E72405">
            <w:pP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2．证书不在有效期内的，不予计分。</w:t>
            </w:r>
          </w:p>
        </w:tc>
      </w:tr>
      <w:tr w14:paraId="02D9419D">
        <w:tblPrEx>
          <w:tblCellMar>
            <w:top w:w="0" w:type="dxa"/>
            <w:left w:w="108" w:type="dxa"/>
            <w:bottom w:w="0" w:type="dxa"/>
            <w:right w:w="108" w:type="dxa"/>
          </w:tblCellMar>
        </w:tblPrEx>
        <w:trPr>
          <w:trHeight w:val="96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09C1FC5A">
            <w:pPr>
              <w:pStyle w:val="12"/>
              <w:adjustRightInd w:val="0"/>
              <w:snapToGrid w:val="0"/>
              <w:spacing w:after="0" w:line="240" w:lineRule="auto"/>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技术部分（监理大纲），满分：</w:t>
            </w:r>
            <w:r>
              <w:rPr>
                <w:rFonts w:hint="eastAsia" w:asciiTheme="minorEastAsia" w:hAnsiTheme="minorEastAsia" w:eastAsiaTheme="minorEastAsia" w:cstheme="minorEastAsia"/>
                <w:snapToGrid w:val="0"/>
                <w:color w:val="auto"/>
                <w:kern w:val="0"/>
                <w:sz w:val="24"/>
                <w:szCs w:val="24"/>
                <w:highlight w:val="none"/>
                <w:u w:val="single"/>
                <w:lang w:val="en-US" w:eastAsia="zh-CN"/>
              </w:rPr>
              <w:t>3</w:t>
            </w:r>
            <w:r>
              <w:rPr>
                <w:rFonts w:hint="eastAsia" w:asciiTheme="minorEastAsia" w:hAnsiTheme="minorEastAsia" w:eastAsiaTheme="minorEastAsia" w:cstheme="minorEastAsia"/>
                <w:snapToGrid w:val="0"/>
                <w:color w:val="auto"/>
                <w:kern w:val="0"/>
                <w:sz w:val="24"/>
                <w:szCs w:val="24"/>
                <w:highlight w:val="none"/>
                <w:u w:val="single"/>
              </w:rPr>
              <w:t>0</w:t>
            </w:r>
            <w:r>
              <w:rPr>
                <w:rFonts w:hint="eastAsia" w:asciiTheme="minorEastAsia" w:hAnsiTheme="minorEastAsia" w:eastAsiaTheme="minorEastAsia" w:cstheme="minorEastAsia"/>
                <w:snapToGrid w:val="0"/>
                <w:color w:val="auto"/>
                <w:kern w:val="0"/>
                <w:sz w:val="24"/>
                <w:szCs w:val="24"/>
                <w:highlight w:val="none"/>
              </w:rPr>
              <w:t>分。</w:t>
            </w:r>
          </w:p>
        </w:tc>
      </w:tr>
      <w:tr w14:paraId="0A473778">
        <w:tblPrEx>
          <w:tblCellMar>
            <w:top w:w="0" w:type="dxa"/>
            <w:left w:w="108" w:type="dxa"/>
            <w:bottom w:w="0" w:type="dxa"/>
            <w:right w:w="108" w:type="dxa"/>
          </w:tblCellMar>
        </w:tblPrEx>
        <w:trPr>
          <w:trHeight w:val="829"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8636151">
            <w:pPr>
              <w:pStyle w:val="12"/>
              <w:adjustRightInd w:val="0"/>
              <w:snapToGrid w:val="0"/>
              <w:spacing w:after="0" w:line="24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评分因素</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7BD51AE8">
            <w:pPr>
              <w:pStyle w:val="12"/>
              <w:adjustRightInd w:val="0"/>
              <w:snapToGrid w:val="0"/>
              <w:spacing w:after="0" w:line="24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评分标准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191D1541">
            <w:pPr>
              <w:pStyle w:val="12"/>
              <w:adjustRightInd w:val="0"/>
              <w:snapToGrid w:val="0"/>
              <w:spacing w:after="0" w:line="24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备注</w:t>
            </w:r>
          </w:p>
        </w:tc>
      </w:tr>
      <w:tr w14:paraId="342AD518">
        <w:tblPrEx>
          <w:tblCellMar>
            <w:top w:w="0" w:type="dxa"/>
            <w:left w:w="108" w:type="dxa"/>
            <w:bottom w:w="0" w:type="dxa"/>
            <w:right w:w="108" w:type="dxa"/>
          </w:tblCellMar>
        </w:tblPrEx>
        <w:trPr>
          <w:trHeight w:val="1875"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6352D15">
            <w:pPr>
              <w:pStyle w:val="1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监理依据</w:t>
            </w:r>
          </w:p>
          <w:p w14:paraId="2C0CD2EC">
            <w:pPr>
              <w:pStyle w:val="1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及工作目标</w:t>
            </w:r>
          </w:p>
          <w:p w14:paraId="6F174DB6">
            <w:pPr>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6026A778">
            <w:pPr>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【优】得该项评分因素分值的90%～100%（含90%）。</w:t>
            </w:r>
          </w:p>
          <w:p w14:paraId="4FE6D94D">
            <w:pPr>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【良】得该项评分因素分值的80%～90%（含80%）。</w:t>
            </w:r>
          </w:p>
          <w:p w14:paraId="1D7A342D">
            <w:pPr>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【中】得该项评分因素分值的70%～80%（含70%）。</w:t>
            </w:r>
          </w:p>
          <w:p w14:paraId="093AA537">
            <w:pPr>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【差】得该项评分因素分值的60%～70%（含60%）。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4A601A76">
            <w:pPr>
              <w:pStyle w:val="112"/>
              <w:adjustRightInd w:val="0"/>
              <w:snapToGrid w:val="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要求依据全面、适用；目标清晰、正确；针对性强。</w:t>
            </w:r>
          </w:p>
        </w:tc>
      </w:tr>
      <w:tr w14:paraId="21F9E7F7">
        <w:tblPrEx>
          <w:tblCellMar>
            <w:top w:w="0" w:type="dxa"/>
            <w:left w:w="108" w:type="dxa"/>
            <w:bottom w:w="0" w:type="dxa"/>
            <w:right w:w="108" w:type="dxa"/>
          </w:tblCellMar>
        </w:tblPrEx>
        <w:trPr>
          <w:trHeight w:val="104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FDADF47">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w:t>
            </w:r>
          </w:p>
          <w:p w14:paraId="1B2E470B">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监理措施</w:t>
            </w:r>
          </w:p>
          <w:p w14:paraId="024FD0BA">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3D6E5D59">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【优】得该项评分因素分值的90%～100%（含90%）。</w:t>
            </w:r>
          </w:p>
          <w:p w14:paraId="39044530">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【良】得该项评分因素分值的80%～90%（含80%）。</w:t>
            </w:r>
          </w:p>
          <w:p w14:paraId="2FDB7E20">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【中】得该项评分因素分值的70%～80%（含70%）。</w:t>
            </w:r>
          </w:p>
          <w:p w14:paraId="0D9FF5CE">
            <w:pPr>
              <w:pStyle w:val="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【差】得该项评分因素分值的60%～70%（含60%）。</w:t>
            </w:r>
          </w:p>
        </w:tc>
        <w:tc>
          <w:tcPr>
            <w:tcW w:w="3478" w:type="dxa"/>
            <w:vMerge w:val="restart"/>
            <w:tcBorders>
              <w:top w:val="single" w:color="auto" w:sz="4" w:space="0"/>
              <w:left w:val="single" w:color="auto" w:sz="4" w:space="0"/>
              <w:right w:val="single" w:color="auto" w:sz="4" w:space="0"/>
            </w:tcBorders>
            <w:noWrap w:val="0"/>
            <w:vAlign w:val="center"/>
          </w:tcPr>
          <w:p w14:paraId="722C27D0">
            <w:pPr>
              <w:pStyle w:val="112"/>
              <w:adjustRightInd w:val="0"/>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要求目标正确、方法可行、预控和动态管理措施具体、针对性强。脱离本工程实际、机械照搬照抄规范和技术标准的，不能得满分。</w:t>
            </w:r>
          </w:p>
        </w:tc>
      </w:tr>
      <w:tr w14:paraId="793C57AE">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1741B76">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工程进度</w:t>
            </w:r>
          </w:p>
          <w:p w14:paraId="2E9AEF6B">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监理措施</w:t>
            </w:r>
          </w:p>
          <w:p w14:paraId="789EA9A0">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5736F156">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【优】得该项评分因素分值的90%～100%（含90%）。</w:t>
            </w:r>
          </w:p>
          <w:p w14:paraId="05E21617">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【良】得该项评分因素分值的80%～90%（含80%）。</w:t>
            </w:r>
          </w:p>
          <w:p w14:paraId="595BBD01">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【中】得该项评分因素分值的70%～80%（含70%）。</w:t>
            </w:r>
          </w:p>
          <w:p w14:paraId="1F346469">
            <w:pPr>
              <w:pStyle w:val="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【差】得该项评分因素分值的60%～70%（含60%）。</w:t>
            </w:r>
          </w:p>
        </w:tc>
        <w:tc>
          <w:tcPr>
            <w:tcW w:w="3478" w:type="dxa"/>
            <w:vMerge w:val="continue"/>
            <w:tcBorders>
              <w:left w:val="single" w:color="auto" w:sz="4" w:space="0"/>
              <w:right w:val="single" w:color="auto" w:sz="4" w:space="0"/>
            </w:tcBorders>
            <w:noWrap w:val="0"/>
            <w:vAlign w:val="center"/>
          </w:tcPr>
          <w:p w14:paraId="48D3AED0">
            <w:pPr>
              <w:pStyle w:val="112"/>
              <w:adjustRightInd w:val="0"/>
              <w:snapToGrid w:val="0"/>
              <w:rPr>
                <w:rFonts w:hint="eastAsia" w:asciiTheme="minorEastAsia" w:hAnsiTheme="minorEastAsia" w:eastAsiaTheme="minorEastAsia" w:cstheme="minorEastAsia"/>
                <w:snapToGrid w:val="0"/>
                <w:color w:val="auto"/>
                <w:kern w:val="0"/>
                <w:sz w:val="24"/>
                <w:szCs w:val="24"/>
                <w:highlight w:val="none"/>
              </w:rPr>
            </w:pPr>
          </w:p>
        </w:tc>
      </w:tr>
      <w:tr w14:paraId="4C0ABCDA">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ACE25BB">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工程造价</w:t>
            </w:r>
          </w:p>
          <w:p w14:paraId="1AE5F363">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监理措施</w:t>
            </w:r>
          </w:p>
          <w:p w14:paraId="3EF00974">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44C6479C">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【优】得该项评分因素分值的90%～100%（含90%）。</w:t>
            </w:r>
          </w:p>
          <w:p w14:paraId="1F4DADBF">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【良】得该项评分因素分值的80%～90%（含80%）。</w:t>
            </w:r>
          </w:p>
          <w:p w14:paraId="7CE1AF25">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【中】得该项评分因素分值的70%～80%（含70%）。</w:t>
            </w:r>
          </w:p>
          <w:p w14:paraId="47997B9F">
            <w:pPr>
              <w:pStyle w:val="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【差】得该项评分因素分值的60%～70%（含60%）。</w:t>
            </w:r>
          </w:p>
        </w:tc>
        <w:tc>
          <w:tcPr>
            <w:tcW w:w="3478" w:type="dxa"/>
            <w:vMerge w:val="continue"/>
            <w:tcBorders>
              <w:left w:val="single" w:color="auto" w:sz="4" w:space="0"/>
              <w:right w:val="single" w:color="auto" w:sz="4" w:space="0"/>
            </w:tcBorders>
            <w:noWrap w:val="0"/>
            <w:vAlign w:val="center"/>
          </w:tcPr>
          <w:p w14:paraId="6028FA4F">
            <w:pPr>
              <w:pStyle w:val="112"/>
              <w:adjustRightInd w:val="0"/>
              <w:snapToGrid w:val="0"/>
              <w:rPr>
                <w:rFonts w:hint="eastAsia" w:asciiTheme="minorEastAsia" w:hAnsiTheme="minorEastAsia" w:eastAsiaTheme="minorEastAsia" w:cstheme="minorEastAsia"/>
                <w:snapToGrid w:val="0"/>
                <w:color w:val="auto"/>
                <w:kern w:val="0"/>
                <w:sz w:val="24"/>
                <w:szCs w:val="24"/>
                <w:highlight w:val="none"/>
              </w:rPr>
            </w:pPr>
          </w:p>
        </w:tc>
      </w:tr>
      <w:tr w14:paraId="2C0C5DEB">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522F070">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安全防护</w:t>
            </w:r>
          </w:p>
          <w:p w14:paraId="40FBCAFE">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监理措施</w:t>
            </w:r>
          </w:p>
          <w:p w14:paraId="1C13AE0A">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131801F1">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【优】得该项评分因素分值的90%～100%（含90%）。</w:t>
            </w:r>
          </w:p>
          <w:p w14:paraId="5A5C1612">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【良】得该项评分因素分值的80%～90%（含80%）。</w:t>
            </w:r>
          </w:p>
          <w:p w14:paraId="43B0102B">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【中】得该项评分因素分值的70%～80%（含70%）。</w:t>
            </w:r>
          </w:p>
          <w:p w14:paraId="70BF3CC2">
            <w:pPr>
              <w:pStyle w:val="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【差】得该项评分因素分值的60%～70%（含60%）。</w:t>
            </w:r>
          </w:p>
        </w:tc>
        <w:tc>
          <w:tcPr>
            <w:tcW w:w="3478" w:type="dxa"/>
            <w:vMerge w:val="continue"/>
            <w:tcBorders>
              <w:left w:val="single" w:color="auto" w:sz="4" w:space="0"/>
              <w:right w:val="single" w:color="auto" w:sz="4" w:space="0"/>
            </w:tcBorders>
            <w:noWrap w:val="0"/>
            <w:vAlign w:val="center"/>
          </w:tcPr>
          <w:p w14:paraId="34DBF023">
            <w:pPr>
              <w:pStyle w:val="112"/>
              <w:adjustRightInd w:val="0"/>
              <w:snapToGrid w:val="0"/>
              <w:rPr>
                <w:rFonts w:hint="eastAsia" w:asciiTheme="minorEastAsia" w:hAnsiTheme="minorEastAsia" w:eastAsiaTheme="minorEastAsia" w:cstheme="minorEastAsia"/>
                <w:snapToGrid w:val="0"/>
                <w:color w:val="auto"/>
                <w:kern w:val="0"/>
                <w:sz w:val="24"/>
                <w:szCs w:val="24"/>
                <w:highlight w:val="none"/>
              </w:rPr>
            </w:pPr>
          </w:p>
        </w:tc>
      </w:tr>
      <w:tr w14:paraId="510BFFB2">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72849FE">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绿色施工、文明施工监理措施</w:t>
            </w:r>
          </w:p>
          <w:p w14:paraId="0D941F54">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76139998">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【优】得该项评分因素分值的90%～100%（含90%）。</w:t>
            </w:r>
          </w:p>
          <w:p w14:paraId="41592AD3">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【良】得该项评分因素分值的80%～90%（含80%）。</w:t>
            </w:r>
          </w:p>
          <w:p w14:paraId="0AA8DCFB">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【中】得该项评分因素分值的70%～80%（含70%）。</w:t>
            </w:r>
          </w:p>
          <w:p w14:paraId="1140675F">
            <w:pPr>
              <w:pStyle w:val="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【差】得该项评分因素分值的60%～70%（含60%）。</w:t>
            </w:r>
          </w:p>
        </w:tc>
        <w:tc>
          <w:tcPr>
            <w:tcW w:w="3478" w:type="dxa"/>
            <w:vMerge w:val="continue"/>
            <w:tcBorders>
              <w:left w:val="single" w:color="auto" w:sz="4" w:space="0"/>
              <w:bottom w:val="single" w:color="auto" w:sz="4" w:space="0"/>
              <w:right w:val="single" w:color="auto" w:sz="4" w:space="0"/>
            </w:tcBorders>
            <w:noWrap w:val="0"/>
            <w:vAlign w:val="center"/>
          </w:tcPr>
          <w:p w14:paraId="56693F8A">
            <w:pPr>
              <w:pStyle w:val="112"/>
              <w:adjustRightInd w:val="0"/>
              <w:snapToGrid w:val="0"/>
              <w:rPr>
                <w:rFonts w:hint="eastAsia" w:asciiTheme="minorEastAsia" w:hAnsiTheme="minorEastAsia" w:eastAsiaTheme="minorEastAsia" w:cstheme="minorEastAsia"/>
                <w:snapToGrid w:val="0"/>
                <w:color w:val="auto"/>
                <w:kern w:val="0"/>
                <w:sz w:val="24"/>
                <w:szCs w:val="24"/>
                <w:highlight w:val="none"/>
              </w:rPr>
            </w:pPr>
          </w:p>
        </w:tc>
      </w:tr>
      <w:tr w14:paraId="5897E972">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B3AD2CC">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合同、信息</w:t>
            </w:r>
          </w:p>
          <w:p w14:paraId="556D27FF">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管理方案</w:t>
            </w:r>
          </w:p>
          <w:p w14:paraId="7F030ACC">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6495701A">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【优】得该项评分因素分值的90%～100%（含90%）。</w:t>
            </w:r>
          </w:p>
          <w:p w14:paraId="53162AAE">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【良】得该项评分因素分值的80%～90%（含80%）。</w:t>
            </w:r>
          </w:p>
          <w:p w14:paraId="781874AB">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【中】得该项评分因素分值的70%～80%（含70%）。</w:t>
            </w:r>
          </w:p>
          <w:p w14:paraId="0C3D840D">
            <w:pPr>
              <w:pStyle w:val="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【差】得该项评分因素分值的60%～70%（含60%）。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1FD1079F">
            <w:pPr>
              <w:pStyle w:val="112"/>
              <w:adjustRightInd w:val="0"/>
              <w:snapToGrid w:val="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要求各项制度规范清晰，方法科学合理，措施及时有效，针对性强。能够切实防范和处理合同纠纷，提升监理工作效能。</w:t>
            </w:r>
          </w:p>
        </w:tc>
      </w:tr>
      <w:tr w14:paraId="3E36EDCC">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B379036">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组织协调</w:t>
            </w:r>
          </w:p>
          <w:p w14:paraId="488BEF21">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内容及措施</w:t>
            </w:r>
          </w:p>
          <w:p w14:paraId="70751A4F">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162F99DE">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【优】得该项评分因素分值的90%～100%（含90%）。</w:t>
            </w:r>
          </w:p>
          <w:p w14:paraId="65F246CE">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【良】得该项评分因素分值的80%～90%（含80%）。</w:t>
            </w:r>
          </w:p>
          <w:p w14:paraId="62F0B149">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【中】得该项评分因素分值的70%～80%（含70%）。</w:t>
            </w:r>
          </w:p>
          <w:p w14:paraId="0FC58877">
            <w:pPr>
              <w:pStyle w:val="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【差】得该项评分因素分值的60%～70%（含60%）。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43DFE73D">
            <w:pPr>
              <w:pStyle w:val="112"/>
              <w:adjustRightInd w:val="0"/>
              <w:snapToGrid w:val="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要求各项制度规范清晰，方法科学合理，措施及时有效，针对性强。能够高效收集、协调、处理、反馈各方各类问题。</w:t>
            </w:r>
          </w:p>
        </w:tc>
      </w:tr>
      <w:tr w14:paraId="22997BEC">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42B0905F">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监理工作重点、难点分析</w:t>
            </w:r>
          </w:p>
          <w:p w14:paraId="0B0849BE">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0A2A7BD3">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【优】得该项评分因素分值的90%～100%（含90%）。</w:t>
            </w:r>
          </w:p>
          <w:p w14:paraId="1A97F8C9">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【良】得该项评分因素分值的80%～90%（含80%）。</w:t>
            </w:r>
          </w:p>
          <w:p w14:paraId="1220F38E">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【中】得该项评分因素分值的70%～80%（含70%）。</w:t>
            </w:r>
          </w:p>
          <w:p w14:paraId="3D8C84B1">
            <w:pPr>
              <w:pStyle w:val="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【差】得该项评分因素分值的60%～70%（含60%）。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6AA31BFC">
            <w:pPr>
              <w:pStyle w:val="112"/>
              <w:adjustRightInd w:val="0"/>
              <w:snapToGrid w:val="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要求方法可行、措施具体、针对性强。</w:t>
            </w:r>
          </w:p>
        </w:tc>
      </w:tr>
      <w:tr w14:paraId="13382224">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7604B82">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合理化建议</w:t>
            </w:r>
          </w:p>
          <w:p w14:paraId="0788BF0E">
            <w:pPr>
              <w:pStyle w:val="12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1FACCB20">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【优】得该项评分因素分值的90%～100%（含90%）。</w:t>
            </w:r>
          </w:p>
          <w:p w14:paraId="79A25D12">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【良】得该项评分因素分值的80%～90%（含80%）。</w:t>
            </w:r>
          </w:p>
          <w:p w14:paraId="2064F32C">
            <w:pPr>
              <w:pStyle w:val="1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【中】得该项评分因素分值的70%～80%（含70%）。</w:t>
            </w:r>
          </w:p>
          <w:p w14:paraId="186CC8C2">
            <w:pPr>
              <w:pStyle w:val="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【差】得该项评分因素分值的60%～70%（含60%）。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3CA9CB5C">
            <w:pPr>
              <w:pStyle w:val="112"/>
              <w:adjustRightInd w:val="0"/>
              <w:snapToGrid w:val="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要求方法可行、措施具体、针对性强。</w:t>
            </w:r>
          </w:p>
        </w:tc>
      </w:tr>
      <w:tr w14:paraId="7B745AA9">
        <w:tblPrEx>
          <w:tblCellMar>
            <w:top w:w="0" w:type="dxa"/>
            <w:left w:w="108" w:type="dxa"/>
            <w:bottom w:w="0" w:type="dxa"/>
            <w:right w:w="108" w:type="dxa"/>
          </w:tblCellMar>
        </w:tblPrEx>
        <w:trPr>
          <w:trHeight w:val="62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2BD1E65">
            <w:pPr>
              <w:pStyle w:val="112"/>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投标报价部分，满分：</w:t>
            </w:r>
            <w:r>
              <w:rPr>
                <w:rFonts w:hint="eastAsia" w:asciiTheme="minorEastAsia" w:hAnsiTheme="minorEastAsia" w:eastAsiaTheme="minorEastAsia" w:cstheme="minorEastAsia"/>
                <w:snapToGrid w:val="0"/>
                <w:color w:val="auto"/>
                <w:kern w:val="0"/>
                <w:sz w:val="24"/>
                <w:szCs w:val="24"/>
                <w:highlight w:val="none"/>
                <w:u w:val="single"/>
                <w:lang w:val="en-US" w:eastAsia="zh-CN"/>
              </w:rPr>
              <w:t>2</w:t>
            </w:r>
            <w:r>
              <w:rPr>
                <w:rFonts w:hint="eastAsia" w:asciiTheme="minorEastAsia" w:hAnsiTheme="minorEastAsia" w:eastAsiaTheme="minorEastAsia" w:cstheme="minorEastAsia"/>
                <w:snapToGrid w:val="0"/>
                <w:color w:val="auto"/>
                <w:kern w:val="0"/>
                <w:sz w:val="24"/>
                <w:szCs w:val="24"/>
                <w:highlight w:val="none"/>
                <w:u w:val="single"/>
              </w:rPr>
              <w:t>0</w:t>
            </w:r>
            <w:r>
              <w:rPr>
                <w:rFonts w:hint="eastAsia" w:asciiTheme="minorEastAsia" w:hAnsiTheme="minorEastAsia" w:eastAsiaTheme="minorEastAsia" w:cstheme="minorEastAsia"/>
                <w:snapToGrid w:val="0"/>
                <w:color w:val="auto"/>
                <w:kern w:val="0"/>
                <w:sz w:val="24"/>
                <w:szCs w:val="24"/>
                <w:highlight w:val="none"/>
              </w:rPr>
              <w:t>分。</w:t>
            </w:r>
          </w:p>
        </w:tc>
      </w:tr>
      <w:tr w14:paraId="67EF008C">
        <w:tblPrEx>
          <w:tblCellMar>
            <w:top w:w="0" w:type="dxa"/>
            <w:left w:w="108" w:type="dxa"/>
            <w:bottom w:w="0" w:type="dxa"/>
            <w:right w:w="108" w:type="dxa"/>
          </w:tblCellMar>
        </w:tblPrEx>
        <w:trPr>
          <w:trHeight w:val="624"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616B204">
            <w:pPr>
              <w:pStyle w:val="12"/>
              <w:adjustRightInd w:val="0"/>
              <w:snapToGrid w:val="0"/>
              <w:spacing w:after="0"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评分事项</w:t>
            </w:r>
          </w:p>
        </w:tc>
        <w:tc>
          <w:tcPr>
            <w:tcW w:w="7958" w:type="dxa"/>
            <w:gridSpan w:val="2"/>
            <w:tcBorders>
              <w:top w:val="single" w:color="auto" w:sz="4" w:space="0"/>
              <w:left w:val="single" w:color="auto" w:sz="4" w:space="0"/>
              <w:bottom w:val="single" w:color="auto" w:sz="4" w:space="0"/>
              <w:right w:val="single" w:color="auto" w:sz="4" w:space="0"/>
            </w:tcBorders>
            <w:noWrap w:val="0"/>
            <w:vAlign w:val="center"/>
          </w:tcPr>
          <w:p w14:paraId="301D3791">
            <w:pPr>
              <w:pStyle w:val="12"/>
              <w:adjustRightInd w:val="0"/>
              <w:snapToGrid w:val="0"/>
              <w:spacing w:after="0"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评分方法</w:t>
            </w:r>
          </w:p>
        </w:tc>
      </w:tr>
      <w:tr w14:paraId="4A7A1B46">
        <w:tblPrEx>
          <w:tblCellMar>
            <w:top w:w="0" w:type="dxa"/>
            <w:left w:w="108" w:type="dxa"/>
            <w:bottom w:w="0" w:type="dxa"/>
            <w:right w:w="108" w:type="dxa"/>
          </w:tblCellMar>
        </w:tblPrEx>
        <w:trPr>
          <w:trHeight w:val="9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7A2C34F">
            <w:pPr>
              <w:pStyle w:val="128"/>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评标基准价D</w:t>
            </w:r>
          </w:p>
        </w:tc>
        <w:tc>
          <w:tcPr>
            <w:tcW w:w="7958" w:type="dxa"/>
            <w:gridSpan w:val="2"/>
            <w:tcBorders>
              <w:top w:val="single" w:color="auto" w:sz="4" w:space="0"/>
              <w:left w:val="single" w:color="auto" w:sz="4" w:space="0"/>
              <w:bottom w:val="single" w:color="auto" w:sz="4" w:space="0"/>
              <w:right w:val="single" w:color="auto" w:sz="4" w:space="0"/>
            </w:tcBorders>
            <w:noWrap w:val="0"/>
            <w:vAlign w:val="center"/>
          </w:tcPr>
          <w:p w14:paraId="7AECFF82">
            <w:pPr>
              <w:numPr>
                <w:ilvl w:val="0"/>
                <w:numId w:val="1"/>
              </w:numPr>
              <w:adjustRightInd w:val="0"/>
              <w:snapToGrid w:val="0"/>
              <w:spacing w:line="360" w:lineRule="exact"/>
              <w:ind w:left="60" w:leftChars="0" w:firstLine="420" w:firstLineChars="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确定最高投标限价下浮系数n：用1～21号球分别代表一个下浮系数，由评委代表从这21个号码中随机抽取</w:t>
            </w:r>
            <w:r>
              <w:rPr>
                <w:rFonts w:hint="eastAsia" w:asciiTheme="minorEastAsia" w:hAnsiTheme="minorEastAsia" w:eastAsiaTheme="minorEastAsia" w:cstheme="minorEastAsia"/>
                <w:snapToGrid w:val="0"/>
                <w:color w:val="auto"/>
                <w:kern w:val="0"/>
                <w:sz w:val="24"/>
                <w:szCs w:val="24"/>
                <w:highlight w:val="none"/>
                <w:u w:val="single"/>
              </w:rPr>
              <w:t xml:space="preserve"> 3 </w:t>
            </w:r>
            <w:r>
              <w:rPr>
                <w:rFonts w:hint="eastAsia" w:asciiTheme="minorEastAsia" w:hAnsiTheme="minorEastAsia" w:eastAsiaTheme="minorEastAsia" w:cstheme="minorEastAsia"/>
                <w:snapToGrid w:val="0"/>
                <w:color w:val="auto"/>
                <w:kern w:val="0"/>
                <w:sz w:val="24"/>
                <w:szCs w:val="24"/>
                <w:highlight w:val="none"/>
              </w:rPr>
              <w:t>次，抽出的号球不参与下次抽取，每次抽取1个号码，所抽取的3个号码对应下浮系数的算术平均值作为最高投标限价下浮系数n。具体号码对应的下浮系数可参考下表。</w:t>
            </w:r>
          </w:p>
          <w:p w14:paraId="30C4A8E0">
            <w:pPr>
              <w:pStyle w:val="42"/>
              <w:spacing w:line="360" w:lineRule="exact"/>
              <w:jc w:val="both"/>
              <w:rPr>
                <w:rFonts w:hint="eastAsia" w:asciiTheme="minorEastAsia" w:hAnsiTheme="minorEastAsia" w:eastAsiaTheme="minorEastAsia" w:cstheme="minorEastAsia"/>
                <w:color w:val="auto"/>
                <w:sz w:val="24"/>
                <w:szCs w:val="24"/>
                <w:highlight w:val="none"/>
              </w:rPr>
            </w:pPr>
          </w:p>
          <w:tbl>
            <w:tblPr>
              <w:tblStyle w:val="31"/>
              <w:tblW w:w="0" w:type="auto"/>
              <w:tblInd w:w="113" w:type="dxa"/>
              <w:tblLayout w:type="fixed"/>
              <w:tblCellMar>
                <w:top w:w="0" w:type="dxa"/>
                <w:left w:w="108" w:type="dxa"/>
                <w:bottom w:w="0" w:type="dxa"/>
                <w:right w:w="108" w:type="dxa"/>
              </w:tblCellMar>
            </w:tblPr>
            <w:tblGrid>
              <w:gridCol w:w="1316"/>
              <w:gridCol w:w="747"/>
              <w:gridCol w:w="903"/>
              <w:gridCol w:w="900"/>
              <w:gridCol w:w="990"/>
              <w:gridCol w:w="750"/>
              <w:gridCol w:w="870"/>
              <w:gridCol w:w="855"/>
            </w:tblGrid>
            <w:tr w14:paraId="5C2918DA">
              <w:tblPrEx>
                <w:tblCellMar>
                  <w:top w:w="0" w:type="dxa"/>
                  <w:left w:w="108" w:type="dxa"/>
                  <w:bottom w:w="0" w:type="dxa"/>
                  <w:right w:w="108" w:type="dxa"/>
                </w:tblCellMar>
              </w:tblPrEx>
              <w:trPr>
                <w:trHeight w:val="50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ED07A80">
                  <w:pPr>
                    <w:adjustRightInd w:val="0"/>
                    <w:snapToGrid w:val="0"/>
                    <w:spacing w:line="360" w:lineRule="exact"/>
                    <w:jc w:val="center"/>
                    <w:rPr>
                      <w:rFonts w:hint="eastAsia" w:asciiTheme="minorEastAsia" w:hAnsiTheme="minorEastAsia" w:eastAsiaTheme="minorEastAsia" w:cstheme="minorEastAsia"/>
                      <w:b/>
                      <w:snapToGrid w:val="0"/>
                      <w:color w:val="auto"/>
                      <w:kern w:val="0"/>
                      <w:sz w:val="24"/>
                      <w:szCs w:val="24"/>
                      <w:highlight w:val="none"/>
                    </w:rPr>
                  </w:pPr>
                  <w:r>
                    <w:rPr>
                      <w:rFonts w:hint="eastAsia" w:asciiTheme="minorEastAsia" w:hAnsiTheme="minorEastAsia" w:eastAsiaTheme="minorEastAsia" w:cstheme="minorEastAsia"/>
                      <w:b/>
                      <w:snapToGrid w:val="0"/>
                      <w:color w:val="auto"/>
                      <w:kern w:val="0"/>
                      <w:sz w:val="24"/>
                      <w:szCs w:val="24"/>
                      <w:highlight w:val="none"/>
                    </w:rPr>
                    <w:t>号球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372BB8C">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AE1C96D">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0037736">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DE6847C">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2DD3A3">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CBFA05">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0AFAF3E">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7</w:t>
                  </w:r>
                </w:p>
              </w:tc>
            </w:tr>
            <w:tr w14:paraId="4A92A4E2">
              <w:tblPrEx>
                <w:tblCellMar>
                  <w:top w:w="0" w:type="dxa"/>
                  <w:left w:w="108" w:type="dxa"/>
                  <w:bottom w:w="0" w:type="dxa"/>
                  <w:right w:w="108" w:type="dxa"/>
                </w:tblCellMar>
              </w:tblPrEx>
              <w:trPr>
                <w:trHeight w:val="562"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2E90966">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下浮系数（%）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F5832D2">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0.1</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871C55A">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0.2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0BFEA0">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0.3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CD984E">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0.4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7C0CB2">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0.5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E8FA84D">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0.6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6E57E3">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0.7</w:t>
                  </w:r>
                </w:p>
              </w:tc>
            </w:tr>
            <w:tr w14:paraId="2EA7B435">
              <w:tblPrEx>
                <w:tblCellMar>
                  <w:top w:w="0" w:type="dxa"/>
                  <w:left w:w="108" w:type="dxa"/>
                  <w:bottom w:w="0" w:type="dxa"/>
                  <w:right w:w="108" w:type="dxa"/>
                </w:tblCellMar>
              </w:tblPrEx>
              <w:trPr>
                <w:trHeight w:val="51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6FAC620E">
                  <w:pPr>
                    <w:adjustRightInd w:val="0"/>
                    <w:snapToGrid w:val="0"/>
                    <w:spacing w:line="360" w:lineRule="exact"/>
                    <w:jc w:val="center"/>
                    <w:rPr>
                      <w:rFonts w:hint="eastAsia" w:asciiTheme="minorEastAsia" w:hAnsiTheme="minorEastAsia" w:eastAsiaTheme="minorEastAsia" w:cstheme="minorEastAsia"/>
                      <w:b/>
                      <w:snapToGrid w:val="0"/>
                      <w:color w:val="auto"/>
                      <w:kern w:val="0"/>
                      <w:sz w:val="24"/>
                      <w:szCs w:val="24"/>
                      <w:highlight w:val="none"/>
                    </w:rPr>
                  </w:pPr>
                  <w:r>
                    <w:rPr>
                      <w:rFonts w:hint="eastAsia" w:asciiTheme="minorEastAsia" w:hAnsiTheme="minorEastAsia" w:eastAsiaTheme="minorEastAsia" w:cstheme="minorEastAsia"/>
                      <w:b/>
                      <w:snapToGrid w:val="0"/>
                      <w:color w:val="auto"/>
                      <w:kern w:val="0"/>
                      <w:sz w:val="24"/>
                      <w:szCs w:val="24"/>
                      <w:highlight w:val="none"/>
                    </w:rPr>
                    <w:t>号球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A10B8E7">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8</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0B22DDB">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DF1CB5">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2627DA8">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1D7E0B">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400153">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33BDE41">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14</w:t>
                  </w:r>
                </w:p>
              </w:tc>
            </w:tr>
            <w:tr w14:paraId="096BC598">
              <w:tblPrEx>
                <w:tblCellMar>
                  <w:top w:w="0" w:type="dxa"/>
                  <w:left w:w="108" w:type="dxa"/>
                  <w:bottom w:w="0" w:type="dxa"/>
                  <w:right w:w="108" w:type="dxa"/>
                </w:tblCellMar>
              </w:tblPrEx>
              <w:trPr>
                <w:trHeight w:val="51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3A05F7D5">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下浮系数（%）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87F40E4">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0.8</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1E2070A">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0.9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D56EFE7">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FE823C1">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9D5B0E">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48F499">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90EB1C">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1.4</w:t>
                  </w:r>
                </w:p>
              </w:tc>
            </w:tr>
            <w:tr w14:paraId="48A44DB9">
              <w:tblPrEx>
                <w:tblCellMar>
                  <w:top w:w="0" w:type="dxa"/>
                  <w:left w:w="108" w:type="dxa"/>
                  <w:bottom w:w="0" w:type="dxa"/>
                  <w:right w:w="108" w:type="dxa"/>
                </w:tblCellMar>
              </w:tblPrEx>
              <w:trPr>
                <w:trHeight w:val="47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273F62C">
                  <w:pPr>
                    <w:adjustRightInd w:val="0"/>
                    <w:snapToGrid w:val="0"/>
                    <w:spacing w:line="360" w:lineRule="exact"/>
                    <w:jc w:val="center"/>
                    <w:rPr>
                      <w:rFonts w:hint="eastAsia" w:asciiTheme="minorEastAsia" w:hAnsiTheme="minorEastAsia" w:eastAsiaTheme="minorEastAsia" w:cstheme="minorEastAsia"/>
                      <w:b/>
                      <w:snapToGrid w:val="0"/>
                      <w:color w:val="auto"/>
                      <w:kern w:val="0"/>
                      <w:sz w:val="24"/>
                      <w:szCs w:val="24"/>
                      <w:highlight w:val="none"/>
                    </w:rPr>
                  </w:pPr>
                  <w:r>
                    <w:rPr>
                      <w:rFonts w:hint="eastAsia" w:asciiTheme="minorEastAsia" w:hAnsiTheme="minorEastAsia" w:eastAsiaTheme="minorEastAsia" w:cstheme="minorEastAsia"/>
                      <w:b/>
                      <w:snapToGrid w:val="0"/>
                      <w:color w:val="auto"/>
                      <w:kern w:val="0"/>
                      <w:sz w:val="24"/>
                      <w:szCs w:val="24"/>
                      <w:highlight w:val="none"/>
                    </w:rPr>
                    <w:t>号球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0D53110">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7EFD26B">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81897E">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3BD00F5">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5E24F9">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A1031EE">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F51D5E5">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21</w:t>
                  </w:r>
                </w:p>
              </w:tc>
            </w:tr>
            <w:tr w14:paraId="5549FD02">
              <w:tblPrEx>
                <w:tblCellMar>
                  <w:top w:w="0" w:type="dxa"/>
                  <w:left w:w="108" w:type="dxa"/>
                  <w:bottom w:w="0" w:type="dxa"/>
                  <w:right w:w="108" w:type="dxa"/>
                </w:tblCellMar>
              </w:tblPrEx>
              <w:trPr>
                <w:trHeight w:val="60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2E103D5">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下浮系数（%）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42E3FD3">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D04E4CB">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1F83FE">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7A1EDC9">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0E8B73">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4B2F9DF">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11245AC">
                  <w:pPr>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2.1</w:t>
                  </w:r>
                </w:p>
              </w:tc>
            </w:tr>
          </w:tbl>
          <w:p w14:paraId="4D1C640B">
            <w:pPr>
              <w:adjustRightInd w:val="0"/>
              <w:snapToGrid w:val="0"/>
              <w:spacing w:line="360" w:lineRule="exact"/>
              <w:ind w:firstLine="480" w:firstLineChars="2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（2）评标基准价D＝最高投标限价×（1－n）</w:t>
            </w:r>
          </w:p>
        </w:tc>
      </w:tr>
      <w:tr w14:paraId="644D4429">
        <w:tblPrEx>
          <w:tblCellMar>
            <w:top w:w="0" w:type="dxa"/>
            <w:left w:w="108" w:type="dxa"/>
            <w:bottom w:w="0" w:type="dxa"/>
            <w:right w:w="108" w:type="dxa"/>
          </w:tblCellMar>
        </w:tblPrEx>
        <w:trPr>
          <w:trHeight w:val="802"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D3BACFF">
            <w:pPr>
              <w:pStyle w:val="128"/>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投标报价</w:t>
            </w:r>
          </w:p>
          <w:p w14:paraId="740830D2">
            <w:pPr>
              <w:pStyle w:val="128"/>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得分M</w:t>
            </w:r>
            <w:r>
              <w:rPr>
                <w:rFonts w:hint="eastAsia" w:asciiTheme="minorEastAsia" w:hAnsiTheme="minorEastAsia" w:eastAsiaTheme="minorEastAsia" w:cstheme="minorEastAsia"/>
                <w:snapToGrid w:val="0"/>
                <w:color w:val="auto"/>
                <w:kern w:val="0"/>
                <w:sz w:val="24"/>
                <w:szCs w:val="24"/>
                <w:highlight w:val="none"/>
                <w:vertAlign w:val="subscript"/>
              </w:rPr>
              <w:t>3</w:t>
            </w:r>
          </w:p>
        </w:tc>
        <w:tc>
          <w:tcPr>
            <w:tcW w:w="7958" w:type="dxa"/>
            <w:gridSpan w:val="2"/>
            <w:tcBorders>
              <w:top w:val="single" w:color="auto" w:sz="4" w:space="0"/>
              <w:left w:val="single" w:color="auto" w:sz="4" w:space="0"/>
              <w:bottom w:val="single" w:color="auto" w:sz="4" w:space="0"/>
              <w:right w:val="single" w:color="auto" w:sz="4" w:space="0"/>
            </w:tcBorders>
            <w:noWrap w:val="0"/>
            <w:vAlign w:val="center"/>
          </w:tcPr>
          <w:p w14:paraId="201374DA">
            <w:pPr>
              <w:adjustRightInd w:val="0"/>
              <w:snapToGrid w:val="0"/>
              <w:spacing w:line="360" w:lineRule="exact"/>
              <w:ind w:firstLine="480" w:firstLineChars="2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采用内插法计算某投标人的投标报价得分M</w:t>
            </w:r>
            <w:r>
              <w:rPr>
                <w:rFonts w:hint="eastAsia" w:asciiTheme="minorEastAsia" w:hAnsiTheme="minorEastAsia" w:eastAsiaTheme="minorEastAsia" w:cstheme="minorEastAsia"/>
                <w:snapToGrid w:val="0"/>
                <w:color w:val="auto"/>
                <w:kern w:val="0"/>
                <w:sz w:val="24"/>
                <w:szCs w:val="24"/>
                <w:highlight w:val="none"/>
                <w:vertAlign w:val="subscript"/>
              </w:rPr>
              <w:t>3</w:t>
            </w:r>
            <w:r>
              <w:rPr>
                <w:rFonts w:hint="eastAsia" w:asciiTheme="minorEastAsia" w:hAnsiTheme="minorEastAsia" w:eastAsiaTheme="minorEastAsia" w:cstheme="minorEastAsia"/>
                <w:snapToGrid w:val="0"/>
                <w:color w:val="auto"/>
                <w:kern w:val="0"/>
                <w:sz w:val="24"/>
                <w:szCs w:val="24"/>
                <w:highlight w:val="none"/>
              </w:rPr>
              <w:t>，即当投标人的投标总价等于评标基准价时得满分，每高于评标基准价一个百分点扣0.2分，每低于评标基准价一个百分点扣0.1分，扣完为止。公式如下：</w:t>
            </w:r>
          </w:p>
          <w:p w14:paraId="1D5275CD">
            <w:pPr>
              <w:adjustRightInd w:val="0"/>
              <w:snapToGrid w:val="0"/>
              <w:spacing w:line="360" w:lineRule="exact"/>
              <w:ind w:firstLine="480" w:firstLineChars="2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M</w:t>
            </w:r>
            <w:r>
              <w:rPr>
                <w:rFonts w:hint="eastAsia" w:asciiTheme="minorEastAsia" w:hAnsiTheme="minorEastAsia" w:eastAsiaTheme="minorEastAsia" w:cstheme="minorEastAsia"/>
                <w:snapToGrid w:val="0"/>
                <w:color w:val="auto"/>
                <w:kern w:val="0"/>
                <w:sz w:val="24"/>
                <w:szCs w:val="24"/>
                <w:highlight w:val="none"/>
                <w:vertAlign w:val="subscript"/>
              </w:rPr>
              <w:t>3</w:t>
            </w:r>
            <w:r>
              <w:rPr>
                <w:rFonts w:hint="eastAsia" w:asciiTheme="minorEastAsia" w:hAnsiTheme="minorEastAsia" w:eastAsiaTheme="minorEastAsia" w:cstheme="minorEastAsia"/>
                <w:snapToGrid w:val="0"/>
                <w:color w:val="auto"/>
                <w:kern w:val="0"/>
                <w:sz w:val="24"/>
                <w:szCs w:val="24"/>
                <w:highlight w:val="none"/>
              </w:rPr>
              <w:t>＝投标报价满分－（| Di－D | ÷D）×100×E</w:t>
            </w:r>
          </w:p>
          <w:p w14:paraId="22EB783A">
            <w:pPr>
              <w:adjustRightInd w:val="0"/>
              <w:snapToGrid w:val="0"/>
              <w:spacing w:line="360" w:lineRule="exact"/>
              <w:ind w:firstLine="480" w:firstLineChars="2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式中：D为评标基准价，Di为某投标人的投标总价；E为扣分因子。当Di＞D时，E＝0.2；当Di＜D时，E＝0.1。</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注：评分如出现小数点，则保留小数点后两位，第三位四舍五入。</w:t>
      </w:r>
    </w:p>
    <w:p w14:paraId="02D8E841">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2F78CB10">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528EC816">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14582879">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12EEA896">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28D24E8D">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3990945F">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1E06F381">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62448F0B">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5039CB2C">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42682E05">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6E132083">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494AC898">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42B2D1BE">
      <w:pPr>
        <w:wordWrap w:val="0"/>
        <w:adjustRightInd w:val="0"/>
        <w:snapToGrid w:val="0"/>
        <w:spacing w:after="240" w:afterLines="100" w:line="440" w:lineRule="exact"/>
        <w:jc w:val="center"/>
        <w:rPr>
          <w:rFonts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t>表2 项目监理机构其他人员需求表</w:t>
      </w:r>
    </w:p>
    <w:tbl>
      <w:tblPr>
        <w:tblStyle w:val="31"/>
        <w:tblW w:w="9315" w:type="dxa"/>
        <w:tblInd w:w="32" w:type="dxa"/>
        <w:tblLayout w:type="autofit"/>
        <w:tblCellMar>
          <w:top w:w="0" w:type="dxa"/>
          <w:left w:w="108" w:type="dxa"/>
          <w:bottom w:w="0" w:type="dxa"/>
          <w:right w:w="108" w:type="dxa"/>
        </w:tblCellMar>
      </w:tblPr>
      <w:tblGrid>
        <w:gridCol w:w="1132"/>
        <w:gridCol w:w="1937"/>
        <w:gridCol w:w="1012"/>
        <w:gridCol w:w="5234"/>
      </w:tblGrid>
      <w:tr w14:paraId="207A5B3E">
        <w:tblPrEx>
          <w:tblCellMar>
            <w:top w:w="0" w:type="dxa"/>
            <w:left w:w="108" w:type="dxa"/>
            <w:bottom w:w="0" w:type="dxa"/>
            <w:right w:w="108" w:type="dxa"/>
          </w:tblCellMar>
        </w:tblPrEx>
        <w:trPr>
          <w:trHeight w:val="645" w:hRule="atLeast"/>
        </w:trPr>
        <w:tc>
          <w:tcPr>
            <w:tcW w:w="9315" w:type="dxa"/>
            <w:gridSpan w:val="4"/>
            <w:tcBorders>
              <w:top w:val="single" w:color="auto" w:sz="8" w:space="0"/>
              <w:left w:val="single" w:color="auto" w:sz="8" w:space="0"/>
              <w:bottom w:val="nil"/>
              <w:right w:val="single" w:color="000000" w:sz="8" w:space="0"/>
            </w:tcBorders>
            <w:vAlign w:val="center"/>
          </w:tcPr>
          <w:p w14:paraId="2AC7F590">
            <w:pPr>
              <w:widowControl/>
              <w:spacing w:line="240" w:lineRule="auto"/>
              <w:jc w:val="left"/>
              <w:rPr>
                <w:rFonts w:hAnsi="宋体" w:cs="宋体"/>
                <w:b/>
                <w:bCs/>
                <w:color w:val="auto"/>
                <w:kern w:val="0"/>
                <w:szCs w:val="24"/>
                <w:highlight w:val="none"/>
              </w:rPr>
            </w:pPr>
            <w:r>
              <w:rPr>
                <w:rFonts w:hint="eastAsia" w:hAnsi="宋体" w:cs="宋体"/>
                <w:b/>
                <w:bCs/>
                <w:color w:val="auto"/>
                <w:kern w:val="0"/>
                <w:szCs w:val="24"/>
                <w:highlight w:val="none"/>
              </w:rPr>
              <w:t>监理人员（除总监理工程师外）：共</w:t>
            </w:r>
            <w:r>
              <w:rPr>
                <w:rFonts w:hint="eastAsia" w:hAnsi="宋体" w:cs="宋体"/>
                <w:b/>
                <w:bCs/>
                <w:color w:val="auto"/>
                <w:kern w:val="0"/>
                <w:szCs w:val="24"/>
                <w:highlight w:val="none"/>
                <w:u w:val="single"/>
                <w:lang w:val="en-US" w:eastAsia="zh-CN"/>
              </w:rPr>
              <w:t>3</w:t>
            </w:r>
            <w:r>
              <w:rPr>
                <w:rFonts w:hint="eastAsia" w:hAnsi="宋体" w:cs="宋体"/>
                <w:b/>
                <w:bCs/>
                <w:color w:val="auto"/>
                <w:kern w:val="0"/>
                <w:szCs w:val="24"/>
                <w:highlight w:val="none"/>
              </w:rPr>
              <w:t>人</w:t>
            </w:r>
          </w:p>
        </w:tc>
      </w:tr>
      <w:tr w14:paraId="6DE02C40">
        <w:tblPrEx>
          <w:tblCellMar>
            <w:top w:w="0" w:type="dxa"/>
            <w:left w:w="108" w:type="dxa"/>
            <w:bottom w:w="0" w:type="dxa"/>
            <w:right w:w="108" w:type="dxa"/>
          </w:tblCellMar>
        </w:tblPrEx>
        <w:trPr>
          <w:trHeight w:val="681" w:hRule="atLeast"/>
        </w:trPr>
        <w:tc>
          <w:tcPr>
            <w:tcW w:w="1132" w:type="dxa"/>
            <w:tcBorders>
              <w:top w:val="single" w:color="auto" w:sz="4" w:space="0"/>
              <w:left w:val="single" w:color="auto" w:sz="4" w:space="0"/>
              <w:bottom w:val="single" w:color="auto" w:sz="4" w:space="0"/>
              <w:right w:val="single" w:color="auto" w:sz="4" w:space="0"/>
            </w:tcBorders>
            <w:vAlign w:val="center"/>
          </w:tcPr>
          <w:p w14:paraId="0E5F078E">
            <w:pPr>
              <w:jc w:val="center"/>
              <w:rPr>
                <w:color w:val="auto"/>
                <w:highlight w:val="none"/>
              </w:rPr>
            </w:pPr>
            <w:r>
              <w:rPr>
                <w:rFonts w:hint="eastAsia"/>
                <w:color w:val="auto"/>
                <w:highlight w:val="none"/>
              </w:rPr>
              <w:t>职务</w:t>
            </w:r>
          </w:p>
        </w:tc>
        <w:tc>
          <w:tcPr>
            <w:tcW w:w="1937" w:type="dxa"/>
            <w:tcBorders>
              <w:top w:val="single" w:color="auto" w:sz="4" w:space="0"/>
              <w:left w:val="single" w:color="auto" w:sz="4" w:space="0"/>
              <w:bottom w:val="single" w:color="auto" w:sz="4" w:space="0"/>
              <w:right w:val="single" w:color="auto" w:sz="4" w:space="0"/>
            </w:tcBorders>
            <w:vAlign w:val="center"/>
          </w:tcPr>
          <w:p w14:paraId="54C12C69">
            <w:pPr>
              <w:jc w:val="center"/>
              <w:rPr>
                <w:color w:val="auto"/>
                <w:highlight w:val="none"/>
              </w:rPr>
            </w:pPr>
            <w:r>
              <w:rPr>
                <w:rFonts w:hint="eastAsia"/>
                <w:color w:val="auto"/>
                <w:highlight w:val="none"/>
              </w:rPr>
              <w:t>专业要求</w:t>
            </w:r>
          </w:p>
        </w:tc>
        <w:tc>
          <w:tcPr>
            <w:tcW w:w="1012" w:type="dxa"/>
            <w:tcBorders>
              <w:top w:val="single" w:color="auto" w:sz="4" w:space="0"/>
              <w:left w:val="nil"/>
              <w:bottom w:val="single" w:color="auto" w:sz="4" w:space="0"/>
              <w:right w:val="single" w:color="auto" w:sz="4" w:space="0"/>
            </w:tcBorders>
            <w:vAlign w:val="center"/>
          </w:tcPr>
          <w:p w14:paraId="29E69088">
            <w:pPr>
              <w:jc w:val="center"/>
              <w:rPr>
                <w:color w:val="auto"/>
                <w:highlight w:val="none"/>
              </w:rPr>
            </w:pPr>
            <w:r>
              <w:rPr>
                <w:rFonts w:hint="eastAsia"/>
                <w:color w:val="auto"/>
                <w:highlight w:val="none"/>
              </w:rPr>
              <w:t>数量</w:t>
            </w:r>
          </w:p>
          <w:p w14:paraId="00DA76EC">
            <w:pPr>
              <w:jc w:val="center"/>
              <w:rPr>
                <w:color w:val="auto"/>
                <w:highlight w:val="none"/>
              </w:rPr>
            </w:pPr>
            <w:r>
              <w:rPr>
                <w:rFonts w:hint="eastAsia"/>
                <w:color w:val="auto"/>
                <w:highlight w:val="none"/>
              </w:rPr>
              <w:t>要求</w:t>
            </w:r>
          </w:p>
        </w:tc>
        <w:tc>
          <w:tcPr>
            <w:tcW w:w="5234" w:type="dxa"/>
            <w:tcBorders>
              <w:top w:val="single" w:color="auto" w:sz="4" w:space="0"/>
              <w:left w:val="single" w:color="auto" w:sz="4" w:space="0"/>
              <w:bottom w:val="single" w:color="auto" w:sz="4" w:space="0"/>
              <w:right w:val="single" w:color="auto" w:sz="4" w:space="0"/>
            </w:tcBorders>
            <w:vAlign w:val="center"/>
          </w:tcPr>
          <w:p w14:paraId="3AE81202">
            <w:pPr>
              <w:jc w:val="center"/>
              <w:rPr>
                <w:color w:val="auto"/>
                <w:highlight w:val="none"/>
              </w:rPr>
            </w:pPr>
            <w:r>
              <w:rPr>
                <w:rFonts w:hint="eastAsia"/>
                <w:color w:val="auto"/>
                <w:highlight w:val="none"/>
              </w:rPr>
              <w:t>持证要求</w:t>
            </w:r>
          </w:p>
        </w:tc>
      </w:tr>
      <w:tr w14:paraId="5FF3AD35">
        <w:tblPrEx>
          <w:tblCellMar>
            <w:top w:w="0" w:type="dxa"/>
            <w:left w:w="108" w:type="dxa"/>
            <w:bottom w:w="0" w:type="dxa"/>
            <w:right w:w="108" w:type="dxa"/>
          </w:tblCellMar>
        </w:tblPrEx>
        <w:trPr>
          <w:trHeight w:val="747" w:hRule="atLeast"/>
        </w:trPr>
        <w:tc>
          <w:tcPr>
            <w:tcW w:w="1132" w:type="dxa"/>
            <w:tcBorders>
              <w:top w:val="single" w:color="auto" w:sz="4" w:space="0"/>
              <w:left w:val="single" w:color="auto" w:sz="4" w:space="0"/>
              <w:right w:val="single" w:color="auto" w:sz="4" w:space="0"/>
            </w:tcBorders>
            <w:vAlign w:val="center"/>
          </w:tcPr>
          <w:p w14:paraId="576B524F">
            <w:pPr>
              <w:widowControl/>
              <w:spacing w:line="440" w:lineRule="exact"/>
              <w:jc w:val="center"/>
              <w:rPr>
                <w:color w:val="auto"/>
                <w:highlight w:val="none"/>
              </w:rPr>
            </w:pPr>
            <w:r>
              <w:rPr>
                <w:rFonts w:hint="eastAsia"/>
                <w:color w:val="auto"/>
                <w:highlight w:val="none"/>
              </w:rPr>
              <w:t>专业监理工程师</w:t>
            </w:r>
          </w:p>
        </w:tc>
        <w:tc>
          <w:tcPr>
            <w:tcW w:w="1937" w:type="dxa"/>
            <w:tcBorders>
              <w:top w:val="single" w:color="auto" w:sz="4" w:space="0"/>
              <w:left w:val="single" w:color="auto" w:sz="4" w:space="0"/>
              <w:right w:val="single" w:color="auto" w:sz="4" w:space="0"/>
            </w:tcBorders>
            <w:vAlign w:val="center"/>
          </w:tcPr>
          <w:p w14:paraId="0C129668">
            <w:pPr>
              <w:widowControl/>
              <w:spacing w:line="360" w:lineRule="auto"/>
              <w:jc w:val="center"/>
              <w:rPr>
                <w:rFonts w:hint="eastAsia" w:eastAsia="宋体"/>
                <w:color w:val="auto"/>
                <w:highlight w:val="none"/>
                <w:lang w:val="en-US" w:eastAsia="zh-CN"/>
              </w:rPr>
            </w:pPr>
            <w:r>
              <w:rPr>
                <w:rFonts w:hint="eastAsia" w:ascii="宋体" w:hAnsi="宋体" w:cs="宋体"/>
                <w:snapToGrid w:val="0"/>
                <w:color w:val="auto"/>
                <w:kern w:val="0"/>
                <w:sz w:val="24"/>
                <w:highlight w:val="none"/>
                <w:lang w:val="en-US" w:eastAsia="zh-CN"/>
              </w:rPr>
              <w:t>房屋建筑</w:t>
            </w:r>
            <w:r>
              <w:rPr>
                <w:rFonts w:hint="eastAsia" w:ascii="宋体" w:hAnsi="宋体" w:cs="宋体"/>
                <w:snapToGrid w:val="0"/>
                <w:color w:val="auto"/>
                <w:kern w:val="0"/>
                <w:sz w:val="24"/>
                <w:highlight w:val="none"/>
              </w:rPr>
              <w:t>工程专业</w:t>
            </w:r>
          </w:p>
        </w:tc>
        <w:tc>
          <w:tcPr>
            <w:tcW w:w="1012" w:type="dxa"/>
            <w:tcBorders>
              <w:top w:val="single" w:color="auto" w:sz="4" w:space="0"/>
              <w:left w:val="nil"/>
              <w:bottom w:val="single" w:color="auto" w:sz="4" w:space="0"/>
              <w:right w:val="single" w:color="auto" w:sz="4" w:space="0"/>
            </w:tcBorders>
            <w:vAlign w:val="center"/>
          </w:tcPr>
          <w:p w14:paraId="2E19DC76">
            <w:pPr>
              <w:widowControl/>
              <w:spacing w:line="240" w:lineRule="auto"/>
              <w:jc w:val="center"/>
              <w:rPr>
                <w:rFonts w:hint="default" w:eastAsia="宋体"/>
                <w:color w:val="auto"/>
                <w:highlight w:val="none"/>
                <w:lang w:val="en-US" w:eastAsia="zh-CN"/>
              </w:rPr>
            </w:pPr>
            <w:r>
              <w:rPr>
                <w:rFonts w:hint="eastAsia"/>
                <w:color w:val="auto"/>
                <w:highlight w:val="none"/>
                <w:lang w:val="en-US" w:eastAsia="zh-CN"/>
              </w:rPr>
              <w:t>1</w:t>
            </w:r>
          </w:p>
        </w:tc>
        <w:tc>
          <w:tcPr>
            <w:tcW w:w="5234" w:type="dxa"/>
            <w:tcBorders>
              <w:top w:val="single" w:color="auto" w:sz="4" w:space="0"/>
              <w:left w:val="single" w:color="auto" w:sz="4" w:space="0"/>
              <w:right w:val="single" w:color="auto" w:sz="4" w:space="0"/>
            </w:tcBorders>
            <w:vAlign w:val="center"/>
          </w:tcPr>
          <w:p w14:paraId="243F9D7B">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专业监理工程师符合以下3种情形之一均可：</w:t>
            </w:r>
          </w:p>
          <w:p w14:paraId="23CF2EF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1．具备所需专业注册监理工程师执业资格，持有效的注册证书；</w:t>
            </w:r>
          </w:p>
          <w:p w14:paraId="11E3936D">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2．具备工程类注册执业资格，并经监理业务培训。持有效的注册证书、省级建设行政主管部门或其授权的组织（机构）颁发的岗位证书；</w:t>
            </w:r>
          </w:p>
          <w:p w14:paraId="4A9A46A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3．具备中级及以上专业技术职称，并经监理业务培训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持有效的职称证书、省级建设行政主管部门或其授权的组织（机构）颁发的岗位证书。</w:t>
            </w:r>
          </w:p>
          <w:p w14:paraId="0B67FE8D">
            <w:pPr>
              <w:widowControl/>
              <w:spacing w:line="440" w:lineRule="exact"/>
              <w:ind w:firstLine="480" w:firstLineChars="200"/>
              <w:rPr>
                <w:rFonts w:hAnsi="宋体" w:cs="宋体"/>
                <w:color w:val="auto"/>
                <w:kern w:val="0"/>
                <w:szCs w:val="24"/>
                <w:highlight w:val="none"/>
              </w:rPr>
            </w:pPr>
            <w:r>
              <w:rPr>
                <w:rFonts w:hint="eastAsia" w:ascii="宋体" w:hAnsi="宋体" w:eastAsia="宋体" w:cs="宋体"/>
                <w:color w:val="auto"/>
                <w:kern w:val="0"/>
                <w:sz w:val="24"/>
                <w:szCs w:val="24"/>
                <w:highlight w:val="none"/>
              </w:rPr>
              <w:t>注：专业类别以注册证书或专业监理工程师证书或职称证书或毕业证所列明的专业为准。</w:t>
            </w:r>
          </w:p>
        </w:tc>
      </w:tr>
      <w:tr w14:paraId="586B5BD1">
        <w:tblPrEx>
          <w:tblCellMar>
            <w:top w:w="0" w:type="dxa"/>
            <w:left w:w="108" w:type="dxa"/>
            <w:bottom w:w="0" w:type="dxa"/>
            <w:right w:w="108" w:type="dxa"/>
          </w:tblCellMar>
        </w:tblPrEx>
        <w:trPr>
          <w:trHeight w:val="1110" w:hRule="atLeast"/>
        </w:trPr>
        <w:tc>
          <w:tcPr>
            <w:tcW w:w="1132" w:type="dxa"/>
            <w:tcBorders>
              <w:top w:val="single" w:color="auto" w:sz="4" w:space="0"/>
              <w:left w:val="single" w:color="auto" w:sz="4" w:space="0"/>
              <w:bottom w:val="single" w:color="auto" w:sz="4" w:space="0"/>
              <w:right w:val="single" w:color="auto" w:sz="4" w:space="0"/>
            </w:tcBorders>
            <w:vAlign w:val="center"/>
          </w:tcPr>
          <w:p w14:paraId="5509CAB4">
            <w:pPr>
              <w:pStyle w:val="90"/>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color w:val="auto"/>
                <w:highlight w:val="none"/>
                <w:lang w:val="en-US" w:eastAsia="zh-CN"/>
              </w:rPr>
              <w:t>安全监理</w:t>
            </w:r>
            <w:r>
              <w:rPr>
                <w:rFonts w:hint="eastAsia"/>
                <w:color w:val="auto"/>
                <w:highlight w:val="none"/>
              </w:rPr>
              <w:t>工程师</w:t>
            </w:r>
          </w:p>
        </w:tc>
        <w:tc>
          <w:tcPr>
            <w:tcW w:w="1937" w:type="dxa"/>
            <w:tcBorders>
              <w:top w:val="single" w:color="auto" w:sz="4" w:space="0"/>
              <w:left w:val="single" w:color="auto" w:sz="4" w:space="0"/>
              <w:bottom w:val="single" w:color="auto" w:sz="4" w:space="0"/>
              <w:right w:val="single" w:color="auto" w:sz="4" w:space="0"/>
            </w:tcBorders>
            <w:vAlign w:val="center"/>
          </w:tcPr>
          <w:p w14:paraId="4AD2BE18">
            <w:pPr>
              <w:pStyle w:val="90"/>
              <w:wordWrap w:val="0"/>
              <w:adjustRightInd w:val="0"/>
              <w:snapToGrid w:val="0"/>
              <w:spacing w:line="360" w:lineRule="exact"/>
              <w:jc w:val="center"/>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建筑施工安全</w:t>
            </w:r>
          </w:p>
        </w:tc>
        <w:tc>
          <w:tcPr>
            <w:tcW w:w="1012" w:type="dxa"/>
            <w:tcBorders>
              <w:top w:val="single" w:color="auto" w:sz="4" w:space="0"/>
              <w:left w:val="single" w:color="auto" w:sz="4" w:space="0"/>
              <w:bottom w:val="single" w:color="auto" w:sz="4" w:space="0"/>
              <w:right w:val="single" w:color="auto" w:sz="4" w:space="0"/>
            </w:tcBorders>
            <w:vAlign w:val="center"/>
          </w:tcPr>
          <w:p w14:paraId="1934FE47">
            <w:pPr>
              <w:pStyle w:val="90"/>
              <w:wordWrap w:val="0"/>
              <w:adjustRightInd w:val="0"/>
              <w:snapToGrid w:val="0"/>
              <w:spacing w:line="360" w:lineRule="exact"/>
              <w:jc w:val="center"/>
              <w:rPr>
                <w:rFonts w:hint="default"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1</w:t>
            </w:r>
          </w:p>
        </w:tc>
        <w:tc>
          <w:tcPr>
            <w:tcW w:w="5234" w:type="dxa"/>
            <w:tcBorders>
              <w:top w:val="single" w:color="auto" w:sz="4" w:space="0"/>
              <w:left w:val="single" w:color="auto" w:sz="4" w:space="0"/>
              <w:bottom w:val="single" w:color="auto" w:sz="4" w:space="0"/>
              <w:right w:val="single" w:color="auto" w:sz="4" w:space="0"/>
            </w:tcBorders>
            <w:vAlign w:val="center"/>
          </w:tcPr>
          <w:p w14:paraId="10AE2F6F">
            <w:pPr>
              <w:pStyle w:val="90"/>
              <w:wordWrap w:val="0"/>
              <w:adjustRightInd w:val="0"/>
              <w:snapToGrid w:val="0"/>
              <w:spacing w:line="360" w:lineRule="exact"/>
              <w:jc w:val="center"/>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lang w:val="en-US" w:eastAsia="zh-CN"/>
              </w:rPr>
              <w:t>具</w:t>
            </w:r>
            <w:r>
              <w:rPr>
                <w:rFonts w:hint="eastAsia" w:ascii="宋体" w:hAnsi="宋体" w:cs="宋体"/>
                <w:snapToGrid w:val="0"/>
                <w:color w:val="auto"/>
                <w:kern w:val="0"/>
                <w:sz w:val="24"/>
                <w:highlight w:val="none"/>
              </w:rPr>
              <w:t>有注册</w:t>
            </w:r>
            <w:r>
              <w:rPr>
                <w:rFonts w:hint="eastAsia" w:ascii="宋体" w:hAnsi="宋体" w:cs="宋体"/>
                <w:snapToGrid w:val="0"/>
                <w:color w:val="auto"/>
                <w:kern w:val="0"/>
                <w:sz w:val="24"/>
                <w:highlight w:val="none"/>
                <w:lang w:val="en-US" w:eastAsia="zh-CN"/>
              </w:rPr>
              <w:t>有效期内的全国</w:t>
            </w:r>
            <w:r>
              <w:rPr>
                <w:rFonts w:hint="eastAsia" w:ascii="宋体" w:hAnsi="宋体" w:cs="宋体"/>
                <w:snapToGrid w:val="0"/>
                <w:color w:val="auto"/>
                <w:kern w:val="0"/>
                <w:sz w:val="24"/>
                <w:highlight w:val="none"/>
              </w:rPr>
              <w:t>安全工程师</w:t>
            </w:r>
            <w:r>
              <w:rPr>
                <w:rFonts w:hint="eastAsia" w:ascii="宋体" w:hAnsi="宋体" w:cs="宋体"/>
                <w:snapToGrid w:val="0"/>
                <w:color w:val="auto"/>
                <w:kern w:val="0"/>
                <w:sz w:val="24"/>
                <w:highlight w:val="none"/>
                <w:lang w:val="en-US" w:eastAsia="zh-CN"/>
              </w:rPr>
              <w:t>执业</w:t>
            </w:r>
            <w:r>
              <w:rPr>
                <w:rFonts w:hint="eastAsia" w:ascii="宋体" w:hAnsi="宋体" w:cs="宋体"/>
                <w:snapToGrid w:val="0"/>
                <w:color w:val="auto"/>
                <w:kern w:val="0"/>
                <w:sz w:val="24"/>
                <w:highlight w:val="none"/>
              </w:rPr>
              <w:t>证书</w:t>
            </w:r>
            <w:r>
              <w:rPr>
                <w:rFonts w:hint="eastAsia" w:ascii="宋体" w:hAnsi="宋体" w:cs="宋体"/>
                <w:snapToGrid w:val="0"/>
                <w:color w:val="auto"/>
                <w:kern w:val="0"/>
                <w:sz w:val="24"/>
                <w:highlight w:val="none"/>
                <w:lang w:eastAsia="zh-CN"/>
              </w:rPr>
              <w:t>。</w:t>
            </w:r>
          </w:p>
        </w:tc>
      </w:tr>
      <w:tr w14:paraId="52FED773">
        <w:tblPrEx>
          <w:tblCellMar>
            <w:top w:w="0" w:type="dxa"/>
            <w:left w:w="108" w:type="dxa"/>
            <w:bottom w:w="0" w:type="dxa"/>
            <w:right w:w="108" w:type="dxa"/>
          </w:tblCellMar>
        </w:tblPrEx>
        <w:trPr>
          <w:trHeight w:val="1110" w:hRule="atLeast"/>
        </w:trPr>
        <w:tc>
          <w:tcPr>
            <w:tcW w:w="1132" w:type="dxa"/>
            <w:tcBorders>
              <w:top w:val="single" w:color="auto" w:sz="4" w:space="0"/>
              <w:left w:val="single" w:color="auto" w:sz="4" w:space="0"/>
              <w:bottom w:val="single" w:color="auto" w:sz="4" w:space="0"/>
              <w:right w:val="single" w:color="auto" w:sz="4" w:space="0"/>
            </w:tcBorders>
            <w:vAlign w:val="center"/>
          </w:tcPr>
          <w:p w14:paraId="33AA7C8C">
            <w:pPr>
              <w:pStyle w:val="90"/>
              <w:wordWrap w:val="0"/>
              <w:adjustRightInd w:val="0"/>
              <w:snapToGrid w:val="0"/>
              <w:spacing w:line="360" w:lineRule="exact"/>
              <w:jc w:val="center"/>
              <w:rPr>
                <w:rFonts w:hint="eastAsia"/>
                <w:color w:val="auto"/>
                <w:highlight w:val="none"/>
              </w:rPr>
            </w:pPr>
            <w:r>
              <w:rPr>
                <w:rFonts w:hint="eastAsia" w:ascii="宋体" w:hAnsi="宋体" w:cs="宋体"/>
                <w:snapToGrid w:val="0"/>
                <w:color w:val="auto"/>
                <w:kern w:val="0"/>
                <w:sz w:val="24"/>
                <w:highlight w:val="none"/>
              </w:rPr>
              <w:t>监理员</w:t>
            </w:r>
          </w:p>
        </w:tc>
        <w:tc>
          <w:tcPr>
            <w:tcW w:w="1937" w:type="dxa"/>
            <w:tcBorders>
              <w:top w:val="single" w:color="auto" w:sz="4" w:space="0"/>
              <w:left w:val="single" w:color="auto" w:sz="4" w:space="0"/>
              <w:bottom w:val="single" w:color="auto" w:sz="4" w:space="0"/>
              <w:right w:val="single" w:color="auto" w:sz="4" w:space="0"/>
            </w:tcBorders>
            <w:vAlign w:val="center"/>
          </w:tcPr>
          <w:p w14:paraId="2F7F8E07">
            <w:pPr>
              <w:pStyle w:val="90"/>
              <w:wordWrap w:val="0"/>
              <w:adjustRightInd w:val="0"/>
              <w:snapToGrid w:val="0"/>
              <w:spacing w:line="360" w:lineRule="exact"/>
              <w:jc w:val="center"/>
              <w:rPr>
                <w:rFonts w:hint="eastAsia"/>
                <w:color w:val="auto"/>
                <w:highlight w:val="none"/>
              </w:rPr>
            </w:pPr>
            <w:r>
              <w:rPr>
                <w:rFonts w:hint="eastAsia" w:ascii="宋体" w:hAnsi="宋体" w:cs="宋体"/>
                <w:snapToGrid w:val="0"/>
                <w:color w:val="auto"/>
                <w:kern w:val="0"/>
                <w:sz w:val="24"/>
                <w:highlight w:val="none"/>
              </w:rPr>
              <w:t>监理员岗位证书</w:t>
            </w:r>
          </w:p>
        </w:tc>
        <w:tc>
          <w:tcPr>
            <w:tcW w:w="1012" w:type="dxa"/>
            <w:tcBorders>
              <w:top w:val="single" w:color="auto" w:sz="4" w:space="0"/>
              <w:left w:val="single" w:color="auto" w:sz="4" w:space="0"/>
              <w:bottom w:val="single" w:color="auto" w:sz="4" w:space="0"/>
              <w:right w:val="single" w:color="auto" w:sz="4" w:space="0"/>
            </w:tcBorders>
            <w:vAlign w:val="center"/>
          </w:tcPr>
          <w:p w14:paraId="1672290A">
            <w:pPr>
              <w:pStyle w:val="90"/>
              <w:wordWrap w:val="0"/>
              <w:adjustRightInd w:val="0"/>
              <w:snapToGrid w:val="0"/>
              <w:spacing w:line="360" w:lineRule="exact"/>
              <w:jc w:val="center"/>
              <w:rPr>
                <w:rFonts w:hint="default"/>
                <w:color w:val="auto"/>
                <w:highlight w:val="none"/>
                <w:lang w:val="en-US" w:eastAsia="zh-CN"/>
              </w:rPr>
            </w:pPr>
            <w:r>
              <w:rPr>
                <w:rFonts w:hint="eastAsia"/>
                <w:color w:val="auto"/>
                <w:highlight w:val="none"/>
                <w:lang w:val="en-US" w:eastAsia="zh-CN"/>
              </w:rPr>
              <w:t>2</w:t>
            </w:r>
          </w:p>
        </w:tc>
        <w:tc>
          <w:tcPr>
            <w:tcW w:w="5234" w:type="dxa"/>
            <w:tcBorders>
              <w:top w:val="single" w:color="auto" w:sz="4" w:space="0"/>
              <w:left w:val="single" w:color="auto" w:sz="4" w:space="0"/>
              <w:bottom w:val="single" w:color="auto" w:sz="4" w:space="0"/>
              <w:right w:val="single" w:color="auto" w:sz="4" w:space="0"/>
            </w:tcBorders>
            <w:vAlign w:val="center"/>
          </w:tcPr>
          <w:p w14:paraId="7DFD8B43">
            <w:pPr>
              <w:pStyle w:val="90"/>
              <w:wordWrap w:val="0"/>
              <w:adjustRightInd w:val="0"/>
              <w:snapToGrid w:val="0"/>
              <w:spacing w:line="360" w:lineRule="exact"/>
              <w:jc w:val="center"/>
              <w:rPr>
                <w:rFonts w:hint="eastAsia" w:hAnsi="宋体" w:cs="宋体"/>
                <w:color w:val="auto"/>
                <w:kern w:val="0"/>
                <w:szCs w:val="24"/>
                <w:highlight w:val="none"/>
              </w:rPr>
            </w:pPr>
            <w:r>
              <w:rPr>
                <w:rFonts w:hint="eastAsia" w:ascii="宋体" w:hAnsi="宋体" w:cs="宋体"/>
                <w:snapToGrid w:val="0"/>
                <w:color w:val="auto"/>
                <w:kern w:val="0"/>
                <w:sz w:val="24"/>
                <w:highlight w:val="none"/>
              </w:rPr>
              <w:t>经监理业务培训，持有效的省级建设行政主管部门或其授权的组织（机构）颁发的岗位证书。</w:t>
            </w:r>
          </w:p>
        </w:tc>
      </w:tr>
    </w:tbl>
    <w:p w14:paraId="3E67B8DA">
      <w:pPr>
        <w:wordWrap w:val="0"/>
        <w:adjustRightInd w:val="0"/>
        <w:snapToGrid w:val="0"/>
        <w:spacing w:line="440" w:lineRule="exact"/>
        <w:ind w:firstLine="480" w:firstLineChars="200"/>
        <w:rPr>
          <w:rFonts w:ascii="Times New Roman"/>
          <w:snapToGrid w:val="0"/>
          <w:color w:val="auto"/>
          <w:kern w:val="0"/>
          <w:highlight w:val="none"/>
        </w:rPr>
      </w:pPr>
      <w:r>
        <w:rPr>
          <w:rFonts w:hint="eastAsia" w:hAnsi="宋体" w:cs="宋体"/>
          <w:color w:val="auto"/>
          <w:kern w:val="0"/>
          <w:szCs w:val="24"/>
          <w:highlight w:val="none"/>
        </w:rPr>
        <w:t>注：</w:t>
      </w:r>
      <w:r>
        <w:rPr>
          <w:rFonts w:hint="eastAsia" w:ascii="宋体" w:hAnsi="宋体" w:eastAsia="宋体" w:cs="宋体"/>
          <w:color w:val="auto"/>
          <w:kern w:val="0"/>
          <w:sz w:val="24"/>
          <w:szCs w:val="24"/>
          <w:highlight w:val="none"/>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highlight w:val="none"/>
        </w:rPr>
      </w:pPr>
    </w:p>
    <w:p w14:paraId="07D9C16A">
      <w:pPr>
        <w:adjustRightInd w:val="0"/>
        <w:snapToGrid w:val="0"/>
        <w:spacing w:line="440" w:lineRule="exact"/>
        <w:ind w:firstLine="480" w:firstLineChars="200"/>
        <w:rPr>
          <w:rFonts w:hAnsi="宋体" w:cs="宋体"/>
          <w:snapToGrid w:val="0"/>
          <w:color w:val="auto"/>
          <w:kern w:val="0"/>
          <w:highlight w:val="none"/>
        </w:rPr>
      </w:pPr>
      <w:r>
        <w:rPr>
          <w:rFonts w:hint="eastAsia" w:hAnsi="宋体" w:cs="宋体"/>
          <w:snapToGrid w:val="0"/>
          <w:color w:val="auto"/>
          <w:kern w:val="0"/>
          <w:highlight w:val="none"/>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15.</w:t>
      </w: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 xml:space="preserve">.2 </w:t>
      </w:r>
      <w:r>
        <w:rPr>
          <w:rFonts w:hint="eastAsia" w:hAnsi="宋体" w:cs="宋体"/>
          <w:snapToGrid w:val="0"/>
          <w:color w:val="auto"/>
          <w:kern w:val="0"/>
          <w:szCs w:val="24"/>
          <w:highlight w:val="none"/>
        </w:rPr>
        <w:t>否决投标说明</w:t>
      </w:r>
    </w:p>
    <w:p w14:paraId="4CADBCAA">
      <w:pPr>
        <w:wordWrap w:val="0"/>
        <w:adjustRightInd w:val="0"/>
        <w:snapToGrid w:val="0"/>
        <w:spacing w:line="360" w:lineRule="auto"/>
        <w:ind w:firstLine="562"/>
        <w:rPr>
          <w:rFonts w:hAnsi="宋体" w:cs="宋体"/>
          <w:snapToGrid w:val="0"/>
          <w:color w:val="auto"/>
          <w:kern w:val="0"/>
          <w:szCs w:val="24"/>
          <w:highlight w:val="none"/>
        </w:rPr>
      </w:pPr>
      <w:r>
        <w:rPr>
          <w:rFonts w:hint="eastAsia" w:hAnsi="宋体" w:cs="宋体"/>
          <w:snapToGrid w:val="0"/>
          <w:color w:val="auto"/>
          <w:kern w:val="0"/>
          <w:szCs w:val="24"/>
          <w:highlight w:val="none"/>
        </w:rPr>
        <w:t>详细评审阶段否决投标的全部条件，在本章第四节“否决投标条件”第</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highlight w:val="none"/>
        </w:rPr>
      </w:pPr>
      <w:r>
        <w:rPr>
          <w:rFonts w:hint="eastAsia" w:hAnsi="宋体" w:cs="宋体"/>
          <w:b/>
          <w:bCs/>
          <w:snapToGrid w:val="0"/>
          <w:color w:val="auto"/>
          <w:kern w:val="0"/>
          <w:szCs w:val="24"/>
          <w:highlight w:val="none"/>
        </w:rPr>
        <w:t>注：投标人在详细评审阶段根据评分方法提供的佐证材料，其合法性、有效性和准确性不符合要求的，有关评分因素的评分按相应评分标准处理，但不否决投标。</w:t>
      </w:r>
    </w:p>
    <w:p w14:paraId="73CA2331">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int="eastAsia" w:hAnsi="宋体" w:cs="宋体"/>
          <w:b/>
          <w:snapToGrid w:val="0"/>
          <w:color w:val="auto"/>
          <w:szCs w:val="24"/>
          <w:highlight w:val="none"/>
        </w:rPr>
      </w:pPr>
      <w:bookmarkStart w:id="62" w:name="_Toc23668"/>
      <w:r>
        <w:rPr>
          <w:rFonts w:hint="eastAsia" w:hAnsi="宋体" w:cs="宋体"/>
          <w:b/>
          <w:snapToGrid w:val="0"/>
          <w:color w:val="auto"/>
          <w:szCs w:val="24"/>
          <w:highlight w:val="none"/>
        </w:rPr>
        <w:t>16．推荐中标候选人</w:t>
      </w:r>
      <w:bookmarkEnd w:id="62"/>
    </w:p>
    <w:p w14:paraId="73027949">
      <w:pPr>
        <w:wordWrap w:val="0"/>
        <w:adjustRightInd w:val="0"/>
        <w:snapToGrid w:val="0"/>
        <w:spacing w:line="360" w:lineRule="auto"/>
        <w:ind w:firstLine="482" w:firstLineChars="200"/>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 xml:space="preserve">.1 </w:t>
      </w:r>
      <w:r>
        <w:rPr>
          <w:rFonts w:hint="eastAsia" w:hAnsi="宋体" w:cs="宋体"/>
          <w:b w:val="0"/>
          <w:bCs w:val="0"/>
          <w:snapToGrid w:val="0"/>
          <w:color w:val="auto"/>
          <w:kern w:val="0"/>
          <w:szCs w:val="24"/>
          <w:highlight w:val="none"/>
        </w:rPr>
        <w:t>确定排名</w:t>
      </w:r>
    </w:p>
    <w:p w14:paraId="17101544">
      <w:pPr>
        <w:wordWrap w:val="0"/>
        <w:adjustRightInd w:val="0"/>
        <w:snapToGrid w:val="0"/>
        <w:spacing w:line="360" w:lineRule="auto"/>
        <w:ind w:firstLine="480" w:firstLineChars="200"/>
        <w:outlineLvl w:val="1"/>
        <w:rPr>
          <w:rFonts w:hint="eastAsia" w:hAnsi="宋体" w:cs="宋体"/>
          <w:b w:val="0"/>
          <w:bCs/>
          <w:snapToGrid w:val="0"/>
          <w:color w:val="auto"/>
          <w:kern w:val="0"/>
          <w:szCs w:val="24"/>
          <w:highlight w:val="none"/>
        </w:rPr>
      </w:pPr>
      <w:bookmarkStart w:id="63" w:name="_Toc10038"/>
      <w:bookmarkStart w:id="64" w:name="_Toc28775"/>
      <w:r>
        <w:rPr>
          <w:rFonts w:hint="eastAsia" w:hAnsi="宋体" w:cs="宋体"/>
          <w:b w:val="0"/>
          <w:bCs/>
          <w:snapToGrid w:val="0"/>
          <w:color w:val="auto"/>
          <w:kern w:val="0"/>
          <w:szCs w:val="24"/>
          <w:highlight w:val="none"/>
        </w:rPr>
        <w:t>评标委员会汇总、比较所有投标人的综合得分后，按照综合得分由高到低的次序排列。综合得分相等时，以投标总价低的优先；如果投标总价也相等的，由评标委员会投票确定。</w:t>
      </w:r>
      <w:bookmarkEnd w:id="63"/>
      <w:bookmarkEnd w:id="64"/>
    </w:p>
    <w:p w14:paraId="2DFB7C24">
      <w:pPr>
        <w:wordWrap w:val="0"/>
        <w:adjustRightInd w:val="0"/>
        <w:snapToGrid w:val="0"/>
        <w:spacing w:line="360" w:lineRule="auto"/>
        <w:ind w:firstLine="482" w:firstLineChars="200"/>
        <w:outlineLvl w:val="1"/>
        <w:rPr>
          <w:rFonts w:hint="eastAsia" w:hAnsi="宋体" w:cs="宋体"/>
          <w:b/>
          <w:snapToGrid w:val="0"/>
          <w:color w:val="auto"/>
          <w:kern w:val="0"/>
          <w:szCs w:val="24"/>
          <w:highlight w:val="none"/>
        </w:rPr>
      </w:pPr>
      <w:bookmarkStart w:id="65" w:name="_Toc28841"/>
      <w:bookmarkStart w:id="66" w:name="_Toc4420"/>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6</w:t>
      </w:r>
      <w:r>
        <w:rPr>
          <w:rFonts w:hint="eastAsia" w:hAnsi="宋体" w:cs="宋体"/>
          <w:b/>
          <w:snapToGrid w:val="0"/>
          <w:color w:val="auto"/>
          <w:kern w:val="0"/>
          <w:szCs w:val="24"/>
          <w:highlight w:val="none"/>
        </w:rPr>
        <w:t xml:space="preserve">.2 </w:t>
      </w:r>
      <w:r>
        <w:rPr>
          <w:rFonts w:hint="eastAsia" w:hAnsi="宋体" w:cs="宋体"/>
          <w:b w:val="0"/>
          <w:bCs/>
          <w:snapToGrid w:val="0"/>
          <w:color w:val="auto"/>
          <w:kern w:val="0"/>
          <w:szCs w:val="24"/>
          <w:highlight w:val="none"/>
        </w:rPr>
        <w:t>推荐方法</w:t>
      </w:r>
      <w:bookmarkEnd w:id="65"/>
      <w:bookmarkEnd w:id="66"/>
    </w:p>
    <w:p w14:paraId="51771E02">
      <w:pPr>
        <w:wordWrap w:val="0"/>
        <w:adjustRightInd w:val="0"/>
        <w:snapToGrid w:val="0"/>
        <w:spacing w:line="360" w:lineRule="auto"/>
        <w:ind w:firstLine="480" w:firstLineChars="200"/>
        <w:outlineLvl w:val="1"/>
        <w:rPr>
          <w:rFonts w:hint="eastAsia" w:hAnsi="宋体" w:cs="宋体"/>
          <w:b w:val="0"/>
          <w:bCs/>
          <w:snapToGrid w:val="0"/>
          <w:color w:val="auto"/>
          <w:kern w:val="0"/>
          <w:szCs w:val="24"/>
          <w:highlight w:val="none"/>
        </w:rPr>
      </w:pPr>
      <w:bookmarkStart w:id="67" w:name="_Toc1434"/>
      <w:bookmarkStart w:id="68" w:name="_Toc21828"/>
      <w:r>
        <w:rPr>
          <w:rFonts w:hint="eastAsia" w:hAnsi="宋体" w:cs="宋体"/>
          <w:b w:val="0"/>
          <w:bCs/>
          <w:snapToGrid w:val="0"/>
          <w:color w:val="auto"/>
          <w:kern w:val="0"/>
          <w:szCs w:val="24"/>
          <w:highlight w:val="none"/>
        </w:rPr>
        <w:t>（1）有效投标人数量达到或超过3个的，评标委员会将前三名投标人作为中标候选人向招标人推荐，并标明排列顺序。</w:t>
      </w:r>
      <w:bookmarkEnd w:id="67"/>
      <w:bookmarkEnd w:id="68"/>
    </w:p>
    <w:p w14:paraId="38AE0B13">
      <w:pPr>
        <w:wordWrap w:val="0"/>
        <w:adjustRightInd w:val="0"/>
        <w:snapToGrid w:val="0"/>
        <w:spacing w:line="360" w:lineRule="auto"/>
        <w:ind w:firstLine="480" w:firstLineChars="200"/>
        <w:outlineLvl w:val="1"/>
        <w:rPr>
          <w:rFonts w:hint="eastAsia" w:hAnsi="宋体" w:cs="宋体"/>
          <w:b w:val="0"/>
          <w:bCs/>
          <w:snapToGrid w:val="0"/>
          <w:color w:val="auto"/>
          <w:kern w:val="0"/>
          <w:szCs w:val="24"/>
          <w:highlight w:val="none"/>
        </w:rPr>
      </w:pPr>
      <w:bookmarkStart w:id="69" w:name="_Toc32512"/>
      <w:bookmarkStart w:id="70" w:name="_Toc27202"/>
      <w:r>
        <w:rPr>
          <w:rFonts w:hint="eastAsia" w:hAnsi="宋体" w:cs="宋体"/>
          <w:b w:val="0"/>
          <w:bCs/>
          <w:snapToGrid w:val="0"/>
          <w:color w:val="auto"/>
          <w:kern w:val="0"/>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bookmarkEnd w:id="69"/>
      <w:bookmarkEnd w:id="70"/>
    </w:p>
    <w:p w14:paraId="1E7EFB30">
      <w:pPr>
        <w:wordWrap w:val="0"/>
        <w:adjustRightInd w:val="0"/>
        <w:snapToGrid w:val="0"/>
        <w:spacing w:line="360" w:lineRule="auto"/>
        <w:ind w:firstLine="482" w:firstLineChars="200"/>
        <w:outlineLvl w:val="1"/>
        <w:rPr>
          <w:rFonts w:hint="eastAsia" w:hAnsi="宋体" w:cs="宋体"/>
          <w:b w:val="0"/>
          <w:bCs/>
          <w:snapToGrid w:val="0"/>
          <w:color w:val="auto"/>
          <w:kern w:val="0"/>
          <w:szCs w:val="24"/>
          <w:highlight w:val="none"/>
        </w:rPr>
      </w:pPr>
      <w:bookmarkStart w:id="71" w:name="_Toc1479"/>
      <w:bookmarkStart w:id="72" w:name="_Toc18953"/>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6</w:t>
      </w:r>
      <w:r>
        <w:rPr>
          <w:rFonts w:hint="eastAsia" w:hAnsi="宋体" w:cs="宋体"/>
          <w:b/>
          <w:snapToGrid w:val="0"/>
          <w:color w:val="auto"/>
          <w:kern w:val="0"/>
          <w:szCs w:val="24"/>
          <w:highlight w:val="none"/>
        </w:rPr>
        <w:t xml:space="preserve">.3 </w:t>
      </w:r>
      <w:r>
        <w:rPr>
          <w:rFonts w:hint="eastAsia" w:hAnsi="宋体" w:cs="宋体"/>
          <w:b w:val="0"/>
          <w:bCs/>
          <w:snapToGrid w:val="0"/>
          <w:color w:val="auto"/>
          <w:kern w:val="0"/>
          <w:szCs w:val="24"/>
          <w:highlight w:val="none"/>
        </w:rPr>
        <w:t>评标委员会完成评标后，应向招标人提交由全体评标委员会成员签字的评标报告和中标候选人名单。</w:t>
      </w:r>
      <w:bookmarkEnd w:id="71"/>
      <w:bookmarkEnd w:id="72"/>
    </w:p>
    <w:p w14:paraId="1855C80E">
      <w:pPr>
        <w:keepNext w:val="0"/>
        <w:keepLines w:val="0"/>
        <w:pageBreakBefore w:val="0"/>
        <w:wordWrap w:val="0"/>
        <w:topLinePunct w:val="0"/>
        <w:bidi w:val="0"/>
        <w:adjustRightInd w:val="0"/>
        <w:snapToGrid w:val="0"/>
        <w:spacing w:line="500" w:lineRule="exact"/>
        <w:ind w:firstLine="482" w:firstLineChars="200"/>
        <w:textAlignment w:val="auto"/>
        <w:outlineLvl w:val="2"/>
        <w:rPr>
          <w:rFonts w:hint="eastAsia" w:ascii="宋体" w:hAnsi="宋体" w:eastAsia="宋体" w:cs="宋体"/>
          <w:b/>
          <w:snapToGrid w:val="0"/>
          <w:color w:val="auto"/>
          <w:kern w:val="0"/>
          <w:highlight w:val="none"/>
        </w:rPr>
      </w:pPr>
      <w:bookmarkStart w:id="73" w:name="_Toc22756"/>
      <w:r>
        <w:rPr>
          <w:rFonts w:hint="eastAsia" w:ascii="宋体" w:hAnsi="宋体" w:eastAsia="宋体" w:cs="宋体"/>
          <w:b/>
          <w:snapToGrid w:val="0"/>
          <w:color w:val="auto"/>
          <w:kern w:val="0"/>
          <w:highlight w:val="none"/>
        </w:rPr>
        <w:t>1</w:t>
      </w:r>
      <w:r>
        <w:rPr>
          <w:rFonts w:hint="eastAsia" w:ascii="宋体" w:hAnsi="宋体" w:eastAsia="宋体" w:cs="宋体"/>
          <w:b/>
          <w:snapToGrid w:val="0"/>
          <w:color w:val="auto"/>
          <w:kern w:val="0"/>
          <w:highlight w:val="none"/>
          <w:lang w:val="en-US" w:eastAsia="zh-CN"/>
        </w:rPr>
        <w:t>7</w:t>
      </w:r>
      <w:r>
        <w:rPr>
          <w:rFonts w:hint="eastAsia" w:ascii="宋体" w:hAnsi="宋体" w:eastAsia="宋体" w:cs="宋体"/>
          <w:b/>
          <w:snapToGrid w:val="0"/>
          <w:color w:val="auto"/>
          <w:kern w:val="0"/>
          <w:highlight w:val="none"/>
        </w:rPr>
        <w:t>.中标候选人公示</w:t>
      </w:r>
      <w:bookmarkEnd w:id="73"/>
    </w:p>
    <w:p w14:paraId="49F59228">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b w:val="0"/>
          <w:bCs w:val="0"/>
          <w:snapToGrid w:val="0"/>
          <w:color w:val="auto"/>
          <w:kern w:val="0"/>
          <w:szCs w:val="24"/>
          <w:highlight w:val="none"/>
        </w:rPr>
        <w:t>招标人自收到评标委员会提交的书面评标报告和中标候选人名单之日起3日内，将评标结果（即中标候选人名单）、中标候选人投标文件、评标过程（评标专家姓名用代码标记）一并在广东省招标投标监管网（https://zbtb.gd.gov.cn/#/index）及全国公共资源交易平台（广东省·韶关市）（https://ygp.gdzwfw.gov.cn/ggzy-portal/#/440200/index）进行公示，公示期不得少于3天。</w:t>
      </w:r>
    </w:p>
    <w:p w14:paraId="7BE7EDF1">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 xml:space="preserve">.2 </w:t>
      </w:r>
      <w:r>
        <w:rPr>
          <w:rFonts w:hint="eastAsia" w:hAnsi="宋体" w:cs="宋体"/>
          <w:b w:val="0"/>
          <w:bCs w:val="0"/>
          <w:snapToGrid w:val="0"/>
          <w:color w:val="auto"/>
          <w:kern w:val="0"/>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DC5290B">
      <w:pPr>
        <w:wordWrap w:val="0"/>
        <w:adjustRightInd w:val="0"/>
        <w:snapToGrid w:val="0"/>
        <w:spacing w:line="360" w:lineRule="auto"/>
        <w:ind w:firstLine="482" w:firstLineChars="200"/>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 xml:space="preserve">.3 </w:t>
      </w:r>
      <w:r>
        <w:rPr>
          <w:rFonts w:hint="eastAsia" w:hAnsi="宋体" w:cs="宋体"/>
          <w:b w:val="0"/>
          <w:bCs w:val="0"/>
          <w:snapToGrid w:val="0"/>
          <w:color w:val="auto"/>
          <w:kern w:val="0"/>
          <w:szCs w:val="24"/>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58B9D703">
      <w:pPr>
        <w:wordWrap w:val="0"/>
        <w:adjustRightInd w:val="0"/>
        <w:snapToGrid w:val="0"/>
        <w:spacing w:line="360" w:lineRule="auto"/>
        <w:outlineLvl w:val="1"/>
        <w:rPr>
          <w:rFonts w:hint="eastAsia" w:hAnsi="宋体" w:cs="宋体"/>
          <w:b/>
          <w:bCs/>
          <w:snapToGrid w:val="0"/>
          <w:color w:val="auto"/>
          <w:kern w:val="0"/>
          <w:highlight w:val="none"/>
        </w:rPr>
      </w:pPr>
    </w:p>
    <w:p w14:paraId="7A115FAC">
      <w:pPr>
        <w:wordWrap w:val="0"/>
        <w:adjustRightInd w:val="0"/>
        <w:snapToGrid w:val="0"/>
        <w:spacing w:line="360" w:lineRule="auto"/>
        <w:outlineLvl w:val="1"/>
        <w:rPr>
          <w:rFonts w:hint="eastAsia" w:hAnsi="宋体" w:cs="宋体"/>
          <w:b/>
          <w:bCs/>
          <w:snapToGrid w:val="0"/>
          <w:color w:val="auto"/>
          <w:kern w:val="0"/>
          <w:highlight w:val="none"/>
        </w:rPr>
      </w:pPr>
    </w:p>
    <w:p w14:paraId="28E6F404">
      <w:pPr>
        <w:wordWrap w:val="0"/>
        <w:adjustRightInd w:val="0"/>
        <w:snapToGrid w:val="0"/>
        <w:spacing w:line="360" w:lineRule="auto"/>
        <w:outlineLvl w:val="1"/>
        <w:rPr>
          <w:rFonts w:hint="eastAsia" w:hAnsi="宋体" w:cs="宋体"/>
          <w:b/>
          <w:bCs/>
          <w:snapToGrid w:val="0"/>
          <w:color w:val="auto"/>
          <w:kern w:val="0"/>
          <w:highlight w:val="none"/>
        </w:rPr>
      </w:pPr>
    </w:p>
    <w:p w14:paraId="46D21D91">
      <w:pPr>
        <w:wordWrap w:val="0"/>
        <w:adjustRightInd w:val="0"/>
        <w:snapToGrid w:val="0"/>
        <w:spacing w:line="360" w:lineRule="auto"/>
        <w:outlineLvl w:val="1"/>
        <w:rPr>
          <w:rFonts w:hint="eastAsia" w:hAnsi="宋体" w:cs="宋体"/>
          <w:b/>
          <w:bCs/>
          <w:snapToGrid w:val="0"/>
          <w:color w:val="auto"/>
          <w:kern w:val="0"/>
          <w:highlight w:val="none"/>
        </w:rPr>
      </w:pPr>
    </w:p>
    <w:p w14:paraId="3220DAFD">
      <w:pPr>
        <w:wordWrap w:val="0"/>
        <w:adjustRightInd w:val="0"/>
        <w:snapToGrid w:val="0"/>
        <w:spacing w:line="360" w:lineRule="auto"/>
        <w:outlineLvl w:val="1"/>
        <w:rPr>
          <w:rFonts w:hint="eastAsia" w:hAnsi="宋体" w:cs="宋体"/>
          <w:b/>
          <w:bCs/>
          <w:snapToGrid w:val="0"/>
          <w:color w:val="auto"/>
          <w:kern w:val="0"/>
          <w:highlight w:val="none"/>
        </w:rPr>
      </w:pPr>
    </w:p>
    <w:p w14:paraId="5A282C02">
      <w:pPr>
        <w:wordWrap w:val="0"/>
        <w:adjustRightInd w:val="0"/>
        <w:snapToGrid w:val="0"/>
        <w:spacing w:line="360" w:lineRule="auto"/>
        <w:outlineLvl w:val="1"/>
        <w:rPr>
          <w:rFonts w:hint="eastAsia" w:hAnsi="宋体" w:cs="宋体"/>
          <w:b/>
          <w:bCs/>
          <w:snapToGrid w:val="0"/>
          <w:color w:val="auto"/>
          <w:kern w:val="0"/>
          <w:highlight w:val="none"/>
        </w:rPr>
      </w:pPr>
    </w:p>
    <w:p w14:paraId="23869436">
      <w:pPr>
        <w:wordWrap w:val="0"/>
        <w:adjustRightInd w:val="0"/>
        <w:snapToGrid w:val="0"/>
        <w:spacing w:line="360" w:lineRule="auto"/>
        <w:outlineLvl w:val="1"/>
        <w:rPr>
          <w:rFonts w:hint="eastAsia" w:hAnsi="宋体" w:cs="宋体"/>
          <w:b/>
          <w:bCs/>
          <w:snapToGrid w:val="0"/>
          <w:color w:val="auto"/>
          <w:kern w:val="0"/>
          <w:highlight w:val="none"/>
        </w:rPr>
      </w:pPr>
    </w:p>
    <w:p w14:paraId="44FC2F61">
      <w:pPr>
        <w:wordWrap w:val="0"/>
        <w:adjustRightInd w:val="0"/>
        <w:snapToGrid w:val="0"/>
        <w:spacing w:line="360" w:lineRule="auto"/>
        <w:outlineLvl w:val="1"/>
        <w:rPr>
          <w:rFonts w:hint="eastAsia" w:hAnsi="宋体" w:cs="宋体"/>
          <w:b/>
          <w:bCs/>
          <w:snapToGrid w:val="0"/>
          <w:color w:val="auto"/>
          <w:kern w:val="0"/>
          <w:highlight w:val="none"/>
        </w:rPr>
      </w:pPr>
    </w:p>
    <w:p w14:paraId="0500E3C6">
      <w:pPr>
        <w:wordWrap w:val="0"/>
        <w:adjustRightInd w:val="0"/>
        <w:snapToGrid w:val="0"/>
        <w:spacing w:line="360" w:lineRule="auto"/>
        <w:outlineLvl w:val="1"/>
        <w:rPr>
          <w:rFonts w:hint="eastAsia" w:hAnsi="宋体" w:cs="宋体"/>
          <w:b/>
          <w:bCs/>
          <w:snapToGrid w:val="0"/>
          <w:color w:val="auto"/>
          <w:kern w:val="0"/>
          <w:highlight w:val="none"/>
        </w:rPr>
      </w:pPr>
    </w:p>
    <w:p w14:paraId="56AA8BFD">
      <w:pPr>
        <w:pStyle w:val="2"/>
        <w:rPr>
          <w:rFonts w:hint="eastAsia" w:hAnsi="宋体" w:cs="宋体"/>
          <w:b/>
          <w:bCs/>
          <w:snapToGrid w:val="0"/>
          <w:color w:val="auto"/>
          <w:kern w:val="0"/>
          <w:highlight w:val="none"/>
        </w:rPr>
      </w:pPr>
    </w:p>
    <w:p w14:paraId="7C528FA3">
      <w:pPr>
        <w:pStyle w:val="2"/>
        <w:rPr>
          <w:rFonts w:hint="eastAsia" w:hAnsi="宋体" w:cs="宋体"/>
          <w:b/>
          <w:bCs/>
          <w:snapToGrid w:val="0"/>
          <w:color w:val="auto"/>
          <w:kern w:val="0"/>
          <w:highlight w:val="none"/>
        </w:rPr>
      </w:pPr>
    </w:p>
    <w:p w14:paraId="3BC97034">
      <w:pPr>
        <w:pStyle w:val="2"/>
        <w:rPr>
          <w:rFonts w:hint="eastAsia" w:hAnsi="宋体" w:cs="宋体"/>
          <w:b/>
          <w:bCs/>
          <w:snapToGrid w:val="0"/>
          <w:color w:val="auto"/>
          <w:kern w:val="0"/>
          <w:highlight w:val="none"/>
        </w:rPr>
      </w:pPr>
    </w:p>
    <w:p w14:paraId="45D2047F">
      <w:pPr>
        <w:pStyle w:val="2"/>
        <w:rPr>
          <w:rFonts w:hint="eastAsia" w:hAnsi="宋体" w:cs="宋体"/>
          <w:b/>
          <w:bCs/>
          <w:snapToGrid w:val="0"/>
          <w:color w:val="auto"/>
          <w:kern w:val="0"/>
          <w:highlight w:val="none"/>
        </w:rPr>
      </w:pPr>
    </w:p>
    <w:p w14:paraId="31263F58">
      <w:pPr>
        <w:pStyle w:val="2"/>
        <w:rPr>
          <w:rFonts w:hint="eastAsia" w:hAnsi="宋体" w:cs="宋体"/>
          <w:b/>
          <w:bCs/>
          <w:snapToGrid w:val="0"/>
          <w:color w:val="auto"/>
          <w:kern w:val="0"/>
          <w:highlight w:val="none"/>
        </w:rPr>
      </w:pPr>
    </w:p>
    <w:p w14:paraId="2EDF887A">
      <w:pPr>
        <w:pStyle w:val="2"/>
        <w:rPr>
          <w:rFonts w:hint="eastAsia" w:hAnsi="宋体" w:cs="宋体"/>
          <w:b/>
          <w:bCs/>
          <w:snapToGrid w:val="0"/>
          <w:color w:val="auto"/>
          <w:kern w:val="0"/>
          <w:highlight w:val="none"/>
        </w:rPr>
      </w:pPr>
    </w:p>
    <w:p w14:paraId="2886EB6A">
      <w:pPr>
        <w:pStyle w:val="2"/>
        <w:rPr>
          <w:rFonts w:hint="eastAsia" w:hAnsi="宋体" w:cs="宋体"/>
          <w:b/>
          <w:bCs/>
          <w:snapToGrid w:val="0"/>
          <w:color w:val="auto"/>
          <w:kern w:val="0"/>
          <w:highlight w:val="none"/>
        </w:rPr>
      </w:pPr>
    </w:p>
    <w:p w14:paraId="5140B621">
      <w:pPr>
        <w:pStyle w:val="2"/>
        <w:rPr>
          <w:rFonts w:hint="eastAsia" w:hAnsi="宋体" w:cs="宋体"/>
          <w:b/>
          <w:bCs/>
          <w:snapToGrid w:val="0"/>
          <w:color w:val="auto"/>
          <w:kern w:val="0"/>
          <w:highlight w:val="none"/>
        </w:rPr>
      </w:pPr>
    </w:p>
    <w:p w14:paraId="0A38CC43">
      <w:pPr>
        <w:pStyle w:val="2"/>
        <w:rPr>
          <w:rFonts w:hint="eastAsia" w:hAnsi="宋体" w:cs="宋体"/>
          <w:b/>
          <w:bCs/>
          <w:snapToGrid w:val="0"/>
          <w:color w:val="auto"/>
          <w:kern w:val="0"/>
          <w:highlight w:val="none"/>
        </w:rPr>
      </w:pPr>
    </w:p>
    <w:p w14:paraId="6847D163">
      <w:pPr>
        <w:pStyle w:val="2"/>
        <w:rPr>
          <w:rFonts w:hint="eastAsia" w:hAnsi="宋体" w:cs="宋体"/>
          <w:b/>
          <w:bCs/>
          <w:snapToGrid w:val="0"/>
          <w:color w:val="auto"/>
          <w:kern w:val="0"/>
          <w:highlight w:val="none"/>
        </w:rPr>
      </w:pPr>
    </w:p>
    <w:p w14:paraId="3626C809">
      <w:pPr>
        <w:wordWrap w:val="0"/>
        <w:adjustRightInd w:val="0"/>
        <w:snapToGrid w:val="0"/>
        <w:spacing w:line="360" w:lineRule="auto"/>
        <w:outlineLvl w:val="1"/>
        <w:rPr>
          <w:rFonts w:hint="eastAsia" w:hAnsi="宋体" w:cs="宋体"/>
          <w:b/>
          <w:bCs/>
          <w:snapToGrid w:val="0"/>
          <w:color w:val="auto"/>
          <w:kern w:val="0"/>
          <w:highlight w:val="none"/>
        </w:rPr>
      </w:pPr>
    </w:p>
    <w:p w14:paraId="112C15A1">
      <w:pPr>
        <w:wordWrap w:val="0"/>
        <w:adjustRightInd w:val="0"/>
        <w:snapToGrid w:val="0"/>
        <w:spacing w:line="360" w:lineRule="auto"/>
        <w:outlineLvl w:val="1"/>
        <w:rPr>
          <w:rFonts w:hint="eastAsia" w:hAnsi="宋体" w:cs="宋体"/>
          <w:b/>
          <w:bCs/>
          <w:snapToGrid w:val="0"/>
          <w:color w:val="auto"/>
          <w:kern w:val="0"/>
          <w:highlight w:val="none"/>
        </w:rPr>
      </w:pPr>
    </w:p>
    <w:p w14:paraId="3E4D3842">
      <w:pPr>
        <w:wordWrap w:val="0"/>
        <w:adjustRightInd w:val="0"/>
        <w:snapToGrid w:val="0"/>
        <w:spacing w:line="360" w:lineRule="auto"/>
        <w:jc w:val="center"/>
        <w:outlineLvl w:val="1"/>
        <w:rPr>
          <w:rFonts w:hAnsi="宋体" w:cs="宋体"/>
          <w:snapToGrid w:val="0"/>
          <w:color w:val="auto"/>
          <w:kern w:val="0"/>
          <w:highlight w:val="none"/>
        </w:rPr>
      </w:pPr>
      <w:bookmarkStart w:id="74" w:name="_Toc17009"/>
      <w:r>
        <w:rPr>
          <w:rFonts w:hint="eastAsia" w:hAnsi="宋体" w:cs="宋体"/>
          <w:b/>
          <w:bCs/>
          <w:snapToGrid w:val="0"/>
          <w:color w:val="auto"/>
          <w:kern w:val="0"/>
          <w:highlight w:val="none"/>
        </w:rPr>
        <w:t>第四节 否决投标条件</w:t>
      </w:r>
      <w:bookmarkEnd w:id="74"/>
    </w:p>
    <w:p w14:paraId="1217DA6A">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highlight w:val="none"/>
        </w:rPr>
      </w:pPr>
      <w:bookmarkStart w:id="75" w:name="_Toc8541"/>
      <w:r>
        <w:rPr>
          <w:rFonts w:hint="eastAsia" w:hAnsi="宋体" w:cs="宋体"/>
          <w:b/>
          <w:bCs/>
          <w:snapToGrid w:val="0"/>
          <w:color w:val="auto"/>
          <w:kern w:val="0"/>
          <w:highlight w:val="none"/>
        </w:rPr>
        <w:t>1．资格评审环节</w:t>
      </w:r>
      <w:bookmarkEnd w:id="75"/>
    </w:p>
    <w:p w14:paraId="3AA2319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199BFDE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highlight w:val="none"/>
        </w:rPr>
      </w:pPr>
      <w:r>
        <w:rPr>
          <w:rFonts w:hint="eastAsia" w:hAnsi="宋体" w:cs="宋体"/>
          <w:b/>
          <w:bCs/>
          <w:snapToGrid w:val="0"/>
          <w:color w:val="auto"/>
          <w:kern w:val="0"/>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highlight w:val="none"/>
        </w:rPr>
        <w:t xml:space="preserve">  </w:t>
      </w:r>
    </w:p>
    <w:p w14:paraId="0A6B74E3">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highlight w:val="none"/>
        </w:rPr>
      </w:pPr>
      <w:bookmarkStart w:id="76" w:name="_Toc22542"/>
      <w:r>
        <w:rPr>
          <w:rFonts w:hint="eastAsia" w:hAnsi="宋体" w:cs="宋体"/>
          <w:b/>
          <w:bCs/>
          <w:snapToGrid w:val="0"/>
          <w:color w:val="auto"/>
          <w:kern w:val="0"/>
          <w:highlight w:val="none"/>
        </w:rPr>
        <w:t>2．形式评审环节</w:t>
      </w:r>
      <w:bookmarkEnd w:id="76"/>
    </w:p>
    <w:p w14:paraId="0BEB281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highlight w:val="none"/>
        </w:rPr>
      </w:pPr>
      <w:bookmarkStart w:id="77" w:name="_Toc1804"/>
      <w:r>
        <w:rPr>
          <w:rFonts w:hint="eastAsia" w:hAnsi="宋体" w:cs="宋体"/>
          <w:b/>
          <w:bCs/>
          <w:snapToGrid w:val="0"/>
          <w:color w:val="auto"/>
          <w:kern w:val="0"/>
          <w:highlight w:val="none"/>
        </w:rPr>
        <w:t>3．响应性评审环节</w:t>
      </w:r>
      <w:bookmarkEnd w:id="77"/>
    </w:p>
    <w:p w14:paraId="1D351E7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BE2B7EB">
      <w:pPr>
        <w:wordWrap w:val="0"/>
        <w:adjustRightInd w:val="0"/>
        <w:snapToGrid w:val="0"/>
        <w:spacing w:line="360" w:lineRule="auto"/>
        <w:ind w:firstLine="480"/>
        <w:outlineLvl w:val="2"/>
        <w:rPr>
          <w:rFonts w:hAnsi="宋体" w:cs="宋体"/>
          <w:b/>
          <w:bCs/>
          <w:snapToGrid w:val="0"/>
          <w:color w:val="auto"/>
          <w:kern w:val="0"/>
          <w:highlight w:val="none"/>
        </w:rPr>
      </w:pPr>
      <w:bookmarkStart w:id="78" w:name="_Toc22668"/>
      <w:r>
        <w:rPr>
          <w:rFonts w:hint="eastAsia" w:hAnsi="宋体" w:cs="宋体"/>
          <w:b/>
          <w:bCs/>
          <w:snapToGrid w:val="0"/>
          <w:color w:val="auto"/>
          <w:kern w:val="0"/>
          <w:highlight w:val="none"/>
        </w:rPr>
        <w:t>4．其他</w:t>
      </w:r>
      <w:bookmarkEnd w:id="78"/>
    </w:p>
    <w:p w14:paraId="33D6B34F">
      <w:pPr>
        <w:wordWrap w:val="0"/>
        <w:adjustRightInd w:val="0"/>
        <w:snapToGrid w:val="0"/>
        <w:spacing w:line="360" w:lineRule="auto"/>
        <w:ind w:firstLine="480"/>
        <w:rPr>
          <w:rFonts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753E11E4">
      <w:pPr>
        <w:pStyle w:val="3"/>
        <w:wordWrap w:val="0"/>
        <w:autoSpaceDE/>
        <w:autoSpaceDN/>
        <w:snapToGrid w:val="0"/>
        <w:spacing w:line="440" w:lineRule="exact"/>
        <w:jc w:val="center"/>
        <w:rPr>
          <w:rFonts w:hAnsi="宋体" w:cs="宋体"/>
          <w:b/>
          <w:snapToGrid w:val="0"/>
          <w:color w:val="auto"/>
          <w:sz w:val="32"/>
          <w:szCs w:val="22"/>
          <w:highlight w:val="none"/>
        </w:rPr>
      </w:pPr>
      <w:bookmarkStart w:id="79" w:name="_Hlt112206772"/>
      <w:bookmarkEnd w:id="79"/>
      <w:bookmarkStart w:id="80" w:name="_Hlt87952408"/>
      <w:bookmarkEnd w:id="80"/>
      <w:bookmarkStart w:id="81" w:name="_Hlt69669771"/>
      <w:bookmarkEnd w:id="81"/>
      <w:bookmarkStart w:id="82" w:name="_Hlt70150994"/>
      <w:bookmarkEnd w:id="82"/>
      <w:bookmarkStart w:id="83" w:name="_Toc401"/>
      <w:bookmarkStart w:id="84" w:name="_Hlt69698722"/>
      <w:bookmarkStart w:id="85" w:name="_Hlt69698741"/>
      <w:bookmarkStart w:id="86" w:name="_Hlt69698769"/>
      <w:r>
        <w:rPr>
          <w:rFonts w:hint="eastAsia" w:hAnsi="宋体" w:cs="宋体"/>
          <w:b/>
          <w:snapToGrid w:val="0"/>
          <w:color w:val="auto"/>
          <w:sz w:val="32"/>
          <w:szCs w:val="22"/>
          <w:highlight w:val="none"/>
        </w:rPr>
        <w:t>第</w:t>
      </w:r>
      <w:bookmarkStart w:id="87" w:name="_Hlt69669171"/>
      <w:bookmarkEnd w:id="87"/>
      <w:r>
        <w:rPr>
          <w:rFonts w:hint="eastAsia" w:hAnsi="宋体" w:cs="宋体"/>
          <w:b/>
          <w:snapToGrid w:val="0"/>
          <w:color w:val="auto"/>
          <w:sz w:val="32"/>
          <w:szCs w:val="22"/>
          <w:highlight w:val="none"/>
        </w:rPr>
        <w:t>二章</w:t>
      </w:r>
      <w:bookmarkStart w:id="88" w:name="_Hlt87793839"/>
      <w:bookmarkEnd w:id="88"/>
      <w:r>
        <w:rPr>
          <w:rFonts w:hint="eastAsia" w:hAnsi="宋体" w:cs="宋体"/>
          <w:b/>
          <w:snapToGrid w:val="0"/>
          <w:color w:val="auto"/>
          <w:sz w:val="32"/>
          <w:szCs w:val="22"/>
          <w:highlight w:val="none"/>
        </w:rPr>
        <w:t xml:space="preserve"> 中标人须知</w:t>
      </w:r>
      <w:bookmarkEnd w:id="83"/>
    </w:p>
    <w:bookmarkEnd w:id="84"/>
    <w:bookmarkEnd w:id="85"/>
    <w:bookmarkEnd w:id="86"/>
    <w:p w14:paraId="38AEC5D6">
      <w:pPr>
        <w:bidi w:val="0"/>
        <w:rPr>
          <w:color w:val="auto"/>
          <w:highlight w:val="none"/>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89" w:name="_Toc21594"/>
      <w:bookmarkStart w:id="90" w:name="_Toc18336"/>
      <w:bookmarkStart w:id="91" w:name="_Toc31521"/>
      <w:bookmarkStart w:id="92" w:name="_Toc8149"/>
      <w:bookmarkStart w:id="93" w:name="_Toc15170"/>
      <w:bookmarkStart w:id="94" w:name="_Toc30174"/>
      <w:bookmarkStart w:id="95" w:name="_Toc17192"/>
      <w:r>
        <w:rPr>
          <w:rFonts w:hint="eastAsia" w:hAnsi="宋体" w:cs="宋体"/>
          <w:b/>
          <w:snapToGrid w:val="0"/>
          <w:color w:val="auto"/>
          <w:kern w:val="0"/>
          <w:szCs w:val="24"/>
          <w:highlight w:val="none"/>
        </w:rPr>
        <w:t>1．中标通知书</w:t>
      </w:r>
      <w:bookmarkEnd w:id="89"/>
      <w:bookmarkEnd w:id="90"/>
      <w:bookmarkEnd w:id="91"/>
      <w:bookmarkEnd w:id="92"/>
      <w:bookmarkEnd w:id="93"/>
      <w:bookmarkEnd w:id="94"/>
      <w:bookmarkEnd w:id="95"/>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6" w:name="_Toc23133"/>
      <w:bookmarkStart w:id="97" w:name="_Toc17251"/>
      <w:bookmarkStart w:id="98" w:name="_Toc10931"/>
      <w:bookmarkStart w:id="99" w:name="_Toc18659"/>
      <w:bookmarkStart w:id="100" w:name="_Toc28601"/>
      <w:bookmarkStart w:id="101" w:name="_Toc1519"/>
      <w:bookmarkStart w:id="102" w:name="_Toc30560"/>
      <w:r>
        <w:rPr>
          <w:rFonts w:hint="eastAsia" w:hAnsi="宋体" w:cs="宋体"/>
          <w:b/>
          <w:bCs/>
          <w:snapToGrid w:val="0"/>
          <w:color w:val="auto"/>
          <w:kern w:val="0"/>
          <w:szCs w:val="24"/>
          <w:highlight w:val="none"/>
        </w:rPr>
        <w:t>2．中标结果公示</w:t>
      </w:r>
      <w:bookmarkEnd w:id="96"/>
      <w:bookmarkEnd w:id="97"/>
      <w:bookmarkEnd w:id="98"/>
      <w:bookmarkEnd w:id="99"/>
      <w:bookmarkEnd w:id="100"/>
      <w:bookmarkEnd w:id="101"/>
      <w:bookmarkEnd w:id="102"/>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03" w:name="_Toc20923"/>
      <w:bookmarkStart w:id="104" w:name="_Toc23475"/>
      <w:bookmarkStart w:id="105" w:name="_Toc16211"/>
      <w:bookmarkStart w:id="106" w:name="_Toc22628"/>
      <w:bookmarkStart w:id="107" w:name="_Toc25367"/>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rPr>
      </w:pPr>
      <w:bookmarkStart w:id="108" w:name="_Toc5857"/>
      <w:bookmarkStart w:id="109" w:name="_Toc32445"/>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．履约保证</w:t>
      </w:r>
      <w:bookmarkEnd w:id="108"/>
      <w:bookmarkEnd w:id="109"/>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lang w:val="en-US" w:eastAsia="zh-CN"/>
        </w:rPr>
      </w:pPr>
      <w:bookmarkStart w:id="110" w:name="_Toc5474"/>
      <w:bookmarkStart w:id="111" w:name="_Toc4933"/>
      <w:r>
        <w:rPr>
          <w:rFonts w:hint="eastAsia" w:hAnsi="宋体" w:cs="宋体"/>
          <w:b/>
          <w:bCs/>
          <w:snapToGrid w:val="0"/>
          <w:color w:val="auto"/>
          <w:kern w:val="0"/>
          <w:szCs w:val="24"/>
          <w:highlight w:val="none"/>
          <w:lang w:val="en-US" w:eastAsia="zh-CN"/>
        </w:rPr>
        <w:t>4.合同订立</w:t>
      </w:r>
      <w:bookmarkEnd w:id="103"/>
      <w:bookmarkEnd w:id="104"/>
      <w:bookmarkEnd w:id="105"/>
      <w:bookmarkEnd w:id="106"/>
      <w:bookmarkEnd w:id="107"/>
      <w:bookmarkEnd w:id="110"/>
      <w:bookmarkEnd w:id="111"/>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招标人应当自中标通知书发出之日起</w:t>
      </w:r>
      <w:r>
        <w:rPr>
          <w:rFonts w:hint="eastAsia" w:hAnsi="宋体" w:cs="宋体"/>
          <w:snapToGrid w:val="0"/>
          <w:color w:val="auto"/>
          <w:kern w:val="0"/>
          <w:szCs w:val="24"/>
          <w:highlight w:val="none"/>
          <w:u w:val="single"/>
        </w:rPr>
        <w:t xml:space="preserve"> 30 </w:t>
      </w:r>
      <w:r>
        <w:rPr>
          <w:rFonts w:hint="eastAsia" w:hAnsi="宋体" w:cs="宋体"/>
          <w:snapToGrid w:val="0"/>
          <w:color w:val="auto"/>
          <w:kern w:val="0"/>
          <w:szCs w:val="24"/>
          <w:highlight w:val="none"/>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.3</w:t>
      </w:r>
      <w:r>
        <w:rPr>
          <w:rFonts w:hint="eastAsia" w:hAnsi="宋体" w:cs="宋体"/>
          <w:snapToGrid w:val="0"/>
          <w:color w:val="auto"/>
          <w:kern w:val="0"/>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2" w:name="_Toc25887"/>
      <w:bookmarkStart w:id="113" w:name="_Toc7981"/>
      <w:bookmarkStart w:id="114" w:name="_Toc13450"/>
      <w:bookmarkStart w:id="115" w:name="_Toc3858"/>
      <w:bookmarkStart w:id="116" w:name="_Toc1819"/>
      <w:bookmarkStart w:id="117" w:name="_Toc11598"/>
      <w:bookmarkStart w:id="118" w:name="_Toc6741"/>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．放弃中标的处理</w:t>
      </w:r>
      <w:bookmarkEnd w:id="112"/>
      <w:bookmarkEnd w:id="113"/>
      <w:bookmarkEnd w:id="114"/>
      <w:bookmarkEnd w:id="115"/>
      <w:bookmarkEnd w:id="116"/>
      <w:bookmarkEnd w:id="117"/>
      <w:bookmarkEnd w:id="118"/>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9" w:name="_Toc8282"/>
      <w:bookmarkStart w:id="120" w:name="_Toc17549"/>
      <w:bookmarkStart w:id="121" w:name="_Toc500"/>
      <w:bookmarkStart w:id="122" w:name="_Toc1831"/>
      <w:bookmarkStart w:id="123" w:name="_Toc7088"/>
      <w:bookmarkStart w:id="124" w:name="_Toc15893"/>
      <w:bookmarkStart w:id="125" w:name="_Toc26352"/>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．分包</w:t>
      </w:r>
      <w:bookmarkEnd w:id="119"/>
      <w:bookmarkEnd w:id="120"/>
      <w:bookmarkEnd w:id="121"/>
      <w:bookmarkEnd w:id="122"/>
      <w:bookmarkEnd w:id="123"/>
      <w:bookmarkEnd w:id="124"/>
      <w:bookmarkEnd w:id="125"/>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26" w:name="_Toc6953"/>
      <w:bookmarkStart w:id="127" w:name="_Toc18249"/>
      <w:bookmarkStart w:id="128" w:name="_Toc25358"/>
      <w:bookmarkStart w:id="129" w:name="_Toc19761"/>
      <w:bookmarkStart w:id="130" w:name="_Toc2527"/>
      <w:bookmarkStart w:id="131" w:name="_Toc17560"/>
      <w:bookmarkStart w:id="132" w:name="_Toc25800"/>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．监理服务期限</w:t>
      </w:r>
      <w:bookmarkEnd w:id="126"/>
      <w:bookmarkEnd w:id="127"/>
      <w:bookmarkEnd w:id="128"/>
      <w:bookmarkEnd w:id="129"/>
      <w:bookmarkEnd w:id="130"/>
      <w:bookmarkEnd w:id="131"/>
      <w:bookmarkEnd w:id="132"/>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33" w:name="_Toc17664"/>
      <w:bookmarkStart w:id="134" w:name="_Toc13195"/>
      <w:bookmarkStart w:id="135" w:name="_Toc13950"/>
      <w:bookmarkStart w:id="136" w:name="_Toc31907"/>
      <w:bookmarkStart w:id="137" w:name="_Toc6532"/>
      <w:bookmarkStart w:id="138" w:name="_Toc25479"/>
      <w:bookmarkStart w:id="139" w:name="_Toc23108"/>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．项目监理机构</w:t>
      </w:r>
      <w:bookmarkEnd w:id="133"/>
      <w:bookmarkEnd w:id="134"/>
      <w:bookmarkEnd w:id="135"/>
      <w:bookmarkEnd w:id="136"/>
      <w:bookmarkEnd w:id="137"/>
      <w:bookmarkEnd w:id="138"/>
      <w:bookmarkEnd w:id="139"/>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0" w:name="_Toc15281"/>
      <w:bookmarkStart w:id="141" w:name="_Toc6056"/>
      <w:bookmarkStart w:id="142" w:name="_Toc20861"/>
      <w:bookmarkStart w:id="143" w:name="_Toc19789"/>
      <w:bookmarkStart w:id="144" w:name="_Toc27412"/>
      <w:bookmarkStart w:id="145" w:name="_Toc20449"/>
      <w:bookmarkStart w:id="146" w:name="_Toc23097"/>
      <w:r>
        <w:rPr>
          <w:rFonts w:hint="eastAsia" w:hAnsi="宋体" w:cs="宋体"/>
          <w:b/>
          <w:snapToGrid w:val="0"/>
          <w:color w:val="auto"/>
          <w:kern w:val="0"/>
          <w:szCs w:val="24"/>
          <w:highlight w:val="none"/>
          <w:lang w:val="en-US" w:eastAsia="zh-CN"/>
        </w:rPr>
        <w:t>9</w:t>
      </w:r>
      <w:r>
        <w:rPr>
          <w:rFonts w:hint="eastAsia" w:hAnsi="宋体" w:cs="宋体"/>
          <w:b/>
          <w:snapToGrid w:val="0"/>
          <w:color w:val="auto"/>
          <w:kern w:val="0"/>
          <w:szCs w:val="24"/>
          <w:highlight w:val="none"/>
        </w:rPr>
        <w:t>．安全防护</w:t>
      </w:r>
      <w:bookmarkEnd w:id="140"/>
      <w:bookmarkEnd w:id="141"/>
      <w:bookmarkEnd w:id="142"/>
      <w:bookmarkEnd w:id="143"/>
      <w:bookmarkEnd w:id="144"/>
      <w:bookmarkEnd w:id="145"/>
      <w:bookmarkEnd w:id="146"/>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7" w:name="_Toc13413"/>
      <w:bookmarkStart w:id="148" w:name="_Toc16174"/>
      <w:bookmarkStart w:id="149" w:name="_Toc1181"/>
      <w:bookmarkStart w:id="150" w:name="_Toc27428"/>
      <w:bookmarkStart w:id="151" w:name="_Toc2694"/>
      <w:bookmarkStart w:id="152" w:name="_Toc17881"/>
      <w:bookmarkStart w:id="153" w:name="_Toc9618"/>
      <w:r>
        <w:rPr>
          <w:rFonts w:hint="eastAsia" w:hAnsi="宋体" w:cs="宋体"/>
          <w:b/>
          <w:snapToGrid w:val="0"/>
          <w:color w:val="auto"/>
          <w:kern w:val="0"/>
          <w:szCs w:val="24"/>
          <w:highlight w:val="none"/>
          <w:lang w:val="en-US" w:eastAsia="zh-CN"/>
        </w:rPr>
        <w:t>10</w:t>
      </w:r>
      <w:r>
        <w:rPr>
          <w:rFonts w:hint="eastAsia" w:hAnsi="宋体" w:cs="宋体"/>
          <w:b/>
          <w:snapToGrid w:val="0"/>
          <w:color w:val="auto"/>
          <w:kern w:val="0"/>
          <w:szCs w:val="24"/>
          <w:highlight w:val="none"/>
        </w:rPr>
        <w:t>．接受监督</w:t>
      </w:r>
      <w:bookmarkEnd w:id="147"/>
      <w:bookmarkEnd w:id="148"/>
      <w:bookmarkEnd w:id="149"/>
      <w:bookmarkEnd w:id="150"/>
      <w:bookmarkEnd w:id="151"/>
      <w:bookmarkEnd w:id="152"/>
      <w:bookmarkEnd w:id="153"/>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highlight w:val="none"/>
        </w:rPr>
      </w:pPr>
      <w:r>
        <w:rPr>
          <w:rFonts w:hint="eastAsia" w:hAnsi="宋体" w:cs="宋体"/>
          <w:snapToGrid w:val="0"/>
          <w:color w:val="auto"/>
          <w:kern w:val="0"/>
          <w:szCs w:val="24"/>
          <w:highlight w:val="none"/>
        </w:rPr>
        <w:t>监理人应严格按照法律、法规以及</w:t>
      </w:r>
      <w:r>
        <w:rPr>
          <w:rFonts w:hint="eastAsia" w:hAnsi="宋体" w:cs="宋体"/>
          <w:bCs/>
          <w:snapToGrid w:val="0"/>
          <w:color w:val="auto"/>
          <w:kern w:val="0"/>
          <w:szCs w:val="24"/>
          <w:highlight w:val="none"/>
        </w:rPr>
        <w:t>《建设工程监理规范》（GB/T 50319—2013）有关规定实施监理，同时须</w:t>
      </w:r>
      <w:r>
        <w:rPr>
          <w:rFonts w:hint="eastAsia" w:hAnsi="宋体" w:cs="宋体"/>
          <w:snapToGrid w:val="0"/>
          <w:color w:val="auto"/>
          <w:kern w:val="0"/>
          <w:szCs w:val="24"/>
          <w:highlight w:val="none"/>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highlight w:val="none"/>
        </w:rPr>
      </w:pPr>
      <w:bookmarkStart w:id="154" w:name="_Toc4730"/>
      <w:bookmarkStart w:id="155" w:name="_Toc14327"/>
      <w:bookmarkStart w:id="156" w:name="_Toc5818"/>
      <w:bookmarkStart w:id="157" w:name="_Toc26662"/>
      <w:bookmarkStart w:id="158" w:name="_Toc24102"/>
      <w:bookmarkStart w:id="159" w:name="_Toc18397"/>
      <w:bookmarkStart w:id="160" w:name="_Toc25424"/>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1</w:t>
      </w:r>
      <w:r>
        <w:rPr>
          <w:rFonts w:hint="eastAsia" w:hAnsi="宋体" w:cs="宋体"/>
          <w:b/>
          <w:snapToGrid w:val="0"/>
          <w:color w:val="auto"/>
          <w:kern w:val="0"/>
          <w:szCs w:val="24"/>
          <w:highlight w:val="none"/>
        </w:rPr>
        <w:t>．监理档案移交</w:t>
      </w:r>
      <w:bookmarkEnd w:id="154"/>
      <w:bookmarkEnd w:id="155"/>
      <w:bookmarkEnd w:id="156"/>
      <w:bookmarkEnd w:id="157"/>
      <w:bookmarkEnd w:id="158"/>
      <w:bookmarkEnd w:id="159"/>
      <w:bookmarkEnd w:id="160"/>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项目竣工验收后，监理人应向委托人提交一式</w:t>
      </w:r>
      <w:r>
        <w:rPr>
          <w:rFonts w:hint="eastAsia" w:hAnsi="宋体" w:cs="宋体"/>
          <w:bCs/>
          <w:snapToGrid w:val="0"/>
          <w:color w:val="auto"/>
          <w:kern w:val="0"/>
          <w:szCs w:val="24"/>
          <w:highlight w:val="none"/>
          <w:u w:val="single"/>
        </w:rPr>
        <w:t xml:space="preserve"> 五 </w:t>
      </w:r>
      <w:r>
        <w:rPr>
          <w:rFonts w:hint="eastAsia" w:hAnsi="宋体" w:cs="宋体"/>
          <w:bCs/>
          <w:snapToGrid w:val="0"/>
          <w:color w:val="auto"/>
          <w:kern w:val="0"/>
          <w:szCs w:val="24"/>
          <w:highlight w:val="none"/>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highlight w:val="none"/>
        </w:rPr>
      </w:pPr>
      <w:bookmarkStart w:id="161" w:name="_Toc24329"/>
      <w:bookmarkStart w:id="162" w:name="_Toc29177"/>
      <w:bookmarkStart w:id="163" w:name="_Toc2540"/>
      <w:bookmarkStart w:id="164" w:name="_Toc19314"/>
      <w:bookmarkStart w:id="165" w:name="_Toc16612"/>
      <w:bookmarkStart w:id="166" w:name="_Toc13197"/>
      <w:bookmarkStart w:id="167" w:name="_Toc6629"/>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2</w:t>
      </w:r>
      <w:r>
        <w:rPr>
          <w:rFonts w:hint="eastAsia" w:hAnsi="宋体" w:cs="宋体"/>
          <w:b/>
          <w:snapToGrid w:val="0"/>
          <w:color w:val="auto"/>
          <w:kern w:val="0"/>
          <w:szCs w:val="24"/>
          <w:highlight w:val="none"/>
        </w:rPr>
        <w:t>．不良行为处理</w:t>
      </w:r>
      <w:bookmarkEnd w:id="161"/>
      <w:bookmarkEnd w:id="162"/>
      <w:bookmarkEnd w:id="163"/>
      <w:bookmarkEnd w:id="164"/>
      <w:bookmarkEnd w:id="165"/>
      <w:bookmarkEnd w:id="166"/>
      <w:bookmarkEnd w:id="167"/>
    </w:p>
    <w:p w14:paraId="04C55AB1">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监理人及其有关人员有下列行为之一的，委托人应及时报请建设行政主管部门查处。</w:t>
      </w:r>
    </w:p>
    <w:p w14:paraId="004FF11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（1）转让监理业务的；</w:t>
      </w:r>
    </w:p>
    <w:p w14:paraId="3812AF6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（2）非原参加投标中标的总监理工程师负责组织监理或在实施过程中擅自更换总监理工程师的、项目监理机构的其他监理人员与中标文件确定的人员不相符的；</w:t>
      </w:r>
    </w:p>
    <w:p w14:paraId="4A3AB02B">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（3）与建设单位、施工单位串通，签认虚假工程量或工程造价的；</w:t>
      </w:r>
    </w:p>
    <w:p w14:paraId="232AE11F">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（4）现场监理不到位的；</w:t>
      </w:r>
    </w:p>
    <w:p w14:paraId="4D39599F">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（5）非本人资格证书注册单位从事监理工作的；</w:t>
      </w:r>
    </w:p>
    <w:p w14:paraId="6B6840EA">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（6）总监理工程师承担超过三项工程监理任务的；</w:t>
      </w:r>
    </w:p>
    <w:p w14:paraId="0F7A5E7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（7）违反有关法律、法规、规章规定的其它行为。</w:t>
      </w:r>
    </w:p>
    <w:p w14:paraId="3D1008B4">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highlight w:val="none"/>
        </w:rPr>
      </w:pPr>
      <w:bookmarkStart w:id="168" w:name="_Toc15923"/>
      <w:bookmarkStart w:id="169" w:name="_Toc29467"/>
      <w:bookmarkStart w:id="170" w:name="_Toc15431"/>
      <w:bookmarkStart w:id="171" w:name="_Toc25306"/>
      <w:bookmarkStart w:id="172" w:name="_Toc28837"/>
      <w:bookmarkStart w:id="173" w:name="_Toc2784"/>
      <w:bookmarkStart w:id="174" w:name="_Toc17537"/>
      <w:r>
        <w:rPr>
          <w:rFonts w:hint="eastAsia" w:ascii="宋体" w:hAnsi="宋体" w:cs="宋体"/>
          <w:b/>
          <w:bCs/>
          <w:snapToGrid w:val="0"/>
          <w:color w:val="auto"/>
          <w:kern w:val="0"/>
          <w:szCs w:val="24"/>
          <w:highlight w:val="none"/>
        </w:rPr>
        <w:t>1</w:t>
      </w:r>
      <w:r>
        <w:rPr>
          <w:rFonts w:hint="eastAsia" w:ascii="宋体" w:hAnsi="宋体" w:cs="宋体"/>
          <w:b/>
          <w:bCs/>
          <w:snapToGrid w:val="0"/>
          <w:color w:val="auto"/>
          <w:kern w:val="0"/>
          <w:szCs w:val="24"/>
          <w:highlight w:val="none"/>
          <w:lang w:val="en-US" w:eastAsia="zh-CN"/>
        </w:rPr>
        <w:t>3</w:t>
      </w:r>
      <w:r>
        <w:rPr>
          <w:rFonts w:hint="eastAsia" w:ascii="宋体" w:hAnsi="宋体" w:cs="宋体"/>
          <w:b/>
          <w:snapToGrid w:val="0"/>
          <w:color w:val="auto"/>
          <w:kern w:val="0"/>
          <w:szCs w:val="24"/>
          <w:highlight w:val="none"/>
        </w:rPr>
        <w:t>．</w:t>
      </w:r>
      <w:r>
        <w:rPr>
          <w:rFonts w:hint="eastAsia" w:ascii="宋体" w:hAnsi="宋体" w:cs="宋体"/>
          <w:b/>
          <w:bCs/>
          <w:snapToGrid w:val="0"/>
          <w:color w:val="auto"/>
          <w:kern w:val="0"/>
          <w:szCs w:val="24"/>
          <w:highlight w:val="none"/>
        </w:rPr>
        <w:t>信用评价条款内容</w:t>
      </w:r>
      <w:bookmarkEnd w:id="168"/>
      <w:bookmarkEnd w:id="169"/>
      <w:bookmarkEnd w:id="170"/>
      <w:bookmarkEnd w:id="171"/>
      <w:bookmarkEnd w:id="172"/>
      <w:bookmarkEnd w:id="173"/>
      <w:bookmarkEnd w:id="174"/>
    </w:p>
    <w:p w14:paraId="418B847A">
      <w:pPr>
        <w:pStyle w:val="84"/>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4"/>
        <w:wordWrap w:val="0"/>
        <w:adjustRightInd w:val="0"/>
        <w:snapToGrid w:val="0"/>
        <w:spacing w:line="440" w:lineRule="exact"/>
        <w:ind w:firstLine="560"/>
        <w:rPr>
          <w:rFonts w:hAnsi="宋体" w:cs="宋体"/>
          <w:b/>
          <w:bCs/>
          <w:snapToGrid w:val="0"/>
          <w:color w:val="auto"/>
          <w:kern w:val="0"/>
          <w:highlight w:val="none"/>
        </w:rPr>
      </w:pPr>
    </w:p>
    <w:p w14:paraId="6E146C71">
      <w:pPr>
        <w:pStyle w:val="84"/>
        <w:wordWrap w:val="0"/>
        <w:adjustRightInd w:val="0"/>
        <w:snapToGrid w:val="0"/>
        <w:spacing w:line="440" w:lineRule="exact"/>
        <w:ind w:firstLine="560"/>
        <w:rPr>
          <w:rFonts w:hAnsi="宋体" w:cs="宋体"/>
          <w:b/>
          <w:bCs/>
          <w:snapToGrid w:val="0"/>
          <w:color w:val="auto"/>
          <w:kern w:val="0"/>
          <w:highlight w:val="none"/>
        </w:rPr>
      </w:pPr>
    </w:p>
    <w:p w14:paraId="40581986">
      <w:pPr>
        <w:pStyle w:val="84"/>
        <w:wordWrap w:val="0"/>
        <w:adjustRightInd w:val="0"/>
        <w:snapToGrid w:val="0"/>
        <w:spacing w:line="440" w:lineRule="exact"/>
        <w:ind w:firstLine="560"/>
        <w:rPr>
          <w:rFonts w:hAnsi="宋体" w:cs="宋体"/>
          <w:b/>
          <w:bCs/>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4B26AC6B">
      <w:pPr>
        <w:pStyle w:val="3"/>
        <w:wordWrap w:val="0"/>
        <w:autoSpaceDE/>
        <w:autoSpaceDN/>
        <w:snapToGrid w:val="0"/>
        <w:spacing w:line="500" w:lineRule="exact"/>
        <w:jc w:val="center"/>
        <w:outlineLvl w:val="0"/>
        <w:rPr>
          <w:rFonts w:hAnsi="宋体" w:cs="宋体"/>
          <w:b/>
          <w:snapToGrid w:val="0"/>
          <w:color w:val="auto"/>
          <w:sz w:val="32"/>
          <w:szCs w:val="32"/>
          <w:highlight w:val="none"/>
        </w:rPr>
      </w:pPr>
      <w:bookmarkStart w:id="175" w:name="_Toc16840"/>
      <w:bookmarkStart w:id="176" w:name="_Toc29099"/>
      <w:bookmarkStart w:id="177" w:name="_Hlt69698765"/>
      <w:bookmarkStart w:id="178" w:name="_Hlt69698713"/>
      <w:bookmarkStart w:id="179" w:name="_Hlt69698776"/>
      <w:r>
        <w:rPr>
          <w:rFonts w:hint="eastAsia" w:hAnsi="宋体" w:cs="宋体"/>
          <w:b/>
          <w:snapToGrid w:val="0"/>
          <w:color w:val="auto"/>
          <w:sz w:val="32"/>
          <w:szCs w:val="32"/>
          <w:highlight w:val="none"/>
        </w:rPr>
        <w:t>第三章</w:t>
      </w:r>
      <w:bookmarkStart w:id="180" w:name="_Hlt87793831"/>
      <w:bookmarkEnd w:id="180"/>
      <w:r>
        <w:rPr>
          <w:rFonts w:hint="eastAsia" w:hAnsi="宋体" w:cs="宋体"/>
          <w:b/>
          <w:snapToGrid w:val="0"/>
          <w:color w:val="auto"/>
          <w:sz w:val="32"/>
          <w:szCs w:val="32"/>
          <w:highlight w:val="none"/>
        </w:rPr>
        <w:t xml:space="preserve"> 拟签订合同的主要条款</w:t>
      </w:r>
      <w:bookmarkEnd w:id="175"/>
      <w:bookmarkEnd w:id="176"/>
    </w:p>
    <w:bookmarkEnd w:id="177"/>
    <w:bookmarkEnd w:id="178"/>
    <w:p w14:paraId="6A4F7FF4">
      <w:pPr>
        <w:bidi w:val="0"/>
        <w:rPr>
          <w:color w:val="auto"/>
          <w:highlight w:val="none"/>
        </w:rPr>
      </w:pPr>
      <w:bookmarkStart w:id="181" w:name="_Toc322793288"/>
      <w:bookmarkStart w:id="182" w:name="_Toc326916629"/>
    </w:p>
    <w:bookmarkEnd w:id="181"/>
    <w:bookmarkEnd w:id="182"/>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83" w:name="_Toc11616"/>
      <w:bookmarkStart w:id="184" w:name="_Toc1947"/>
      <w:bookmarkStart w:id="185" w:name="_Toc6392"/>
      <w:bookmarkStart w:id="186" w:name="_Toc12203"/>
      <w:bookmarkStart w:id="187" w:name="_Toc3741"/>
      <w:bookmarkStart w:id="188" w:name="_Toc4588"/>
      <w:bookmarkStart w:id="189" w:name="_Toc9210"/>
      <w:r>
        <w:rPr>
          <w:rFonts w:hint="eastAsia" w:hAnsi="宋体" w:cs="宋体"/>
          <w:b/>
          <w:bCs/>
          <w:snapToGrid w:val="0"/>
          <w:color w:val="auto"/>
          <w:kern w:val="0"/>
          <w:szCs w:val="24"/>
          <w:highlight w:val="none"/>
        </w:rPr>
        <w:t>1．现场办公条件</w:t>
      </w:r>
      <w:bookmarkEnd w:id="183"/>
      <w:bookmarkEnd w:id="184"/>
      <w:bookmarkEnd w:id="185"/>
      <w:bookmarkEnd w:id="186"/>
      <w:bookmarkEnd w:id="187"/>
      <w:bookmarkEnd w:id="188"/>
      <w:bookmarkEnd w:id="189"/>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1.1</w:t>
      </w:r>
      <w:r>
        <w:rPr>
          <w:rFonts w:hint="eastAsia" w:hAnsi="宋体" w:cs="宋体"/>
          <w:snapToGrid w:val="0"/>
          <w:color w:val="auto"/>
          <w:kern w:val="0"/>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1.2</w:t>
      </w:r>
      <w:r>
        <w:rPr>
          <w:rFonts w:hint="eastAsia" w:hAnsi="宋体" w:cs="宋体"/>
          <w:snapToGrid w:val="0"/>
          <w:color w:val="auto"/>
          <w:kern w:val="0"/>
          <w:szCs w:val="24"/>
          <w:highlight w:val="none"/>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w:t>
      </w:r>
      <w:r>
        <w:rPr>
          <w:rFonts w:hint="eastAsia" w:hAnsi="宋体" w:cs="宋体"/>
          <w:snapToGrid w:val="0"/>
          <w:color w:val="auto"/>
          <w:kern w:val="0"/>
          <w:szCs w:val="24"/>
          <w:highlight w:val="none"/>
          <w:u w:val="single"/>
        </w:rPr>
        <w:t xml:space="preserve"> 打卡 / 指纹识别 / 人脸识别 / 虹膜识别 </w:t>
      </w:r>
      <w:r>
        <w:rPr>
          <w:rFonts w:hint="eastAsia" w:hAnsi="宋体" w:cs="宋体"/>
          <w:snapToGrid w:val="0"/>
          <w:color w:val="auto"/>
          <w:kern w:val="0"/>
          <w:szCs w:val="24"/>
          <w:highlight w:val="none"/>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90" w:name="_Toc29914"/>
      <w:bookmarkStart w:id="191" w:name="_Toc6311"/>
      <w:bookmarkStart w:id="192" w:name="_Toc14419"/>
      <w:bookmarkStart w:id="193" w:name="_Toc8261"/>
      <w:bookmarkStart w:id="194" w:name="_Toc15844"/>
      <w:bookmarkStart w:id="195" w:name="_Toc6193"/>
      <w:bookmarkStart w:id="196" w:name="_Toc1375"/>
      <w:r>
        <w:rPr>
          <w:rFonts w:hint="eastAsia" w:hAnsi="宋体" w:cs="宋体"/>
          <w:b/>
          <w:bCs/>
          <w:snapToGrid w:val="0"/>
          <w:color w:val="auto"/>
          <w:kern w:val="0"/>
          <w:szCs w:val="24"/>
          <w:highlight w:val="none"/>
        </w:rPr>
        <w:t>2．</w:t>
      </w:r>
      <w:bookmarkEnd w:id="190"/>
      <w:bookmarkEnd w:id="191"/>
      <w:bookmarkEnd w:id="192"/>
      <w:bookmarkEnd w:id="193"/>
      <w:bookmarkEnd w:id="194"/>
      <w:r>
        <w:rPr>
          <w:rFonts w:hint="eastAsia" w:hAnsi="宋体" w:cs="宋体"/>
          <w:b/>
          <w:bCs/>
          <w:snapToGrid w:val="0"/>
          <w:color w:val="auto"/>
          <w:kern w:val="0"/>
          <w:szCs w:val="24"/>
          <w:highlight w:val="none"/>
        </w:rPr>
        <w:t>监理服务费</w:t>
      </w:r>
      <w:bookmarkEnd w:id="195"/>
      <w:bookmarkEnd w:id="196"/>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2.1</w:t>
      </w:r>
      <w:r>
        <w:rPr>
          <w:rFonts w:hint="eastAsia" w:hAnsi="宋体" w:cs="宋体"/>
          <w:snapToGrid w:val="0"/>
          <w:color w:val="auto"/>
          <w:kern w:val="0"/>
          <w:szCs w:val="24"/>
          <w:highlight w:val="none"/>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bookmarkStart w:id="197" w:name="_Toc31653"/>
      <w:bookmarkStart w:id="198" w:name="_Toc18979"/>
      <w:bookmarkStart w:id="199" w:name="_Toc6502"/>
      <w:bookmarkStart w:id="200" w:name="_Toc17740"/>
      <w:bookmarkStart w:id="201" w:name="_Toc31657"/>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lang w:eastAsia="zh-CN"/>
        </w:rPr>
        <w:t>）</w:t>
      </w:r>
      <w:r>
        <w:rPr>
          <w:rFonts w:hint="eastAsia" w:ascii="宋体" w:hAnsi="宋体" w:eastAsia="宋体" w:cs="宋体"/>
          <w:snapToGrid w:val="0"/>
          <w:color w:val="auto"/>
          <w:kern w:val="0"/>
          <w:szCs w:val="24"/>
          <w:highlight w:val="none"/>
        </w:rPr>
        <w:t>监理服务费结算价在项目的合同价范围内按实结算，即：以施工财审</w:t>
      </w:r>
      <w:r>
        <w:rPr>
          <w:rFonts w:hint="eastAsia" w:hAnsi="宋体" w:cs="宋体"/>
          <w:snapToGrid w:val="0"/>
          <w:color w:val="auto"/>
          <w:kern w:val="0"/>
          <w:szCs w:val="24"/>
          <w:highlight w:val="none"/>
          <w:lang w:val="en-US" w:eastAsia="zh-CN"/>
        </w:rPr>
        <w:t>预</w:t>
      </w:r>
      <w:r>
        <w:rPr>
          <w:rFonts w:hint="eastAsia" w:ascii="宋体" w:hAnsi="宋体" w:eastAsia="宋体" w:cs="宋体"/>
          <w:snapToGrid w:val="0"/>
          <w:color w:val="auto"/>
          <w:kern w:val="0"/>
          <w:szCs w:val="24"/>
          <w:highlight w:val="none"/>
        </w:rPr>
        <w:t>算价为基数乘以监理人中标取费费率计算，若监理服务费结算总价超过签约合同价，则按签约合同价包干结算；若监理服务费结算总价未超过签约合同价，则按以施工</w:t>
      </w:r>
      <w:r>
        <w:rPr>
          <w:rFonts w:hint="eastAsia" w:hAnsi="宋体" w:cs="宋体"/>
          <w:snapToGrid w:val="0"/>
          <w:color w:val="auto"/>
          <w:kern w:val="0"/>
          <w:szCs w:val="24"/>
          <w:highlight w:val="none"/>
          <w:lang w:val="en-US" w:eastAsia="zh-CN"/>
        </w:rPr>
        <w:t>预</w:t>
      </w:r>
      <w:r>
        <w:rPr>
          <w:rFonts w:hint="eastAsia" w:ascii="宋体" w:hAnsi="宋体" w:eastAsia="宋体" w:cs="宋体"/>
          <w:snapToGrid w:val="0"/>
          <w:color w:val="auto"/>
          <w:kern w:val="0"/>
          <w:szCs w:val="24"/>
          <w:highlight w:val="none"/>
        </w:rPr>
        <w:t>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2.3 监理服务费的支付：</w:t>
      </w:r>
    </w:p>
    <w:p w14:paraId="3AC46A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（1）本项目支付监理服务费预付款，预付款支付比例为：合同价的30%；</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（2）本项目根据施工阶段按施工进度分期支付监理服务费，具体分期支付方式如下：</w:t>
      </w:r>
    </w:p>
    <w:tbl>
      <w:tblPr>
        <w:tblStyle w:val="31"/>
        <w:tblW w:w="9101"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455"/>
        <w:gridCol w:w="3780"/>
      </w:tblGrid>
      <w:tr w14:paraId="29E4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6" w:type="dxa"/>
            <w:noWrap w:val="0"/>
            <w:vAlign w:val="center"/>
          </w:tcPr>
          <w:p w14:paraId="02EF632E">
            <w:pPr>
              <w:wordWrap w:val="0"/>
              <w:adjustRightInd w:val="0"/>
              <w:snapToGrid w:val="0"/>
              <w:spacing w:line="400" w:lineRule="exact"/>
              <w:jc w:val="center"/>
              <w:rPr>
                <w:rFonts w:hint="eastAsia" w:ascii="黑体" w:hAnsi="黑体" w:eastAsia="黑体"/>
                <w:snapToGrid w:val="0"/>
                <w:color w:val="auto"/>
                <w:kern w:val="0"/>
                <w:highlight w:val="none"/>
                <w:lang w:eastAsia="zh-CN"/>
              </w:rPr>
            </w:pPr>
            <w:r>
              <w:rPr>
                <w:rFonts w:hint="eastAsia" w:ascii="黑体" w:hAnsi="黑体" w:eastAsia="黑体"/>
                <w:snapToGrid w:val="0"/>
                <w:color w:val="auto"/>
                <w:kern w:val="0"/>
                <w:highlight w:val="none"/>
                <w:lang w:val="en-US" w:eastAsia="zh-CN"/>
              </w:rPr>
              <w:t>序号</w:t>
            </w:r>
          </w:p>
        </w:tc>
        <w:tc>
          <w:tcPr>
            <w:tcW w:w="4455" w:type="dxa"/>
            <w:noWrap w:val="0"/>
            <w:vAlign w:val="center"/>
          </w:tcPr>
          <w:p w14:paraId="1A8903F7">
            <w:pPr>
              <w:wordWrap w:val="0"/>
              <w:adjustRightInd w:val="0"/>
              <w:snapToGrid w:val="0"/>
              <w:spacing w:line="400" w:lineRule="exact"/>
              <w:jc w:val="center"/>
              <w:rPr>
                <w:rFonts w:hint="eastAsia" w:ascii="黑体" w:hAnsi="黑体" w:eastAsia="黑体"/>
                <w:snapToGrid w:val="0"/>
                <w:color w:val="auto"/>
                <w:kern w:val="0"/>
                <w:highlight w:val="none"/>
                <w:lang w:val="en-US" w:eastAsia="zh-CN"/>
              </w:rPr>
            </w:pPr>
            <w:r>
              <w:rPr>
                <w:rFonts w:hint="eastAsia" w:ascii="黑体" w:hAnsi="黑体" w:eastAsia="黑体"/>
                <w:snapToGrid w:val="0"/>
                <w:color w:val="auto"/>
                <w:kern w:val="0"/>
                <w:highlight w:val="none"/>
              </w:rPr>
              <w:t>支付时间</w:t>
            </w:r>
            <w:r>
              <w:rPr>
                <w:rFonts w:hint="eastAsia" w:ascii="黑体" w:hAnsi="黑体" w:eastAsia="黑体"/>
                <w:snapToGrid w:val="0"/>
                <w:color w:val="auto"/>
                <w:kern w:val="0"/>
                <w:highlight w:val="none"/>
                <w:lang w:val="en-US" w:eastAsia="zh-CN"/>
              </w:rPr>
              <w:t>及</w:t>
            </w:r>
            <w:r>
              <w:rPr>
                <w:rFonts w:hint="eastAsia" w:ascii="黑体" w:hAnsi="黑体" w:eastAsia="黑体"/>
                <w:snapToGrid w:val="0"/>
                <w:color w:val="auto"/>
                <w:kern w:val="0"/>
                <w:highlight w:val="none"/>
              </w:rPr>
              <w:t>支付比例</w:t>
            </w:r>
          </w:p>
        </w:tc>
        <w:tc>
          <w:tcPr>
            <w:tcW w:w="3780" w:type="dxa"/>
            <w:noWrap w:val="0"/>
            <w:vAlign w:val="center"/>
          </w:tcPr>
          <w:p w14:paraId="5FB2DFAD">
            <w:pPr>
              <w:wordWrap w:val="0"/>
              <w:adjustRightInd w:val="0"/>
              <w:snapToGrid w:val="0"/>
              <w:spacing w:line="400" w:lineRule="exact"/>
              <w:jc w:val="center"/>
              <w:rPr>
                <w:rFonts w:hint="eastAsia" w:ascii="黑体" w:hAnsi="黑体" w:eastAsia="黑体"/>
                <w:snapToGrid w:val="0"/>
                <w:color w:val="auto"/>
                <w:kern w:val="0"/>
                <w:highlight w:val="none"/>
              </w:rPr>
            </w:pPr>
          </w:p>
        </w:tc>
      </w:tr>
      <w:tr w14:paraId="0159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866" w:type="dxa"/>
            <w:noWrap w:val="0"/>
            <w:vAlign w:val="center"/>
          </w:tcPr>
          <w:p w14:paraId="71BAC85A">
            <w:pPr>
              <w:wordWrap w:val="0"/>
              <w:adjustRightInd w:val="0"/>
              <w:snapToGrid w:val="0"/>
              <w:spacing w:line="400" w:lineRule="exact"/>
              <w:jc w:val="center"/>
              <w:rPr>
                <w:rFonts w:hint="eastAsia" w:ascii="Times New Roman" w:eastAsia="宋体"/>
                <w:snapToGrid w:val="0"/>
                <w:color w:val="auto"/>
                <w:kern w:val="0"/>
                <w:highlight w:val="none"/>
                <w:lang w:eastAsia="zh-CN"/>
              </w:rPr>
            </w:pPr>
            <w:r>
              <w:rPr>
                <w:rFonts w:hint="eastAsia" w:ascii="Times New Roman"/>
                <w:snapToGrid w:val="0"/>
                <w:color w:val="auto"/>
                <w:kern w:val="0"/>
                <w:highlight w:val="none"/>
                <w:lang w:val="en-US" w:eastAsia="zh-CN"/>
              </w:rPr>
              <w:t>1</w:t>
            </w:r>
          </w:p>
        </w:tc>
        <w:tc>
          <w:tcPr>
            <w:tcW w:w="4455" w:type="dxa"/>
            <w:noWrap w:val="0"/>
            <w:vAlign w:val="center"/>
          </w:tcPr>
          <w:p w14:paraId="45CDE68B">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lang w:val="en-US" w:eastAsia="zh-CN"/>
              </w:rPr>
              <w:t>依据</w:t>
            </w: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比例按月或季度支付。</w:t>
            </w:r>
          </w:p>
        </w:tc>
        <w:tc>
          <w:tcPr>
            <w:tcW w:w="3780" w:type="dxa"/>
            <w:noWrap w:val="0"/>
            <w:vAlign w:val="center"/>
          </w:tcPr>
          <w:p w14:paraId="1F5CBCD3">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lang w:val="en-US" w:eastAsia="zh-CN"/>
              </w:rPr>
              <w:t>合同价总价80%（含预付款）</w:t>
            </w:r>
          </w:p>
        </w:tc>
      </w:tr>
      <w:tr w14:paraId="66FB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866" w:type="dxa"/>
            <w:noWrap w:val="0"/>
            <w:vAlign w:val="center"/>
          </w:tcPr>
          <w:p w14:paraId="40BAE9EE">
            <w:pPr>
              <w:wordWrap w:val="0"/>
              <w:adjustRightInd w:val="0"/>
              <w:snapToGrid w:val="0"/>
              <w:spacing w:line="400" w:lineRule="exact"/>
              <w:jc w:val="center"/>
              <w:rPr>
                <w:rFonts w:hint="eastAsia" w:ascii="Times New Roman" w:eastAsia="宋体"/>
                <w:snapToGrid w:val="0"/>
                <w:color w:val="auto"/>
                <w:kern w:val="0"/>
                <w:highlight w:val="none"/>
                <w:lang w:eastAsia="zh-CN"/>
              </w:rPr>
            </w:pPr>
            <w:r>
              <w:rPr>
                <w:rFonts w:hint="eastAsia" w:ascii="Times New Roman"/>
                <w:snapToGrid w:val="0"/>
                <w:color w:val="auto"/>
                <w:kern w:val="0"/>
                <w:highlight w:val="none"/>
                <w:lang w:val="en-US" w:eastAsia="zh-CN"/>
              </w:rPr>
              <w:t>2</w:t>
            </w:r>
          </w:p>
        </w:tc>
        <w:tc>
          <w:tcPr>
            <w:tcW w:w="4455" w:type="dxa"/>
            <w:noWrap w:val="0"/>
            <w:vAlign w:val="center"/>
          </w:tcPr>
          <w:p w14:paraId="6E8C3F2F">
            <w:pPr>
              <w:wordWrap w:val="0"/>
              <w:adjustRightInd w:val="0"/>
              <w:snapToGrid w:val="0"/>
              <w:spacing w:line="400" w:lineRule="exact"/>
              <w:jc w:val="left"/>
              <w:rPr>
                <w:rFonts w:hint="eastAsia" w:ascii="Times New Roman"/>
                <w:snapToGrid w:val="0"/>
                <w:color w:val="auto"/>
                <w:kern w:val="0"/>
                <w:sz w:val="24"/>
                <w:highlight w:val="none"/>
                <w:lang w:val="en-US" w:eastAsia="zh-CN" w:bidi="ar-SA"/>
              </w:rPr>
            </w:pP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达到100</w:t>
            </w:r>
            <w:r>
              <w:rPr>
                <w:rFonts w:hint="eastAsia" w:ascii="Times New Roman"/>
                <w:snapToGrid w:val="0"/>
                <w:color w:val="auto"/>
                <w:kern w:val="0"/>
                <w:highlight w:val="none"/>
              </w:rPr>
              <w:t>%</w:t>
            </w: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工程完工或竣工</w:t>
            </w:r>
            <w:r>
              <w:rPr>
                <w:rFonts w:hint="eastAsia" w:ascii="Times New Roman"/>
                <w:snapToGrid w:val="0"/>
                <w:color w:val="auto"/>
                <w:kern w:val="0"/>
                <w:highlight w:val="none"/>
              </w:rPr>
              <w:t>验收</w:t>
            </w:r>
            <w:r>
              <w:rPr>
                <w:rFonts w:hint="eastAsia" w:ascii="Times New Roman"/>
                <w:snapToGrid w:val="0"/>
                <w:color w:val="auto"/>
                <w:kern w:val="0"/>
                <w:highlight w:val="none"/>
                <w:lang w:val="en-US" w:eastAsia="zh-CN"/>
              </w:rPr>
              <w:t>合规。</w:t>
            </w:r>
          </w:p>
        </w:tc>
        <w:tc>
          <w:tcPr>
            <w:tcW w:w="3780" w:type="dxa"/>
            <w:noWrap w:val="0"/>
            <w:vAlign w:val="center"/>
          </w:tcPr>
          <w:p w14:paraId="498DA7D7">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lang w:val="en-US" w:eastAsia="zh-CN"/>
              </w:rPr>
              <w:t>合同价20%</w:t>
            </w:r>
          </w:p>
        </w:tc>
      </w:tr>
    </w:tbl>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highlight w:val="none"/>
        </w:rPr>
      </w:pPr>
      <w:bookmarkStart w:id="202" w:name="_Toc31344"/>
      <w:bookmarkStart w:id="203" w:name="_Toc12074"/>
      <w:r>
        <w:rPr>
          <w:rFonts w:hint="eastAsia" w:ascii="宋体" w:hAnsi="宋体" w:eastAsia="宋体" w:cs="宋体"/>
          <w:b/>
          <w:bCs/>
          <w:snapToGrid w:val="0"/>
          <w:color w:val="auto"/>
          <w:kern w:val="0"/>
          <w:szCs w:val="24"/>
          <w:highlight w:val="none"/>
        </w:rPr>
        <w:t>3．监理服务费发票</w:t>
      </w:r>
      <w:bookmarkEnd w:id="197"/>
      <w:bookmarkEnd w:id="198"/>
      <w:bookmarkEnd w:id="199"/>
      <w:bookmarkEnd w:id="200"/>
      <w:bookmarkEnd w:id="201"/>
      <w:bookmarkEnd w:id="202"/>
      <w:bookmarkEnd w:id="203"/>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委托人每次支付监理服务费前，监理人均应提供有效的增值税</w:t>
      </w:r>
      <w:r>
        <w:rPr>
          <w:rFonts w:hint="eastAsia" w:hAnsi="宋体" w:cs="宋体"/>
          <w:snapToGrid w:val="0"/>
          <w:color w:val="auto"/>
          <w:kern w:val="0"/>
          <w:szCs w:val="24"/>
          <w:highlight w:val="none"/>
          <w:u w:val="single"/>
        </w:rPr>
        <w:t xml:space="preserve"> 普通 </w:t>
      </w:r>
      <w:r>
        <w:rPr>
          <w:rFonts w:hint="eastAsia" w:hAnsi="宋体" w:cs="宋体"/>
          <w:snapToGrid w:val="0"/>
          <w:color w:val="auto"/>
          <w:kern w:val="0"/>
          <w:szCs w:val="24"/>
          <w:highlight w:val="none"/>
        </w:rPr>
        <w:t xml:space="preserve">发票。如果监理人无法提供符合要求的监理服务费发票，由此造成的相应损失由监理人承担。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04" w:name="_Toc30294"/>
      <w:bookmarkStart w:id="205" w:name="_Toc25406"/>
      <w:bookmarkStart w:id="206" w:name="_Toc22603"/>
      <w:bookmarkStart w:id="207" w:name="_Toc2147"/>
      <w:bookmarkStart w:id="208" w:name="_Toc32105"/>
      <w:bookmarkStart w:id="209" w:name="_Toc7557"/>
      <w:bookmarkStart w:id="210" w:name="_Toc31725"/>
      <w:r>
        <w:rPr>
          <w:rFonts w:hint="eastAsia" w:hAnsi="宋体" w:cs="宋体"/>
          <w:b/>
          <w:bCs/>
          <w:snapToGrid w:val="0"/>
          <w:color w:val="auto"/>
          <w:kern w:val="0"/>
          <w:szCs w:val="24"/>
          <w:highlight w:val="none"/>
        </w:rPr>
        <w:t>4．违约责任</w:t>
      </w:r>
      <w:bookmarkEnd w:id="204"/>
      <w:bookmarkEnd w:id="205"/>
      <w:bookmarkEnd w:id="206"/>
      <w:bookmarkEnd w:id="207"/>
      <w:bookmarkEnd w:id="208"/>
      <w:bookmarkEnd w:id="209"/>
      <w:bookmarkEnd w:id="210"/>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26D6847F">
      <w:pPr>
        <w:wordWrap w:val="0"/>
        <w:adjustRightInd w:val="0"/>
        <w:snapToGrid w:val="0"/>
        <w:spacing w:line="440" w:lineRule="exact"/>
        <w:ind w:firstLine="560"/>
        <w:rPr>
          <w:rFonts w:hint="eastAsia"/>
          <w:color w:val="auto"/>
          <w:highlight w:val="none"/>
          <w:lang w:val="en-US" w:eastAsia="zh-CN"/>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highlight w:val="none"/>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color w:val="auto"/>
          <w:highlight w:val="none"/>
          <w:lang w:val="en-US" w:eastAsia="zh-CN"/>
        </w:rPr>
        <w:t>4.16项目总监理工程师或项目总监理工程师代表每月驻现场不少于28 天，未经招标人书面同意，每少1天，视为监理人发生监理不良行为一次，承担般违约责任一次，监理人向委托人交纳违约金 2000 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11" w:name="_Toc26193"/>
      <w:bookmarkStart w:id="212" w:name="_Toc8777"/>
      <w:bookmarkStart w:id="213" w:name="_Toc17944"/>
      <w:bookmarkStart w:id="214" w:name="_Toc27702"/>
      <w:bookmarkStart w:id="215" w:name="_Toc4121"/>
      <w:bookmarkStart w:id="216" w:name="_Toc8823"/>
      <w:bookmarkStart w:id="217" w:name="_Toc29596"/>
      <w:r>
        <w:rPr>
          <w:rFonts w:hint="eastAsia" w:hAnsi="宋体" w:cs="宋体"/>
          <w:b/>
          <w:bCs/>
          <w:snapToGrid w:val="0"/>
          <w:color w:val="auto"/>
          <w:kern w:val="0"/>
          <w:szCs w:val="24"/>
          <w:highlight w:val="none"/>
        </w:rPr>
        <w:t>5．</w:t>
      </w:r>
      <w:r>
        <w:rPr>
          <w:rFonts w:hint="eastAsia" w:hAnsi="宋体" w:cs="宋体"/>
          <w:b/>
          <w:bCs/>
          <w:snapToGrid w:val="0"/>
          <w:color w:val="auto"/>
          <w:kern w:val="0"/>
          <w:szCs w:val="24"/>
          <w:highlight w:val="none"/>
          <w:lang w:val="en-US" w:eastAsia="zh-CN"/>
        </w:rPr>
        <w:t>监理服务费的</w:t>
      </w:r>
      <w:r>
        <w:rPr>
          <w:rFonts w:hint="eastAsia" w:hAnsi="宋体" w:cs="宋体"/>
          <w:b/>
          <w:bCs/>
          <w:snapToGrid w:val="0"/>
          <w:color w:val="auto"/>
          <w:kern w:val="0"/>
          <w:szCs w:val="24"/>
          <w:highlight w:val="none"/>
        </w:rPr>
        <w:t>支付</w:t>
      </w:r>
      <w:bookmarkEnd w:id="211"/>
      <w:bookmarkEnd w:id="212"/>
      <w:bookmarkEnd w:id="213"/>
      <w:bookmarkEnd w:id="214"/>
      <w:bookmarkEnd w:id="215"/>
      <w:bookmarkEnd w:id="216"/>
      <w:bookmarkEnd w:id="217"/>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18" w:name="_Toc624"/>
      <w:bookmarkStart w:id="219" w:name="_Toc9024"/>
      <w:bookmarkStart w:id="220" w:name="_Toc26599"/>
      <w:bookmarkStart w:id="221" w:name="_Toc13619"/>
      <w:r>
        <w:rPr>
          <w:rFonts w:hint="eastAsia" w:hAnsi="宋体" w:cs="宋体"/>
          <w:b/>
          <w:bCs/>
          <w:snapToGrid w:val="0"/>
          <w:color w:val="auto"/>
          <w:kern w:val="0"/>
          <w:szCs w:val="24"/>
          <w:highlight w:val="none"/>
        </w:rPr>
        <w:t>5.1</w:t>
      </w:r>
      <w:r>
        <w:rPr>
          <w:rFonts w:hint="eastAsia" w:hAnsi="宋体" w:cs="宋体"/>
          <w:snapToGrid w:val="0"/>
          <w:color w:val="auto"/>
          <w:kern w:val="0"/>
          <w:szCs w:val="24"/>
          <w:highlight w:val="none"/>
        </w:rPr>
        <w:t xml:space="preserve"> 支付货币</w:t>
      </w:r>
      <w:bookmarkEnd w:id="218"/>
      <w:bookmarkEnd w:id="219"/>
      <w:bookmarkEnd w:id="220"/>
      <w:bookmarkEnd w:id="221"/>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22" w:name="_Toc3949"/>
      <w:bookmarkStart w:id="223" w:name="_Toc10949"/>
      <w:bookmarkStart w:id="224" w:name="_Toc7275"/>
      <w:bookmarkStart w:id="225" w:name="_Toc22466"/>
      <w:r>
        <w:rPr>
          <w:rFonts w:hint="eastAsia" w:hAnsi="宋体" w:cs="宋体"/>
          <w:b/>
          <w:bCs/>
          <w:snapToGrid w:val="0"/>
          <w:color w:val="auto"/>
          <w:kern w:val="0"/>
          <w:szCs w:val="24"/>
          <w:highlight w:val="none"/>
        </w:rPr>
        <w:t>5.2</w:t>
      </w:r>
      <w:r>
        <w:rPr>
          <w:rFonts w:hint="eastAsia" w:hAnsi="宋体" w:cs="宋体"/>
          <w:snapToGrid w:val="0"/>
          <w:color w:val="auto"/>
          <w:kern w:val="0"/>
          <w:szCs w:val="24"/>
          <w:highlight w:val="none"/>
        </w:rPr>
        <w:t xml:space="preserve"> 支付申请</w:t>
      </w:r>
      <w:bookmarkEnd w:id="222"/>
      <w:bookmarkEnd w:id="223"/>
      <w:bookmarkEnd w:id="224"/>
      <w:bookmarkEnd w:id="225"/>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26" w:name="_Toc10664"/>
      <w:bookmarkStart w:id="227" w:name="_Toc25652"/>
      <w:bookmarkStart w:id="228" w:name="_Toc6801"/>
      <w:bookmarkStart w:id="229" w:name="_Toc17883"/>
      <w:r>
        <w:rPr>
          <w:rFonts w:hint="eastAsia" w:hAnsi="宋体" w:cs="宋体"/>
          <w:b/>
          <w:bCs/>
          <w:snapToGrid w:val="0"/>
          <w:color w:val="auto"/>
          <w:kern w:val="0"/>
          <w:szCs w:val="24"/>
          <w:highlight w:val="none"/>
        </w:rPr>
        <w:t xml:space="preserve">5.3 </w:t>
      </w:r>
      <w:bookmarkEnd w:id="226"/>
      <w:bookmarkEnd w:id="227"/>
      <w:bookmarkEnd w:id="228"/>
      <w:bookmarkEnd w:id="229"/>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4"/>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0" w:name="_Toc11091"/>
      <w:bookmarkStart w:id="231" w:name="_Toc5107"/>
      <w:bookmarkStart w:id="232" w:name="_Toc878"/>
      <w:bookmarkStart w:id="233" w:name="_Toc8398"/>
      <w:bookmarkStart w:id="234" w:name="_Toc12317"/>
      <w:bookmarkStart w:id="235" w:name="_Toc16162"/>
      <w:bookmarkStart w:id="236" w:name="_Toc6555"/>
      <w:r>
        <w:rPr>
          <w:rFonts w:hint="eastAsia" w:hAnsi="宋体" w:cs="宋体"/>
          <w:b/>
          <w:bCs/>
          <w:snapToGrid w:val="0"/>
          <w:color w:val="auto"/>
          <w:kern w:val="0"/>
          <w:szCs w:val="24"/>
          <w:highlight w:val="none"/>
        </w:rPr>
        <w:t>6．</w:t>
      </w:r>
      <w:bookmarkEnd w:id="230"/>
      <w:bookmarkEnd w:id="231"/>
      <w:bookmarkEnd w:id="232"/>
      <w:bookmarkEnd w:id="233"/>
      <w:bookmarkEnd w:id="234"/>
      <w:r>
        <w:rPr>
          <w:rFonts w:hint="eastAsia" w:ascii="Times New Roman"/>
          <w:b/>
          <w:snapToGrid w:val="0"/>
          <w:color w:val="auto"/>
          <w:szCs w:val="22"/>
          <w:highlight w:val="none"/>
        </w:rPr>
        <w:t>监理人违约及违约责任</w:t>
      </w:r>
      <w:bookmarkEnd w:id="235"/>
      <w:bookmarkEnd w:id="236"/>
    </w:p>
    <w:p w14:paraId="2FAB8060">
      <w:pPr>
        <w:pStyle w:val="134"/>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7"/>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7"/>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7"/>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7"/>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7FDC0DEF">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总监每月驻现场不少于10天，未经招标人书面同意，每少1天，视为监理人发生监理不良行为一次，承担一般违约责任一次，监理人向委托人交纳违约金1000元。</w:t>
      </w:r>
    </w:p>
    <w:p w14:paraId="3509ED2A">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7"/>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其他监理人员必须按配备要求在现场驻场监理，离开项目现场必须经委托人书面同意，如委托人发现监理人员非正常离岗，监理人向委托人每人次交纳违约金1000元。</w:t>
      </w:r>
    </w:p>
    <w:p w14:paraId="40A07E9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不按规定委派专业人员，不按时、准时参加各项验收和抽查的，不及时签署检查、验收记录的，一次向建设（委托）单位交纳违约金¥1000元/次、项。</w:t>
      </w:r>
    </w:p>
    <w:p w14:paraId="00A919FE">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5000</w:t>
      </w:r>
      <w:r>
        <w:rPr>
          <w:rFonts w:hint="eastAsia" w:hAnsi="宋体"/>
          <w:color w:val="auto"/>
          <w:sz w:val="24"/>
          <w:highlight w:val="none"/>
        </w:rPr>
        <w:t>元；</w:t>
      </w:r>
    </w:p>
    <w:p w14:paraId="7F533DF8">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同一问题未能按时整改，每重复一次监理人向委托人缴纳违约金1000元。</w:t>
      </w:r>
    </w:p>
    <w:p w14:paraId="1B0FB72B">
      <w:pPr>
        <w:pStyle w:val="67"/>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7"/>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5</w:t>
      </w:r>
      <w:r>
        <w:rPr>
          <w:rFonts w:hint="eastAsia" w:hAnsi="宋体"/>
          <w:color w:val="auto"/>
          <w:sz w:val="24"/>
          <w:highlight w:val="none"/>
        </w:rPr>
        <w:t>000元。</w:t>
      </w:r>
    </w:p>
    <w:p w14:paraId="0E4E3FC4">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w:t>
      </w:r>
    </w:p>
    <w:p w14:paraId="15E547A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7"/>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监理人发生监理渎职违约一次，承担非常严重违约责任一次，扣除监理人违约金5000元。</w:t>
      </w:r>
    </w:p>
    <w:p w14:paraId="6BA85A70">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677CAEB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7"/>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7"/>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质量控制不达标：工程竣工验收质量未达到施工合同等级要求的，不管任何原因，结算扣减监理合同价款的3％。</w:t>
      </w:r>
    </w:p>
    <w:p w14:paraId="1EFA036F">
      <w:pPr>
        <w:pStyle w:val="67"/>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7"/>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7"/>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监理人应保证每季度进度计量（价）数据的准确性，如发生计量（价）误差＞5%，则视为监理人违约一次，扣除监理人违约金2000/次。</w:t>
      </w:r>
    </w:p>
    <w:p w14:paraId="7BE2691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7"/>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4"/>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7" w:name="_Toc21519"/>
      <w:bookmarkStart w:id="238" w:name="_Toc18555"/>
      <w:bookmarkStart w:id="239" w:name="_Toc22285"/>
      <w:bookmarkStart w:id="240" w:name="_Toc15156"/>
      <w:r>
        <w:rPr>
          <w:rFonts w:hint="eastAsia" w:ascii="Times New Roman"/>
          <w:b/>
          <w:snapToGrid w:val="0"/>
          <w:color w:val="auto"/>
          <w:szCs w:val="22"/>
          <w:highlight w:val="none"/>
        </w:rPr>
        <w:t>7. 工程质量、造价、进度控制及安全生产管理</w:t>
      </w:r>
      <w:bookmarkEnd w:id="237"/>
      <w:bookmarkEnd w:id="238"/>
      <w:bookmarkEnd w:id="239"/>
      <w:bookmarkEnd w:id="240"/>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3FD6459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7.2.4项目监理单位应按上述要求和有关规定控制本项目的工程造价，若由于项目监理单位的过失造成工程造价提高，招标人按所提高造价额的50%从监理服务费中扣除，扣除累计不超过监理服务费的70%。</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ascii="Times New Roman"/>
          <w:snapToGrid w:val="0"/>
          <w:color w:val="auto"/>
          <w:kern w:val="0"/>
          <w:highlight w:val="none"/>
        </w:rPr>
        <w:t>监理报告应按相应规范的要求填写。</w:t>
      </w:r>
    </w:p>
    <w:p w14:paraId="06BFFCA1">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4094DE">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16FEEB7">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314BF6E">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6DE556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93AF343">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BE3E45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4E128E4">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AB7BD9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296E77F">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183EBD19">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1AE5DD62">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DA9969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bookmarkEnd w:id="179"/>
    <w:p w14:paraId="00DFB3FB">
      <w:pPr>
        <w:pStyle w:val="3"/>
        <w:tabs>
          <w:tab w:val="left" w:pos="885"/>
        </w:tabs>
        <w:wordWrap w:val="0"/>
        <w:autoSpaceDE/>
        <w:autoSpaceDN/>
        <w:snapToGrid w:val="0"/>
        <w:spacing w:line="440" w:lineRule="exact"/>
        <w:ind w:left="885" w:hanging="885"/>
        <w:jc w:val="center"/>
        <w:rPr>
          <w:rFonts w:ascii="Times New Roman"/>
          <w:b/>
          <w:snapToGrid w:val="0"/>
          <w:color w:val="auto"/>
          <w:sz w:val="32"/>
          <w:szCs w:val="22"/>
          <w:highlight w:val="none"/>
        </w:rPr>
      </w:pPr>
      <w:bookmarkStart w:id="241" w:name="_Toc21669"/>
      <w:bookmarkStart w:id="242" w:name="_Toc11137"/>
      <w:bookmarkStart w:id="243" w:name="_Toc12650"/>
      <w:bookmarkStart w:id="244" w:name="_Hlt69698796"/>
      <w:r>
        <w:rPr>
          <w:rFonts w:hint="eastAsia" w:ascii="Times New Roman"/>
          <w:b/>
          <w:snapToGrid w:val="0"/>
          <w:color w:val="auto"/>
          <w:sz w:val="32"/>
          <w:szCs w:val="22"/>
          <w:highlight w:val="none"/>
        </w:rPr>
        <w:t>第四章</w:t>
      </w:r>
      <w:bookmarkStart w:id="245" w:name="_Hlt87793853"/>
      <w:bookmarkEnd w:id="245"/>
      <w:r>
        <w:rPr>
          <w:rFonts w:hint="eastAsia" w:ascii="Times New Roman"/>
          <w:b/>
          <w:snapToGrid w:val="0"/>
          <w:color w:val="auto"/>
          <w:sz w:val="32"/>
          <w:szCs w:val="22"/>
          <w:highlight w:val="none"/>
        </w:rPr>
        <w:t xml:space="preserve"> 技术要求</w:t>
      </w:r>
      <w:bookmarkEnd w:id="241"/>
      <w:bookmarkEnd w:id="242"/>
      <w:bookmarkEnd w:id="243"/>
    </w:p>
    <w:bookmarkEnd w:id="244"/>
    <w:p w14:paraId="69F644B1">
      <w:pPr>
        <w:wordWrap w:val="0"/>
        <w:adjustRightInd w:val="0"/>
        <w:snapToGrid w:val="0"/>
        <w:spacing w:line="440" w:lineRule="exact"/>
        <w:rPr>
          <w:rFonts w:hint="eastAsia" w:hAnsi="宋体" w:cs="宋体"/>
          <w:bCs/>
          <w:snapToGrid w:val="0"/>
          <w:color w:val="auto"/>
          <w:kern w:val="0"/>
          <w:highlight w:val="none"/>
        </w:rPr>
      </w:pPr>
      <w:bookmarkStart w:id="246" w:name="_Hlt69359335"/>
      <w:bookmarkEnd w:id="246"/>
      <w:bookmarkStart w:id="247" w:name="_Hlt75685840"/>
      <w:bookmarkEnd w:id="247"/>
      <w:bookmarkStart w:id="248" w:name="_Hlt69358207"/>
      <w:bookmarkEnd w:id="248"/>
      <w:bookmarkStart w:id="249" w:name="_Hlt87793370"/>
      <w:bookmarkEnd w:id="249"/>
      <w:bookmarkStart w:id="250" w:name="_Hlt66104926"/>
      <w:bookmarkEnd w:id="250"/>
      <w:bookmarkStart w:id="251" w:name="_Hlt69265216"/>
      <w:bookmarkEnd w:id="251"/>
      <w:bookmarkStart w:id="252" w:name="_Hlt68774758"/>
      <w:bookmarkEnd w:id="252"/>
      <w:bookmarkStart w:id="253" w:name="_Hlt69357851"/>
      <w:bookmarkEnd w:id="253"/>
      <w:bookmarkStart w:id="254" w:name="_Hlt80411122"/>
      <w:bookmarkEnd w:id="254"/>
      <w:bookmarkStart w:id="255" w:name="_Hlt87793346"/>
      <w:bookmarkEnd w:id="255"/>
      <w:bookmarkStart w:id="256" w:name="_Hlt69116854"/>
      <w:bookmarkEnd w:id="256"/>
      <w:bookmarkStart w:id="257" w:name="_Toc2392"/>
      <w:bookmarkStart w:id="258" w:name="_Toc7515"/>
    </w:p>
    <w:bookmarkEnd w:id="257"/>
    <w:bookmarkEnd w:id="258"/>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59" w:name="_Hlt69635247"/>
      <w:bookmarkEnd w:id="259"/>
      <w:bookmarkStart w:id="260" w:name="_Hlt69338190"/>
      <w:bookmarkEnd w:id="260"/>
      <w:bookmarkStart w:id="261" w:name="_Hlt69358336"/>
      <w:bookmarkEnd w:id="261"/>
      <w:bookmarkStart w:id="262" w:name="_Hlt69116863"/>
      <w:bookmarkEnd w:id="262"/>
      <w:bookmarkStart w:id="263" w:name="_Hlt69265207"/>
      <w:bookmarkEnd w:id="263"/>
      <w:bookmarkStart w:id="264" w:name="_Hlt66848640"/>
      <w:bookmarkEnd w:id="264"/>
      <w:bookmarkStart w:id="265" w:name="_Toc29899"/>
      <w:bookmarkStart w:id="266" w:name="_Toc22126"/>
      <w:bookmarkStart w:id="267" w:name="_Toc29213"/>
      <w:bookmarkStart w:id="268" w:name="_Toc25992"/>
      <w:bookmarkStart w:id="269" w:name="_Toc16011"/>
      <w:bookmarkStart w:id="270" w:name="_Hlt69698785"/>
      <w:r>
        <w:rPr>
          <w:rFonts w:hint="eastAsia" w:ascii="宋体" w:hAnsi="宋体" w:eastAsia="宋体" w:cs="宋体"/>
          <w:b/>
          <w:snapToGrid w:val="0"/>
          <w:color w:val="auto"/>
          <w:kern w:val="0"/>
          <w:highlight w:val="none"/>
        </w:rPr>
        <w:t>1．房屋建筑工程建设项目</w:t>
      </w:r>
      <w:bookmarkEnd w:id="265"/>
      <w:bookmarkEnd w:id="266"/>
      <w:bookmarkEnd w:id="267"/>
      <w:bookmarkEnd w:id="268"/>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71" w:name="_Hlt69359245"/>
      <w:bookmarkEnd w:id="271"/>
      <w:bookmarkStart w:id="272" w:name="_Hlt69359243"/>
      <w:bookmarkEnd w:id="272"/>
      <w:bookmarkStart w:id="273" w:name="_Hlt69359086"/>
      <w:bookmarkEnd w:id="273"/>
      <w:bookmarkStart w:id="274" w:name="_Hlt78709799"/>
      <w:bookmarkEnd w:id="274"/>
      <w:bookmarkStart w:id="275" w:name="_Hlt69358458"/>
      <w:bookmarkEnd w:id="275"/>
      <w:bookmarkStart w:id="276" w:name="_Hlt69635252"/>
      <w:bookmarkEnd w:id="276"/>
      <w:bookmarkStart w:id="277" w:name="_Hlt69116858"/>
      <w:bookmarkEnd w:id="277"/>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78" w:name="_Hlt78795211"/>
      <w:bookmarkEnd w:id="278"/>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highlight w:val="none"/>
        </w:rPr>
      </w:pPr>
      <w:bookmarkStart w:id="279" w:name="_Toc16196"/>
      <w:bookmarkStart w:id="280" w:name="_Toc2706"/>
      <w:bookmarkStart w:id="281" w:name="_Toc23789"/>
      <w:bookmarkStart w:id="282" w:name="_Toc3631"/>
      <w:r>
        <w:rPr>
          <w:rFonts w:hint="eastAsia" w:ascii="宋体" w:hAnsi="宋体" w:eastAsia="宋体" w:cs="宋体"/>
          <w:b/>
          <w:snapToGrid w:val="0"/>
          <w:color w:val="auto"/>
          <w:kern w:val="0"/>
          <w:highlight w:val="none"/>
        </w:rPr>
        <w:t>2．市政基础设施工程建设项目</w:t>
      </w:r>
      <w:bookmarkEnd w:id="279"/>
      <w:bookmarkEnd w:id="280"/>
      <w:bookmarkEnd w:id="281"/>
      <w:bookmarkEnd w:id="282"/>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highlight w:val="none"/>
        </w:rPr>
      </w:pPr>
      <w:r>
        <w:rPr>
          <w:rFonts w:hint="eastAsia" w:ascii="宋体" w:hAnsi="宋体" w:eastAsia="宋体" w:cs="宋体"/>
          <w:b w:val="0"/>
          <w:bCs/>
          <w:snapToGrid w:val="0"/>
          <w:color w:val="auto"/>
          <w:kern w:val="0"/>
          <w:highlight w:val="none"/>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3" w:name="_Toc8840"/>
      <w:bookmarkStart w:id="284" w:name="_Toc20464"/>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highlight w:val="none"/>
        </w:rPr>
        <w:t>《城市道路照明设计标准》（CJJ45-2015）；</w:t>
      </w:r>
      <w:bookmarkEnd w:id="283"/>
      <w:bookmarkEnd w:id="284"/>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highlight w:val="none"/>
        </w:rPr>
      </w:pPr>
      <w:bookmarkStart w:id="285" w:name="_Toc8828"/>
      <w:bookmarkStart w:id="286" w:name="_Toc12769"/>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12</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《低压配电设计规范》（GB50054-2011）；</w:t>
      </w:r>
      <w:bookmarkEnd w:id="285"/>
      <w:bookmarkEnd w:id="286"/>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7" w:name="_Toc5338"/>
      <w:bookmarkStart w:id="288" w:name="_Toc1705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13</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《城市道路照明工程施工及验收规程》（CJJ89-2012）；</w:t>
      </w:r>
      <w:bookmarkEnd w:id="287"/>
      <w:bookmarkEnd w:id="288"/>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lang w:val="en-US" w:eastAsia="zh-CN"/>
        </w:rPr>
      </w:pPr>
      <w:bookmarkStart w:id="289" w:name="_Toc15704"/>
      <w:bookmarkStart w:id="290" w:name="_Toc17302"/>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14</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LED道路照明工程技术规范</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DB44/T 1898-2016</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bookmarkEnd w:id="289"/>
      <w:bookmarkEnd w:id="290"/>
    </w:p>
    <w:p w14:paraId="0F08A875">
      <w:pPr>
        <w:pStyle w:val="155"/>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15</w:t>
      </w:r>
      <w:r>
        <w:rPr>
          <w:rFonts w:hint="eastAsia" w:ascii="宋体" w:hAnsi="宋体" w:eastAsia="宋体" w:cs="宋体"/>
          <w:b w:val="0"/>
          <w:bCs/>
          <w:i w:val="0"/>
          <w:iCs w:val="0"/>
          <w:color w:val="auto"/>
          <w:kern w:val="0"/>
          <w:szCs w:val="21"/>
          <w:highlight w:val="none"/>
          <w:lang w:eastAsia="zh-CN"/>
        </w:rPr>
        <w:t>）《灯具第</w:t>
      </w:r>
      <w:r>
        <w:rPr>
          <w:rFonts w:hint="eastAsia" w:ascii="宋体" w:hAnsi="宋体" w:eastAsia="宋体" w:cs="宋体"/>
          <w:b w:val="0"/>
          <w:bCs/>
          <w:i w:val="0"/>
          <w:iCs w:val="0"/>
          <w:color w:val="auto"/>
          <w:kern w:val="0"/>
          <w:szCs w:val="21"/>
          <w:highlight w:val="none"/>
          <w:lang w:val="en-US" w:eastAsia="zh-CN"/>
        </w:rPr>
        <w:t>1部分：一般要求与试验</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GB7000.1-2015</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16</w:t>
      </w:r>
      <w:r>
        <w:rPr>
          <w:rFonts w:hint="eastAsia" w:ascii="宋体" w:hAnsi="宋体" w:eastAsia="宋体" w:cs="宋体"/>
          <w:b w:val="0"/>
          <w:bCs/>
          <w:i w:val="0"/>
          <w:iCs w:val="0"/>
          <w:color w:val="auto"/>
          <w:kern w:val="0"/>
          <w:szCs w:val="21"/>
          <w:highlight w:val="none"/>
          <w:lang w:eastAsia="zh-CN"/>
        </w:rPr>
        <w:t>）《电缆工程电缆设计标准》（</w:t>
      </w:r>
      <w:r>
        <w:rPr>
          <w:rFonts w:hint="eastAsia" w:ascii="宋体" w:hAnsi="宋体" w:eastAsia="宋体" w:cs="宋体"/>
          <w:b w:val="0"/>
          <w:bCs/>
          <w:i w:val="0"/>
          <w:iCs w:val="0"/>
          <w:color w:val="auto"/>
          <w:kern w:val="0"/>
          <w:szCs w:val="21"/>
          <w:highlight w:val="none"/>
          <w:lang w:val="en-US" w:eastAsia="zh-CN"/>
        </w:rPr>
        <w:t>GB50217-2018</w:t>
      </w:r>
      <w:r>
        <w:rPr>
          <w:rFonts w:hint="eastAsia" w:ascii="宋体" w:hAnsi="宋体" w:eastAsia="宋体" w:cs="宋体"/>
          <w:b w:val="0"/>
          <w:bCs/>
          <w:i w:val="0"/>
          <w:iCs w:val="0"/>
          <w:color w:val="auto"/>
          <w:kern w:val="0"/>
          <w:szCs w:val="21"/>
          <w:highlight w:val="none"/>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91" w:name="_Toc20571"/>
      <w:bookmarkStart w:id="292" w:name="_Toc5246"/>
      <w:r>
        <w:rPr>
          <w:rFonts w:hint="eastAsia" w:ascii="宋体" w:hAnsi="宋体" w:eastAsia="宋体" w:cs="宋体"/>
          <w:b/>
          <w:snapToGrid w:val="0"/>
          <w:color w:val="auto"/>
          <w:kern w:val="0"/>
          <w:highlight w:val="none"/>
        </w:rPr>
        <w:t>3．备查要求</w:t>
      </w:r>
      <w:bookmarkEnd w:id="291"/>
      <w:bookmarkEnd w:id="292"/>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highlight w:val="none"/>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highlight w:val="none"/>
        </w:rPr>
        <w:t>监理人必须在施工现场准备至少一套上述规范，委托人可随时检</w:t>
      </w:r>
      <w:r>
        <w:rPr>
          <w:rFonts w:hint="eastAsia" w:ascii="宋体" w:hAnsi="宋体" w:eastAsia="宋体" w:cs="宋体"/>
          <w:bCs/>
          <w:snapToGrid w:val="0"/>
          <w:color w:val="auto"/>
          <w:kern w:val="0"/>
          <w:highlight w:val="none"/>
        </w:rPr>
        <w:t>查监理人的上述规范，并监督监理人按规范要求执行。</w:t>
      </w:r>
      <w:bookmarkStart w:id="293" w:name="_Hlt69670335"/>
      <w:bookmarkEnd w:id="293"/>
    </w:p>
    <w:p w14:paraId="2C01AB53">
      <w:pPr>
        <w:pStyle w:val="3"/>
        <w:wordWrap w:val="0"/>
        <w:autoSpaceDE/>
        <w:autoSpaceDN/>
        <w:snapToGrid w:val="0"/>
        <w:spacing w:line="440" w:lineRule="exact"/>
        <w:jc w:val="center"/>
        <w:rPr>
          <w:rFonts w:ascii="Times New Roman"/>
          <w:b/>
          <w:snapToGrid w:val="0"/>
          <w:color w:val="auto"/>
          <w:sz w:val="32"/>
          <w:szCs w:val="22"/>
          <w:highlight w:val="none"/>
        </w:rPr>
      </w:pPr>
      <w:bookmarkStart w:id="294" w:name="_Toc27904"/>
      <w:r>
        <w:rPr>
          <w:rFonts w:hint="eastAsia" w:ascii="Times New Roman"/>
          <w:b/>
          <w:snapToGrid w:val="0"/>
          <w:color w:val="auto"/>
          <w:sz w:val="32"/>
          <w:szCs w:val="22"/>
          <w:highlight w:val="none"/>
        </w:rPr>
        <w:t xml:space="preserve">第五章 </w:t>
      </w:r>
      <w:bookmarkStart w:id="295" w:name="_Hlt75747044"/>
      <w:bookmarkEnd w:id="295"/>
      <w:r>
        <w:rPr>
          <w:rFonts w:hint="eastAsia" w:ascii="Times New Roman"/>
          <w:b/>
          <w:snapToGrid w:val="0"/>
          <w:color w:val="auto"/>
          <w:sz w:val="32"/>
          <w:szCs w:val="22"/>
          <w:highlight w:val="none"/>
        </w:rPr>
        <w:t>投标文件格式</w:t>
      </w:r>
      <w:bookmarkEnd w:id="269"/>
      <w:bookmarkEnd w:id="294"/>
    </w:p>
    <w:bookmarkEnd w:id="270"/>
    <w:p w14:paraId="7A6D8682">
      <w:pPr>
        <w:pStyle w:val="73"/>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296" w:name="_附件二：近三年度主要施工项目（竣工及在建）一览表"/>
      <w:bookmarkEnd w:id="296"/>
      <w:bookmarkStart w:id="297" w:name="_附件二：工期承诺书"/>
      <w:bookmarkEnd w:id="297"/>
      <w:bookmarkStart w:id="298" w:name="_附件一：对招标文件条款自愿接受承诺书"/>
      <w:bookmarkEnd w:id="298"/>
      <w:bookmarkStart w:id="299" w:name="_附件一：投标函"/>
      <w:bookmarkEnd w:id="299"/>
      <w:bookmarkStart w:id="300" w:name="_附件四：工期承诺书"/>
      <w:bookmarkEnd w:id="300"/>
      <w:bookmarkStart w:id="301" w:name="_附件五：综合评审合理低价法"/>
      <w:bookmarkEnd w:id="301"/>
      <w:bookmarkStart w:id="302" w:name="_Toc66849200"/>
      <w:bookmarkStart w:id="303" w:name="_Toc200338097"/>
      <w:bookmarkStart w:id="304" w:name="_Toc137621693"/>
      <w:bookmarkStart w:id="305" w:name="_Hlt66847557"/>
    </w:p>
    <w:p w14:paraId="605BD047">
      <w:pPr>
        <w:pStyle w:val="73"/>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306" w:name="_Toc63"/>
      <w:bookmarkStart w:id="307" w:name="_Toc31809"/>
      <w:r>
        <w:rPr>
          <w:rFonts w:hint="eastAsia" w:ascii="Times New Roman"/>
          <w:b/>
          <w:snapToGrid w:val="0"/>
          <w:color w:val="auto"/>
          <w:highlight w:val="none"/>
        </w:rPr>
        <w:t>格式一 封面</w:t>
      </w:r>
      <w:bookmarkEnd w:id="306"/>
      <w:bookmarkEnd w:id="307"/>
    </w:p>
    <w:p w14:paraId="5DF40F53">
      <w:pPr>
        <w:pStyle w:val="74"/>
        <w:widowControl w:val="0"/>
        <w:wordWrap w:val="0"/>
        <w:adjustRightInd w:val="0"/>
        <w:snapToGrid w:val="0"/>
        <w:spacing w:line="240" w:lineRule="auto"/>
        <w:rPr>
          <w:rFonts w:ascii="Times New Roman"/>
          <w:b/>
          <w:snapToGrid w:val="0"/>
          <w:color w:val="auto"/>
          <w:sz w:val="24"/>
          <w:highlight w:val="none"/>
        </w:rPr>
      </w:pPr>
    </w:p>
    <w:p w14:paraId="6FBB4A80">
      <w:pPr>
        <w:pStyle w:val="74"/>
        <w:widowControl w:val="0"/>
        <w:wordWrap w:val="0"/>
        <w:adjustRightInd w:val="0"/>
        <w:snapToGrid w:val="0"/>
        <w:spacing w:line="240" w:lineRule="auto"/>
        <w:jc w:val="right"/>
        <w:rPr>
          <w:rFonts w:ascii="Times New Roman"/>
          <w:b/>
          <w:snapToGrid w:val="0"/>
          <w:color w:val="auto"/>
          <w:sz w:val="24"/>
          <w:highlight w:val="none"/>
        </w:rPr>
      </w:pPr>
    </w:p>
    <w:p w14:paraId="59746A92">
      <w:pPr>
        <w:pStyle w:val="74"/>
        <w:widowControl w:val="0"/>
        <w:wordWrap w:val="0"/>
        <w:adjustRightInd w:val="0"/>
        <w:snapToGrid w:val="0"/>
        <w:spacing w:line="240" w:lineRule="auto"/>
        <w:rPr>
          <w:rFonts w:ascii="Times New Roman"/>
          <w:b/>
          <w:snapToGrid w:val="0"/>
          <w:color w:val="auto"/>
          <w:sz w:val="24"/>
          <w:highlight w:val="none"/>
        </w:rPr>
      </w:pPr>
    </w:p>
    <w:p w14:paraId="0294BCEE">
      <w:pPr>
        <w:pStyle w:val="74"/>
        <w:widowControl w:val="0"/>
        <w:wordWrap w:val="0"/>
        <w:adjustRightInd w:val="0"/>
        <w:snapToGrid w:val="0"/>
        <w:spacing w:line="240" w:lineRule="auto"/>
        <w:rPr>
          <w:rFonts w:ascii="Times New Roman"/>
          <w:b/>
          <w:snapToGrid w:val="0"/>
          <w:color w:val="auto"/>
          <w:sz w:val="24"/>
          <w:highlight w:val="none"/>
        </w:rPr>
      </w:pPr>
    </w:p>
    <w:p w14:paraId="7513099E">
      <w:pPr>
        <w:pStyle w:val="74"/>
        <w:widowControl w:val="0"/>
        <w:wordWrap w:val="0"/>
        <w:adjustRightInd w:val="0"/>
        <w:snapToGrid w:val="0"/>
        <w:spacing w:line="240" w:lineRule="auto"/>
        <w:rPr>
          <w:rFonts w:ascii="Times New Roman"/>
          <w:b/>
          <w:snapToGrid w:val="0"/>
          <w:color w:val="auto"/>
          <w:sz w:val="24"/>
          <w:highlight w:val="none"/>
        </w:rPr>
      </w:pPr>
    </w:p>
    <w:p w14:paraId="4875FFE9">
      <w:pPr>
        <w:pStyle w:val="74"/>
        <w:widowControl w:val="0"/>
        <w:wordWrap w:val="0"/>
        <w:adjustRightInd w:val="0"/>
        <w:snapToGrid w:val="0"/>
        <w:spacing w:line="240" w:lineRule="auto"/>
        <w:rPr>
          <w:rFonts w:ascii="Times New Roman"/>
          <w:b/>
          <w:snapToGrid w:val="0"/>
          <w:color w:val="auto"/>
          <w:sz w:val="24"/>
          <w:highlight w:val="none"/>
        </w:rPr>
      </w:pPr>
    </w:p>
    <w:p w14:paraId="2D9D39D4">
      <w:pPr>
        <w:pStyle w:val="74"/>
        <w:widowControl w:val="0"/>
        <w:wordWrap w:val="0"/>
        <w:adjustRightInd w:val="0"/>
        <w:snapToGrid w:val="0"/>
        <w:spacing w:line="240" w:lineRule="auto"/>
        <w:rPr>
          <w:rFonts w:ascii="Times New Roman"/>
          <w:b/>
          <w:snapToGrid w:val="0"/>
          <w:color w:val="auto"/>
          <w:sz w:val="24"/>
          <w:highlight w:val="none"/>
        </w:rPr>
      </w:pPr>
    </w:p>
    <w:p w14:paraId="5F4307BB">
      <w:pPr>
        <w:pStyle w:val="74"/>
        <w:widowControl w:val="0"/>
        <w:wordWrap w:val="0"/>
        <w:adjustRightInd w:val="0"/>
        <w:snapToGrid w:val="0"/>
        <w:spacing w:line="240" w:lineRule="auto"/>
        <w:rPr>
          <w:rFonts w:ascii="Times New Roman"/>
          <w:b/>
          <w:snapToGrid w:val="0"/>
          <w:color w:val="auto"/>
          <w:sz w:val="24"/>
          <w:highlight w:val="none"/>
        </w:rPr>
      </w:pPr>
    </w:p>
    <w:p w14:paraId="0005A7BA">
      <w:pPr>
        <w:pStyle w:val="74"/>
        <w:widowControl w:val="0"/>
        <w:wordWrap w:val="0"/>
        <w:adjustRightInd w:val="0"/>
        <w:snapToGrid w:val="0"/>
        <w:spacing w:line="240" w:lineRule="auto"/>
        <w:rPr>
          <w:rFonts w:ascii="Times New Roman"/>
          <w:b/>
          <w:snapToGrid w:val="0"/>
          <w:color w:val="auto"/>
          <w:sz w:val="24"/>
          <w:highlight w:val="none"/>
        </w:rPr>
      </w:pPr>
    </w:p>
    <w:p w14:paraId="38D03B0C">
      <w:pPr>
        <w:pStyle w:val="74"/>
        <w:widowControl w:val="0"/>
        <w:wordWrap w:val="0"/>
        <w:adjustRightInd w:val="0"/>
        <w:snapToGrid w:val="0"/>
        <w:spacing w:line="240" w:lineRule="auto"/>
        <w:rPr>
          <w:rFonts w:ascii="Times New Roman"/>
          <w:b/>
          <w:snapToGrid w:val="0"/>
          <w:color w:val="auto"/>
          <w:sz w:val="24"/>
          <w:highlight w:val="none"/>
        </w:rPr>
      </w:pPr>
    </w:p>
    <w:p w14:paraId="01F56212">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3BD1E3C7">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3D2A6112">
      <w:pPr>
        <w:pStyle w:val="74"/>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5A4D8E98">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189B292E">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p>
    <w:p w14:paraId="21D0A39E">
      <w:pPr>
        <w:pStyle w:val="74"/>
        <w:widowControl w:val="0"/>
        <w:wordWrap w:val="0"/>
        <w:adjustRightInd w:val="0"/>
        <w:snapToGrid w:val="0"/>
        <w:spacing w:line="240" w:lineRule="auto"/>
        <w:rPr>
          <w:rFonts w:ascii="Times New Roman"/>
          <w:b/>
          <w:snapToGrid w:val="0"/>
          <w:color w:val="auto"/>
          <w:highlight w:val="none"/>
        </w:rPr>
      </w:pPr>
    </w:p>
    <w:p w14:paraId="47BA86B9">
      <w:pPr>
        <w:pStyle w:val="74"/>
        <w:widowControl w:val="0"/>
        <w:wordWrap w:val="0"/>
        <w:adjustRightInd w:val="0"/>
        <w:snapToGrid w:val="0"/>
        <w:spacing w:line="240" w:lineRule="auto"/>
        <w:rPr>
          <w:rFonts w:ascii="Times New Roman"/>
          <w:b/>
          <w:snapToGrid w:val="0"/>
          <w:color w:val="auto"/>
          <w:sz w:val="32"/>
          <w:highlight w:val="none"/>
        </w:rPr>
      </w:pPr>
    </w:p>
    <w:p w14:paraId="65C3F1D5">
      <w:pPr>
        <w:pStyle w:val="74"/>
        <w:widowControl w:val="0"/>
        <w:wordWrap w:val="0"/>
        <w:adjustRightInd w:val="0"/>
        <w:snapToGrid w:val="0"/>
        <w:spacing w:line="240" w:lineRule="auto"/>
        <w:rPr>
          <w:rFonts w:ascii="Times New Roman"/>
          <w:b/>
          <w:snapToGrid w:val="0"/>
          <w:color w:val="auto"/>
          <w:sz w:val="32"/>
          <w:highlight w:val="none"/>
        </w:rPr>
      </w:pPr>
    </w:p>
    <w:p w14:paraId="04CF17A0">
      <w:pPr>
        <w:pStyle w:val="74"/>
        <w:widowControl w:val="0"/>
        <w:wordWrap w:val="0"/>
        <w:adjustRightInd w:val="0"/>
        <w:snapToGrid w:val="0"/>
        <w:spacing w:line="240" w:lineRule="auto"/>
        <w:rPr>
          <w:rFonts w:ascii="Times New Roman"/>
          <w:b/>
          <w:snapToGrid w:val="0"/>
          <w:color w:val="auto"/>
          <w:sz w:val="32"/>
          <w:highlight w:val="none"/>
        </w:rPr>
      </w:pPr>
    </w:p>
    <w:p w14:paraId="70B9E93C">
      <w:pPr>
        <w:pStyle w:val="74"/>
        <w:widowControl w:val="0"/>
        <w:wordWrap w:val="0"/>
        <w:adjustRightInd w:val="0"/>
        <w:snapToGrid w:val="0"/>
        <w:spacing w:line="240" w:lineRule="auto"/>
        <w:rPr>
          <w:rFonts w:ascii="Times New Roman"/>
          <w:b/>
          <w:snapToGrid w:val="0"/>
          <w:color w:val="auto"/>
          <w:sz w:val="32"/>
          <w:highlight w:val="none"/>
        </w:rPr>
      </w:pPr>
    </w:p>
    <w:p w14:paraId="1ECCE2FB">
      <w:pPr>
        <w:pStyle w:val="74"/>
        <w:widowControl w:val="0"/>
        <w:wordWrap w:val="0"/>
        <w:adjustRightInd w:val="0"/>
        <w:snapToGrid w:val="0"/>
        <w:spacing w:line="240" w:lineRule="auto"/>
        <w:rPr>
          <w:rFonts w:ascii="Times New Roman"/>
          <w:b/>
          <w:snapToGrid w:val="0"/>
          <w:color w:val="auto"/>
          <w:sz w:val="32"/>
          <w:highlight w:val="none"/>
        </w:rPr>
      </w:pPr>
    </w:p>
    <w:p w14:paraId="1EB2808C">
      <w:pPr>
        <w:pStyle w:val="74"/>
        <w:widowControl w:val="0"/>
        <w:wordWrap w:val="0"/>
        <w:adjustRightInd w:val="0"/>
        <w:snapToGrid w:val="0"/>
        <w:spacing w:line="240" w:lineRule="auto"/>
        <w:rPr>
          <w:rFonts w:ascii="Times New Roman"/>
          <w:b/>
          <w:snapToGrid w:val="0"/>
          <w:color w:val="auto"/>
          <w:sz w:val="32"/>
          <w:highlight w:val="none"/>
        </w:rPr>
      </w:pPr>
    </w:p>
    <w:p w14:paraId="759F596E">
      <w:pPr>
        <w:pStyle w:val="74"/>
        <w:widowControl w:val="0"/>
        <w:wordWrap w:val="0"/>
        <w:adjustRightInd w:val="0"/>
        <w:snapToGrid w:val="0"/>
        <w:spacing w:line="240" w:lineRule="auto"/>
        <w:rPr>
          <w:rFonts w:ascii="Times New Roman"/>
          <w:b/>
          <w:snapToGrid w:val="0"/>
          <w:color w:val="auto"/>
          <w:sz w:val="32"/>
          <w:highlight w:val="none"/>
        </w:rPr>
      </w:pPr>
    </w:p>
    <w:p w14:paraId="146D5E17">
      <w:pPr>
        <w:pStyle w:val="74"/>
        <w:widowControl w:val="0"/>
        <w:wordWrap w:val="0"/>
        <w:adjustRightInd w:val="0"/>
        <w:snapToGrid w:val="0"/>
        <w:spacing w:line="240" w:lineRule="auto"/>
        <w:rPr>
          <w:rFonts w:ascii="Times New Roman"/>
          <w:b/>
          <w:snapToGrid w:val="0"/>
          <w:color w:val="auto"/>
          <w:sz w:val="32"/>
          <w:highlight w:val="none"/>
        </w:rPr>
      </w:pPr>
    </w:p>
    <w:p w14:paraId="6742C860">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DAF0F5D">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0642C6A2">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60435907">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6A449385">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234CEA92">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565FD46B">
      <w:pPr>
        <w:pStyle w:val="74"/>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1A771D3C">
      <w:pPr>
        <w:pStyle w:val="74"/>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B7C22CA">
      <w:pPr>
        <w:pStyle w:val="74"/>
        <w:widowControl w:val="0"/>
        <w:wordWrap w:val="0"/>
        <w:adjustRightInd w:val="0"/>
        <w:snapToGrid w:val="0"/>
        <w:rPr>
          <w:rFonts w:ascii="Times New Roman"/>
          <w:b/>
          <w:snapToGrid w:val="0"/>
          <w:color w:val="auto"/>
          <w:highlight w:val="none"/>
        </w:rPr>
      </w:pPr>
    </w:p>
    <w:p w14:paraId="60968DD1">
      <w:pPr>
        <w:pStyle w:val="74"/>
        <w:widowControl w:val="0"/>
        <w:wordWrap w:val="0"/>
        <w:adjustRightInd w:val="0"/>
        <w:snapToGrid w:val="0"/>
        <w:rPr>
          <w:rFonts w:ascii="Times New Roman"/>
          <w:b/>
          <w:snapToGrid w:val="0"/>
          <w:color w:val="auto"/>
          <w:highlight w:val="none"/>
        </w:rPr>
      </w:pPr>
    </w:p>
    <w:p w14:paraId="20B8FB5C">
      <w:pPr>
        <w:pStyle w:val="74"/>
        <w:widowControl w:val="0"/>
        <w:wordWrap w:val="0"/>
        <w:adjustRightInd w:val="0"/>
        <w:snapToGrid w:val="0"/>
        <w:rPr>
          <w:rFonts w:ascii="Times New Roman"/>
          <w:b/>
          <w:snapToGrid w:val="0"/>
          <w:color w:val="auto"/>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5A266C5">
      <w:pPr>
        <w:pStyle w:val="4"/>
        <w:wordWrap w:val="0"/>
        <w:autoSpaceDE/>
        <w:autoSpaceDN/>
        <w:snapToGrid w:val="0"/>
        <w:spacing w:line="440" w:lineRule="exact"/>
        <w:rPr>
          <w:rFonts w:ascii="Times New Roman"/>
          <w:b/>
          <w:snapToGrid w:val="0"/>
          <w:color w:val="auto"/>
          <w:highlight w:val="none"/>
        </w:rPr>
      </w:pPr>
      <w:bookmarkStart w:id="308" w:name="_Toc29299"/>
      <w:bookmarkStart w:id="309" w:name="_Toc21838"/>
      <w:bookmarkStart w:id="310" w:name="_Toc104711098"/>
      <w:bookmarkStart w:id="311" w:name="_Toc106418843"/>
      <w:r>
        <w:rPr>
          <w:rFonts w:hint="eastAsia" w:ascii="Times New Roman"/>
          <w:b/>
          <w:snapToGrid w:val="0"/>
          <w:color w:val="auto"/>
          <w:highlight w:val="none"/>
        </w:rPr>
        <w:t>格式</w:t>
      </w:r>
      <w:bookmarkStart w:id="312" w:name="_Hlt97526007"/>
      <w:bookmarkEnd w:id="312"/>
      <w:r>
        <w:rPr>
          <w:rFonts w:hint="eastAsia" w:ascii="Times New Roman"/>
          <w:b/>
          <w:snapToGrid w:val="0"/>
          <w:color w:val="auto"/>
          <w:highlight w:val="none"/>
        </w:rPr>
        <w:t>二 投标函</w:t>
      </w:r>
      <w:bookmarkEnd w:id="308"/>
      <w:bookmarkEnd w:id="309"/>
    </w:p>
    <w:p w14:paraId="47DFBF08">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310"/>
      <w:bookmarkEnd w:id="311"/>
    </w:p>
    <w:p w14:paraId="7699421D">
      <w:pPr>
        <w:wordWrap w:val="0"/>
        <w:adjustRightInd w:val="0"/>
        <w:snapToGrid w:val="0"/>
        <w:spacing w:line="440" w:lineRule="exact"/>
        <w:jc w:val="center"/>
        <w:rPr>
          <w:rFonts w:ascii="Times New Roman"/>
          <w:b/>
          <w:snapToGrid w:val="0"/>
          <w:color w:val="auto"/>
          <w:kern w:val="0"/>
          <w:highlight w:val="none"/>
        </w:rPr>
      </w:pPr>
    </w:p>
    <w:p w14:paraId="6A37BA4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2F2551D">
      <w:pPr>
        <w:wordWrap w:val="0"/>
        <w:adjustRightInd w:val="0"/>
        <w:snapToGrid w:val="0"/>
        <w:spacing w:line="500" w:lineRule="exact"/>
        <w:ind w:firstLine="570"/>
        <w:rPr>
          <w:rFonts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我方在仔细研究</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 xml:space="preserve">（小写）：（¥ </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）竞投本项目监理及相关服务</w:t>
      </w:r>
      <w:r>
        <w:rPr>
          <w:rFonts w:hint="eastAsia" w:hAnsi="宋体" w:cs="宋体"/>
          <w:snapToGrid w:val="0"/>
          <w:color w:val="auto"/>
          <w:kern w:val="0"/>
          <w:szCs w:val="22"/>
          <w:highlight w:val="none"/>
          <w:lang w:eastAsia="zh-CN"/>
        </w:rPr>
        <w:t>，投标取费费率为</w:t>
      </w:r>
      <w:r>
        <w:rPr>
          <w:rFonts w:hint="eastAsia" w:hAnsi="宋体" w:cs="宋体"/>
          <w:snapToGrid w:val="0"/>
          <w:color w:val="auto"/>
          <w:kern w:val="0"/>
          <w:szCs w:val="22"/>
          <w:highlight w:val="none"/>
          <w:u w:val="single"/>
          <w:lang w:eastAsia="zh-CN"/>
        </w:rPr>
        <w:t xml:space="preserve">     </w:t>
      </w:r>
      <w:r>
        <w:rPr>
          <w:rFonts w:hint="eastAsia" w:hAnsi="宋体" w:cs="宋体"/>
          <w:snapToGrid w:val="0"/>
          <w:color w:val="auto"/>
          <w:kern w:val="0"/>
          <w:szCs w:val="22"/>
          <w:highlight w:val="none"/>
          <w:lang w:eastAsia="zh-CN"/>
        </w:rPr>
        <w:t>%</w:t>
      </w:r>
      <w:r>
        <w:rPr>
          <w:rFonts w:hint="eastAsia" w:hAnsi="宋体" w:cs="宋体"/>
          <w:snapToGrid w:val="0"/>
          <w:color w:val="auto"/>
          <w:kern w:val="0"/>
          <w:szCs w:val="22"/>
          <w:highlight w:val="none"/>
        </w:rPr>
        <w:t>。</w:t>
      </w:r>
    </w:p>
    <w:p w14:paraId="00F3B9EA">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highlight w:val="none"/>
        </w:rPr>
      </w:pPr>
      <w:bookmarkStart w:id="313" w:name="_Hlt68771070"/>
      <w:bookmarkEnd w:id="313"/>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28C057D">
      <w:pPr>
        <w:wordWrap w:val="0"/>
        <w:adjustRightInd w:val="0"/>
        <w:snapToGrid w:val="0"/>
        <w:spacing w:line="440" w:lineRule="exact"/>
        <w:rPr>
          <w:rFonts w:ascii="Times New Roman"/>
          <w:snapToGrid w:val="0"/>
          <w:color w:val="auto"/>
          <w:kern w:val="0"/>
          <w:highlight w:val="none"/>
        </w:rPr>
      </w:pPr>
    </w:p>
    <w:p w14:paraId="276EABA1">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4CA7B314">
      <w:pPr>
        <w:wordWrap w:val="0"/>
        <w:adjustRightInd w:val="0"/>
        <w:snapToGrid w:val="0"/>
        <w:spacing w:line="440" w:lineRule="exact"/>
        <w:jc w:val="right"/>
        <w:rPr>
          <w:rFonts w:ascii="Times New Roman"/>
          <w:snapToGrid w:val="0"/>
          <w:color w:val="auto"/>
          <w:kern w:val="0"/>
          <w:highlight w:val="none"/>
        </w:rPr>
      </w:pPr>
    </w:p>
    <w:p w14:paraId="387ED88C">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highlight w:val="none"/>
        </w:rPr>
      </w:pPr>
    </w:p>
    <w:p w14:paraId="28DC9D94">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5B8347D">
      <w:pPr>
        <w:pStyle w:val="74"/>
        <w:widowControl w:val="0"/>
        <w:wordWrap w:val="0"/>
        <w:adjustRightInd w:val="0"/>
        <w:snapToGrid w:val="0"/>
        <w:spacing w:line="400" w:lineRule="exact"/>
        <w:ind w:firstLine="0"/>
        <w:outlineLvl w:val="1"/>
        <w:rPr>
          <w:rFonts w:hAnsi="宋体" w:cs="宋体"/>
          <w:b/>
          <w:snapToGrid w:val="0"/>
          <w:color w:val="auto"/>
          <w:sz w:val="24"/>
          <w:highlight w:val="none"/>
        </w:rPr>
      </w:pPr>
      <w:bookmarkStart w:id="314" w:name="_Toc1644"/>
      <w:r>
        <w:rPr>
          <w:rFonts w:hint="eastAsia" w:hAnsi="宋体" w:cs="宋体"/>
          <w:b/>
          <w:snapToGrid w:val="0"/>
          <w:color w:val="auto"/>
          <w:sz w:val="24"/>
          <w:highlight w:val="none"/>
        </w:rPr>
        <w:t>格式三 各项承诺一览表</w:t>
      </w:r>
      <w:bookmarkEnd w:id="314"/>
    </w:p>
    <w:p w14:paraId="20B05016">
      <w:pPr>
        <w:pStyle w:val="73"/>
        <w:keepNext w:val="0"/>
        <w:keepLines w:val="0"/>
        <w:widowControl w:val="0"/>
        <w:wordWrap w:val="0"/>
        <w:adjustRightInd w:val="0"/>
        <w:snapToGrid w:val="0"/>
        <w:spacing w:before="260" w:after="260" w:line="440" w:lineRule="exact"/>
        <w:ind w:firstLine="0"/>
        <w:outlineLvl w:val="9"/>
        <w:rPr>
          <w:rFonts w:hAnsi="宋体" w:cs="宋体"/>
          <w:b/>
          <w:snapToGrid w:val="0"/>
          <w:color w:val="auto"/>
          <w:highlight w:val="none"/>
        </w:rPr>
      </w:pPr>
      <w:bookmarkStart w:id="315" w:name="_Toc24548"/>
      <w:bookmarkStart w:id="316" w:name="_Toc7685"/>
      <w:bookmarkStart w:id="317" w:name="_Toc18253"/>
      <w:bookmarkStart w:id="318" w:name="_Toc27092"/>
      <w:bookmarkStart w:id="319" w:name="_Toc11270"/>
      <w:r>
        <w:rPr>
          <w:rFonts w:hint="eastAsia" w:hAnsi="宋体" w:cs="宋体"/>
          <w:b/>
          <w:snapToGrid w:val="0"/>
          <w:color w:val="auto"/>
          <w:sz w:val="30"/>
          <w:highlight w:val="none"/>
        </w:rPr>
        <w:t>各项承诺一览表</w:t>
      </w:r>
      <w:bookmarkEnd w:id="315"/>
      <w:bookmarkEnd w:id="316"/>
      <w:bookmarkEnd w:id="317"/>
      <w:bookmarkEnd w:id="318"/>
      <w:bookmarkEnd w:id="319"/>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序号</w:t>
            </w:r>
          </w:p>
        </w:tc>
        <w:tc>
          <w:tcPr>
            <w:tcW w:w="1573" w:type="dxa"/>
            <w:tcBorders>
              <w:tl2br w:val="nil"/>
              <w:tr2bl w:val="nil"/>
            </w:tcBorders>
            <w:vAlign w:val="center"/>
          </w:tcPr>
          <w:p w14:paraId="0DD645C3">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承诺事项</w:t>
            </w:r>
          </w:p>
        </w:tc>
        <w:tc>
          <w:tcPr>
            <w:tcW w:w="2923" w:type="dxa"/>
            <w:tcBorders>
              <w:tl2br w:val="nil"/>
              <w:tr2bl w:val="nil"/>
            </w:tcBorders>
            <w:vAlign w:val="center"/>
          </w:tcPr>
          <w:p w14:paraId="286917BA">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承诺内容</w:t>
            </w:r>
          </w:p>
        </w:tc>
        <w:tc>
          <w:tcPr>
            <w:tcW w:w="4019" w:type="dxa"/>
            <w:tcBorders>
              <w:tl2br w:val="nil"/>
              <w:tr2bl w:val="nil"/>
            </w:tcBorders>
            <w:vAlign w:val="center"/>
          </w:tcPr>
          <w:p w14:paraId="5A051E55">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tcBorders>
              <w:tl2br w:val="nil"/>
              <w:tr2bl w:val="nil"/>
            </w:tcBorders>
            <w:vAlign w:val="center"/>
          </w:tcPr>
          <w:p w14:paraId="746B30D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71ED28B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923" w:type="dxa"/>
            <w:tcBorders>
              <w:tl2br w:val="nil"/>
              <w:tr2bl w:val="nil"/>
            </w:tcBorders>
            <w:vAlign w:val="center"/>
          </w:tcPr>
          <w:p w14:paraId="2D307866">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tcBorders>
              <w:tl2br w:val="nil"/>
              <w:tr2bl w:val="nil"/>
            </w:tcBorders>
            <w:vAlign w:val="center"/>
          </w:tcPr>
          <w:p w14:paraId="4E13328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2E04458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923" w:type="dxa"/>
            <w:tcBorders>
              <w:tl2br w:val="nil"/>
              <w:tr2bl w:val="nil"/>
            </w:tcBorders>
            <w:vAlign w:val="center"/>
          </w:tcPr>
          <w:p w14:paraId="6A2783C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019" w:type="dxa"/>
            <w:tcBorders>
              <w:tl2br w:val="nil"/>
              <w:tr2bl w:val="nil"/>
            </w:tcBorders>
            <w:vAlign w:val="center"/>
          </w:tcPr>
          <w:p w14:paraId="60B01B1E">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tcBorders>
              <w:tl2br w:val="nil"/>
              <w:tr2bl w:val="nil"/>
            </w:tcBorders>
            <w:vAlign w:val="center"/>
          </w:tcPr>
          <w:p w14:paraId="7327796A">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6537DAA0">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3A865B06">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923" w:type="dxa"/>
            <w:tcBorders>
              <w:tl2br w:val="nil"/>
              <w:tr2bl w:val="nil"/>
            </w:tcBorders>
            <w:vAlign w:val="center"/>
          </w:tcPr>
          <w:p w14:paraId="1074D0F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tcBorders>
              <w:tl2br w:val="nil"/>
              <w:tr2bl w:val="nil"/>
            </w:tcBorders>
            <w:vAlign w:val="center"/>
          </w:tcPr>
          <w:p w14:paraId="754EDB94">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4D5B47C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923" w:type="dxa"/>
            <w:tcBorders>
              <w:tl2br w:val="nil"/>
              <w:tr2bl w:val="nil"/>
            </w:tcBorders>
            <w:vAlign w:val="center"/>
          </w:tcPr>
          <w:p w14:paraId="0015B20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tcBorders>
              <w:tl2br w:val="nil"/>
              <w:tr2bl w:val="nil"/>
            </w:tcBorders>
            <w:vAlign w:val="center"/>
          </w:tcPr>
          <w:p w14:paraId="003F6C1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5656361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923" w:type="dxa"/>
            <w:tcBorders>
              <w:tl2br w:val="nil"/>
              <w:tr2bl w:val="nil"/>
            </w:tcBorders>
            <w:vAlign w:val="center"/>
          </w:tcPr>
          <w:p w14:paraId="3AAF78A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537798B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tcBorders>
              <w:tl2br w:val="nil"/>
              <w:tr2bl w:val="nil"/>
            </w:tcBorders>
            <w:vAlign w:val="center"/>
          </w:tcPr>
          <w:p w14:paraId="4626B0C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3294E70E">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BD5A69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val="en-US" w:eastAsia="zh-CN"/>
              </w:rPr>
              <w:t>7</w:t>
            </w:r>
          </w:p>
        </w:tc>
        <w:tc>
          <w:tcPr>
            <w:tcW w:w="1573" w:type="dxa"/>
            <w:tcBorders>
              <w:tl2br w:val="nil"/>
              <w:tr2bl w:val="nil"/>
            </w:tcBorders>
            <w:vAlign w:val="center"/>
          </w:tcPr>
          <w:p w14:paraId="7E0FB44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3DA8757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923" w:type="dxa"/>
            <w:tcBorders>
              <w:tl2br w:val="nil"/>
              <w:tr2bl w:val="nil"/>
            </w:tcBorders>
            <w:vAlign w:val="center"/>
          </w:tcPr>
          <w:p w14:paraId="108034DD">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5"/>
        <w:wordWrap w:val="0"/>
        <w:adjustRightInd w:val="0"/>
        <w:snapToGrid w:val="0"/>
        <w:spacing w:line="420" w:lineRule="exact"/>
        <w:jc w:val="left"/>
        <w:rPr>
          <w:rFonts w:hAnsi="宋体" w:cs="宋体"/>
          <w:snapToGrid w:val="0"/>
          <w:color w:val="auto"/>
          <w:kern w:val="0"/>
          <w:highlight w:val="none"/>
        </w:rPr>
      </w:pPr>
    </w:p>
    <w:p w14:paraId="4B6FF6DB">
      <w:pPr>
        <w:pStyle w:val="75"/>
        <w:wordWrap w:val="0"/>
        <w:adjustRightInd w:val="0"/>
        <w:snapToGrid w:val="0"/>
        <w:spacing w:line="420" w:lineRule="exact"/>
        <w:jc w:val="left"/>
        <w:rPr>
          <w:rFonts w:hAnsi="宋体" w:cs="宋体"/>
          <w:snapToGrid w:val="0"/>
          <w:color w:val="auto"/>
          <w:kern w:val="0"/>
          <w:highlight w:val="none"/>
        </w:rPr>
      </w:pPr>
    </w:p>
    <w:p w14:paraId="148553C2">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28CA7502">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BE8168B">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172B28D">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0FD3ED2">
      <w:pPr>
        <w:pStyle w:val="17"/>
        <w:wordWrap w:val="0"/>
        <w:adjustRightInd w:val="0"/>
        <w:snapToGrid w:val="0"/>
        <w:spacing w:line="420" w:lineRule="exact"/>
        <w:ind w:firstLine="480" w:firstLineChars="200"/>
        <w:rPr>
          <w:rFonts w:hAnsi="宋体" w:cs="宋体"/>
          <w:snapToGrid w:val="0"/>
          <w:color w:val="auto"/>
          <w:kern w:val="0"/>
          <w:szCs w:val="24"/>
          <w:highlight w:val="none"/>
        </w:rPr>
      </w:pPr>
    </w:p>
    <w:p w14:paraId="498998F1">
      <w:pPr>
        <w:pStyle w:val="17"/>
        <w:wordWrap w:val="0"/>
        <w:adjustRightInd w:val="0"/>
        <w:snapToGrid w:val="0"/>
        <w:spacing w:line="420" w:lineRule="exact"/>
        <w:ind w:firstLine="480" w:firstLineChars="200"/>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3E8D0F6D">
      <w:pPr>
        <w:wordWrap w:val="0"/>
        <w:adjustRightInd w:val="0"/>
        <w:snapToGrid w:val="0"/>
        <w:spacing w:line="420" w:lineRule="exact"/>
        <w:jc w:val="left"/>
        <w:rPr>
          <w:rFonts w:hAnsi="宋体" w:cs="宋体"/>
          <w:b/>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highlight w:val="none"/>
        </w:rPr>
      </w:pPr>
      <w:bookmarkStart w:id="320" w:name="_Toc32644"/>
      <w:r>
        <w:rPr>
          <w:rFonts w:hint="eastAsia" w:hAnsi="宋体" w:cs="宋体"/>
          <w:b/>
          <w:bCs/>
          <w:snapToGrid w:val="0"/>
          <w:color w:val="auto"/>
          <w:kern w:val="0"/>
          <w:szCs w:val="24"/>
          <w:highlight w:val="none"/>
        </w:rPr>
        <w:t>格式四 授权委托书</w:t>
      </w:r>
      <w:bookmarkEnd w:id="320"/>
    </w:p>
    <w:p w14:paraId="759A7BEF">
      <w:pPr>
        <w:wordWrap w:val="0"/>
        <w:adjustRightInd w:val="0"/>
        <w:snapToGrid w:val="0"/>
        <w:spacing w:line="440" w:lineRule="exact"/>
        <w:rPr>
          <w:rFonts w:hAnsi="宋体" w:cs="宋体"/>
          <w:b/>
          <w:bCs/>
          <w:snapToGrid w:val="0"/>
          <w:color w:val="auto"/>
          <w:kern w:val="0"/>
          <w:szCs w:val="24"/>
          <w:highlight w:val="none"/>
        </w:rPr>
      </w:pPr>
    </w:p>
    <w:p w14:paraId="1D02247C">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授权委托书</w:t>
      </w:r>
    </w:p>
    <w:p w14:paraId="2077EBE8">
      <w:pPr>
        <w:wordWrap w:val="0"/>
        <w:adjustRightInd w:val="0"/>
        <w:snapToGrid w:val="0"/>
        <w:spacing w:line="440" w:lineRule="exact"/>
        <w:rPr>
          <w:rFonts w:hAnsi="宋体" w:cs="宋体"/>
          <w:snapToGrid w:val="0"/>
          <w:color w:val="auto"/>
          <w:kern w:val="0"/>
          <w:szCs w:val="28"/>
          <w:highlight w:val="none"/>
        </w:rPr>
      </w:pPr>
    </w:p>
    <w:p w14:paraId="30754A5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i/>
          <w:iCs/>
          <w:snapToGrid w:val="0"/>
          <w:color w:val="auto"/>
          <w:kern w:val="0"/>
          <w:szCs w:val="21"/>
          <w:highlight w:val="none"/>
          <w:u w:val="single"/>
        </w:rPr>
        <w:t>（不得短于招标文件规定的投标有效期）</w:t>
      </w:r>
      <w:r>
        <w:rPr>
          <w:rFonts w:hint="eastAsia" w:hAnsi="宋体" w:cs="宋体"/>
          <w:snapToGrid w:val="0"/>
          <w:color w:val="auto"/>
          <w:kern w:val="0"/>
          <w:szCs w:val="21"/>
          <w:highlight w:val="none"/>
        </w:rPr>
        <w:t xml:space="preserve"> 。</w:t>
      </w:r>
    </w:p>
    <w:p w14:paraId="58D1757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highlight w:val="none"/>
        </w:rPr>
      </w:pPr>
    </w:p>
    <w:p w14:paraId="2168011B">
      <w:pPr>
        <w:wordWrap w:val="0"/>
        <w:adjustRightInd w:val="0"/>
        <w:snapToGrid w:val="0"/>
        <w:spacing w:line="440" w:lineRule="exact"/>
        <w:ind w:firstLine="480" w:firstLineChars="200"/>
        <w:rPr>
          <w:rFonts w:hAnsi="宋体" w:cs="宋体"/>
          <w:snapToGrid w:val="0"/>
          <w:color w:val="auto"/>
          <w:kern w:val="0"/>
          <w:szCs w:val="21"/>
          <w:highlight w:val="none"/>
        </w:rPr>
      </w:pPr>
    </w:p>
    <w:p w14:paraId="5D117B02">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657F48EA">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5A982326">
      <w:pPr>
        <w:wordWrap w:val="0"/>
        <w:adjustRightInd w:val="0"/>
        <w:snapToGrid w:val="0"/>
        <w:spacing w:line="440" w:lineRule="exact"/>
        <w:ind w:firstLine="480" w:firstLineChars="200"/>
        <w:rPr>
          <w:rFonts w:hAnsi="宋体" w:cs="宋体"/>
          <w:snapToGrid w:val="0"/>
          <w:color w:val="auto"/>
          <w:kern w:val="0"/>
          <w:szCs w:val="21"/>
          <w:highlight w:val="none"/>
        </w:rPr>
      </w:pPr>
    </w:p>
    <w:p w14:paraId="47DE65D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highlight w:val="none"/>
        </w:rPr>
      </w:pPr>
    </w:p>
    <w:p w14:paraId="636F605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07FCA71E">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764F8561">
      <w:pPr>
        <w:wordWrap w:val="0"/>
        <w:adjustRightInd w:val="0"/>
        <w:snapToGrid w:val="0"/>
        <w:spacing w:line="440" w:lineRule="exact"/>
        <w:ind w:firstLine="480" w:firstLineChars="200"/>
        <w:rPr>
          <w:rFonts w:hAnsi="宋体" w:cs="宋体"/>
          <w:snapToGrid w:val="0"/>
          <w:color w:val="auto"/>
          <w:kern w:val="0"/>
          <w:szCs w:val="21"/>
          <w:highlight w:val="none"/>
        </w:rPr>
      </w:pPr>
    </w:p>
    <w:p w14:paraId="79AD2214">
      <w:pPr>
        <w:wordWrap w:val="0"/>
        <w:adjustRightInd w:val="0"/>
        <w:snapToGrid w:val="0"/>
        <w:spacing w:line="440" w:lineRule="exact"/>
        <w:ind w:firstLine="480" w:firstLineChars="200"/>
        <w:rPr>
          <w:rFonts w:hAnsi="宋体" w:cs="宋体"/>
          <w:snapToGrid w:val="0"/>
          <w:color w:val="auto"/>
          <w:kern w:val="0"/>
          <w:szCs w:val="21"/>
          <w:highlight w:val="none"/>
        </w:rPr>
      </w:pPr>
    </w:p>
    <w:p w14:paraId="523F244E">
      <w:pPr>
        <w:wordWrap w:val="0"/>
        <w:adjustRightInd w:val="0"/>
        <w:snapToGrid w:val="0"/>
        <w:ind w:firstLine="6440" w:firstLineChars="2300"/>
        <w:rPr>
          <w:rFonts w:hAnsi="宋体" w:cs="宋体"/>
          <w:snapToGrid w:val="0"/>
          <w:color w:val="auto"/>
          <w:kern w:val="0"/>
          <w:szCs w:val="24"/>
          <w:highlight w:val="none"/>
        </w:rPr>
      </w:pPr>
      <w:r>
        <w:rPr>
          <w:rFonts w:hint="eastAsia" w:hAnsi="宋体" w:cs="宋体"/>
          <w:snapToGrid w:val="0"/>
          <w:color w:val="auto"/>
          <w:kern w:val="0"/>
          <w:sz w:val="28"/>
          <w:szCs w:val="28"/>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2"/>
        <w:wordWrap w:val="0"/>
        <w:adjustRightInd w:val="0"/>
        <w:snapToGrid w:val="0"/>
        <w:rPr>
          <w:rFonts w:hAnsi="宋体" w:cs="宋体"/>
          <w:snapToGrid w:val="0"/>
          <w:color w:val="auto"/>
          <w:kern w:val="0"/>
          <w:szCs w:val="24"/>
          <w:highlight w:val="none"/>
        </w:rPr>
      </w:pPr>
    </w:p>
    <w:p w14:paraId="3DEB4B42">
      <w:pPr>
        <w:bidi w:val="0"/>
        <w:rPr>
          <w:color w:val="auto"/>
          <w:highlight w:val="none"/>
        </w:rPr>
      </w:pPr>
    </w:p>
    <w:p w14:paraId="4EE63B06">
      <w:pPr>
        <w:wordWrap w:val="0"/>
        <w:adjustRightInd w:val="0"/>
        <w:snapToGrid w:val="0"/>
        <w:rPr>
          <w:rFonts w:hAnsi="宋体" w:cs="宋体"/>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highlight w:val="none"/>
        </w:rPr>
      </w:pPr>
      <w:bookmarkStart w:id="321" w:name="_Toc27423"/>
      <w:r>
        <w:rPr>
          <w:rFonts w:hint="eastAsia" w:hAnsi="宋体" w:cs="宋体"/>
          <w:b/>
          <w:snapToGrid w:val="0"/>
          <w:color w:val="auto"/>
          <w:kern w:val="0"/>
          <w:highlight w:val="none"/>
        </w:rPr>
        <w:t>格式五 法定代表人身份证明</w:t>
      </w:r>
      <w:bookmarkEnd w:id="321"/>
    </w:p>
    <w:p w14:paraId="6BB79DDB">
      <w:pPr>
        <w:wordWrap w:val="0"/>
        <w:adjustRightInd w:val="0"/>
        <w:snapToGrid w:val="0"/>
        <w:spacing w:line="440" w:lineRule="exact"/>
        <w:rPr>
          <w:rFonts w:hAnsi="宋体" w:cs="宋体"/>
          <w:b/>
          <w:snapToGrid w:val="0"/>
          <w:color w:val="auto"/>
          <w:kern w:val="0"/>
          <w:highlight w:val="none"/>
        </w:rPr>
      </w:pPr>
    </w:p>
    <w:p w14:paraId="16729C42">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2FF4BF41">
      <w:pPr>
        <w:wordWrap w:val="0"/>
        <w:adjustRightInd w:val="0"/>
        <w:snapToGrid w:val="0"/>
        <w:spacing w:line="440" w:lineRule="exact"/>
        <w:rPr>
          <w:rFonts w:hAnsi="宋体" w:cs="宋体"/>
          <w:snapToGrid w:val="0"/>
          <w:color w:val="auto"/>
          <w:kern w:val="0"/>
          <w:szCs w:val="21"/>
          <w:highlight w:val="none"/>
        </w:rPr>
      </w:pPr>
    </w:p>
    <w:p w14:paraId="7DB8BCD1">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87A2BE">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49E9994E">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EC840B0">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6BD5A741">
      <w:pPr>
        <w:wordWrap w:val="0"/>
        <w:adjustRightInd w:val="0"/>
        <w:snapToGrid w:val="0"/>
        <w:spacing w:line="440" w:lineRule="exact"/>
        <w:rPr>
          <w:rFonts w:hAnsi="宋体" w:cs="宋体"/>
          <w:snapToGrid w:val="0"/>
          <w:color w:val="auto"/>
          <w:kern w:val="0"/>
          <w:szCs w:val="21"/>
          <w:highlight w:val="none"/>
        </w:rPr>
      </w:pPr>
    </w:p>
    <w:p w14:paraId="2E95E920">
      <w:pPr>
        <w:wordWrap w:val="0"/>
        <w:adjustRightInd w:val="0"/>
        <w:snapToGrid w:val="0"/>
        <w:spacing w:line="440" w:lineRule="exact"/>
        <w:rPr>
          <w:rFonts w:hAnsi="宋体" w:cs="宋体"/>
          <w:snapToGrid w:val="0"/>
          <w:color w:val="auto"/>
          <w:kern w:val="0"/>
          <w:szCs w:val="21"/>
          <w:highlight w:val="none"/>
        </w:rPr>
      </w:pPr>
    </w:p>
    <w:p w14:paraId="2BAF37F3">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5931070">
      <w:pPr>
        <w:wordWrap w:val="0"/>
        <w:adjustRightInd w:val="0"/>
        <w:snapToGrid w:val="0"/>
        <w:spacing w:line="440" w:lineRule="exact"/>
        <w:jc w:val="right"/>
        <w:rPr>
          <w:rFonts w:hAnsi="宋体" w:cs="宋体"/>
          <w:snapToGrid w:val="0"/>
          <w:color w:val="auto"/>
          <w:kern w:val="0"/>
          <w:szCs w:val="21"/>
          <w:highlight w:val="none"/>
        </w:rPr>
      </w:pPr>
    </w:p>
    <w:p w14:paraId="4E9E006A">
      <w:pPr>
        <w:wordWrap w:val="0"/>
        <w:adjustRightInd w:val="0"/>
        <w:snapToGrid w:val="0"/>
        <w:spacing w:line="440" w:lineRule="exact"/>
        <w:jc w:val="right"/>
        <w:rPr>
          <w:rFonts w:hAnsi="宋体" w:cs="宋体"/>
          <w:snapToGrid w:val="0"/>
          <w:color w:val="auto"/>
          <w:kern w:val="0"/>
          <w:szCs w:val="21"/>
          <w:highlight w:val="none"/>
        </w:rPr>
      </w:pPr>
    </w:p>
    <w:p w14:paraId="6E1D2B4A">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C11D6D8">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649928B">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highlight w:val="none"/>
        </w:rPr>
      </w:pPr>
    </w:p>
    <w:p w14:paraId="658B356B">
      <w:pPr>
        <w:wordWrap w:val="0"/>
        <w:adjustRightInd w:val="0"/>
        <w:snapToGrid w:val="0"/>
        <w:spacing w:line="440" w:lineRule="exact"/>
        <w:ind w:firstLine="240" w:firstLineChars="100"/>
        <w:rPr>
          <w:rFonts w:hAnsi="宋体" w:cs="宋体"/>
          <w:snapToGrid w:val="0"/>
          <w:color w:val="auto"/>
          <w:kern w:val="0"/>
          <w:szCs w:val="21"/>
          <w:highlight w:val="none"/>
        </w:rPr>
      </w:pPr>
    </w:p>
    <w:p w14:paraId="5B344952">
      <w:pPr>
        <w:wordWrap w:val="0"/>
        <w:adjustRightInd w:val="0"/>
        <w:snapToGrid w:val="0"/>
        <w:spacing w:line="440" w:lineRule="exact"/>
        <w:ind w:firstLine="720" w:firstLineChars="300"/>
        <w:rPr>
          <w:rFonts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1F32B462">
      <w:pPr>
        <w:wordWrap w:val="0"/>
        <w:adjustRightInd w:val="0"/>
        <w:snapToGrid w:val="0"/>
        <w:rPr>
          <w:rFonts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114300" distR="114300" simplePos="0" relativeHeight="251660288"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60288;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highlight w:val="none"/>
        </w:rPr>
      </w:pPr>
    </w:p>
    <w:p w14:paraId="42859630">
      <w:pPr>
        <w:wordWrap w:val="0"/>
        <w:adjustRightInd w:val="0"/>
        <w:snapToGrid w:val="0"/>
        <w:spacing w:line="480" w:lineRule="exact"/>
        <w:jc w:val="center"/>
        <w:rPr>
          <w:rFonts w:hAnsi="宋体" w:cs="宋体"/>
          <w:b/>
          <w:snapToGrid w:val="0"/>
          <w:color w:val="auto"/>
          <w:kern w:val="0"/>
          <w:sz w:val="28"/>
          <w:szCs w:val="28"/>
          <w:highlight w:val="none"/>
        </w:rPr>
      </w:pPr>
    </w:p>
    <w:p w14:paraId="67FF2234">
      <w:pPr>
        <w:wordWrap w:val="0"/>
        <w:adjustRightInd w:val="0"/>
        <w:snapToGrid w:val="0"/>
        <w:spacing w:line="480" w:lineRule="exact"/>
        <w:jc w:val="center"/>
        <w:rPr>
          <w:rFonts w:hAnsi="宋体" w:cs="宋体"/>
          <w:b/>
          <w:snapToGrid w:val="0"/>
          <w:color w:val="auto"/>
          <w:kern w:val="0"/>
          <w:sz w:val="28"/>
          <w:szCs w:val="28"/>
          <w:highlight w:val="none"/>
        </w:rPr>
      </w:pPr>
    </w:p>
    <w:p w14:paraId="75D1150B">
      <w:pPr>
        <w:wordWrap w:val="0"/>
        <w:adjustRightInd w:val="0"/>
        <w:snapToGrid w:val="0"/>
        <w:spacing w:line="480" w:lineRule="exact"/>
        <w:jc w:val="center"/>
        <w:rPr>
          <w:rFonts w:hAnsi="宋体" w:cs="宋体"/>
          <w:b/>
          <w:snapToGrid w:val="0"/>
          <w:color w:val="auto"/>
          <w:kern w:val="0"/>
          <w:sz w:val="28"/>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highlight w:val="none"/>
        </w:rPr>
      </w:pPr>
      <w:bookmarkStart w:id="322" w:name="_Toc474"/>
      <w:r>
        <w:rPr>
          <w:rFonts w:hint="eastAsia" w:hAnsi="宋体" w:cs="宋体"/>
          <w:b/>
          <w:bCs/>
          <w:snapToGrid w:val="0"/>
          <w:color w:val="auto"/>
          <w:kern w:val="0"/>
          <w:szCs w:val="24"/>
          <w:highlight w:val="none"/>
        </w:rPr>
        <w:t>格式六 投标人基本情况表</w:t>
      </w:r>
      <w:bookmarkEnd w:id="322"/>
    </w:p>
    <w:p w14:paraId="3C45457B">
      <w:pPr>
        <w:pStyle w:val="74"/>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29F5C9C3">
            <w:pPr>
              <w:pStyle w:val="138"/>
              <w:wordWrap w:val="0"/>
              <w:adjustRightInd w:val="0"/>
              <w:snapToGrid w:val="0"/>
              <w:jc w:val="center"/>
              <w:rPr>
                <w:rFonts w:ascii="宋体" w:hAnsi="宋体" w:cs="宋体"/>
                <w:snapToGrid w:val="0"/>
                <w:color w:val="auto"/>
                <w:kern w:val="0"/>
                <w:szCs w:val="21"/>
                <w:highlight w:val="none"/>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41522393">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0BEA5ED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515E2314">
            <w:pPr>
              <w:pStyle w:val="138"/>
              <w:wordWrap w:val="0"/>
              <w:adjustRightInd w:val="0"/>
              <w:snapToGrid w:val="0"/>
              <w:jc w:val="center"/>
              <w:rPr>
                <w:rFonts w:ascii="宋体" w:hAnsi="宋体" w:cs="宋体"/>
                <w:snapToGrid w:val="0"/>
                <w:color w:val="auto"/>
                <w:kern w:val="0"/>
                <w:szCs w:val="21"/>
                <w:highlight w:val="none"/>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594670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164B535F">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7B9898D">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137FBF1E">
            <w:pPr>
              <w:pStyle w:val="138"/>
              <w:wordWrap w:val="0"/>
              <w:adjustRightInd w:val="0"/>
              <w:snapToGrid w:val="0"/>
              <w:jc w:val="center"/>
              <w:rPr>
                <w:rFonts w:ascii="宋体" w:hAnsi="宋体" w:cs="宋体"/>
                <w:snapToGrid w:val="0"/>
                <w:color w:val="auto"/>
                <w:kern w:val="0"/>
                <w:szCs w:val="21"/>
                <w:highlight w:val="none"/>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8"/>
              <w:wordWrap w:val="0"/>
              <w:adjustRightInd w:val="0"/>
              <w:snapToGrid w:val="0"/>
              <w:jc w:val="center"/>
              <w:rPr>
                <w:rFonts w:ascii="宋体" w:hAnsi="宋体" w:cs="宋体"/>
                <w:snapToGrid w:val="0"/>
                <w:color w:val="auto"/>
                <w:kern w:val="0"/>
                <w:szCs w:val="21"/>
                <w:highlight w:val="none"/>
              </w:rPr>
            </w:pPr>
          </w:p>
        </w:tc>
        <w:tc>
          <w:tcPr>
            <w:tcW w:w="897" w:type="dxa"/>
            <w:vAlign w:val="center"/>
          </w:tcPr>
          <w:p w14:paraId="321DEB8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4DCC7DF0">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0A861B3">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2B81EB7B">
            <w:pPr>
              <w:pStyle w:val="138"/>
              <w:wordWrap w:val="0"/>
              <w:adjustRightInd w:val="0"/>
              <w:snapToGrid w:val="0"/>
              <w:jc w:val="center"/>
              <w:rPr>
                <w:rFonts w:ascii="宋体" w:hAnsi="宋体" w:cs="宋体"/>
                <w:snapToGrid w:val="0"/>
                <w:color w:val="auto"/>
                <w:kern w:val="0"/>
                <w:szCs w:val="21"/>
                <w:highlight w:val="none"/>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7308E28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1032AE9">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0722914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7AD6FF43">
            <w:pPr>
              <w:pStyle w:val="138"/>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6E7CBB9E">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44831199">
            <w:pPr>
              <w:pStyle w:val="138"/>
              <w:wordWrap w:val="0"/>
              <w:adjustRightInd w:val="0"/>
              <w:snapToGrid w:val="0"/>
              <w:jc w:val="center"/>
              <w:rPr>
                <w:rFonts w:ascii="宋体" w:hAnsi="宋体" w:cs="宋体"/>
                <w:snapToGrid w:val="0"/>
                <w:color w:val="auto"/>
                <w:kern w:val="0"/>
                <w:szCs w:val="21"/>
                <w:highlight w:val="none"/>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2CF40332">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F32A38E">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76373BE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414D5E8B">
            <w:pPr>
              <w:pStyle w:val="138"/>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25D8523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0E4877">
            <w:pPr>
              <w:pStyle w:val="138"/>
              <w:wordWrap w:val="0"/>
              <w:adjustRightInd w:val="0"/>
              <w:snapToGrid w:val="0"/>
              <w:jc w:val="center"/>
              <w:rPr>
                <w:rFonts w:ascii="宋体" w:hAnsi="宋体" w:cs="宋体"/>
                <w:snapToGrid w:val="0"/>
                <w:color w:val="auto"/>
                <w:kern w:val="0"/>
                <w:szCs w:val="21"/>
                <w:highlight w:val="none"/>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31845C08">
            <w:pPr>
              <w:pStyle w:val="138"/>
              <w:wordWrap w:val="0"/>
              <w:adjustRightInd w:val="0"/>
              <w:snapToGrid w:val="0"/>
              <w:jc w:val="center"/>
              <w:rPr>
                <w:rFonts w:ascii="宋体" w:hAnsi="宋体" w:cs="宋体"/>
                <w:snapToGrid w:val="0"/>
                <w:color w:val="auto"/>
                <w:kern w:val="0"/>
                <w:szCs w:val="21"/>
                <w:highlight w:val="none"/>
              </w:rPr>
            </w:pPr>
          </w:p>
        </w:tc>
        <w:tc>
          <w:tcPr>
            <w:tcW w:w="4434" w:type="dxa"/>
            <w:gridSpan w:val="6"/>
            <w:vAlign w:val="center"/>
          </w:tcPr>
          <w:p w14:paraId="5488CAE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0FDE49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3FBBCF9F">
            <w:pPr>
              <w:pStyle w:val="138"/>
              <w:wordWrap w:val="0"/>
              <w:adjustRightInd w:val="0"/>
              <w:snapToGrid w:val="0"/>
              <w:jc w:val="left"/>
              <w:rPr>
                <w:rFonts w:ascii="宋体" w:hAnsi="宋体" w:cs="宋体"/>
                <w:snapToGrid w:val="0"/>
                <w:color w:val="auto"/>
                <w:kern w:val="0"/>
                <w:szCs w:val="21"/>
                <w:highlight w:val="none"/>
              </w:rPr>
            </w:pPr>
          </w:p>
        </w:tc>
        <w:tc>
          <w:tcPr>
            <w:tcW w:w="1089" w:type="dxa"/>
            <w:gridSpan w:val="2"/>
            <w:vMerge w:val="restart"/>
            <w:vAlign w:val="center"/>
          </w:tcPr>
          <w:p w14:paraId="53F8BA9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13106D9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66A45836">
            <w:pPr>
              <w:pStyle w:val="138"/>
              <w:wordWrap w:val="0"/>
              <w:adjustRightInd w:val="0"/>
              <w:snapToGrid w:val="0"/>
              <w:jc w:val="center"/>
              <w:rPr>
                <w:rFonts w:ascii="宋体" w:hAnsi="宋体" w:cs="宋体"/>
                <w:snapToGrid w:val="0"/>
                <w:color w:val="auto"/>
                <w:kern w:val="0"/>
                <w:szCs w:val="21"/>
                <w:highlight w:val="none"/>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37F167F">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2FE95C77">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58F77C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6727EBCF">
            <w:pPr>
              <w:pStyle w:val="138"/>
              <w:wordWrap w:val="0"/>
              <w:adjustRightInd w:val="0"/>
              <w:snapToGrid w:val="0"/>
              <w:jc w:val="center"/>
              <w:rPr>
                <w:rFonts w:ascii="宋体" w:hAnsi="宋体" w:cs="宋体"/>
                <w:snapToGrid w:val="0"/>
                <w:color w:val="auto"/>
                <w:kern w:val="0"/>
                <w:szCs w:val="21"/>
                <w:highlight w:val="none"/>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6B4F28EE">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339F6456">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099C1C6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5467645F">
            <w:pPr>
              <w:pStyle w:val="138"/>
              <w:wordWrap w:val="0"/>
              <w:adjustRightInd w:val="0"/>
              <w:snapToGrid w:val="0"/>
              <w:jc w:val="center"/>
              <w:rPr>
                <w:rFonts w:ascii="宋体" w:hAnsi="宋体" w:cs="宋体"/>
                <w:snapToGrid w:val="0"/>
                <w:color w:val="auto"/>
                <w:kern w:val="0"/>
                <w:szCs w:val="21"/>
                <w:highlight w:val="none"/>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6D9813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31EB950">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6FB92093">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7786B5B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5AAF3BA2">
            <w:pPr>
              <w:pStyle w:val="138"/>
              <w:wordWrap w:val="0"/>
              <w:adjustRightInd w:val="0"/>
              <w:snapToGrid w:val="0"/>
              <w:jc w:val="center"/>
              <w:rPr>
                <w:rFonts w:ascii="宋体" w:hAnsi="宋体" w:cs="宋体"/>
                <w:snapToGrid w:val="0"/>
                <w:color w:val="auto"/>
                <w:kern w:val="0"/>
                <w:szCs w:val="21"/>
                <w:highlight w:val="none"/>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1FAD38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5F82E5BB">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4376DF60">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4671252B">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5F52F934">
            <w:pPr>
              <w:pStyle w:val="138"/>
              <w:wordWrap w:val="0"/>
              <w:adjustRightInd w:val="0"/>
              <w:snapToGrid w:val="0"/>
              <w:jc w:val="center"/>
              <w:rPr>
                <w:rFonts w:ascii="宋体" w:hAnsi="宋体" w:cs="宋体"/>
                <w:snapToGrid w:val="0"/>
                <w:color w:val="auto"/>
                <w:kern w:val="0"/>
                <w:szCs w:val="21"/>
                <w:highlight w:val="none"/>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28B3173C">
            <w:pPr>
              <w:pStyle w:val="138"/>
              <w:wordWrap w:val="0"/>
              <w:adjustRightInd w:val="0"/>
              <w:snapToGrid w:val="0"/>
              <w:jc w:val="center"/>
              <w:rPr>
                <w:rFonts w:ascii="宋体" w:hAnsi="宋体" w:cs="宋体"/>
                <w:snapToGrid w:val="0"/>
                <w:color w:val="auto"/>
                <w:kern w:val="0"/>
                <w:szCs w:val="21"/>
                <w:highlight w:val="none"/>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627CBE37">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8866B0F">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B8DF13B">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8C5A631">
            <w:pPr>
              <w:pStyle w:val="138"/>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0B7A9410">
            <w:pPr>
              <w:pStyle w:val="138"/>
              <w:wordWrap w:val="0"/>
              <w:adjustRightInd w:val="0"/>
              <w:snapToGrid w:val="0"/>
              <w:jc w:val="center"/>
              <w:rPr>
                <w:rFonts w:ascii="宋体" w:hAnsi="宋体" w:cs="宋体"/>
                <w:snapToGrid w:val="0"/>
                <w:color w:val="auto"/>
                <w:kern w:val="0"/>
                <w:szCs w:val="21"/>
                <w:highlight w:val="none"/>
              </w:rPr>
            </w:pPr>
          </w:p>
        </w:tc>
      </w:tr>
    </w:tbl>
    <w:p w14:paraId="31CF04E5">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8B0DF88">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7700285">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A573612">
      <w:pPr>
        <w:pStyle w:val="74"/>
        <w:widowControl w:val="0"/>
        <w:wordWrap w:val="0"/>
        <w:adjustRightInd w:val="0"/>
        <w:snapToGrid w:val="0"/>
        <w:spacing w:line="400" w:lineRule="exact"/>
        <w:rPr>
          <w:rFonts w:hAnsi="宋体" w:cs="宋体"/>
          <w:snapToGrid w:val="0"/>
          <w:color w:val="auto"/>
          <w:sz w:val="21"/>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highlight w:val="none"/>
        </w:rPr>
      </w:pPr>
      <w:bookmarkStart w:id="323" w:name="_Toc22135"/>
      <w:r>
        <w:rPr>
          <w:rFonts w:hint="eastAsia" w:hAnsi="宋体" w:cs="宋体"/>
          <w:b/>
          <w:snapToGrid w:val="0"/>
          <w:color w:val="auto"/>
          <w:kern w:val="0"/>
          <w:highlight w:val="none"/>
        </w:rPr>
        <w:t>格式七 总监理工程师任职声明（适用于无任职项目）</w:t>
      </w:r>
      <w:bookmarkEnd w:id="323"/>
    </w:p>
    <w:p w14:paraId="6FD021E2">
      <w:pPr>
        <w:wordWrap w:val="0"/>
        <w:adjustRightInd w:val="0"/>
        <w:snapToGrid w:val="0"/>
        <w:spacing w:line="440" w:lineRule="exact"/>
        <w:jc w:val="left"/>
        <w:rPr>
          <w:rFonts w:hAnsi="宋体" w:cs="宋体"/>
          <w:b/>
          <w:snapToGrid w:val="0"/>
          <w:color w:val="auto"/>
          <w:kern w:val="0"/>
          <w:highlight w:val="none"/>
        </w:rPr>
      </w:pPr>
    </w:p>
    <w:p w14:paraId="7734BDAC">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F3A4633">
      <w:pPr>
        <w:wordWrap w:val="0"/>
        <w:adjustRightInd w:val="0"/>
        <w:snapToGrid w:val="0"/>
        <w:spacing w:line="440" w:lineRule="exact"/>
        <w:jc w:val="center"/>
        <w:rPr>
          <w:rFonts w:hAnsi="宋体" w:cs="宋体"/>
          <w:snapToGrid w:val="0"/>
          <w:color w:val="auto"/>
          <w:kern w:val="0"/>
          <w:szCs w:val="28"/>
          <w:highlight w:val="none"/>
        </w:rPr>
      </w:pPr>
    </w:p>
    <w:p w14:paraId="14B6B195">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36EB755F">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特此承诺　　</w:t>
      </w:r>
    </w:p>
    <w:p w14:paraId="699B7C56">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244A9EE">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FB105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2A604D50">
      <w:pPr>
        <w:wordWrap w:val="0"/>
        <w:adjustRightInd w:val="0"/>
        <w:snapToGrid w:val="0"/>
        <w:spacing w:line="440" w:lineRule="exact"/>
        <w:jc w:val="right"/>
        <w:rPr>
          <w:rFonts w:hAnsi="宋体" w:cs="宋体"/>
          <w:snapToGrid w:val="0"/>
          <w:color w:val="auto"/>
          <w:kern w:val="0"/>
          <w:szCs w:val="28"/>
          <w:highlight w:val="none"/>
        </w:rPr>
      </w:pPr>
    </w:p>
    <w:p w14:paraId="71BB53AD">
      <w:pPr>
        <w:wordWrap w:val="0"/>
        <w:adjustRightInd w:val="0"/>
        <w:snapToGrid w:val="0"/>
        <w:spacing w:line="440" w:lineRule="exact"/>
        <w:jc w:val="right"/>
        <w:rPr>
          <w:rFonts w:hAnsi="宋体" w:cs="宋体"/>
          <w:snapToGrid w:val="0"/>
          <w:color w:val="auto"/>
          <w:kern w:val="0"/>
          <w:szCs w:val="28"/>
          <w:highlight w:val="none"/>
        </w:rPr>
      </w:pPr>
    </w:p>
    <w:p w14:paraId="0C3A73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7AE6CC90">
      <w:pPr>
        <w:wordWrap w:val="0"/>
        <w:adjustRightInd w:val="0"/>
        <w:snapToGrid w:val="0"/>
        <w:spacing w:line="440" w:lineRule="exact"/>
        <w:jc w:val="right"/>
        <w:rPr>
          <w:rFonts w:hAnsi="宋体" w:cs="宋体"/>
          <w:snapToGrid w:val="0"/>
          <w:color w:val="auto"/>
          <w:kern w:val="0"/>
          <w:szCs w:val="28"/>
          <w:highlight w:val="none"/>
        </w:rPr>
      </w:pPr>
    </w:p>
    <w:p w14:paraId="3C9B11CD">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7BA2FE9F">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highlight w:val="none"/>
        </w:rPr>
      </w:pPr>
      <w:bookmarkStart w:id="324" w:name="_Toc24032"/>
      <w:r>
        <w:rPr>
          <w:rFonts w:hint="eastAsia" w:hAnsi="宋体" w:cs="宋体"/>
          <w:b/>
          <w:snapToGrid w:val="0"/>
          <w:color w:val="auto"/>
          <w:kern w:val="0"/>
          <w:highlight w:val="none"/>
        </w:rPr>
        <w:t>格式八 总监理工程师任职声明（适用于有任职项目）</w:t>
      </w:r>
      <w:bookmarkEnd w:id="324"/>
    </w:p>
    <w:p w14:paraId="449B4FD5">
      <w:pPr>
        <w:wordWrap w:val="0"/>
        <w:adjustRightInd w:val="0"/>
        <w:snapToGrid w:val="0"/>
        <w:spacing w:line="440" w:lineRule="exact"/>
        <w:jc w:val="left"/>
        <w:rPr>
          <w:rFonts w:hAnsi="宋体" w:cs="宋体"/>
          <w:b/>
          <w:snapToGrid w:val="0"/>
          <w:color w:val="auto"/>
          <w:kern w:val="0"/>
          <w:highlight w:val="none"/>
        </w:rPr>
      </w:pPr>
    </w:p>
    <w:p w14:paraId="14A50C1D">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B3ED8C9">
      <w:pPr>
        <w:wordWrap w:val="0"/>
        <w:adjustRightInd w:val="0"/>
        <w:snapToGrid w:val="0"/>
        <w:spacing w:line="440" w:lineRule="exact"/>
        <w:jc w:val="center"/>
        <w:rPr>
          <w:rFonts w:hAnsi="宋体" w:cs="宋体"/>
          <w:snapToGrid w:val="0"/>
          <w:color w:val="auto"/>
          <w:kern w:val="0"/>
          <w:szCs w:val="28"/>
          <w:highlight w:val="none"/>
        </w:rPr>
      </w:pPr>
    </w:p>
    <w:p w14:paraId="45489580">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（总监理工程师姓名）现阶段正在担任</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1FA625A2">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特此承诺</w:t>
      </w:r>
    </w:p>
    <w:p w14:paraId="46BFCB72">
      <w:pPr>
        <w:wordWrap w:val="0"/>
        <w:adjustRightInd w:val="0"/>
        <w:snapToGrid w:val="0"/>
        <w:spacing w:line="440" w:lineRule="exact"/>
        <w:ind w:firstLine="480"/>
        <w:rPr>
          <w:rFonts w:hAnsi="宋体" w:cs="宋体"/>
          <w:snapToGrid w:val="0"/>
          <w:color w:val="auto"/>
          <w:kern w:val="0"/>
          <w:szCs w:val="28"/>
          <w:highlight w:val="none"/>
        </w:rPr>
      </w:pPr>
    </w:p>
    <w:p w14:paraId="627F814D">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47D291EC">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1B4B0533">
      <w:pPr>
        <w:wordWrap w:val="0"/>
        <w:adjustRightInd w:val="0"/>
        <w:snapToGrid w:val="0"/>
        <w:spacing w:line="440" w:lineRule="exact"/>
        <w:jc w:val="right"/>
        <w:rPr>
          <w:rFonts w:hAnsi="宋体" w:cs="宋体"/>
          <w:snapToGrid w:val="0"/>
          <w:color w:val="auto"/>
          <w:kern w:val="0"/>
          <w:szCs w:val="28"/>
          <w:highlight w:val="none"/>
        </w:rPr>
      </w:pPr>
    </w:p>
    <w:p w14:paraId="487F86BE">
      <w:pPr>
        <w:wordWrap w:val="0"/>
        <w:adjustRightInd w:val="0"/>
        <w:snapToGrid w:val="0"/>
        <w:spacing w:line="440" w:lineRule="exact"/>
        <w:jc w:val="right"/>
        <w:rPr>
          <w:rFonts w:hAnsi="宋体" w:cs="宋体"/>
          <w:snapToGrid w:val="0"/>
          <w:color w:val="auto"/>
          <w:kern w:val="0"/>
          <w:szCs w:val="28"/>
          <w:highlight w:val="none"/>
        </w:rPr>
      </w:pPr>
    </w:p>
    <w:p w14:paraId="7D65E6AD">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029F2B4C">
      <w:pPr>
        <w:wordWrap w:val="0"/>
        <w:adjustRightInd w:val="0"/>
        <w:snapToGrid w:val="0"/>
        <w:spacing w:line="440" w:lineRule="exact"/>
        <w:jc w:val="right"/>
        <w:rPr>
          <w:rFonts w:hAnsi="宋体" w:cs="宋体"/>
          <w:snapToGrid w:val="0"/>
          <w:color w:val="auto"/>
          <w:kern w:val="0"/>
          <w:szCs w:val="28"/>
          <w:highlight w:val="none"/>
        </w:rPr>
      </w:pPr>
    </w:p>
    <w:p w14:paraId="1E734F3E">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19DAFB93">
      <w:pPr>
        <w:wordWrap w:val="0"/>
        <w:adjustRightInd w:val="0"/>
        <w:snapToGrid w:val="0"/>
        <w:spacing w:line="440" w:lineRule="exact"/>
        <w:jc w:val="center"/>
        <w:rPr>
          <w:rFonts w:hAnsi="宋体" w:cs="宋体"/>
          <w:snapToGrid w:val="0"/>
          <w:color w:val="auto"/>
          <w:kern w:val="0"/>
          <w:szCs w:val="28"/>
          <w:highlight w:val="none"/>
        </w:rPr>
      </w:pPr>
    </w:p>
    <w:p w14:paraId="77D57279">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highlight w:val="none"/>
        </w:rPr>
      </w:pPr>
      <w:bookmarkStart w:id="325" w:name="_Toc2263"/>
      <w:r>
        <w:rPr>
          <w:rFonts w:hint="eastAsia" w:hAnsi="宋体" w:cs="宋体"/>
          <w:b/>
          <w:bCs/>
          <w:snapToGrid w:val="0"/>
          <w:color w:val="auto"/>
          <w:kern w:val="0"/>
          <w:szCs w:val="24"/>
          <w:highlight w:val="none"/>
        </w:rPr>
        <w:t>格式九 总监理工程师任职项目情况表</w:t>
      </w:r>
      <w:bookmarkEnd w:id="325"/>
    </w:p>
    <w:p w14:paraId="1C05E0FA">
      <w:pPr>
        <w:wordWrap w:val="0"/>
        <w:adjustRightInd w:val="0"/>
        <w:snapToGrid w:val="0"/>
        <w:spacing w:line="440" w:lineRule="exact"/>
        <w:rPr>
          <w:rFonts w:hAnsi="宋体" w:cs="宋体"/>
          <w:b/>
          <w:bCs/>
          <w:snapToGrid w:val="0"/>
          <w:color w:val="auto"/>
          <w:kern w:val="0"/>
          <w:szCs w:val="24"/>
          <w:highlight w:val="none"/>
        </w:rPr>
      </w:pPr>
    </w:p>
    <w:p w14:paraId="1E110BE9">
      <w:pPr>
        <w:pStyle w:val="74"/>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2771" w:type="dxa"/>
            <w:vAlign w:val="center"/>
          </w:tcPr>
          <w:p w14:paraId="2DFCFA84">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6AC2BA1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项目所在地</w:t>
            </w:r>
          </w:p>
        </w:tc>
        <w:tc>
          <w:tcPr>
            <w:tcW w:w="2594" w:type="dxa"/>
            <w:vAlign w:val="center"/>
          </w:tcPr>
          <w:p w14:paraId="24CD9F05">
            <w:pPr>
              <w:pStyle w:val="138"/>
              <w:wordWrap w:val="0"/>
              <w:adjustRightInd w:val="0"/>
              <w:snapToGrid w:val="0"/>
              <w:jc w:val="center"/>
              <w:rPr>
                <w:rFonts w:ascii="宋体" w:hAnsi="宋体" w:cs="宋体"/>
                <w:snapToGrid w:val="0"/>
                <w:color w:val="auto"/>
                <w:kern w:val="0"/>
                <w:szCs w:val="21"/>
                <w:highlight w:val="none"/>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委托人名称</w:t>
            </w:r>
          </w:p>
        </w:tc>
        <w:tc>
          <w:tcPr>
            <w:tcW w:w="2771" w:type="dxa"/>
            <w:vAlign w:val="center"/>
          </w:tcPr>
          <w:p w14:paraId="5F8E80CE">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1BC9377E">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委托人地址</w:t>
            </w:r>
          </w:p>
        </w:tc>
        <w:tc>
          <w:tcPr>
            <w:tcW w:w="2594" w:type="dxa"/>
            <w:vAlign w:val="center"/>
          </w:tcPr>
          <w:p w14:paraId="334897D3">
            <w:pPr>
              <w:pStyle w:val="138"/>
              <w:wordWrap w:val="0"/>
              <w:adjustRightInd w:val="0"/>
              <w:snapToGrid w:val="0"/>
              <w:jc w:val="center"/>
              <w:rPr>
                <w:rFonts w:ascii="宋体" w:hAnsi="宋体" w:cs="宋体"/>
                <w:snapToGrid w:val="0"/>
                <w:color w:val="auto"/>
                <w:kern w:val="0"/>
                <w:szCs w:val="21"/>
                <w:highlight w:val="none"/>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委托人电话</w:t>
            </w:r>
          </w:p>
        </w:tc>
        <w:tc>
          <w:tcPr>
            <w:tcW w:w="2771" w:type="dxa"/>
            <w:vAlign w:val="center"/>
          </w:tcPr>
          <w:p w14:paraId="2AAC336B">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0B3B4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总监理工程师</w:t>
            </w:r>
          </w:p>
        </w:tc>
        <w:tc>
          <w:tcPr>
            <w:tcW w:w="2594" w:type="dxa"/>
            <w:vAlign w:val="center"/>
          </w:tcPr>
          <w:p w14:paraId="2993C8DD">
            <w:pPr>
              <w:pStyle w:val="138"/>
              <w:wordWrap w:val="0"/>
              <w:adjustRightInd w:val="0"/>
              <w:snapToGrid w:val="0"/>
              <w:jc w:val="center"/>
              <w:rPr>
                <w:rFonts w:ascii="宋体" w:hAnsi="宋体" w:cs="宋体"/>
                <w:snapToGrid w:val="0"/>
                <w:color w:val="auto"/>
                <w:kern w:val="0"/>
                <w:szCs w:val="21"/>
                <w:highlight w:val="none"/>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监理服务期限</w:t>
            </w:r>
          </w:p>
        </w:tc>
        <w:tc>
          <w:tcPr>
            <w:tcW w:w="2771" w:type="dxa"/>
            <w:vAlign w:val="center"/>
          </w:tcPr>
          <w:p w14:paraId="253ECA3C">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79C80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监理内容</w:t>
            </w:r>
          </w:p>
        </w:tc>
        <w:tc>
          <w:tcPr>
            <w:tcW w:w="2594" w:type="dxa"/>
            <w:vAlign w:val="center"/>
          </w:tcPr>
          <w:p w14:paraId="1EEFB69A">
            <w:pPr>
              <w:pStyle w:val="138"/>
              <w:wordWrap w:val="0"/>
              <w:adjustRightInd w:val="0"/>
              <w:snapToGrid w:val="0"/>
              <w:jc w:val="center"/>
              <w:rPr>
                <w:rFonts w:ascii="宋体" w:hAnsi="宋体" w:cs="宋体"/>
                <w:snapToGrid w:val="0"/>
                <w:color w:val="auto"/>
                <w:kern w:val="0"/>
                <w:szCs w:val="21"/>
                <w:highlight w:val="none"/>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项目描述</w:t>
            </w:r>
          </w:p>
        </w:tc>
        <w:tc>
          <w:tcPr>
            <w:tcW w:w="7000" w:type="dxa"/>
            <w:gridSpan w:val="3"/>
            <w:vAlign w:val="center"/>
          </w:tcPr>
          <w:p w14:paraId="21A54D72">
            <w:pPr>
              <w:pStyle w:val="138"/>
              <w:wordWrap w:val="0"/>
              <w:adjustRightInd w:val="0"/>
              <w:snapToGrid w:val="0"/>
              <w:jc w:val="left"/>
              <w:rPr>
                <w:rFonts w:ascii="宋体" w:hAnsi="宋体" w:cs="宋体"/>
                <w:snapToGrid w:val="0"/>
                <w:color w:val="auto"/>
                <w:kern w:val="0"/>
                <w:szCs w:val="21"/>
                <w:highlight w:val="none"/>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委托人声明</w:t>
            </w:r>
          </w:p>
        </w:tc>
        <w:tc>
          <w:tcPr>
            <w:tcW w:w="7000" w:type="dxa"/>
            <w:gridSpan w:val="3"/>
            <w:vAlign w:val="center"/>
          </w:tcPr>
          <w:p w14:paraId="418BE4BE">
            <w:pPr>
              <w:pStyle w:val="138"/>
              <w:adjustRightInd w:val="0"/>
              <w:snapToGrid w:val="0"/>
              <w:spacing w:line="360" w:lineRule="auto"/>
              <w:rPr>
                <w:rFonts w:ascii="宋体" w:hAnsi="宋体" w:cs="宋体"/>
                <w:snapToGrid w:val="0"/>
                <w:color w:val="auto"/>
                <w:kern w:val="0"/>
                <w:szCs w:val="21"/>
                <w:highlight w:val="none"/>
              </w:rPr>
            </w:pPr>
          </w:p>
          <w:p w14:paraId="602D8050">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致：</w:t>
            </w:r>
            <w:r>
              <w:rPr>
                <w:rFonts w:hint="eastAsia" w:ascii="宋体" w:hAnsi="宋体" w:cs="宋体"/>
                <w:snapToGrid w:val="0"/>
                <w:color w:val="auto"/>
                <w:kern w:val="0"/>
                <w:szCs w:val="21"/>
                <w:highlight w:val="none"/>
                <w:u w:val="single"/>
              </w:rPr>
              <w:t>（本招标项目招标人名称）</w:t>
            </w:r>
          </w:p>
          <w:p w14:paraId="37F7ABA7">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我方在此声明：</w:t>
            </w:r>
          </w:p>
          <w:p w14:paraId="221BF42B">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一、在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同志任我方在施项目总监理工程师期间，如果</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中标你方招标项目监理业务，在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DBCA6A9">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二、无论</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同志是否担任其他建设项目的总监理工程师，</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都必须完全、严格履行我方在施项目监理合同中约定的所有义务，并确保服务内容、服务质量不得有任何减少或降低。</w:t>
            </w:r>
          </w:p>
          <w:p w14:paraId="092F9495">
            <w:pPr>
              <w:pStyle w:val="138"/>
              <w:adjustRightInd w:val="0"/>
              <w:snapToGrid w:val="0"/>
              <w:spacing w:line="360" w:lineRule="auto"/>
              <w:rPr>
                <w:rFonts w:ascii="宋体" w:hAnsi="宋体" w:cs="宋体"/>
                <w:snapToGrid w:val="0"/>
                <w:color w:val="auto"/>
                <w:kern w:val="0"/>
                <w:szCs w:val="21"/>
                <w:highlight w:val="none"/>
              </w:rPr>
            </w:pPr>
          </w:p>
          <w:p w14:paraId="2DED7437">
            <w:pPr>
              <w:pStyle w:val="138"/>
              <w:adjustRightInd w:val="0"/>
              <w:snapToGrid w:val="0"/>
              <w:spacing w:line="360" w:lineRule="auto"/>
              <w:rPr>
                <w:rFonts w:ascii="宋体" w:hAnsi="宋体" w:cs="宋体"/>
                <w:snapToGrid w:val="0"/>
                <w:color w:val="auto"/>
                <w:kern w:val="0"/>
                <w:szCs w:val="21"/>
                <w:highlight w:val="none"/>
              </w:rPr>
            </w:pPr>
          </w:p>
          <w:p w14:paraId="599D977E">
            <w:pPr>
              <w:pStyle w:val="138"/>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建设单位名称：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（盖单位章）</w:t>
            </w:r>
          </w:p>
          <w:p w14:paraId="1047DB8F">
            <w:pPr>
              <w:pStyle w:val="138"/>
              <w:adjustRightInd w:val="0"/>
              <w:snapToGrid w:val="0"/>
              <w:spacing w:line="360" w:lineRule="auto"/>
              <w:jc w:val="right"/>
              <w:rPr>
                <w:rFonts w:ascii="宋体" w:hAnsi="宋体" w:cs="宋体"/>
                <w:snapToGrid w:val="0"/>
                <w:color w:val="auto"/>
                <w:kern w:val="0"/>
                <w:szCs w:val="21"/>
                <w:highlight w:val="none"/>
              </w:rPr>
            </w:pPr>
          </w:p>
          <w:p w14:paraId="36196D25">
            <w:pPr>
              <w:pStyle w:val="138"/>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XXXX年XX月XX日</w:t>
            </w:r>
          </w:p>
        </w:tc>
      </w:tr>
    </w:tbl>
    <w:p w14:paraId="01E57326">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621617A">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3AD580BD">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每份情况表后应附该项目的合同协议书彩色扫描件。</w:t>
      </w:r>
    </w:p>
    <w:p w14:paraId="5D509C1C">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8"/>
          <w:highlight w:val="none"/>
        </w:rPr>
        <w:t>．投标人填写本</w:t>
      </w:r>
      <w:r>
        <w:rPr>
          <w:rFonts w:hint="eastAsia" w:ascii="宋体" w:hAnsi="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highlight w:val="none"/>
        </w:rPr>
      </w:pPr>
      <w:bookmarkStart w:id="326" w:name="_Toc4492"/>
      <w:bookmarkStart w:id="327" w:name="_Toc8264"/>
      <w:bookmarkStart w:id="328" w:name="_Toc200338098"/>
      <w:r>
        <w:rPr>
          <w:rFonts w:hint="eastAsia" w:hAnsi="宋体" w:cs="宋体"/>
          <w:b/>
          <w:snapToGrid w:val="0"/>
          <w:color w:val="auto"/>
          <w:kern w:val="0"/>
          <w:highlight w:val="none"/>
        </w:rPr>
        <w:t>格式</w:t>
      </w:r>
      <w:bookmarkStart w:id="329" w:name="_Hlt287950384"/>
      <w:bookmarkEnd w:id="329"/>
      <w:r>
        <w:rPr>
          <w:rFonts w:hint="eastAsia" w:hAnsi="宋体" w:cs="宋体"/>
          <w:b/>
          <w:bCs/>
          <w:snapToGrid w:val="0"/>
          <w:color w:val="auto"/>
          <w:kern w:val="0"/>
          <w:szCs w:val="24"/>
          <w:highlight w:val="none"/>
        </w:rPr>
        <w:t>十 项目监理机构组成人员汇总表</w:t>
      </w:r>
      <w:bookmarkEnd w:id="326"/>
    </w:p>
    <w:p w14:paraId="58540D5A">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highlight w:val="none"/>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highlight w:val="none"/>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highlight w:val="none"/>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highlight w:val="none"/>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highlight w:val="none"/>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highlight w:val="none"/>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highlight w:val="none"/>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highlight w:val="none"/>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highlight w:val="none"/>
              </w:rPr>
            </w:pPr>
          </w:p>
        </w:tc>
        <w:bookmarkStart w:id="330" w:name="_附件十：单项工程费汇总表"/>
        <w:bookmarkStart w:id="331" w:name="_Hlt69116778"/>
        <w:bookmarkStart w:id="332" w:name="_附件二十五：综合评审合理低价法"/>
        <w:bookmarkStart w:id="333" w:name="_Hlt68774664"/>
        <w:bookmarkStart w:id="334" w:name="_附件二十四：技术标提问单"/>
      </w:tr>
      <w:bookmarkEnd w:id="327"/>
      <w:bookmarkEnd w:id="328"/>
      <w:bookmarkEnd w:id="330"/>
      <w:bookmarkEnd w:id="331"/>
      <w:bookmarkEnd w:id="332"/>
      <w:bookmarkEnd w:id="333"/>
      <w:bookmarkEnd w:id="334"/>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highlight w:val="none"/>
              </w:rPr>
            </w:pPr>
          </w:p>
        </w:tc>
      </w:tr>
    </w:tbl>
    <w:p w14:paraId="4CDFA701">
      <w:pPr>
        <w:pStyle w:val="74"/>
        <w:widowControl w:val="0"/>
        <w:wordWrap w:val="0"/>
        <w:adjustRightInd w:val="0"/>
        <w:snapToGrid w:val="0"/>
        <w:spacing w:line="400" w:lineRule="exact"/>
        <w:rPr>
          <w:rFonts w:hAnsi="宋体" w:cs="宋体"/>
          <w:snapToGrid w:val="0"/>
          <w:color w:val="auto"/>
          <w:sz w:val="21"/>
          <w:highlight w:val="none"/>
        </w:rPr>
      </w:pPr>
      <w:r>
        <w:rPr>
          <w:rFonts w:hint="eastAsia" w:hAnsi="宋体" w:cs="宋体"/>
          <w:snapToGrid w:val="0"/>
          <w:color w:val="auto"/>
          <w:sz w:val="21"/>
          <w:highlight w:val="none"/>
        </w:rPr>
        <w:t>说明：</w:t>
      </w:r>
    </w:p>
    <w:p w14:paraId="24312D3D">
      <w:pPr>
        <w:pStyle w:val="74"/>
        <w:widowControl w:val="0"/>
        <w:wordWrap w:val="0"/>
        <w:adjustRightInd w:val="0"/>
        <w:snapToGrid w:val="0"/>
        <w:spacing w:line="400" w:lineRule="exact"/>
        <w:rPr>
          <w:rFonts w:hAnsi="宋体" w:cs="宋体"/>
          <w:snapToGrid w:val="0"/>
          <w:color w:val="auto"/>
          <w:sz w:val="21"/>
          <w:highlight w:val="none"/>
        </w:rPr>
        <w:sectPr>
          <w:endnotePr>
            <w:numFmt w:val="decimal"/>
          </w:endnotePr>
          <w:pgSz w:w="16838" w:h="11906" w:orient="landscape"/>
          <w:pgMar w:top="1417" w:right="1417" w:bottom="1417" w:left="1417" w:header="850" w:footer="992" w:gutter="0"/>
          <w:pgNumType w:fmt="decimal"/>
          <w:cols w:space="0" w:num="1"/>
          <w:docGrid w:linePitch="327" w:charSpace="0"/>
        </w:sect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bookmarkEnd w:id="302"/>
      <w:bookmarkEnd w:id="303"/>
      <w:bookmarkEnd w:id="304"/>
      <w:bookmarkEnd w:id="305"/>
    </w:p>
    <w:p w14:paraId="63F60130">
      <w:pPr>
        <w:pStyle w:val="150"/>
        <w:keepNext/>
        <w:keepLines/>
        <w:snapToGrid w:val="0"/>
        <w:spacing w:line="400" w:lineRule="exact"/>
        <w:jc w:val="both"/>
        <w:rPr>
          <w:rFonts w:ascii="宋体" w:hAnsi="宋体" w:cs="宋体"/>
          <w:b/>
          <w:bCs/>
          <w:snapToGrid w:val="0"/>
          <w:color w:val="auto"/>
          <w:highlight w:val="none"/>
        </w:rPr>
      </w:pPr>
      <w:bookmarkStart w:id="335" w:name="_Toc13068"/>
      <w:bookmarkStart w:id="336" w:name="_Toc24916"/>
      <w:r>
        <w:rPr>
          <w:rFonts w:hint="eastAsia" w:ascii="宋体" w:hAnsi="宋体" w:cs="宋体"/>
          <w:b/>
          <w:bCs/>
          <w:snapToGrid w:val="0"/>
          <w:color w:val="auto"/>
          <w:highlight w:val="none"/>
        </w:rPr>
        <w:t>格式十一 总监理工程师简历表</w:t>
      </w:r>
      <w:bookmarkEnd w:id="335"/>
      <w:bookmarkEnd w:id="336"/>
    </w:p>
    <w:p w14:paraId="6461E15D">
      <w:pPr>
        <w:adjustRightInd w:val="0"/>
        <w:snapToGrid w:val="0"/>
        <w:spacing w:line="400" w:lineRule="exact"/>
        <w:jc w:val="center"/>
        <w:rPr>
          <w:rFonts w:hAnsi="宋体" w:cs="宋体"/>
          <w:b/>
          <w:bCs/>
          <w:color w:val="auto"/>
          <w:sz w:val="32"/>
          <w:szCs w:val="22"/>
          <w:highlight w:val="none"/>
        </w:rPr>
      </w:pPr>
    </w:p>
    <w:p w14:paraId="13A99F0A">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highlight w:val="none"/>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highlight w:val="none"/>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highlight w:val="none"/>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highlight w:val="none"/>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highlight w:val="none"/>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highlight w:val="none"/>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highlight w:val="none"/>
              </w:rPr>
            </w:pPr>
          </w:p>
        </w:tc>
      </w:tr>
    </w:tbl>
    <w:p w14:paraId="05AF772E">
      <w:pPr>
        <w:adjustRightInd w:val="0"/>
        <w:snapToGrid w:val="0"/>
        <w:spacing w:line="400" w:lineRule="exact"/>
        <w:rPr>
          <w:rFonts w:hAnsi="宋体" w:cs="宋体"/>
          <w:color w:val="auto"/>
          <w:highlight w:val="none"/>
        </w:rPr>
      </w:pPr>
    </w:p>
    <w:p w14:paraId="55649CDC">
      <w:pPr>
        <w:pStyle w:val="75"/>
        <w:wordWrap w:val="0"/>
        <w:adjustRightInd w:val="0"/>
        <w:snapToGrid w:val="0"/>
        <w:spacing w:line="400" w:lineRule="exact"/>
        <w:jc w:val="right"/>
        <w:rPr>
          <w:rFonts w:hAnsi="宋体" w:cs="宋体"/>
          <w:snapToGrid w:val="0"/>
          <w:color w:val="auto"/>
          <w:kern w:val="0"/>
          <w:highlight w:val="none"/>
        </w:rPr>
      </w:pPr>
    </w:p>
    <w:p w14:paraId="5212B167">
      <w:pPr>
        <w:pStyle w:val="75"/>
        <w:wordWrap w:val="0"/>
        <w:adjustRightInd w:val="0"/>
        <w:snapToGrid w:val="0"/>
        <w:spacing w:line="400" w:lineRule="exact"/>
        <w:jc w:val="right"/>
        <w:rPr>
          <w:rFonts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0C2580C4">
      <w:pPr>
        <w:pStyle w:val="75"/>
        <w:wordWrap w:val="0"/>
        <w:adjustRightInd w:val="0"/>
        <w:snapToGrid w:val="0"/>
        <w:spacing w:line="400" w:lineRule="exact"/>
        <w:jc w:val="center"/>
        <w:rPr>
          <w:rFonts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4D577A5">
      <w:pPr>
        <w:wordWrap w:val="0"/>
        <w:adjustRightInd w:val="0"/>
        <w:snapToGrid w:val="0"/>
        <w:spacing w:line="400" w:lineRule="exact"/>
        <w:ind w:firstLine="570"/>
        <w:rPr>
          <w:rFonts w:hAnsi="宋体" w:cs="宋体"/>
          <w:snapToGrid w:val="0"/>
          <w:color w:val="auto"/>
          <w:kern w:val="0"/>
          <w:szCs w:val="28"/>
          <w:highlight w:val="none"/>
        </w:rPr>
      </w:pPr>
    </w:p>
    <w:p w14:paraId="1CA52C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2．监理工程师注册证书彩色扫描件（须彩色扫描至变更注册栏）</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hAnsi="宋体" w:cs="宋体"/>
          <w:snapToGrid w:val="0"/>
          <w:color w:val="auto"/>
          <w:kern w:val="0"/>
          <w:sz w:val="21"/>
          <w:szCs w:val="28"/>
          <w:highlight w:val="none"/>
        </w:rPr>
        <w:t>；</w:t>
      </w:r>
    </w:p>
    <w:p w14:paraId="4FD46B7A">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02</w:t>
      </w:r>
      <w:r>
        <w:rPr>
          <w:rFonts w:hint="eastAsia" w:ascii="宋体" w:hAnsi="宋体" w:eastAsia="宋体" w:cs="宋体"/>
          <w:caps w:val="0"/>
          <w:smallCaps w:val="0"/>
          <w:snapToGrid w:val="0"/>
          <w:color w:val="auto"/>
          <w:spacing w:val="0"/>
          <w:kern w:val="0"/>
          <w:sz w:val="21"/>
          <w:szCs w:val="28"/>
          <w:highlight w:val="none"/>
          <w:lang w:val="en-US" w:eastAsia="zh-CN"/>
        </w:rPr>
        <w:t>月）彩色扫描件。</w:t>
      </w:r>
    </w:p>
    <w:p w14:paraId="2DC2A311">
      <w:pPr>
        <w:pStyle w:val="11"/>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4.“进粤企业和人员诚信信息登记平台”个人（总监理工程师等）信息情况截图。（适用于省外建筑企业）</w:t>
      </w:r>
    </w:p>
    <w:p w14:paraId="1FF4E9EC">
      <w:pPr>
        <w:pStyle w:val="11"/>
        <w:snapToGrid w:val="0"/>
        <w:spacing w:line="400" w:lineRule="exact"/>
        <w:rPr>
          <w:rFonts w:hAnsi="宋体" w:cs="宋体"/>
          <w:snapToGrid w:val="0"/>
          <w:color w:val="auto"/>
          <w:sz w:val="21"/>
          <w:highlight w:val="none"/>
        </w:rPr>
      </w:pPr>
    </w:p>
    <w:p w14:paraId="1F51A155">
      <w:pPr>
        <w:adjustRightInd w:val="0"/>
        <w:snapToGrid w:val="0"/>
        <w:spacing w:line="400" w:lineRule="exact"/>
        <w:rPr>
          <w:rFonts w:hAnsi="宋体" w:cs="宋体"/>
          <w:b/>
          <w:bCs/>
          <w:snapToGrid w:val="0"/>
          <w:color w:val="auto"/>
          <w:kern w:val="0"/>
          <w:szCs w:val="24"/>
          <w:highlight w:val="none"/>
        </w:rPr>
      </w:pPr>
      <w:bookmarkStart w:id="337" w:name="_Toc19546"/>
      <w:r>
        <w:rPr>
          <w:rFonts w:hint="eastAsia" w:hAnsi="宋体" w:cs="宋体"/>
          <w:b/>
          <w:bCs/>
          <w:snapToGrid w:val="0"/>
          <w:color w:val="auto"/>
          <w:kern w:val="0"/>
          <w:szCs w:val="24"/>
          <w:highlight w:val="none"/>
        </w:rPr>
        <w:br w:type="page"/>
      </w:r>
    </w:p>
    <w:p w14:paraId="32B105E3">
      <w:pPr>
        <w:pStyle w:val="150"/>
        <w:keepNext/>
        <w:keepLines/>
        <w:snapToGrid w:val="0"/>
        <w:spacing w:line="400" w:lineRule="exact"/>
        <w:jc w:val="both"/>
        <w:rPr>
          <w:rFonts w:ascii="宋体" w:hAnsi="宋体" w:cs="宋体"/>
          <w:b/>
          <w:bCs/>
          <w:snapToGrid w:val="0"/>
          <w:color w:val="auto"/>
          <w:highlight w:val="none"/>
        </w:rPr>
      </w:pPr>
      <w:bookmarkStart w:id="338" w:name="_Toc21090"/>
      <w:r>
        <w:rPr>
          <w:rFonts w:hint="eastAsia" w:ascii="宋体" w:hAnsi="宋体" w:cs="宋体"/>
          <w:b/>
          <w:bCs/>
          <w:snapToGrid w:val="0"/>
          <w:color w:val="auto"/>
          <w:highlight w:val="none"/>
        </w:rPr>
        <w:t>格式十二 其他拟派人员简历表</w:t>
      </w:r>
      <w:bookmarkEnd w:id="337"/>
      <w:bookmarkEnd w:id="338"/>
    </w:p>
    <w:p w14:paraId="6BB2F130">
      <w:pPr>
        <w:adjustRightInd w:val="0"/>
        <w:snapToGrid w:val="0"/>
        <w:spacing w:line="400" w:lineRule="exact"/>
        <w:jc w:val="center"/>
        <w:rPr>
          <w:rFonts w:hAnsi="宋体" w:cs="宋体"/>
          <w:b/>
          <w:bCs/>
          <w:color w:val="auto"/>
          <w:sz w:val="32"/>
          <w:szCs w:val="22"/>
          <w:highlight w:val="none"/>
        </w:rPr>
      </w:pPr>
    </w:p>
    <w:p w14:paraId="3FF56886">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highlight w:val="none"/>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highlight w:val="none"/>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highlight w:val="none"/>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AEF7FE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A8FC6B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highlight w:val="none"/>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highlight w:val="none"/>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highlight w:val="none"/>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highlight w:val="none"/>
              </w:rPr>
            </w:pPr>
          </w:p>
        </w:tc>
      </w:tr>
    </w:tbl>
    <w:p w14:paraId="77C02387">
      <w:pPr>
        <w:pStyle w:val="75"/>
        <w:wordWrap w:val="0"/>
        <w:adjustRightInd w:val="0"/>
        <w:snapToGrid w:val="0"/>
        <w:spacing w:line="400" w:lineRule="exact"/>
        <w:rPr>
          <w:rFonts w:hAnsi="宋体" w:cs="宋体"/>
          <w:snapToGrid w:val="0"/>
          <w:color w:val="auto"/>
          <w:kern w:val="0"/>
          <w:highlight w:val="none"/>
        </w:rPr>
      </w:pPr>
    </w:p>
    <w:p w14:paraId="51FC9EC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2C895D48">
      <w:pPr>
        <w:wordWrap w:val="0"/>
        <w:adjustRightInd w:val="0"/>
        <w:snapToGrid w:val="0"/>
        <w:spacing w:line="400" w:lineRule="exact"/>
        <w:ind w:firstLine="420"/>
        <w:rPr>
          <w:rFonts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highlight w:val="none"/>
        </w:rPr>
        <w:t>并标明序号。</w:t>
      </w:r>
    </w:p>
    <w:p w14:paraId="784C9BD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highlight w:val="none"/>
          <w:lang w:val="en-US" w:eastAsia="zh-CN"/>
        </w:rPr>
      </w:pPr>
      <w:r>
        <w:rPr>
          <w:rFonts w:hint="eastAsia" w:hAnsi="宋体" w:cs="宋体"/>
          <w:snapToGrid w:val="0"/>
          <w:color w:val="auto"/>
          <w:kern w:val="0"/>
          <w:sz w:val="21"/>
          <w:szCs w:val="28"/>
          <w:highlight w:val="none"/>
        </w:rPr>
        <w:t>（2）相关证书彩色扫描件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须彩色扫描至变更注册栏</w:t>
      </w:r>
      <w:r>
        <w:rPr>
          <w:rFonts w:hint="eastAsia" w:hAnsi="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ascii="宋体" w:hAnsi="宋体" w:eastAsia="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02</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highlight w:val="none"/>
        </w:rPr>
        <w:t>彩色扫描件。</w:t>
      </w:r>
    </w:p>
    <w:p w14:paraId="14218DA9">
      <w:pPr>
        <w:pStyle w:val="11"/>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3.“进粤企业和人员诚信信息登记平台”个人信息情况截图。（适用于省外建筑企业）</w:t>
      </w:r>
    </w:p>
    <w:p w14:paraId="16DC49F0">
      <w:pPr>
        <w:rPr>
          <w:color w:val="auto"/>
          <w:highlight w:val="none"/>
        </w:rPr>
      </w:pPr>
      <w:bookmarkStart w:id="339" w:name="_Toc593"/>
      <w:bookmarkStart w:id="340" w:name="_Toc25312"/>
    </w:p>
    <w:p w14:paraId="4F5701AB">
      <w:pPr>
        <w:rPr>
          <w:color w:val="auto"/>
          <w:highlight w:val="none"/>
        </w:rPr>
      </w:pPr>
    </w:p>
    <w:p w14:paraId="0B0CC3A8">
      <w:pPr>
        <w:rPr>
          <w:color w:val="auto"/>
          <w:highlight w:val="none"/>
        </w:rPr>
      </w:pPr>
    </w:p>
    <w:p w14:paraId="0887FC9D">
      <w:pPr>
        <w:rPr>
          <w:color w:val="auto"/>
          <w:highlight w:val="none"/>
        </w:rPr>
      </w:pPr>
    </w:p>
    <w:p w14:paraId="746FE86D">
      <w:pPr>
        <w:rPr>
          <w:color w:val="auto"/>
          <w:highlight w:val="none"/>
        </w:rPr>
      </w:pPr>
    </w:p>
    <w:p w14:paraId="4A3461BE">
      <w:pPr>
        <w:bidi w:val="0"/>
        <w:rPr>
          <w:color w:val="auto"/>
          <w:highlight w:val="none"/>
        </w:rPr>
      </w:pPr>
    </w:p>
    <w:p w14:paraId="20F0C669">
      <w:pPr>
        <w:pStyle w:val="4"/>
        <w:bidi w:val="0"/>
        <w:rPr>
          <w:rFonts w:hint="default"/>
          <w:b/>
          <w:bCs/>
          <w:color w:val="auto"/>
          <w:highlight w:val="none"/>
          <w:lang w:val="en-US" w:eastAsia="zh-CN"/>
        </w:rPr>
      </w:pPr>
      <w:bookmarkStart w:id="341" w:name="_Toc1230"/>
      <w:r>
        <w:rPr>
          <w:rFonts w:hint="eastAsia"/>
          <w:b/>
          <w:bCs/>
          <w:color w:val="auto"/>
          <w:highlight w:val="none"/>
          <w:lang w:val="en-US" w:eastAsia="zh-CN"/>
        </w:rPr>
        <w:t>格式十三 原件一览表</w:t>
      </w:r>
      <w:bookmarkEnd w:id="341"/>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highlight w:val="none"/>
              </w:rPr>
            </w:pPr>
            <w:r>
              <w:rPr>
                <w:rFonts w:hAnsi="宋体" w:cs="宋体"/>
                <w:b/>
                <w:color w:val="auto"/>
                <w:highlight w:val="none"/>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highlight w:val="none"/>
              </w:rPr>
            </w:pPr>
            <w:r>
              <w:rPr>
                <w:rFonts w:hAnsi="宋体" w:cs="宋体"/>
                <w:color w:val="auto"/>
                <w:sz w:val="24"/>
                <w:szCs w:val="24"/>
                <w:highlight w:val="none"/>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highlight w:val="none"/>
              </w:rPr>
            </w:pPr>
            <w:r>
              <w:rPr>
                <w:rFonts w:hAnsi="宋体" w:cs="宋体"/>
                <w:color w:val="auto"/>
                <w:sz w:val="24"/>
                <w:szCs w:val="24"/>
                <w:highlight w:val="none"/>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highlight w:val="none"/>
              </w:rPr>
            </w:pPr>
            <w:r>
              <w:rPr>
                <w:rFonts w:hAnsi="宋体" w:cs="宋体"/>
                <w:color w:val="auto"/>
                <w:sz w:val="24"/>
                <w:szCs w:val="24"/>
                <w:highlight w:val="none"/>
              </w:rPr>
              <w:t>投标人法定代表人或其</w:t>
            </w:r>
          </w:p>
          <w:p w14:paraId="77524DC3">
            <w:pPr>
              <w:jc w:val="center"/>
              <w:rPr>
                <w:rFonts w:hAnsi="宋体" w:cs="宋体"/>
                <w:color w:val="auto"/>
                <w:sz w:val="24"/>
                <w:szCs w:val="24"/>
                <w:highlight w:val="none"/>
              </w:rPr>
            </w:pPr>
            <w:r>
              <w:rPr>
                <w:rFonts w:hAnsi="宋体" w:cs="宋体"/>
                <w:color w:val="auto"/>
                <w:sz w:val="24"/>
                <w:szCs w:val="24"/>
                <w:highlight w:val="none"/>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highlight w:val="none"/>
              </w:rPr>
            </w:pPr>
            <w:r>
              <w:rPr>
                <w:rFonts w:hAnsi="宋体" w:cs="宋体"/>
                <w:color w:val="auto"/>
                <w:sz w:val="24"/>
                <w:szCs w:val="24"/>
                <w:highlight w:val="none"/>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highlight w:val="none"/>
              </w:rPr>
            </w:pPr>
            <w:r>
              <w:rPr>
                <w:rFonts w:hAnsi="宋体" w:cs="宋体"/>
                <w:color w:val="auto"/>
                <w:sz w:val="24"/>
                <w:szCs w:val="24"/>
                <w:highlight w:val="none"/>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highlight w:val="none"/>
              </w:rPr>
            </w:pPr>
            <w:r>
              <w:rPr>
                <w:rFonts w:hAnsi="宋体" w:cs="宋体"/>
                <w:color w:val="auto"/>
                <w:sz w:val="24"/>
                <w:szCs w:val="24"/>
                <w:highlight w:val="none"/>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highlight w:val="none"/>
              </w:rPr>
            </w:pPr>
            <w:r>
              <w:rPr>
                <w:rFonts w:hAnsi="宋体" w:cs="宋体"/>
                <w:color w:val="auto"/>
                <w:sz w:val="24"/>
                <w:szCs w:val="24"/>
                <w:highlight w:val="none"/>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highlight w:val="none"/>
              </w:rPr>
            </w:pPr>
            <w:r>
              <w:rPr>
                <w:rFonts w:hAnsi="宋体" w:cs="宋体"/>
                <w:color w:val="auto"/>
                <w:sz w:val="24"/>
                <w:szCs w:val="24"/>
                <w:highlight w:val="none"/>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highlight w:val="none"/>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highlight w:val="none"/>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highlight w:val="none"/>
              </w:rPr>
            </w:pPr>
            <w:r>
              <w:rPr>
                <w:rFonts w:hAnsi="宋体" w:cs="宋体"/>
                <w:color w:val="auto"/>
                <w:sz w:val="24"/>
                <w:szCs w:val="24"/>
                <w:highlight w:val="none"/>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highlight w:val="none"/>
              </w:rPr>
            </w:pPr>
            <w:r>
              <w:rPr>
                <w:rFonts w:hint="eastAsia" w:hAnsi="宋体" w:cs="宋体"/>
                <w:color w:val="auto"/>
                <w:sz w:val="24"/>
                <w:szCs w:val="24"/>
                <w:highlight w:val="none"/>
              </w:rPr>
              <w:t>接收时间：</w:t>
            </w:r>
          </w:p>
        </w:tc>
        <w:tc>
          <w:tcPr>
            <w:tcW w:w="3282" w:type="dxa"/>
            <w:gridSpan w:val="3"/>
            <w:shd w:val="clear" w:color="auto" w:fill="auto"/>
            <w:noWrap w:val="0"/>
            <w:tcMar>
              <w:left w:w="108" w:type="dxa"/>
              <w:right w:w="108" w:type="dxa"/>
            </w:tcMar>
            <w:vAlign w:val="center"/>
          </w:tcPr>
          <w:p w14:paraId="5F3DDF19">
            <w:pPr>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highlight w:val="none"/>
              </w:rPr>
            </w:pPr>
            <w:r>
              <w:rPr>
                <w:rFonts w:hint="eastAsia" w:hAnsi="宋体" w:cs="宋体"/>
                <w:color w:val="auto"/>
                <w:sz w:val="24"/>
                <w:szCs w:val="24"/>
                <w:highlight w:val="none"/>
              </w:rPr>
              <w:t>退还时间：</w:t>
            </w:r>
          </w:p>
        </w:tc>
        <w:tc>
          <w:tcPr>
            <w:tcW w:w="3282" w:type="dxa"/>
            <w:gridSpan w:val="3"/>
            <w:shd w:val="clear" w:color="auto" w:fill="auto"/>
            <w:noWrap w:val="0"/>
            <w:tcMar>
              <w:left w:w="108" w:type="dxa"/>
              <w:right w:w="108" w:type="dxa"/>
            </w:tcMar>
            <w:vAlign w:val="center"/>
          </w:tcPr>
          <w:p w14:paraId="1B2E0C0D">
            <w:pPr>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bl>
    <w:p w14:paraId="2043B9AC">
      <w:pPr>
        <w:bidi w:val="0"/>
        <w:rPr>
          <w:color w:val="auto"/>
          <w:highlight w:val="none"/>
        </w:rPr>
      </w:pPr>
    </w:p>
    <w:p w14:paraId="59158BD3">
      <w:pPr>
        <w:rPr>
          <w:color w:val="auto"/>
          <w:highlight w:val="none"/>
        </w:rPr>
      </w:pPr>
    </w:p>
    <w:p w14:paraId="65603D6D">
      <w:pPr>
        <w:bidi w:val="0"/>
        <w:rPr>
          <w:color w:val="auto"/>
          <w:highlight w:val="none"/>
        </w:rPr>
      </w:pPr>
    </w:p>
    <w:p w14:paraId="47E51DDB">
      <w:pPr>
        <w:pStyle w:val="2"/>
        <w:rPr>
          <w:color w:val="auto"/>
          <w:highlight w:val="none"/>
        </w:rPr>
      </w:pPr>
    </w:p>
    <w:bookmarkEnd w:id="339"/>
    <w:bookmarkEnd w:id="340"/>
    <w:p w14:paraId="6FEFA5B3">
      <w:pPr>
        <w:pStyle w:val="151"/>
        <w:keepNext/>
        <w:keepLines/>
        <w:snapToGrid w:val="0"/>
        <w:spacing w:line="400" w:lineRule="exact"/>
        <w:jc w:val="center"/>
        <w:rPr>
          <w:rFonts w:ascii="宋体" w:hAnsi="宋体" w:cs="宋体"/>
          <w:b/>
          <w:color w:val="auto"/>
          <w:kern w:val="44"/>
          <w:sz w:val="32"/>
          <w:szCs w:val="22"/>
        </w:rPr>
      </w:pPr>
      <w:bookmarkStart w:id="342" w:name="_Toc137444778"/>
      <w:bookmarkStart w:id="343" w:name="_Toc3174"/>
      <w:bookmarkStart w:id="344" w:name="_Toc13722"/>
      <w:bookmarkStart w:id="345" w:name="_Toc133160683"/>
      <w:bookmarkStart w:id="346" w:name="_Toc10354"/>
      <w:bookmarkStart w:id="347" w:name="_Toc142468134"/>
      <w:bookmarkStart w:id="348" w:name="_Toc132687128"/>
      <w:bookmarkStart w:id="349" w:name="_Toc133815902"/>
      <w:bookmarkStart w:id="350" w:name="_Toc78794873"/>
      <w:r>
        <w:rPr>
          <w:rFonts w:hint="eastAsia" w:ascii="宋体" w:hAnsi="宋体" w:cs="宋体"/>
          <w:b/>
          <w:color w:val="auto"/>
          <w:kern w:val="44"/>
          <w:sz w:val="32"/>
          <w:szCs w:val="22"/>
        </w:rPr>
        <w:t>第六章 建设工程监理合同</w:t>
      </w:r>
      <w:bookmarkEnd w:id="342"/>
      <w:bookmarkEnd w:id="343"/>
      <w:bookmarkEnd w:id="344"/>
      <w:bookmarkEnd w:id="345"/>
      <w:bookmarkEnd w:id="346"/>
      <w:bookmarkEnd w:id="347"/>
      <w:bookmarkEnd w:id="348"/>
    </w:p>
    <w:p w14:paraId="489A5B59">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49"/>
      <w:bookmarkEnd w:id="350"/>
      <w:r>
        <w:rPr>
          <w:rFonts w:hint="eastAsia" w:hAnsi="宋体" w:cs="宋体"/>
          <w:snapToGrid w:val="0"/>
          <w:color w:val="auto"/>
          <w:kern w:val="0"/>
        </w:rPr>
        <w:t>按照《建设工程监理合同（示范文本）》（GF—2012—0202）执行。</w:t>
      </w:r>
    </w:p>
    <w:p w14:paraId="6CF11764">
      <w:pPr>
        <w:pStyle w:val="11"/>
        <w:snapToGrid w:val="0"/>
        <w:spacing w:line="400" w:lineRule="exact"/>
        <w:rPr>
          <w:rFonts w:hAnsi="宋体" w:cs="宋体"/>
          <w:snapToGrid w:val="0"/>
          <w:color w:val="auto"/>
        </w:rPr>
      </w:pPr>
    </w:p>
    <w:p w14:paraId="05AE5769">
      <w:pPr>
        <w:pStyle w:val="74"/>
        <w:widowControl w:val="0"/>
        <w:wordWrap w:val="0"/>
        <w:adjustRightInd w:val="0"/>
        <w:snapToGrid w:val="0"/>
        <w:spacing w:line="400" w:lineRule="exact"/>
        <w:ind w:firstLine="0"/>
        <w:rPr>
          <w:rFonts w:hAnsi="宋体" w:cs="宋体"/>
          <w:snapToGrid w:val="0"/>
          <w:color w:val="auto"/>
          <w:sz w:val="21"/>
        </w:rPr>
      </w:pPr>
    </w:p>
    <w:sectPr>
      <w:footerReference r:id="rId9" w:type="default"/>
      <w:endnotePr>
        <w:numFmt w:val="decimal"/>
      </w:endnotePr>
      <w:pgSz w:w="11906" w:h="16838"/>
      <w:pgMar w:top="1134" w:right="1134" w:bottom="1134" w:left="1134"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11"/>
      <w:pBdr>
        <w:between w:val="none" w:color="auto" w:sz="0" w:space="0"/>
      </w:pBdr>
      <w:tabs>
        <w:tab w:val="left" w:pos="4803"/>
        <w:tab w:val="clear" w:pos="4153"/>
      </w:tabs>
      <w:rPr>
        <w:rFonts w:hint="eastAsia"/>
      </w:rPr>
    </w:pPr>
    <w:r>
      <w:rPr>
        <w:rFonts w:hint="eastAsia"/>
      </w:rPr>
      <w:tab/>
    </w:r>
  </w:p>
  <w:p w14:paraId="3881DEF1">
    <w:pPr>
      <w:pStyle w:val="111"/>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87F0">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FEE09">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FFEE09">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382DD">
                          <w:pPr>
                            <w:pStyle w:val="19"/>
                          </w:pPr>
                          <w:r>
                            <w:t xml:space="preserve">第 </w:t>
                          </w:r>
                          <w:r>
                            <w:fldChar w:fldCharType="begin"/>
                          </w:r>
                          <w:r>
                            <w:instrText xml:space="preserve"> PAGE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8382DD">
                    <w:pPr>
                      <w:pStyle w:val="19"/>
                    </w:pPr>
                    <w:r>
                      <w:t xml:space="preserve">第 </w:t>
                    </w:r>
                    <w:r>
                      <w:fldChar w:fldCharType="begin"/>
                    </w:r>
                    <w:r>
                      <w:instrText xml:space="preserve"> PAGE  \* MERGEFORMAT </w:instrText>
                    </w:r>
                    <w:r>
                      <w:fldChar w:fldCharType="separate"/>
                    </w:r>
                    <w:r>
                      <w:t>72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3D34">
    <w:pPr>
      <w:pStyle w:val="12"/>
      <w:spacing w:line="5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D7A8E"/>
    <w:multiLevelType w:val="singleLevel"/>
    <w:tmpl w:val="E0BD7A8E"/>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280EF8"/>
    <w:rsid w:val="032B3195"/>
    <w:rsid w:val="03353615"/>
    <w:rsid w:val="03606DA8"/>
    <w:rsid w:val="03826431"/>
    <w:rsid w:val="03AA0611"/>
    <w:rsid w:val="03AE02E8"/>
    <w:rsid w:val="03B83805"/>
    <w:rsid w:val="0455083C"/>
    <w:rsid w:val="04780182"/>
    <w:rsid w:val="04841E6C"/>
    <w:rsid w:val="048707A2"/>
    <w:rsid w:val="04D81F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003F6"/>
    <w:rsid w:val="073C1416"/>
    <w:rsid w:val="07626CD1"/>
    <w:rsid w:val="076349FE"/>
    <w:rsid w:val="07F654CB"/>
    <w:rsid w:val="07F90245"/>
    <w:rsid w:val="08077FE9"/>
    <w:rsid w:val="08432B8E"/>
    <w:rsid w:val="085D1A1C"/>
    <w:rsid w:val="0872069D"/>
    <w:rsid w:val="08767FD2"/>
    <w:rsid w:val="087D7F38"/>
    <w:rsid w:val="08970A40"/>
    <w:rsid w:val="09702125"/>
    <w:rsid w:val="09AD2157"/>
    <w:rsid w:val="09B41737"/>
    <w:rsid w:val="09CA2D09"/>
    <w:rsid w:val="09E65669"/>
    <w:rsid w:val="09EA5159"/>
    <w:rsid w:val="09F5235C"/>
    <w:rsid w:val="0A0E69FD"/>
    <w:rsid w:val="0A3E54A5"/>
    <w:rsid w:val="0A570314"/>
    <w:rsid w:val="0A6523F4"/>
    <w:rsid w:val="0A685FB5"/>
    <w:rsid w:val="0A740EC6"/>
    <w:rsid w:val="0A9F6084"/>
    <w:rsid w:val="0B4006EB"/>
    <w:rsid w:val="0B914627"/>
    <w:rsid w:val="0B9B6EF0"/>
    <w:rsid w:val="0B9E10B5"/>
    <w:rsid w:val="0B9E1CB0"/>
    <w:rsid w:val="0BC47C2C"/>
    <w:rsid w:val="0BF6217D"/>
    <w:rsid w:val="0C0D7AE6"/>
    <w:rsid w:val="0CA02447"/>
    <w:rsid w:val="0CA20070"/>
    <w:rsid w:val="0CAA75AD"/>
    <w:rsid w:val="0CC7733C"/>
    <w:rsid w:val="0CC80FED"/>
    <w:rsid w:val="0CD32A34"/>
    <w:rsid w:val="0CF12128"/>
    <w:rsid w:val="0D140105"/>
    <w:rsid w:val="0D364445"/>
    <w:rsid w:val="0D7E1192"/>
    <w:rsid w:val="0DB82B2F"/>
    <w:rsid w:val="0E0322E5"/>
    <w:rsid w:val="0E650489"/>
    <w:rsid w:val="0E8273DD"/>
    <w:rsid w:val="0E954BA0"/>
    <w:rsid w:val="0EAF2288"/>
    <w:rsid w:val="0EC544EB"/>
    <w:rsid w:val="0F177F3C"/>
    <w:rsid w:val="0F287BA3"/>
    <w:rsid w:val="0F3B1552"/>
    <w:rsid w:val="0F823F1F"/>
    <w:rsid w:val="0FA1224B"/>
    <w:rsid w:val="0FAB1B4B"/>
    <w:rsid w:val="0FC147F0"/>
    <w:rsid w:val="0FC83017"/>
    <w:rsid w:val="0FDE143F"/>
    <w:rsid w:val="0FED49BA"/>
    <w:rsid w:val="106F6EDC"/>
    <w:rsid w:val="10BB100E"/>
    <w:rsid w:val="10CF5BBB"/>
    <w:rsid w:val="10E072B6"/>
    <w:rsid w:val="10FB5335"/>
    <w:rsid w:val="10FD39C4"/>
    <w:rsid w:val="112D1D65"/>
    <w:rsid w:val="11303196"/>
    <w:rsid w:val="11360437"/>
    <w:rsid w:val="113B11BA"/>
    <w:rsid w:val="11515ABE"/>
    <w:rsid w:val="116021A5"/>
    <w:rsid w:val="11A42091"/>
    <w:rsid w:val="11D67B34"/>
    <w:rsid w:val="11F70077"/>
    <w:rsid w:val="11FE6FE0"/>
    <w:rsid w:val="121459A3"/>
    <w:rsid w:val="121611D1"/>
    <w:rsid w:val="127C2803"/>
    <w:rsid w:val="127E10FD"/>
    <w:rsid w:val="12851648"/>
    <w:rsid w:val="128819B3"/>
    <w:rsid w:val="12884038"/>
    <w:rsid w:val="12C13398"/>
    <w:rsid w:val="12F876BF"/>
    <w:rsid w:val="13114669"/>
    <w:rsid w:val="132029E9"/>
    <w:rsid w:val="132F1E2E"/>
    <w:rsid w:val="13351019"/>
    <w:rsid w:val="135B72ED"/>
    <w:rsid w:val="136C6CCA"/>
    <w:rsid w:val="13841C28"/>
    <w:rsid w:val="139A08A3"/>
    <w:rsid w:val="13B3480E"/>
    <w:rsid w:val="13BE434A"/>
    <w:rsid w:val="13C925E9"/>
    <w:rsid w:val="13D87533"/>
    <w:rsid w:val="13E14828"/>
    <w:rsid w:val="13E2760C"/>
    <w:rsid w:val="13E55A7C"/>
    <w:rsid w:val="13ED238A"/>
    <w:rsid w:val="144D28BE"/>
    <w:rsid w:val="14A11363"/>
    <w:rsid w:val="14AD3C82"/>
    <w:rsid w:val="14AD638E"/>
    <w:rsid w:val="14D507B4"/>
    <w:rsid w:val="14E82BDD"/>
    <w:rsid w:val="150717C8"/>
    <w:rsid w:val="1530421B"/>
    <w:rsid w:val="15335E3C"/>
    <w:rsid w:val="15585425"/>
    <w:rsid w:val="15632821"/>
    <w:rsid w:val="156E0438"/>
    <w:rsid w:val="159710CE"/>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AC5722"/>
    <w:rsid w:val="18BA750B"/>
    <w:rsid w:val="18C03544"/>
    <w:rsid w:val="18D45DFC"/>
    <w:rsid w:val="18DD6311"/>
    <w:rsid w:val="19000928"/>
    <w:rsid w:val="192856B3"/>
    <w:rsid w:val="19506374"/>
    <w:rsid w:val="19AB63C4"/>
    <w:rsid w:val="1A0D6313"/>
    <w:rsid w:val="1A3810FE"/>
    <w:rsid w:val="1A3D0F0C"/>
    <w:rsid w:val="1A4A48FF"/>
    <w:rsid w:val="1A501F1B"/>
    <w:rsid w:val="1A7C0E8F"/>
    <w:rsid w:val="1A9A0468"/>
    <w:rsid w:val="1ABE60EB"/>
    <w:rsid w:val="1AC45552"/>
    <w:rsid w:val="1AFB4481"/>
    <w:rsid w:val="1B106078"/>
    <w:rsid w:val="1B3626B5"/>
    <w:rsid w:val="1B544E28"/>
    <w:rsid w:val="1B550FE4"/>
    <w:rsid w:val="1B5938A5"/>
    <w:rsid w:val="1B5D1E9E"/>
    <w:rsid w:val="1B6323E0"/>
    <w:rsid w:val="1B776451"/>
    <w:rsid w:val="1BAE4064"/>
    <w:rsid w:val="1BD16179"/>
    <w:rsid w:val="1BD712B5"/>
    <w:rsid w:val="1BDB2B53"/>
    <w:rsid w:val="1C0D795C"/>
    <w:rsid w:val="1C0F788B"/>
    <w:rsid w:val="1C141501"/>
    <w:rsid w:val="1C3D55BC"/>
    <w:rsid w:val="1C7726C5"/>
    <w:rsid w:val="1C7F5BD5"/>
    <w:rsid w:val="1C814C75"/>
    <w:rsid w:val="1C8F2794"/>
    <w:rsid w:val="1CAE7812"/>
    <w:rsid w:val="1CB20AFB"/>
    <w:rsid w:val="1CB751D0"/>
    <w:rsid w:val="1CB919A4"/>
    <w:rsid w:val="1CD83537"/>
    <w:rsid w:val="1CEF0DA9"/>
    <w:rsid w:val="1CFC2D19"/>
    <w:rsid w:val="1D105D93"/>
    <w:rsid w:val="1D1E0445"/>
    <w:rsid w:val="1D270AE4"/>
    <w:rsid w:val="1D44283A"/>
    <w:rsid w:val="1D60342F"/>
    <w:rsid w:val="1D78009C"/>
    <w:rsid w:val="1D871C03"/>
    <w:rsid w:val="1D884CF0"/>
    <w:rsid w:val="1D8E0177"/>
    <w:rsid w:val="1DA3413D"/>
    <w:rsid w:val="1E095D84"/>
    <w:rsid w:val="1E231CF3"/>
    <w:rsid w:val="1E545B64"/>
    <w:rsid w:val="1E6D05AB"/>
    <w:rsid w:val="1E7B6870"/>
    <w:rsid w:val="1EC73280"/>
    <w:rsid w:val="1EFF124F"/>
    <w:rsid w:val="1F114792"/>
    <w:rsid w:val="1F1E1F01"/>
    <w:rsid w:val="1F444EB4"/>
    <w:rsid w:val="1F503858"/>
    <w:rsid w:val="1F8E7284"/>
    <w:rsid w:val="1FB360E7"/>
    <w:rsid w:val="1FB873A4"/>
    <w:rsid w:val="1FF232DB"/>
    <w:rsid w:val="1FF45850"/>
    <w:rsid w:val="202D1235"/>
    <w:rsid w:val="203013AA"/>
    <w:rsid w:val="20327A15"/>
    <w:rsid w:val="206E565F"/>
    <w:rsid w:val="20D364EF"/>
    <w:rsid w:val="20E97676"/>
    <w:rsid w:val="21295B5E"/>
    <w:rsid w:val="212D27FA"/>
    <w:rsid w:val="219E373C"/>
    <w:rsid w:val="21A93CF7"/>
    <w:rsid w:val="21AF599B"/>
    <w:rsid w:val="21D0774F"/>
    <w:rsid w:val="223713D9"/>
    <w:rsid w:val="227B2B13"/>
    <w:rsid w:val="22A461F0"/>
    <w:rsid w:val="22B12CDA"/>
    <w:rsid w:val="22C92E53"/>
    <w:rsid w:val="22FC4CE3"/>
    <w:rsid w:val="23187739"/>
    <w:rsid w:val="23291E8B"/>
    <w:rsid w:val="23437531"/>
    <w:rsid w:val="236457F5"/>
    <w:rsid w:val="236E081B"/>
    <w:rsid w:val="2387194A"/>
    <w:rsid w:val="238C2DA9"/>
    <w:rsid w:val="23E85901"/>
    <w:rsid w:val="241E63E6"/>
    <w:rsid w:val="24213A15"/>
    <w:rsid w:val="24372BE7"/>
    <w:rsid w:val="245105A4"/>
    <w:rsid w:val="245A0AF2"/>
    <w:rsid w:val="245C2F8D"/>
    <w:rsid w:val="249066DD"/>
    <w:rsid w:val="24E707BB"/>
    <w:rsid w:val="251C369C"/>
    <w:rsid w:val="25536401"/>
    <w:rsid w:val="2566287E"/>
    <w:rsid w:val="25FD1164"/>
    <w:rsid w:val="2612287C"/>
    <w:rsid w:val="26196704"/>
    <w:rsid w:val="26217CFD"/>
    <w:rsid w:val="26440673"/>
    <w:rsid w:val="26623C6C"/>
    <w:rsid w:val="26C86BA7"/>
    <w:rsid w:val="26E06C71"/>
    <w:rsid w:val="26EA0CB5"/>
    <w:rsid w:val="26FD55DC"/>
    <w:rsid w:val="27017996"/>
    <w:rsid w:val="273C36E8"/>
    <w:rsid w:val="2744740D"/>
    <w:rsid w:val="274B251F"/>
    <w:rsid w:val="274B5F1C"/>
    <w:rsid w:val="274C5507"/>
    <w:rsid w:val="274E67F3"/>
    <w:rsid w:val="27725362"/>
    <w:rsid w:val="27C923FA"/>
    <w:rsid w:val="281250A7"/>
    <w:rsid w:val="28131DB1"/>
    <w:rsid w:val="28251659"/>
    <w:rsid w:val="283C7070"/>
    <w:rsid w:val="284618DF"/>
    <w:rsid w:val="286F2FA1"/>
    <w:rsid w:val="289531DE"/>
    <w:rsid w:val="28E47B36"/>
    <w:rsid w:val="291C1B2F"/>
    <w:rsid w:val="29234F87"/>
    <w:rsid w:val="29554B1B"/>
    <w:rsid w:val="29671ECA"/>
    <w:rsid w:val="298A6B2C"/>
    <w:rsid w:val="29B66A0D"/>
    <w:rsid w:val="29F05B24"/>
    <w:rsid w:val="29F179E6"/>
    <w:rsid w:val="2A350D3C"/>
    <w:rsid w:val="2A4D7E90"/>
    <w:rsid w:val="2A7A1696"/>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D0A4DD2"/>
    <w:rsid w:val="2D427EAD"/>
    <w:rsid w:val="2D9515C6"/>
    <w:rsid w:val="2DC826D3"/>
    <w:rsid w:val="2DEF1607"/>
    <w:rsid w:val="2DF27D49"/>
    <w:rsid w:val="2DF803FC"/>
    <w:rsid w:val="2E0C16EA"/>
    <w:rsid w:val="2E4F3581"/>
    <w:rsid w:val="2E857AA5"/>
    <w:rsid w:val="2E910CDC"/>
    <w:rsid w:val="2EBD1EFD"/>
    <w:rsid w:val="2EC715D4"/>
    <w:rsid w:val="2F0B092E"/>
    <w:rsid w:val="2F1D4D98"/>
    <w:rsid w:val="2F4E3303"/>
    <w:rsid w:val="2F625641"/>
    <w:rsid w:val="2FBF699C"/>
    <w:rsid w:val="301C3E1D"/>
    <w:rsid w:val="303C6E79"/>
    <w:rsid w:val="304479DC"/>
    <w:rsid w:val="306A1172"/>
    <w:rsid w:val="306B0278"/>
    <w:rsid w:val="308E63ED"/>
    <w:rsid w:val="30BF65F3"/>
    <w:rsid w:val="30C47C02"/>
    <w:rsid w:val="315F570D"/>
    <w:rsid w:val="31615422"/>
    <w:rsid w:val="3163741B"/>
    <w:rsid w:val="31E0281A"/>
    <w:rsid w:val="31FE12D4"/>
    <w:rsid w:val="32364B30"/>
    <w:rsid w:val="32B271D3"/>
    <w:rsid w:val="32BA0022"/>
    <w:rsid w:val="332643F5"/>
    <w:rsid w:val="33791178"/>
    <w:rsid w:val="33CB12A8"/>
    <w:rsid w:val="33D267D7"/>
    <w:rsid w:val="33D66E83"/>
    <w:rsid w:val="33E82ECD"/>
    <w:rsid w:val="33F7209D"/>
    <w:rsid w:val="34022441"/>
    <w:rsid w:val="340D366E"/>
    <w:rsid w:val="3428064F"/>
    <w:rsid w:val="3460329E"/>
    <w:rsid w:val="34675E29"/>
    <w:rsid w:val="34864348"/>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2F5B1E"/>
    <w:rsid w:val="36395EE4"/>
    <w:rsid w:val="36493477"/>
    <w:rsid w:val="364D6ED6"/>
    <w:rsid w:val="36673031"/>
    <w:rsid w:val="36B726AE"/>
    <w:rsid w:val="36C3101C"/>
    <w:rsid w:val="36F3211B"/>
    <w:rsid w:val="373525CE"/>
    <w:rsid w:val="374F73CF"/>
    <w:rsid w:val="375873B1"/>
    <w:rsid w:val="375A09AF"/>
    <w:rsid w:val="3766112D"/>
    <w:rsid w:val="37984905"/>
    <w:rsid w:val="37B46FED"/>
    <w:rsid w:val="37CF580A"/>
    <w:rsid w:val="37D1291E"/>
    <w:rsid w:val="37D4026E"/>
    <w:rsid w:val="37DA5E90"/>
    <w:rsid w:val="37ED7A3F"/>
    <w:rsid w:val="383A4B00"/>
    <w:rsid w:val="38A019C9"/>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006E0"/>
    <w:rsid w:val="3B43221E"/>
    <w:rsid w:val="3B732D74"/>
    <w:rsid w:val="3B8B7F8C"/>
    <w:rsid w:val="3B9A46DD"/>
    <w:rsid w:val="3BA174BE"/>
    <w:rsid w:val="3BA34FDA"/>
    <w:rsid w:val="3BBB7C7B"/>
    <w:rsid w:val="3BBD0245"/>
    <w:rsid w:val="3BC5576C"/>
    <w:rsid w:val="3BCC3E0F"/>
    <w:rsid w:val="3BF5322F"/>
    <w:rsid w:val="3C35213B"/>
    <w:rsid w:val="3C5067EE"/>
    <w:rsid w:val="3C581218"/>
    <w:rsid w:val="3CD218F9"/>
    <w:rsid w:val="3CD704BD"/>
    <w:rsid w:val="3CE75849"/>
    <w:rsid w:val="3D1A6A65"/>
    <w:rsid w:val="3D4B689C"/>
    <w:rsid w:val="3D8F7C9A"/>
    <w:rsid w:val="3E4A665D"/>
    <w:rsid w:val="3E88226F"/>
    <w:rsid w:val="3EBC63BD"/>
    <w:rsid w:val="3EDB4A95"/>
    <w:rsid w:val="3EE057E6"/>
    <w:rsid w:val="3F18690D"/>
    <w:rsid w:val="3F1B285B"/>
    <w:rsid w:val="3F2A3743"/>
    <w:rsid w:val="3F310B59"/>
    <w:rsid w:val="3F43243B"/>
    <w:rsid w:val="3F47212A"/>
    <w:rsid w:val="3F6A3CD5"/>
    <w:rsid w:val="3FCB19D9"/>
    <w:rsid w:val="3FCB2D5B"/>
    <w:rsid w:val="3FE57C96"/>
    <w:rsid w:val="3FF81D2D"/>
    <w:rsid w:val="402847E9"/>
    <w:rsid w:val="40302BBE"/>
    <w:rsid w:val="405E34A3"/>
    <w:rsid w:val="40672358"/>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9F2762"/>
    <w:rsid w:val="42AB17FE"/>
    <w:rsid w:val="42B11DCD"/>
    <w:rsid w:val="42E3216A"/>
    <w:rsid w:val="42FF5094"/>
    <w:rsid w:val="436C03B1"/>
    <w:rsid w:val="43C7528C"/>
    <w:rsid w:val="43CB220C"/>
    <w:rsid w:val="445415FA"/>
    <w:rsid w:val="445B3984"/>
    <w:rsid w:val="445B5455"/>
    <w:rsid w:val="44943A7F"/>
    <w:rsid w:val="44DF70BA"/>
    <w:rsid w:val="450F631C"/>
    <w:rsid w:val="453971E4"/>
    <w:rsid w:val="453C54BE"/>
    <w:rsid w:val="45476363"/>
    <w:rsid w:val="456D040C"/>
    <w:rsid w:val="458938E1"/>
    <w:rsid w:val="463F7FFF"/>
    <w:rsid w:val="46484BFF"/>
    <w:rsid w:val="46512233"/>
    <w:rsid w:val="46540D24"/>
    <w:rsid w:val="46A737E8"/>
    <w:rsid w:val="46C14018"/>
    <w:rsid w:val="46C73076"/>
    <w:rsid w:val="46D07EE5"/>
    <w:rsid w:val="46E465A3"/>
    <w:rsid w:val="46F806BD"/>
    <w:rsid w:val="47043CAB"/>
    <w:rsid w:val="472705CE"/>
    <w:rsid w:val="479A2C46"/>
    <w:rsid w:val="479C5136"/>
    <w:rsid w:val="47A264F9"/>
    <w:rsid w:val="47E06018"/>
    <w:rsid w:val="484D17C1"/>
    <w:rsid w:val="48653A64"/>
    <w:rsid w:val="48811B8A"/>
    <w:rsid w:val="48C40B78"/>
    <w:rsid w:val="48C43988"/>
    <w:rsid w:val="48E83E36"/>
    <w:rsid w:val="49345B93"/>
    <w:rsid w:val="494C4B08"/>
    <w:rsid w:val="49951EFC"/>
    <w:rsid w:val="499A26FB"/>
    <w:rsid w:val="49B026D9"/>
    <w:rsid w:val="49B722B7"/>
    <w:rsid w:val="49B94735"/>
    <w:rsid w:val="49C15E4A"/>
    <w:rsid w:val="49D955C3"/>
    <w:rsid w:val="49ED65A4"/>
    <w:rsid w:val="49F10AB5"/>
    <w:rsid w:val="4A307756"/>
    <w:rsid w:val="4A6D7DCA"/>
    <w:rsid w:val="4A9910AB"/>
    <w:rsid w:val="4A992597"/>
    <w:rsid w:val="4A9B332A"/>
    <w:rsid w:val="4AD625B4"/>
    <w:rsid w:val="4AFF509B"/>
    <w:rsid w:val="4B4014D1"/>
    <w:rsid w:val="4B5E2E2F"/>
    <w:rsid w:val="4B675E1C"/>
    <w:rsid w:val="4B9F7C0E"/>
    <w:rsid w:val="4BC73F17"/>
    <w:rsid w:val="4BEB73D9"/>
    <w:rsid w:val="4C166235"/>
    <w:rsid w:val="4C1C544C"/>
    <w:rsid w:val="4C313219"/>
    <w:rsid w:val="4C5D1828"/>
    <w:rsid w:val="4C6C738D"/>
    <w:rsid w:val="4C6D0CF6"/>
    <w:rsid w:val="4C7E6A54"/>
    <w:rsid w:val="4C865C08"/>
    <w:rsid w:val="4D317F76"/>
    <w:rsid w:val="4D7E2A50"/>
    <w:rsid w:val="4DA23565"/>
    <w:rsid w:val="4DA9629F"/>
    <w:rsid w:val="4DB7491F"/>
    <w:rsid w:val="4DD038A9"/>
    <w:rsid w:val="4DE1199C"/>
    <w:rsid w:val="4E49490E"/>
    <w:rsid w:val="4E551A8D"/>
    <w:rsid w:val="4EB250E6"/>
    <w:rsid w:val="4EE207BB"/>
    <w:rsid w:val="4EF75916"/>
    <w:rsid w:val="4F1720D5"/>
    <w:rsid w:val="4F1D51EC"/>
    <w:rsid w:val="4F1F0C9F"/>
    <w:rsid w:val="4F244C6A"/>
    <w:rsid w:val="4F2D0B1A"/>
    <w:rsid w:val="4FB00148"/>
    <w:rsid w:val="4FD90EC4"/>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6A7F37"/>
    <w:rsid w:val="51916F53"/>
    <w:rsid w:val="51AA4C59"/>
    <w:rsid w:val="51CB4CC2"/>
    <w:rsid w:val="51D829D5"/>
    <w:rsid w:val="51ED0D38"/>
    <w:rsid w:val="51F31FFB"/>
    <w:rsid w:val="51FA103F"/>
    <w:rsid w:val="520170B1"/>
    <w:rsid w:val="524428F4"/>
    <w:rsid w:val="5257047F"/>
    <w:rsid w:val="525B5D4E"/>
    <w:rsid w:val="52693AF2"/>
    <w:rsid w:val="52765BD3"/>
    <w:rsid w:val="52851E0F"/>
    <w:rsid w:val="529B0943"/>
    <w:rsid w:val="52F44E38"/>
    <w:rsid w:val="52FE3AEF"/>
    <w:rsid w:val="53284056"/>
    <w:rsid w:val="536B2B1F"/>
    <w:rsid w:val="537038AC"/>
    <w:rsid w:val="537540CD"/>
    <w:rsid w:val="53911E0A"/>
    <w:rsid w:val="53E13EC3"/>
    <w:rsid w:val="53E415EA"/>
    <w:rsid w:val="54140409"/>
    <w:rsid w:val="546837CB"/>
    <w:rsid w:val="54723DA3"/>
    <w:rsid w:val="547A0454"/>
    <w:rsid w:val="548C2969"/>
    <w:rsid w:val="54934AA7"/>
    <w:rsid w:val="549624AE"/>
    <w:rsid w:val="54CF254E"/>
    <w:rsid w:val="550B7745"/>
    <w:rsid w:val="55194B5B"/>
    <w:rsid w:val="554A42CB"/>
    <w:rsid w:val="55607267"/>
    <w:rsid w:val="556421BF"/>
    <w:rsid w:val="55676BB4"/>
    <w:rsid w:val="55835251"/>
    <w:rsid w:val="55913CA7"/>
    <w:rsid w:val="55CC6A83"/>
    <w:rsid w:val="560E3249"/>
    <w:rsid w:val="56186177"/>
    <w:rsid w:val="561B7A15"/>
    <w:rsid w:val="56532D14"/>
    <w:rsid w:val="56643F7B"/>
    <w:rsid w:val="56821842"/>
    <w:rsid w:val="568B06F7"/>
    <w:rsid w:val="569F0646"/>
    <w:rsid w:val="56B45E9F"/>
    <w:rsid w:val="56D3302D"/>
    <w:rsid w:val="56D973CF"/>
    <w:rsid w:val="56FC63ED"/>
    <w:rsid w:val="57035F7F"/>
    <w:rsid w:val="570E4942"/>
    <w:rsid w:val="573222F5"/>
    <w:rsid w:val="5737262D"/>
    <w:rsid w:val="579A0B0F"/>
    <w:rsid w:val="57BA102C"/>
    <w:rsid w:val="57D61931"/>
    <w:rsid w:val="57DD6DD0"/>
    <w:rsid w:val="582A366D"/>
    <w:rsid w:val="585169D2"/>
    <w:rsid w:val="58861256"/>
    <w:rsid w:val="58906680"/>
    <w:rsid w:val="58D03F93"/>
    <w:rsid w:val="59016B9E"/>
    <w:rsid w:val="595963DC"/>
    <w:rsid w:val="595A456A"/>
    <w:rsid w:val="59607A95"/>
    <w:rsid w:val="59962910"/>
    <w:rsid w:val="59964FFE"/>
    <w:rsid w:val="59DB6FF7"/>
    <w:rsid w:val="59E20C6B"/>
    <w:rsid w:val="5A2515C6"/>
    <w:rsid w:val="5A2E66EC"/>
    <w:rsid w:val="5A395940"/>
    <w:rsid w:val="5A513553"/>
    <w:rsid w:val="5A7F7348"/>
    <w:rsid w:val="5A8329E1"/>
    <w:rsid w:val="5A8D4028"/>
    <w:rsid w:val="5A976D2B"/>
    <w:rsid w:val="5A9B5D67"/>
    <w:rsid w:val="5AD059E8"/>
    <w:rsid w:val="5AE92B8E"/>
    <w:rsid w:val="5B075A06"/>
    <w:rsid w:val="5B153530"/>
    <w:rsid w:val="5B3168E5"/>
    <w:rsid w:val="5B4C3B08"/>
    <w:rsid w:val="5B6D574D"/>
    <w:rsid w:val="5B8338B0"/>
    <w:rsid w:val="5B885B4D"/>
    <w:rsid w:val="5BE73EC9"/>
    <w:rsid w:val="5BFB6474"/>
    <w:rsid w:val="5C0D7037"/>
    <w:rsid w:val="5C2A7DE1"/>
    <w:rsid w:val="5C2F5E74"/>
    <w:rsid w:val="5C323783"/>
    <w:rsid w:val="5C3D06E5"/>
    <w:rsid w:val="5C6829AF"/>
    <w:rsid w:val="5C6D1843"/>
    <w:rsid w:val="5C806B92"/>
    <w:rsid w:val="5C8F1D6F"/>
    <w:rsid w:val="5C9F5B4C"/>
    <w:rsid w:val="5CDC1F44"/>
    <w:rsid w:val="5CF26970"/>
    <w:rsid w:val="5D1860EA"/>
    <w:rsid w:val="5D352289"/>
    <w:rsid w:val="5D5B375C"/>
    <w:rsid w:val="5D5D1495"/>
    <w:rsid w:val="5D634689"/>
    <w:rsid w:val="5D6D26E9"/>
    <w:rsid w:val="5D703886"/>
    <w:rsid w:val="5D9A4716"/>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44156E"/>
    <w:rsid w:val="615D7134"/>
    <w:rsid w:val="618F268C"/>
    <w:rsid w:val="61EA23B0"/>
    <w:rsid w:val="620A72BB"/>
    <w:rsid w:val="62287615"/>
    <w:rsid w:val="622F67B3"/>
    <w:rsid w:val="627D4254"/>
    <w:rsid w:val="62897466"/>
    <w:rsid w:val="62AD3683"/>
    <w:rsid w:val="62B261AF"/>
    <w:rsid w:val="62F57B08"/>
    <w:rsid w:val="6303429D"/>
    <w:rsid w:val="63205356"/>
    <w:rsid w:val="63424833"/>
    <w:rsid w:val="63464D73"/>
    <w:rsid w:val="635822A8"/>
    <w:rsid w:val="63583AEB"/>
    <w:rsid w:val="6373268F"/>
    <w:rsid w:val="63737FC7"/>
    <w:rsid w:val="63C656BB"/>
    <w:rsid w:val="63CE3380"/>
    <w:rsid w:val="63E36016"/>
    <w:rsid w:val="63F21DB5"/>
    <w:rsid w:val="63FF6480"/>
    <w:rsid w:val="640A1EA8"/>
    <w:rsid w:val="642900E6"/>
    <w:rsid w:val="64302590"/>
    <w:rsid w:val="6439089B"/>
    <w:rsid w:val="64495DD6"/>
    <w:rsid w:val="64623809"/>
    <w:rsid w:val="64746C6E"/>
    <w:rsid w:val="647C3D75"/>
    <w:rsid w:val="65080F89"/>
    <w:rsid w:val="651E4E2C"/>
    <w:rsid w:val="655A76A7"/>
    <w:rsid w:val="655C6589"/>
    <w:rsid w:val="66047425"/>
    <w:rsid w:val="661052EF"/>
    <w:rsid w:val="66207331"/>
    <w:rsid w:val="662830CF"/>
    <w:rsid w:val="66747DFB"/>
    <w:rsid w:val="66767F83"/>
    <w:rsid w:val="66D54C1C"/>
    <w:rsid w:val="66F41F1E"/>
    <w:rsid w:val="6701113C"/>
    <w:rsid w:val="671C40AC"/>
    <w:rsid w:val="672D4EE4"/>
    <w:rsid w:val="677658C0"/>
    <w:rsid w:val="6797113A"/>
    <w:rsid w:val="67AF1F51"/>
    <w:rsid w:val="67BC1DD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F85C86"/>
    <w:rsid w:val="6A09523D"/>
    <w:rsid w:val="6A1B26B7"/>
    <w:rsid w:val="6A244C92"/>
    <w:rsid w:val="6A2809FC"/>
    <w:rsid w:val="6A883CBC"/>
    <w:rsid w:val="6A902328"/>
    <w:rsid w:val="6B19056F"/>
    <w:rsid w:val="6B340F05"/>
    <w:rsid w:val="6B345E30"/>
    <w:rsid w:val="6B3A216D"/>
    <w:rsid w:val="6B4A7E40"/>
    <w:rsid w:val="6B505357"/>
    <w:rsid w:val="6B874EAB"/>
    <w:rsid w:val="6B985938"/>
    <w:rsid w:val="6BFB3E5A"/>
    <w:rsid w:val="6BFD3458"/>
    <w:rsid w:val="6C423778"/>
    <w:rsid w:val="6CAF118B"/>
    <w:rsid w:val="6CBB7E1F"/>
    <w:rsid w:val="6CC01E51"/>
    <w:rsid w:val="6CF372CA"/>
    <w:rsid w:val="6D027F59"/>
    <w:rsid w:val="6D2D1C64"/>
    <w:rsid w:val="6D475F5F"/>
    <w:rsid w:val="6D600E21"/>
    <w:rsid w:val="6D68133A"/>
    <w:rsid w:val="6DA82289"/>
    <w:rsid w:val="6DC03AFE"/>
    <w:rsid w:val="6DE915B6"/>
    <w:rsid w:val="6E061A11"/>
    <w:rsid w:val="6E345B45"/>
    <w:rsid w:val="6E63668A"/>
    <w:rsid w:val="6E671CA5"/>
    <w:rsid w:val="6E741E30"/>
    <w:rsid w:val="6E7E1055"/>
    <w:rsid w:val="6E9A5352"/>
    <w:rsid w:val="6EA0733B"/>
    <w:rsid w:val="6EBB122E"/>
    <w:rsid w:val="6EBB2C83"/>
    <w:rsid w:val="6EC77A48"/>
    <w:rsid w:val="6EC77E06"/>
    <w:rsid w:val="6EC97030"/>
    <w:rsid w:val="6F135451"/>
    <w:rsid w:val="6F2B35AD"/>
    <w:rsid w:val="6F332F4A"/>
    <w:rsid w:val="6F3C2DD2"/>
    <w:rsid w:val="6F8063CA"/>
    <w:rsid w:val="6FB66044"/>
    <w:rsid w:val="6FE25DC9"/>
    <w:rsid w:val="6FE8588F"/>
    <w:rsid w:val="6FF0664D"/>
    <w:rsid w:val="700A492A"/>
    <w:rsid w:val="702529D1"/>
    <w:rsid w:val="703F6602"/>
    <w:rsid w:val="70F34F86"/>
    <w:rsid w:val="70F759D2"/>
    <w:rsid w:val="71211F2C"/>
    <w:rsid w:val="713E329A"/>
    <w:rsid w:val="7146159B"/>
    <w:rsid w:val="714D0321"/>
    <w:rsid w:val="715C7211"/>
    <w:rsid w:val="718D73C3"/>
    <w:rsid w:val="71900A0A"/>
    <w:rsid w:val="719A4E18"/>
    <w:rsid w:val="71BC787F"/>
    <w:rsid w:val="71BE3E19"/>
    <w:rsid w:val="72011EEA"/>
    <w:rsid w:val="720A0C12"/>
    <w:rsid w:val="727517BE"/>
    <w:rsid w:val="72BB53F2"/>
    <w:rsid w:val="72D442B8"/>
    <w:rsid w:val="73004C22"/>
    <w:rsid w:val="73555EBD"/>
    <w:rsid w:val="7386317F"/>
    <w:rsid w:val="7395781C"/>
    <w:rsid w:val="73A53748"/>
    <w:rsid w:val="73B01345"/>
    <w:rsid w:val="73F00452"/>
    <w:rsid w:val="73F97D41"/>
    <w:rsid w:val="74A353FC"/>
    <w:rsid w:val="74B55FCA"/>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897474"/>
    <w:rsid w:val="78A64B86"/>
    <w:rsid w:val="78BD078C"/>
    <w:rsid w:val="78DE3D6C"/>
    <w:rsid w:val="78E33867"/>
    <w:rsid w:val="78E52BDC"/>
    <w:rsid w:val="78F11367"/>
    <w:rsid w:val="78F93EFF"/>
    <w:rsid w:val="790776EC"/>
    <w:rsid w:val="7924559A"/>
    <w:rsid w:val="798701EE"/>
    <w:rsid w:val="798720C7"/>
    <w:rsid w:val="798B75C8"/>
    <w:rsid w:val="798D230A"/>
    <w:rsid w:val="79A3081B"/>
    <w:rsid w:val="79A8143C"/>
    <w:rsid w:val="7A071D78"/>
    <w:rsid w:val="7A2D742D"/>
    <w:rsid w:val="7A5600FC"/>
    <w:rsid w:val="7A5C06AF"/>
    <w:rsid w:val="7A6447EC"/>
    <w:rsid w:val="7A6E489C"/>
    <w:rsid w:val="7A716D06"/>
    <w:rsid w:val="7AB14A59"/>
    <w:rsid w:val="7AC662B5"/>
    <w:rsid w:val="7B347D8A"/>
    <w:rsid w:val="7B8F4980"/>
    <w:rsid w:val="7B972CB9"/>
    <w:rsid w:val="7BA61501"/>
    <w:rsid w:val="7BAF14B0"/>
    <w:rsid w:val="7BD06448"/>
    <w:rsid w:val="7BE85AB6"/>
    <w:rsid w:val="7CA103C5"/>
    <w:rsid w:val="7CA420D7"/>
    <w:rsid w:val="7CC52305"/>
    <w:rsid w:val="7CE922B5"/>
    <w:rsid w:val="7CF0056D"/>
    <w:rsid w:val="7CFD4359"/>
    <w:rsid w:val="7D196F8A"/>
    <w:rsid w:val="7D324E38"/>
    <w:rsid w:val="7D376D09"/>
    <w:rsid w:val="7D3A16E9"/>
    <w:rsid w:val="7D4A2A43"/>
    <w:rsid w:val="7D7B5294"/>
    <w:rsid w:val="7D9D74DD"/>
    <w:rsid w:val="7DA92784"/>
    <w:rsid w:val="7DB2187F"/>
    <w:rsid w:val="7DB37D69"/>
    <w:rsid w:val="7DCA019C"/>
    <w:rsid w:val="7DCA17AE"/>
    <w:rsid w:val="7DE55723"/>
    <w:rsid w:val="7DED451A"/>
    <w:rsid w:val="7E2214CE"/>
    <w:rsid w:val="7E2F24BC"/>
    <w:rsid w:val="7E564EE1"/>
    <w:rsid w:val="7E6D3957"/>
    <w:rsid w:val="7E6D67B0"/>
    <w:rsid w:val="7E8D7C7B"/>
    <w:rsid w:val="7EA83077"/>
    <w:rsid w:val="7ECD0B10"/>
    <w:rsid w:val="7ED53E1B"/>
    <w:rsid w:val="7F1D6A6D"/>
    <w:rsid w:val="7F2554A7"/>
    <w:rsid w:val="7F2A34D9"/>
    <w:rsid w:val="7F4D44C9"/>
    <w:rsid w:val="7F7A3881"/>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link w:val="161"/>
    <w:autoRedefine/>
    <w:qFormat/>
    <w:uiPriority w:val="0"/>
    <w:pPr>
      <w:autoSpaceDE w:val="0"/>
      <w:autoSpaceDN w:val="0"/>
      <w:adjustRightInd w:val="0"/>
      <w:jc w:val="left"/>
      <w:outlineLvl w:val="1"/>
    </w:pPr>
    <w:rPr>
      <w:kern w:val="0"/>
    </w:rPr>
  </w:style>
  <w:style w:type="paragraph" w:styleId="5">
    <w:name w:val="heading 3"/>
    <w:basedOn w:val="6"/>
    <w:next w:val="6"/>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7">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6">
    <w:name w:val="Normal Indent"/>
    <w:basedOn w:val="1"/>
    <w:qFormat/>
    <w:uiPriority w:val="0"/>
    <w:pPr>
      <w:widowControl/>
      <w:ind w:firstLine="420"/>
      <w:jc w:val="left"/>
    </w:pPr>
    <w:rPr>
      <w:kern w:val="0"/>
      <w:sz w:val="20"/>
    </w:rPr>
  </w:style>
  <w:style w:type="paragraph" w:styleId="8">
    <w:name w:val="toc 7"/>
    <w:basedOn w:val="1"/>
    <w:next w:val="1"/>
    <w:autoRedefine/>
    <w:qFormat/>
    <w:uiPriority w:val="0"/>
    <w:pPr>
      <w:ind w:left="1680"/>
      <w:jc w:val="left"/>
    </w:pPr>
  </w:style>
  <w:style w:type="paragraph" w:styleId="9">
    <w:name w:val="table of authorities"/>
    <w:basedOn w:val="1"/>
    <w:next w:val="1"/>
    <w:autoRedefine/>
    <w:qFormat/>
    <w:uiPriority w:val="0"/>
    <w:pPr>
      <w:ind w:left="420" w:leftChars="200"/>
    </w:pPr>
  </w:style>
  <w:style w:type="paragraph" w:styleId="10">
    <w:name w:val="Document Map"/>
    <w:basedOn w:val="1"/>
    <w:autoRedefine/>
    <w:qFormat/>
    <w:uiPriority w:val="0"/>
    <w:pPr>
      <w:shd w:val="clear" w:color="auto" w:fill="000080"/>
    </w:pPr>
  </w:style>
  <w:style w:type="paragraph" w:styleId="11">
    <w:name w:val="annotation text"/>
    <w:basedOn w:val="1"/>
    <w:next w:val="1"/>
    <w:autoRedefine/>
    <w:qFormat/>
    <w:uiPriority w:val="0"/>
    <w:pPr>
      <w:adjustRightInd w:val="0"/>
      <w:spacing w:line="360" w:lineRule="atLeast"/>
      <w:jc w:val="left"/>
      <w:textAlignment w:val="baseline"/>
    </w:pPr>
    <w:rPr>
      <w:kern w:val="0"/>
    </w:rPr>
  </w:style>
  <w:style w:type="paragraph" w:styleId="12">
    <w:name w:val="Body Text"/>
    <w:basedOn w:val="1"/>
    <w:autoRedefine/>
    <w:qFormat/>
    <w:uiPriority w:val="0"/>
    <w:pPr>
      <w:spacing w:after="120"/>
    </w:pPr>
  </w:style>
  <w:style w:type="paragraph" w:styleId="13">
    <w:name w:val="Body Text Indent"/>
    <w:basedOn w:val="1"/>
    <w:link w:val="46"/>
    <w:autoRedefine/>
    <w:qFormat/>
    <w:uiPriority w:val="0"/>
    <w:pPr>
      <w:ind w:firstLine="560" w:firstLineChars="200"/>
    </w:pPr>
  </w:style>
  <w:style w:type="paragraph" w:styleId="14">
    <w:name w:val="toc 5"/>
    <w:basedOn w:val="1"/>
    <w:next w:val="1"/>
    <w:autoRedefine/>
    <w:qFormat/>
    <w:uiPriority w:val="0"/>
    <w:pPr>
      <w:ind w:left="1120"/>
      <w:jc w:val="left"/>
    </w:pPr>
  </w:style>
  <w:style w:type="paragraph" w:styleId="15">
    <w:name w:val="toc 3"/>
    <w:basedOn w:val="1"/>
    <w:next w:val="1"/>
    <w:autoRedefine/>
    <w:qFormat/>
    <w:uiPriority w:val="0"/>
    <w:pPr>
      <w:ind w:left="561"/>
      <w:jc w:val="left"/>
    </w:pPr>
  </w:style>
  <w:style w:type="paragraph" w:styleId="16">
    <w:name w:val="toc 8"/>
    <w:basedOn w:val="1"/>
    <w:next w:val="1"/>
    <w:autoRedefine/>
    <w:qFormat/>
    <w:uiPriority w:val="0"/>
    <w:pPr>
      <w:ind w:left="1960"/>
      <w:jc w:val="left"/>
    </w:pPr>
  </w:style>
  <w:style w:type="paragraph" w:styleId="17">
    <w:name w:val="Body Text Indent 2"/>
    <w:basedOn w:val="1"/>
    <w:autoRedefine/>
    <w:qFormat/>
    <w:uiPriority w:val="0"/>
    <w:pPr>
      <w:spacing w:line="480" w:lineRule="auto"/>
      <w:ind w:firstLine="561"/>
    </w:pPr>
  </w:style>
  <w:style w:type="paragraph" w:styleId="18">
    <w:name w:val="Balloon Text"/>
    <w:basedOn w:val="1"/>
    <w:autoRedefine/>
    <w:qFormat/>
    <w:uiPriority w:val="0"/>
    <w:rPr>
      <w:sz w:val="18"/>
      <w:szCs w:val="18"/>
    </w:rPr>
  </w:style>
  <w:style w:type="paragraph" w:styleId="19">
    <w:name w:val="footer"/>
    <w:basedOn w:val="1"/>
    <w:autoRedefine/>
    <w:qFormat/>
    <w:uiPriority w:val="0"/>
    <w:pPr>
      <w:widowControl/>
      <w:tabs>
        <w:tab w:val="center" w:pos="4153"/>
        <w:tab w:val="right" w:pos="8306"/>
      </w:tabs>
      <w:snapToGrid w:val="0"/>
      <w:jc w:val="left"/>
    </w:pPr>
    <w:rPr>
      <w:kern w:val="0"/>
      <w:sz w:val="18"/>
    </w:rPr>
  </w:style>
  <w:style w:type="paragraph" w:styleId="20">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1">
    <w:name w:val="toc 1"/>
    <w:basedOn w:val="1"/>
    <w:next w:val="1"/>
    <w:autoRedefine/>
    <w:qFormat/>
    <w:uiPriority w:val="0"/>
    <w:pPr>
      <w:spacing w:before="120" w:after="120"/>
      <w:jc w:val="left"/>
    </w:pPr>
    <w:rPr>
      <w:caps/>
    </w:rPr>
  </w:style>
  <w:style w:type="paragraph" w:styleId="22">
    <w:name w:val="toc 4"/>
    <w:basedOn w:val="1"/>
    <w:next w:val="1"/>
    <w:autoRedefine/>
    <w:qFormat/>
    <w:uiPriority w:val="0"/>
    <w:pPr>
      <w:ind w:left="840"/>
      <w:jc w:val="left"/>
    </w:pPr>
  </w:style>
  <w:style w:type="paragraph" w:styleId="23">
    <w:name w:val="toc 6"/>
    <w:basedOn w:val="1"/>
    <w:next w:val="1"/>
    <w:autoRedefine/>
    <w:qFormat/>
    <w:uiPriority w:val="0"/>
    <w:pPr>
      <w:ind w:left="1400"/>
      <w:jc w:val="left"/>
    </w:pPr>
  </w:style>
  <w:style w:type="paragraph" w:styleId="24">
    <w:name w:val="Body Text Indent 3"/>
    <w:basedOn w:val="1"/>
    <w:link w:val="47"/>
    <w:autoRedefine/>
    <w:qFormat/>
    <w:uiPriority w:val="0"/>
    <w:pPr>
      <w:ind w:firstLine="560"/>
    </w:pPr>
    <w:rPr>
      <w:color w:val="FF0000"/>
    </w:rPr>
  </w:style>
  <w:style w:type="paragraph" w:styleId="25">
    <w:name w:val="toc 2"/>
    <w:basedOn w:val="1"/>
    <w:next w:val="1"/>
    <w:autoRedefine/>
    <w:qFormat/>
    <w:uiPriority w:val="0"/>
    <w:pPr>
      <w:ind w:left="278"/>
      <w:jc w:val="left"/>
    </w:pPr>
    <w:rPr>
      <w:smallCaps/>
    </w:rPr>
  </w:style>
  <w:style w:type="paragraph" w:styleId="26">
    <w:name w:val="toc 9"/>
    <w:basedOn w:val="1"/>
    <w:next w:val="1"/>
    <w:autoRedefine/>
    <w:qFormat/>
    <w:uiPriority w:val="0"/>
    <w:pPr>
      <w:ind w:left="2240"/>
      <w:jc w:val="left"/>
    </w:pPr>
  </w:style>
  <w:style w:type="paragraph" w:styleId="27">
    <w:name w:val="Body Text 2"/>
    <w:basedOn w:val="1"/>
    <w:next w:val="12"/>
    <w:autoRedefine/>
    <w:qFormat/>
    <w:uiPriority w:val="0"/>
    <w:pPr>
      <w:spacing w:line="500" w:lineRule="exact"/>
    </w:pPr>
  </w:style>
  <w:style w:type="paragraph" w:styleId="28">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9">
    <w:name w:val="annotation subject"/>
    <w:basedOn w:val="11"/>
    <w:next w:val="11"/>
    <w:autoRedefine/>
    <w:qFormat/>
    <w:uiPriority w:val="0"/>
    <w:pPr>
      <w:adjustRightInd/>
      <w:spacing w:line="360" w:lineRule="auto"/>
      <w:textAlignment w:val="auto"/>
    </w:pPr>
    <w:rPr>
      <w:b/>
      <w:bCs/>
      <w:kern w:val="2"/>
    </w:rPr>
  </w:style>
  <w:style w:type="paragraph" w:styleId="30">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Emphasis"/>
    <w:basedOn w:val="33"/>
    <w:qFormat/>
    <w:uiPriority w:val="0"/>
    <w:rPr>
      <w:i/>
    </w:rPr>
  </w:style>
  <w:style w:type="character" w:styleId="38">
    <w:name w:val="Hyperlink"/>
    <w:autoRedefine/>
    <w:qFormat/>
    <w:uiPriority w:val="0"/>
    <w:rPr>
      <w:color w:val="0000FF"/>
      <w:u w:val="single"/>
    </w:rPr>
  </w:style>
  <w:style w:type="character" w:styleId="39">
    <w:name w:val="annotation reference"/>
    <w:autoRedefine/>
    <w:qFormat/>
    <w:uiPriority w:val="0"/>
    <w:rPr>
      <w:sz w:val="21"/>
    </w:rPr>
  </w:style>
  <w:style w:type="paragraph" w:customStyle="1" w:styleId="40">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paragraph" w:customStyle="1" w:styleId="41">
    <w:name w:val="Normal Indent1"/>
    <w:basedOn w:val="1"/>
    <w:autoRedefine/>
    <w:qFormat/>
    <w:uiPriority w:val="0"/>
    <w:pPr>
      <w:widowControl/>
      <w:ind w:firstLine="420"/>
      <w:jc w:val="left"/>
    </w:pPr>
    <w:rPr>
      <w:rFonts w:ascii="Times New Roman"/>
      <w:kern w:val="0"/>
    </w:rPr>
  </w:style>
  <w:style w:type="paragraph" w:customStyle="1" w:styleId="42">
    <w:name w:val="样式 宋体 行距: 1.5 倍行距"/>
    <w:basedOn w:val="43"/>
    <w:next w:val="1"/>
    <w:autoRedefine/>
    <w:qFormat/>
    <w:uiPriority w:val="0"/>
    <w:pPr>
      <w:jc w:val="center"/>
    </w:pPr>
    <w:rPr>
      <w:rFonts w:ascii="Times New Roman"/>
      <w:b/>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2"/>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2"/>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5">
    <w:name w:val="Char Char2"/>
    <w:basedOn w:val="10"/>
    <w:autoRedefine/>
    <w:qFormat/>
    <w:uiPriority w:val="0"/>
    <w:pPr>
      <w:spacing w:line="240" w:lineRule="auto"/>
    </w:pPr>
  </w:style>
  <w:style w:type="character" w:customStyle="1" w:styleId="46">
    <w:name w:val="正文文本缩进 字符"/>
    <w:link w:val="13"/>
    <w:autoRedefine/>
    <w:qFormat/>
    <w:uiPriority w:val="0"/>
    <w:rPr>
      <w:rFonts w:ascii="宋体"/>
      <w:kern w:val="2"/>
      <w:sz w:val="24"/>
    </w:rPr>
  </w:style>
  <w:style w:type="character" w:customStyle="1" w:styleId="47">
    <w:name w:val="正文文本缩进 3 字符"/>
    <w:link w:val="24"/>
    <w:autoRedefine/>
    <w:qFormat/>
    <w:uiPriority w:val="0"/>
    <w:rPr>
      <w:rFonts w:ascii="宋体" w:eastAsia="宋体"/>
      <w:color w:val="FF0000"/>
      <w:kern w:val="2"/>
      <w:sz w:val="24"/>
      <w:lang w:val="en-US" w:eastAsia="zh-CN" w:bidi="ar-SA"/>
    </w:rPr>
  </w:style>
  <w:style w:type="character" w:customStyle="1" w:styleId="48">
    <w:name w:val="超链接 New New"/>
    <w:autoRedefine/>
    <w:qFormat/>
    <w:uiPriority w:val="0"/>
    <w:rPr>
      <w:color w:val="000000"/>
      <w:sz w:val="18"/>
      <w:szCs w:val="18"/>
      <w:u w:val="none"/>
    </w:rPr>
  </w:style>
  <w:style w:type="character" w:customStyle="1" w:styleId="49">
    <w:name w:val="超链接 New"/>
    <w:autoRedefine/>
    <w:qFormat/>
    <w:uiPriority w:val="0"/>
    <w:rPr>
      <w:color w:val="000000"/>
      <w:sz w:val="18"/>
      <w:szCs w:val="18"/>
      <w:u w:val="none"/>
    </w:rPr>
  </w:style>
  <w:style w:type="character" w:customStyle="1" w:styleId="50">
    <w:name w:val="默认段落字体1"/>
    <w:autoRedefine/>
    <w:qFormat/>
    <w:uiPriority w:val="0"/>
    <w:rPr>
      <w:rFonts w:hint="default"/>
    </w:rPr>
  </w:style>
  <w:style w:type="character" w:customStyle="1" w:styleId="51">
    <w:name w:val="默认段落字体 New New"/>
    <w:link w:val="52"/>
    <w:autoRedefine/>
    <w:qFormat/>
    <w:uiPriority w:val="0"/>
    <w:rPr>
      <w:rFonts w:ascii="Tahoma" w:hAnsi="Tahoma"/>
      <w:szCs w:val="24"/>
    </w:rPr>
  </w:style>
  <w:style w:type="paragraph" w:customStyle="1" w:styleId="52">
    <w:name w:val="Char New New"/>
    <w:basedOn w:val="1"/>
    <w:link w:val="51"/>
    <w:autoRedefine/>
    <w:qFormat/>
    <w:uiPriority w:val="0"/>
    <w:pPr>
      <w:spacing w:line="240" w:lineRule="auto"/>
    </w:pPr>
    <w:rPr>
      <w:rFonts w:ascii="Tahoma" w:hAnsi="Tahoma"/>
      <w:szCs w:val="24"/>
    </w:rPr>
  </w:style>
  <w:style w:type="character" w:customStyle="1" w:styleId="53">
    <w:name w:val="默认段落字体 New"/>
    <w:link w:val="54"/>
    <w:autoRedefine/>
    <w:qFormat/>
    <w:uiPriority w:val="0"/>
    <w:rPr>
      <w:rFonts w:ascii="Tahoma" w:hAnsi="Tahoma"/>
      <w:szCs w:val="24"/>
    </w:rPr>
  </w:style>
  <w:style w:type="paragraph" w:customStyle="1" w:styleId="54">
    <w:name w:val="Char New"/>
    <w:basedOn w:val="1"/>
    <w:link w:val="53"/>
    <w:autoRedefine/>
    <w:qFormat/>
    <w:uiPriority w:val="0"/>
    <w:pPr>
      <w:spacing w:line="240" w:lineRule="auto"/>
    </w:pPr>
    <w:rPr>
      <w:rFonts w:ascii="Tahoma" w:hAnsi="Tahoma"/>
      <w:szCs w:val="24"/>
    </w:rPr>
  </w:style>
  <w:style w:type="character" w:customStyle="1" w:styleId="55">
    <w:name w:val="页码 New New New"/>
    <w:autoRedefine/>
    <w:qFormat/>
    <w:uiPriority w:val="0"/>
    <w:rPr>
      <w:rFonts w:eastAsia="宋体"/>
      <w:kern w:val="2"/>
      <w:sz w:val="24"/>
      <w:szCs w:val="24"/>
      <w:lang w:val="en-US" w:eastAsia="zh-CN" w:bidi="ar-SA"/>
    </w:rPr>
  </w:style>
  <w:style w:type="character" w:customStyle="1" w:styleId="56">
    <w:name w:val="页码 New New"/>
    <w:autoRedefine/>
    <w:qFormat/>
    <w:uiPriority w:val="0"/>
    <w:rPr>
      <w:rFonts w:eastAsia="宋体"/>
      <w:kern w:val="2"/>
      <w:sz w:val="24"/>
      <w:szCs w:val="24"/>
      <w:lang w:val="en-US" w:eastAsia="zh-CN" w:bidi="ar-SA"/>
    </w:rPr>
  </w:style>
  <w:style w:type="character" w:customStyle="1" w:styleId="57">
    <w:name w:val="Char Char1"/>
    <w:autoRedefine/>
    <w:qFormat/>
    <w:uiPriority w:val="0"/>
    <w:rPr>
      <w:rFonts w:ascii="宋体" w:eastAsia="宋体"/>
      <w:color w:val="FF0000"/>
      <w:kern w:val="2"/>
      <w:sz w:val="24"/>
      <w:lang w:val="en-US" w:eastAsia="zh-CN" w:bidi="ar-SA"/>
    </w:rPr>
  </w:style>
  <w:style w:type="character" w:customStyle="1" w:styleId="58">
    <w:name w:val="页码 New"/>
    <w:autoRedefine/>
    <w:qFormat/>
    <w:uiPriority w:val="0"/>
    <w:rPr>
      <w:rFonts w:eastAsia="宋体"/>
      <w:kern w:val="2"/>
      <w:sz w:val="24"/>
      <w:szCs w:val="24"/>
      <w:lang w:val="en-US" w:eastAsia="zh-CN" w:bidi="ar-SA"/>
    </w:rPr>
  </w:style>
  <w:style w:type="paragraph" w:customStyle="1" w:styleId="59">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60">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1">
    <w:name w:val="页脚 New New New New New New New New New New New New New"/>
    <w:basedOn w:val="62"/>
    <w:autoRedefine/>
    <w:qFormat/>
    <w:uiPriority w:val="0"/>
    <w:pPr>
      <w:widowControl/>
      <w:tabs>
        <w:tab w:val="center" w:pos="4153"/>
        <w:tab w:val="right" w:pos="8306"/>
      </w:tabs>
      <w:snapToGrid w:val="0"/>
      <w:jc w:val="left"/>
    </w:pPr>
    <w:rPr>
      <w:sz w:val="18"/>
    </w:rPr>
  </w:style>
  <w:style w:type="paragraph" w:customStyle="1" w:styleId="62">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5">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页脚 New New New New New"/>
    <w:basedOn w:val="67"/>
    <w:autoRedefine/>
    <w:qFormat/>
    <w:uiPriority w:val="0"/>
    <w:pPr>
      <w:tabs>
        <w:tab w:val="center" w:pos="4153"/>
        <w:tab w:val="right" w:pos="8306"/>
      </w:tabs>
      <w:snapToGrid w:val="0"/>
      <w:jc w:val="left"/>
    </w:pPr>
    <w:rPr>
      <w:sz w:val="18"/>
    </w:rPr>
  </w:style>
  <w:style w:type="paragraph" w:customStyle="1" w:styleId="67">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纯文本 New New"/>
    <w:basedOn w:val="69"/>
    <w:autoRedefine/>
    <w:qFormat/>
    <w:uiPriority w:val="0"/>
    <w:rPr>
      <w:rFonts w:ascii="宋体" w:hAnsi="Courier New"/>
      <w:szCs w:val="24"/>
    </w:rPr>
  </w:style>
  <w:style w:type="paragraph" w:customStyle="1" w:styleId="69">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0">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71">
    <w:name w:val="页脚1"/>
    <w:basedOn w:val="70"/>
    <w:autoRedefine/>
    <w:qFormat/>
    <w:uiPriority w:val="0"/>
    <w:pPr>
      <w:widowControl/>
      <w:tabs>
        <w:tab w:val="center" w:pos="4153"/>
        <w:tab w:val="right" w:pos="8306"/>
      </w:tabs>
      <w:snapToGrid w:val="0"/>
      <w:jc w:val="left"/>
    </w:pPr>
    <w:rPr>
      <w:kern w:val="0"/>
      <w:sz w:val="18"/>
    </w:rPr>
  </w:style>
  <w:style w:type="paragraph" w:customStyle="1" w:styleId="72">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3">
    <w:name w:val="标题 3 New New"/>
    <w:basedOn w:val="74"/>
    <w:next w:val="74"/>
    <w:autoRedefine/>
    <w:qFormat/>
    <w:uiPriority w:val="0"/>
    <w:pPr>
      <w:keepNext/>
      <w:keepLines/>
      <w:spacing w:before="120" w:after="120"/>
      <w:jc w:val="center"/>
      <w:outlineLvl w:val="2"/>
    </w:pPr>
    <w:rPr>
      <w:sz w:val="24"/>
    </w:rPr>
  </w:style>
  <w:style w:type="paragraph" w:customStyle="1" w:styleId="74">
    <w:name w:val="正文缩进 New"/>
    <w:basedOn w:val="75"/>
    <w:autoRedefine/>
    <w:qFormat/>
    <w:uiPriority w:val="0"/>
    <w:pPr>
      <w:widowControl/>
      <w:ind w:firstLine="420"/>
      <w:jc w:val="left"/>
    </w:pPr>
    <w:rPr>
      <w:kern w:val="0"/>
      <w:sz w:val="20"/>
    </w:rPr>
  </w:style>
  <w:style w:type="paragraph" w:customStyle="1" w:styleId="75">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6">
    <w:name w:val="普通(网站) New"/>
    <w:basedOn w:val="77"/>
    <w:autoRedefine/>
    <w:qFormat/>
    <w:uiPriority w:val="0"/>
    <w:rPr>
      <w:sz w:val="24"/>
    </w:rPr>
  </w:style>
  <w:style w:type="paragraph" w:customStyle="1" w:styleId="77">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正文文本缩进 New"/>
    <w:basedOn w:val="75"/>
    <w:autoRedefine/>
    <w:qFormat/>
    <w:uiPriority w:val="0"/>
    <w:pPr>
      <w:ind w:firstLine="560" w:firstLineChars="200"/>
    </w:pPr>
  </w:style>
  <w:style w:type="paragraph" w:customStyle="1" w:styleId="79">
    <w:name w:val="Char"/>
    <w:basedOn w:val="10"/>
    <w:autoRedefine/>
    <w:qFormat/>
    <w:uiPriority w:val="0"/>
    <w:pPr>
      <w:spacing w:line="240" w:lineRule="auto"/>
    </w:pPr>
  </w:style>
  <w:style w:type="paragraph" w:customStyle="1" w:styleId="80">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1">
    <w:name w:val="页脚 New New New New"/>
    <w:basedOn w:val="82"/>
    <w:autoRedefine/>
    <w:qFormat/>
    <w:uiPriority w:val="0"/>
    <w:pPr>
      <w:tabs>
        <w:tab w:val="center" w:pos="4153"/>
        <w:tab w:val="right" w:pos="8306"/>
      </w:tabs>
      <w:snapToGrid w:val="0"/>
      <w:jc w:val="left"/>
    </w:pPr>
    <w:rPr>
      <w:sz w:val="18"/>
      <w:szCs w:val="18"/>
    </w:rPr>
  </w:style>
  <w:style w:type="paragraph" w:customStyle="1" w:styleId="82">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5">
    <w:name w:val="页眉 New New New New New New New New New"/>
    <w:basedOn w:val="62"/>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页眉 New New New New New New New New"/>
    <w:basedOn w:val="88"/>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8">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9">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0">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2">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3">
    <w:name w:val="样式2"/>
    <w:basedOn w:val="21"/>
    <w:autoRedefine/>
    <w:qFormat/>
    <w:uiPriority w:val="0"/>
    <w:pPr>
      <w:tabs>
        <w:tab w:val="right" w:leader="dot" w:pos="9345"/>
      </w:tabs>
    </w:pPr>
    <w:rPr>
      <w:rFonts w:hAnsi="宋体"/>
      <w:b/>
      <w:color w:val="0000FF"/>
      <w:u w:val="single"/>
    </w:rPr>
  </w:style>
  <w:style w:type="paragraph" w:customStyle="1" w:styleId="94">
    <w:name w:val="页脚 New New New New New New New New"/>
    <w:basedOn w:val="95"/>
    <w:autoRedefine/>
    <w:qFormat/>
    <w:uiPriority w:val="0"/>
    <w:pPr>
      <w:tabs>
        <w:tab w:val="center" w:pos="4153"/>
        <w:tab w:val="right" w:pos="8306"/>
      </w:tabs>
      <w:snapToGrid w:val="0"/>
      <w:jc w:val="left"/>
    </w:pPr>
    <w:rPr>
      <w:sz w:val="18"/>
      <w:szCs w:val="18"/>
    </w:rPr>
  </w:style>
  <w:style w:type="paragraph" w:customStyle="1" w:styleId="95">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7">
    <w:name w:val="页脚 New New New New New New New New New New"/>
    <w:basedOn w:val="92"/>
    <w:autoRedefine/>
    <w:qFormat/>
    <w:uiPriority w:val="0"/>
    <w:pPr>
      <w:widowControl/>
      <w:tabs>
        <w:tab w:val="center" w:pos="4153"/>
        <w:tab w:val="right" w:pos="8306"/>
      </w:tabs>
      <w:snapToGrid w:val="0"/>
      <w:jc w:val="left"/>
    </w:pPr>
    <w:rPr>
      <w:sz w:val="18"/>
    </w:rPr>
  </w:style>
  <w:style w:type="paragraph" w:customStyle="1" w:styleId="98">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页脚 New New New New New New"/>
    <w:basedOn w:val="77"/>
    <w:autoRedefine/>
    <w:qFormat/>
    <w:uiPriority w:val="0"/>
    <w:pPr>
      <w:tabs>
        <w:tab w:val="center" w:pos="4153"/>
        <w:tab w:val="right" w:pos="8306"/>
      </w:tabs>
      <w:snapToGrid w:val="0"/>
      <w:jc w:val="left"/>
    </w:pPr>
    <w:rPr>
      <w:sz w:val="18"/>
    </w:rPr>
  </w:style>
  <w:style w:type="paragraph" w:customStyle="1" w:styleId="100">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2">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3">
    <w:name w:val="页眉 New New New New New"/>
    <w:basedOn w:val="7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4">
    <w:name w:val="页脚 New New New New New New New New New New New"/>
    <w:basedOn w:val="88"/>
    <w:autoRedefine/>
    <w:qFormat/>
    <w:uiPriority w:val="0"/>
    <w:pPr>
      <w:widowControl/>
      <w:tabs>
        <w:tab w:val="center" w:pos="4153"/>
        <w:tab w:val="right" w:pos="8306"/>
      </w:tabs>
      <w:snapToGrid w:val="0"/>
      <w:jc w:val="left"/>
    </w:pPr>
    <w:rPr>
      <w:sz w:val="18"/>
    </w:rPr>
  </w:style>
  <w:style w:type="paragraph" w:customStyle="1" w:styleId="105">
    <w:name w:val="页眉 New New New New New New"/>
    <w:basedOn w:val="84"/>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6">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页眉 New New"/>
    <w:basedOn w:val="6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8">
    <w:name w:val="页眉 New"/>
    <w:basedOn w:val="10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9">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页脚 New"/>
    <w:basedOn w:val="109"/>
    <w:autoRedefine/>
    <w:qFormat/>
    <w:uiPriority w:val="0"/>
    <w:pPr>
      <w:tabs>
        <w:tab w:val="center" w:pos="4153"/>
        <w:tab w:val="right" w:pos="8306"/>
      </w:tabs>
      <w:snapToGrid w:val="0"/>
      <w:jc w:val="left"/>
    </w:pPr>
    <w:rPr>
      <w:sz w:val="18"/>
      <w:szCs w:val="18"/>
    </w:rPr>
  </w:style>
  <w:style w:type="paragraph" w:customStyle="1" w:styleId="112">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3">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4">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5">
    <w:name w:val="页脚 New New New"/>
    <w:basedOn w:val="69"/>
    <w:autoRedefine/>
    <w:qFormat/>
    <w:uiPriority w:val="0"/>
    <w:pPr>
      <w:tabs>
        <w:tab w:val="center" w:pos="4153"/>
        <w:tab w:val="right" w:pos="8306"/>
      </w:tabs>
      <w:snapToGrid w:val="0"/>
      <w:jc w:val="left"/>
    </w:pPr>
    <w:rPr>
      <w:sz w:val="18"/>
      <w:szCs w:val="18"/>
    </w:rPr>
  </w:style>
  <w:style w:type="paragraph" w:customStyle="1" w:styleId="116">
    <w:name w:val="页眉 New New New New"/>
    <w:basedOn w:val="6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7">
    <w:name w:val="纯文本 New"/>
    <w:basedOn w:val="64"/>
    <w:autoRedefine/>
    <w:qFormat/>
    <w:uiPriority w:val="0"/>
    <w:rPr>
      <w:rFonts w:ascii="宋体" w:hAnsi="Courier New"/>
      <w:szCs w:val="24"/>
    </w:rPr>
  </w:style>
  <w:style w:type="paragraph" w:customStyle="1" w:styleId="118">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页脚 New New New New New New New New New New New New"/>
    <w:basedOn w:val="124"/>
    <w:autoRedefine/>
    <w:qFormat/>
    <w:uiPriority w:val="0"/>
    <w:pPr>
      <w:tabs>
        <w:tab w:val="center" w:pos="4153"/>
        <w:tab w:val="right" w:pos="8306"/>
      </w:tabs>
      <w:snapToGrid w:val="0"/>
      <w:jc w:val="left"/>
    </w:pPr>
    <w:rPr>
      <w:sz w:val="18"/>
      <w:szCs w:val="18"/>
    </w:rPr>
  </w:style>
  <w:style w:type="paragraph" w:customStyle="1" w:styleId="124">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5">
    <w:name w:val="目录 31"/>
    <w:basedOn w:val="70"/>
    <w:next w:val="70"/>
    <w:autoRedefine/>
    <w:qFormat/>
    <w:uiPriority w:val="0"/>
    <w:pPr>
      <w:ind w:left="561"/>
      <w:jc w:val="left"/>
    </w:pPr>
  </w:style>
  <w:style w:type="paragraph" w:customStyle="1" w:styleId="126">
    <w:name w:val="p0"/>
    <w:basedOn w:val="63"/>
    <w:autoRedefine/>
    <w:qFormat/>
    <w:uiPriority w:val="0"/>
    <w:pPr>
      <w:widowControl/>
      <w:spacing w:line="360" w:lineRule="auto"/>
    </w:pPr>
    <w:rPr>
      <w:rFonts w:ascii="宋体" w:hAnsi="宋体" w:cs="宋体"/>
      <w:kern w:val="0"/>
      <w:sz w:val="24"/>
      <w:szCs w:val="24"/>
    </w:rPr>
  </w:style>
  <w:style w:type="paragraph" w:customStyle="1" w:styleId="127">
    <w:name w:val="页眉 New New New New New New New"/>
    <w:basedOn w:val="92"/>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8">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30">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1">
    <w:name w:val="标题 2 New"/>
    <w:basedOn w:val="90"/>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2">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3">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4">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6">
    <w:name w:val="正文文本缩进 New New New New"/>
    <w:basedOn w:val="129"/>
    <w:autoRedefine/>
    <w:qFormat/>
    <w:uiPriority w:val="0"/>
    <w:pPr>
      <w:ind w:firstLine="560" w:firstLineChars="200"/>
    </w:pPr>
    <w:rPr>
      <w:szCs w:val="28"/>
    </w:rPr>
  </w:style>
  <w:style w:type="paragraph" w:customStyle="1" w:styleId="137">
    <w:name w:val="页脚 New New New New New New New"/>
    <w:basedOn w:val="84"/>
    <w:autoRedefine/>
    <w:qFormat/>
    <w:uiPriority w:val="0"/>
    <w:pPr>
      <w:widowControl/>
      <w:tabs>
        <w:tab w:val="center" w:pos="4153"/>
        <w:tab w:val="right" w:pos="8306"/>
      </w:tabs>
      <w:snapToGrid w:val="0"/>
      <w:jc w:val="left"/>
    </w:pPr>
    <w:rPr>
      <w:kern w:val="0"/>
      <w:sz w:val="18"/>
      <w:szCs w:val="20"/>
    </w:rPr>
  </w:style>
  <w:style w:type="paragraph" w:customStyle="1" w:styleId="138">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页脚 New New New New New New New New New"/>
    <w:basedOn w:val="83"/>
    <w:autoRedefine/>
    <w:qFormat/>
    <w:uiPriority w:val="0"/>
    <w:pPr>
      <w:tabs>
        <w:tab w:val="center" w:pos="4153"/>
        <w:tab w:val="right" w:pos="8306"/>
      </w:tabs>
      <w:snapToGrid w:val="0"/>
      <w:jc w:val="left"/>
    </w:pPr>
    <w:rPr>
      <w:sz w:val="18"/>
      <w:szCs w:val="18"/>
    </w:rPr>
  </w:style>
  <w:style w:type="paragraph" w:customStyle="1" w:styleId="140">
    <w:name w:val="页脚 New New"/>
    <w:basedOn w:val="64"/>
    <w:autoRedefine/>
    <w:qFormat/>
    <w:uiPriority w:val="0"/>
    <w:pPr>
      <w:tabs>
        <w:tab w:val="center" w:pos="4153"/>
        <w:tab w:val="right" w:pos="8306"/>
      </w:tabs>
      <w:snapToGrid w:val="0"/>
      <w:jc w:val="left"/>
    </w:pPr>
    <w:rPr>
      <w:sz w:val="18"/>
      <w:szCs w:val="18"/>
    </w:rPr>
  </w:style>
  <w:style w:type="paragraph" w:customStyle="1" w:styleId="141">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2">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3">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4">
    <w:name w:val="样式1"/>
    <w:basedOn w:val="7"/>
    <w:autoRedefine/>
    <w:qFormat/>
    <w:uiPriority w:val="0"/>
    <w:pPr>
      <w:tabs>
        <w:tab w:val="right" w:leader="dot" w:pos="9345"/>
      </w:tabs>
    </w:pPr>
    <w:rPr>
      <w:rFonts w:ascii="宋体" w:hAnsi="宋体"/>
      <w:b/>
      <w:caps/>
      <w:u w:val="single"/>
    </w:rPr>
  </w:style>
  <w:style w:type="paragraph" w:customStyle="1" w:styleId="145">
    <w:name w:val="页眉 New New New"/>
    <w:basedOn w:val="6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6">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7">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8">
    <w:name w:val="正文正"/>
    <w:basedOn w:val="1"/>
    <w:autoRedefine/>
    <w:qFormat/>
    <w:uiPriority w:val="0"/>
    <w:pPr>
      <w:spacing w:line="560" w:lineRule="exact"/>
      <w:ind w:firstLine="561"/>
    </w:pPr>
    <w:rPr>
      <w:rFonts w:ascii="Calibri" w:hAnsi="Calibri"/>
      <w:sz w:val="28"/>
      <w:szCs w:val="28"/>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50">
    <w:name w:val="标题 2 New New"/>
    <w:basedOn w:val="119"/>
    <w:next w:val="119"/>
    <w:autoRedefine/>
    <w:qFormat/>
    <w:uiPriority w:val="0"/>
    <w:pPr>
      <w:autoSpaceDE w:val="0"/>
      <w:autoSpaceDN w:val="0"/>
      <w:adjustRightInd w:val="0"/>
      <w:jc w:val="left"/>
      <w:outlineLvl w:val="1"/>
    </w:pPr>
    <w:rPr>
      <w:kern w:val="0"/>
      <w:sz w:val="24"/>
    </w:rPr>
  </w:style>
  <w:style w:type="paragraph" w:customStyle="1" w:styleId="151">
    <w:name w:val="标题 1 New"/>
    <w:basedOn w:val="119"/>
    <w:next w:val="119"/>
    <w:autoRedefine/>
    <w:qFormat/>
    <w:uiPriority w:val="0"/>
    <w:pPr>
      <w:autoSpaceDE w:val="0"/>
      <w:autoSpaceDN w:val="0"/>
      <w:adjustRightInd w:val="0"/>
      <w:jc w:val="left"/>
      <w:outlineLvl w:val="0"/>
    </w:pPr>
    <w:rPr>
      <w:kern w:val="0"/>
      <w:sz w:val="30"/>
    </w:rPr>
  </w:style>
  <w:style w:type="paragraph" w:customStyle="1" w:styleId="152">
    <w:name w:val="WPSOffice手动目录 1"/>
    <w:autoRedefine/>
    <w:qFormat/>
    <w:uiPriority w:val="0"/>
    <w:rPr>
      <w:rFonts w:ascii="Times New Roman" w:hAnsi="Times New Roman" w:eastAsia="宋体" w:cs="Times New Roman"/>
      <w:lang w:val="en-US" w:eastAsia="zh-CN" w:bidi="ar-SA"/>
    </w:rPr>
  </w:style>
  <w:style w:type="paragraph" w:customStyle="1" w:styleId="15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5">
    <w:name w:val="正文缩进1"/>
    <w:basedOn w:val="1"/>
    <w:autoRedefine/>
    <w:qFormat/>
    <w:uiPriority w:val="0"/>
    <w:pPr>
      <w:widowControl/>
      <w:ind w:firstLine="420"/>
      <w:jc w:val="left"/>
    </w:pPr>
    <w:rPr>
      <w:kern w:val="0"/>
    </w:rPr>
  </w:style>
  <w:style w:type="character" w:styleId="156">
    <w:name w:val="Placeholder Text"/>
    <w:basedOn w:val="33"/>
    <w:semiHidden/>
    <w:qFormat/>
    <w:uiPriority w:val="99"/>
    <w:rPr>
      <w:color w:val="808080"/>
    </w:rPr>
  </w:style>
  <w:style w:type="paragraph" w:customStyle="1" w:styleId="157">
    <w:name w:val="正文文本1"/>
    <w:basedOn w:val="1"/>
    <w:qFormat/>
    <w:uiPriority w:val="0"/>
    <w:pPr>
      <w:spacing w:after="120"/>
    </w:pPr>
  </w:style>
  <w:style w:type="character" w:customStyle="1" w:styleId="158">
    <w:name w:val="NormalCharacter"/>
    <w:qFormat/>
    <w:uiPriority w:val="99"/>
  </w:style>
  <w:style w:type="paragraph" w:customStyle="1" w:styleId="159">
    <w:name w:val="UserStyle_76"/>
    <w:basedOn w:val="160"/>
    <w:qFormat/>
    <w:uiPriority w:val="99"/>
    <w:pPr>
      <w:ind w:firstLine="420"/>
      <w:jc w:val="left"/>
    </w:pPr>
    <w:rPr>
      <w:kern w:val="0"/>
      <w:sz w:val="20"/>
      <w:szCs w:val="20"/>
    </w:rPr>
  </w:style>
  <w:style w:type="paragraph" w:customStyle="1" w:styleId="160">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61">
    <w:name w:val="标题 2 字符"/>
    <w:link w:val="4"/>
    <w:qFormat/>
    <w:uiPriority w:val="0"/>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75</Pages>
  <Words>2337</Words>
  <Characters>2547</Characters>
  <Lines>1</Lines>
  <Paragraphs>1</Paragraphs>
  <TotalTime>1</TotalTime>
  <ScaleCrop>false</ScaleCrop>
  <LinksUpToDate>false</LinksUpToDate>
  <CharactersWithSpaces>2653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（翁源）汇龙工程咨询13380720065</cp:lastModifiedBy>
  <cp:lastPrinted>2026-03-26T06:20:00Z</cp:lastPrinted>
  <dcterms:modified xsi:type="dcterms:W3CDTF">2026-03-27T08:36:36Z</dcterms:modified>
  <dc:title>广东省韶关学院第三期学生公寓第一、二组团工程施工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ribbonExt">
    <vt:lpwstr>{"WPSExtOfficeTab":{"OnGetEnabled":false,"OnGetVisible":false}}</vt:lpwstr>
  </property>
  <property fmtid="{D5CDD505-2E9C-101B-9397-08002B2CF9AE}" pid="4" name="ICV">
    <vt:lpwstr>7CD96722E3B1478499F5809AF98FC5E2_13</vt:lpwstr>
  </property>
  <property fmtid="{D5CDD505-2E9C-101B-9397-08002B2CF9AE}" pid="5" name="KSOTemplateDocerSaveRecord">
    <vt:lpwstr>eyJoZGlkIjoiYWRlNGFkMDI0YWViNjQ1MTRmODlkODQxYWMwNWJjNDAiLCJ1c2VySWQiOiIxNzc3NTIyMTE5In0=</vt:lpwstr>
  </property>
</Properties>
</file>