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val="0"/>
        <w:overflowPunct/>
        <w:bidi w:val="0"/>
        <w:spacing w:line="800" w:lineRule="exact"/>
        <w:jc w:val="center"/>
        <w:rPr>
          <w:rFonts w:hint="eastAsia" w:asciiTheme="minorEastAsia" w:hAnsiTheme="minorEastAsia" w:eastAsiaTheme="minorEastAsia" w:cstheme="minorEastAsia"/>
          <w:b/>
          <w:color w:val="000000" w:themeColor="text1"/>
          <w:sz w:val="40"/>
          <w:szCs w:val="40"/>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48"/>
          <w:szCs w:val="48"/>
          <w:highlight w:val="none"/>
          <w:lang w:eastAsia="zh-CN"/>
          <w14:textFill>
            <w14:solidFill>
              <w14:schemeClr w14:val="tx1"/>
            </w14:solidFill>
          </w14:textFill>
        </w:rPr>
        <w:t>南雄市“银杏染秋”乡村振兴示范带建设项目-主田镇典型村建设项目施工图设计和施工总承包</w:t>
      </w:r>
    </w:p>
    <w:p>
      <w:pPr>
        <w:pageBreakBefore w:val="0"/>
        <w:kinsoku/>
        <w:wordWrap w:val="0"/>
        <w:overflowPunct/>
        <w:bidi w:val="0"/>
        <w:spacing w:line="360" w:lineRule="auto"/>
        <w:rPr>
          <w:rFonts w:hint="eastAsia" w:asciiTheme="minorEastAsia" w:hAnsiTheme="minorEastAsia" w:eastAsiaTheme="minorEastAsia" w:cstheme="minorEastAsia"/>
          <w:b/>
          <w:color w:val="000000" w:themeColor="text1"/>
          <w:highlight w:val="none"/>
          <w14:textFill>
            <w14:solidFill>
              <w14:schemeClr w14:val="tx1"/>
            </w14:solidFill>
          </w14:textFill>
        </w:rPr>
      </w:pPr>
    </w:p>
    <w:p>
      <w:pPr>
        <w:pageBreakBefore w:val="0"/>
        <w:kinsoku/>
        <w:wordWrap w:val="0"/>
        <w:overflowPunct/>
        <w:bidi w:val="0"/>
        <w:spacing w:line="360" w:lineRule="auto"/>
        <w:rPr>
          <w:rFonts w:hint="eastAsia" w:asciiTheme="minorEastAsia" w:hAnsiTheme="minorEastAsia" w:eastAsiaTheme="minorEastAsia" w:cstheme="minorEastAsia"/>
          <w:b/>
          <w:color w:val="000000" w:themeColor="text1"/>
          <w:highlight w:val="none"/>
          <w14:textFill>
            <w14:solidFill>
              <w14:schemeClr w14:val="tx1"/>
            </w14:solidFill>
          </w14:textFill>
        </w:rPr>
      </w:pPr>
    </w:p>
    <w:p>
      <w:pPr>
        <w:pageBreakBefore w:val="0"/>
        <w:kinsoku/>
        <w:wordWrap w:val="0"/>
        <w:overflowPunct/>
        <w:bidi w:val="0"/>
        <w:spacing w:line="360" w:lineRule="auto"/>
        <w:rPr>
          <w:rFonts w:hint="eastAsia" w:asciiTheme="minorEastAsia" w:hAnsiTheme="minorEastAsia" w:eastAsiaTheme="minorEastAsia" w:cstheme="minorEastAsia"/>
          <w:b/>
          <w:color w:val="000000" w:themeColor="text1"/>
          <w:highlight w:val="none"/>
          <w14:textFill>
            <w14:solidFill>
              <w14:schemeClr w14:val="tx1"/>
            </w14:solidFill>
          </w14:textFill>
        </w:rPr>
      </w:pPr>
    </w:p>
    <w:p>
      <w:pPr>
        <w:pStyle w:val="8"/>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p>
      <w:pPr>
        <w:pStyle w:val="19"/>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p>
      <w:pPr>
        <w:pStyle w:val="35"/>
        <w:pageBreakBefore w:val="0"/>
        <w:kinsoku/>
        <w:wordWrap w:val="0"/>
        <w:overflowPunct/>
        <w:bidi w:val="0"/>
        <w:spacing w:line="360" w:lineRule="auto"/>
        <w:jc w:val="center"/>
        <w:rPr>
          <w:rFonts w:hint="eastAsia" w:asciiTheme="minorEastAsia" w:hAnsiTheme="minorEastAsia" w:eastAsiaTheme="minorEastAsia" w:cstheme="minorEastAsia"/>
          <w:b/>
          <w:bCs/>
          <w:color w:val="000000" w:themeColor="text1"/>
          <w:spacing w:val="26"/>
          <w:sz w:val="84"/>
          <w:szCs w:val="84"/>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26"/>
          <w:sz w:val="84"/>
          <w:szCs w:val="84"/>
          <w:highlight w:val="none"/>
          <w14:textFill>
            <w14:solidFill>
              <w14:schemeClr w14:val="tx1"/>
            </w14:solidFill>
          </w14:textFill>
        </w:rPr>
        <w:t>招标文件</w:t>
      </w:r>
    </w:p>
    <w:p>
      <w:pPr>
        <w:pageBreakBefore w:val="0"/>
        <w:kinsoku/>
        <w:wordWrap w:val="0"/>
        <w:overflowPunct/>
        <w:bidi w:val="0"/>
        <w:spacing w:line="360" w:lineRule="auto"/>
        <w:ind w:left="240" w:leftChars="100"/>
        <w:jc w:val="center"/>
        <w:rPr>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p>
    <w:tbl>
      <w:tblPr>
        <w:tblStyle w:val="22"/>
        <w:tblpPr w:leftFromText="180" w:rightFromText="180" w:vertAnchor="text" w:horzAnchor="page" w:tblpX="1372" w:tblpY="753"/>
        <w:tblW w:w="9799" w:type="dxa"/>
        <w:tblInd w:w="0" w:type="dxa"/>
        <w:tblLayout w:type="fixed"/>
        <w:tblCellMar>
          <w:top w:w="0" w:type="dxa"/>
          <w:left w:w="0" w:type="dxa"/>
          <w:bottom w:w="0" w:type="dxa"/>
          <w:right w:w="0" w:type="dxa"/>
        </w:tblCellMar>
      </w:tblPr>
      <w:tblGrid>
        <w:gridCol w:w="4671"/>
        <w:gridCol w:w="5128"/>
      </w:tblGrid>
      <w:tr>
        <w:tblPrEx>
          <w:tblCellMar>
            <w:top w:w="0" w:type="dxa"/>
            <w:left w:w="0" w:type="dxa"/>
            <w:bottom w:w="0" w:type="dxa"/>
            <w:right w:w="0" w:type="dxa"/>
          </w:tblCellMar>
        </w:tblPrEx>
        <w:trPr>
          <w:trHeight w:val="935"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   标   人（盖单位章）：</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t>南雄市主田镇人民政府</w:t>
            </w:r>
          </w:p>
        </w:tc>
      </w:tr>
      <w:tr>
        <w:tblPrEx>
          <w:tblCellMar>
            <w:top w:w="0" w:type="dxa"/>
            <w:left w:w="0" w:type="dxa"/>
            <w:bottom w:w="0" w:type="dxa"/>
            <w:right w:w="0" w:type="dxa"/>
          </w:tblCellMar>
        </w:tblPrEx>
        <w:trPr>
          <w:trHeight w:val="1059"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招标人工作领导小组负责人（签字）：</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p>
        </w:tc>
      </w:tr>
      <w:tr>
        <w:tblPrEx>
          <w:tblCellMar>
            <w:top w:w="0" w:type="dxa"/>
            <w:left w:w="0" w:type="dxa"/>
            <w:bottom w:w="0" w:type="dxa"/>
            <w:right w:w="0" w:type="dxa"/>
          </w:tblCellMar>
        </w:tblPrEx>
        <w:trPr>
          <w:trHeight w:val="1031"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 标 代 理 机 构 （盖章）：</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8"/>
                <w:szCs w:val="28"/>
                <w:highlight w:val="none"/>
                <w:lang w:eastAsia="zh-CN"/>
                <w14:textFill>
                  <w14:solidFill>
                    <w14:schemeClr w14:val="tx1"/>
                  </w14:solidFill>
                </w14:textFill>
              </w:rPr>
              <w:t>韶关众兴招标有限公司</w:t>
            </w:r>
          </w:p>
        </w:tc>
      </w:tr>
      <w:tr>
        <w:tblPrEx>
          <w:tblCellMar>
            <w:top w:w="0" w:type="dxa"/>
            <w:left w:w="0" w:type="dxa"/>
            <w:bottom w:w="0" w:type="dxa"/>
            <w:right w:w="0" w:type="dxa"/>
          </w:tblCellMar>
        </w:tblPrEx>
        <w:trPr>
          <w:trHeight w:val="809"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招标文件编制人（签字）：</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p>
        </w:tc>
      </w:tr>
      <w:tr>
        <w:tblPrEx>
          <w:tblCellMar>
            <w:top w:w="0" w:type="dxa"/>
            <w:left w:w="0" w:type="dxa"/>
            <w:bottom w:w="0" w:type="dxa"/>
            <w:right w:w="0" w:type="dxa"/>
          </w:tblCellMar>
        </w:tblPrEx>
        <w:trPr>
          <w:trHeight w:val="863"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招标代理机构项目负责人（签字）：</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p>
        </w:tc>
      </w:tr>
      <w:tr>
        <w:tblPrEx>
          <w:tblCellMar>
            <w:top w:w="0" w:type="dxa"/>
            <w:left w:w="0" w:type="dxa"/>
            <w:bottom w:w="0" w:type="dxa"/>
            <w:right w:w="0" w:type="dxa"/>
          </w:tblCellMar>
        </w:tblPrEx>
        <w:trPr>
          <w:trHeight w:val="1047"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招标文件编制日期：</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202</w:t>
            </w:r>
            <w:r>
              <w:rPr>
                <w:rFonts w:hint="eastAsia" w:asciiTheme="minorEastAsia" w:hAnsiTheme="minorEastAsia" w:eastAsiaTheme="minorEastAsia" w:cstheme="minorEastAsia"/>
                <w:color w:val="000000" w:themeColor="text1"/>
                <w:sz w:val="28"/>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8"/>
                <w:highlight w:val="none"/>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28"/>
                <w:highlight w:val="none"/>
                <w14:textFill>
                  <w14:solidFill>
                    <w14:schemeClr w14:val="tx1"/>
                  </w14:solidFill>
                </w14:textFill>
              </w:rPr>
              <w:t>月</w:t>
            </w:r>
          </w:p>
        </w:tc>
      </w:tr>
    </w:tbl>
    <w:p>
      <w:pPr>
        <w:pageBreakBefore w:val="0"/>
        <w:kinsoku/>
        <w:wordWrap w:val="0"/>
        <w:overflowPunct/>
        <w:bidi w:val="0"/>
        <w:outlineLvl w:val="9"/>
        <w:rPr>
          <w:rFonts w:hint="eastAsia" w:asciiTheme="minorEastAsia" w:hAnsiTheme="minorEastAsia" w:eastAsiaTheme="minorEastAsia" w:cstheme="minorEastAsia"/>
          <w:color w:val="000000" w:themeColor="text1"/>
          <w:highlight w:val="none"/>
          <w14:textFill>
            <w14:solidFill>
              <w14:schemeClr w14:val="tx1"/>
            </w14:solidFill>
          </w14:textFill>
        </w:rPr>
      </w:pPr>
    </w:p>
    <w:p>
      <w:pPr>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p>
      <w:pPr>
        <w:pStyle w:val="8"/>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sectPr>
          <w:footerReference r:id="rId3" w:type="default"/>
          <w:endnotePr>
            <w:numFmt w:val="decimal"/>
          </w:endnotePr>
          <w:pgSz w:w="11906" w:h="16838"/>
          <w:pgMar w:top="1440" w:right="1463" w:bottom="1440" w:left="1463" w:header="851" w:footer="992" w:gutter="0"/>
          <w:pgNumType w:start="1"/>
          <w:cols w:space="720" w:num="1"/>
          <w:docGrid w:type="lines" w:linePitch="312" w:charSpace="0"/>
        </w:sect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目    录</w:t>
      </w:r>
    </w:p>
    <w:p>
      <w:pPr>
        <w:pStyle w:val="15"/>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TOC \o "1-4" \h \z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_Toc29632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第一章</w:t>
      </w:r>
      <w:r>
        <w:rPr>
          <w:rFonts w:hint="eastAsia" w:asciiTheme="minorEastAsia" w:hAnsiTheme="minorEastAsia" w:eastAsiaTheme="minorEastAsia" w:cstheme="minorEastAsia"/>
          <w:kern w:val="44"/>
          <w:szCs w:val="36"/>
          <w:highlight w:val="none"/>
          <w:lang w:val="en-US" w:eastAsia="zh-CN"/>
        </w:rPr>
        <w:t xml:space="preserve"> </w:t>
      </w:r>
      <w:r>
        <w:rPr>
          <w:rFonts w:hint="eastAsia" w:asciiTheme="minorEastAsia" w:hAnsiTheme="minorEastAsia" w:eastAsiaTheme="minorEastAsia" w:cstheme="minorEastAsia"/>
          <w:kern w:val="44"/>
          <w:szCs w:val="36"/>
          <w:highlight w:val="none"/>
          <w:lang w:eastAsia="zh-CN"/>
        </w:rPr>
        <w:t>投标人须知</w:t>
      </w:r>
      <w:r>
        <w:tab/>
      </w:r>
      <w:r>
        <w:fldChar w:fldCharType="begin"/>
      </w:r>
      <w:r>
        <w:instrText xml:space="preserve"> PAGEREF _Toc29632 \h </w:instrText>
      </w:r>
      <w:r>
        <w:fldChar w:fldCharType="separate"/>
      </w:r>
      <w:r>
        <w:t>1</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_Toc19197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第一节</w:t>
      </w:r>
      <w:r>
        <w:rPr>
          <w:rFonts w:hint="eastAsia" w:asciiTheme="minorEastAsia" w:hAnsiTheme="minorEastAsia" w:eastAsiaTheme="minorEastAsia" w:cstheme="minorEastAsia"/>
          <w:kern w:val="2"/>
          <w:highlight w:val="none"/>
          <w:lang w:val="en-US" w:eastAsia="zh-CN"/>
        </w:rPr>
        <w:t xml:space="preserve"> </w:t>
      </w:r>
      <w:r>
        <w:rPr>
          <w:rFonts w:hint="eastAsia" w:asciiTheme="minorEastAsia" w:hAnsiTheme="minorEastAsia" w:eastAsiaTheme="minorEastAsia" w:cstheme="minorEastAsia"/>
          <w:kern w:val="2"/>
          <w:highlight w:val="none"/>
          <w:lang w:eastAsia="zh-CN"/>
        </w:rPr>
        <w:t>投标人须知</w:t>
      </w:r>
      <w:r>
        <w:rPr>
          <w:rFonts w:hint="eastAsia" w:asciiTheme="minorEastAsia" w:hAnsiTheme="minorEastAsia" w:eastAsiaTheme="minorEastAsia" w:cstheme="minorEastAsia"/>
          <w:kern w:val="2"/>
          <w:highlight w:val="none"/>
        </w:rPr>
        <w:t>前附表</w:t>
      </w:r>
      <w:r>
        <w:tab/>
      </w:r>
      <w:r>
        <w:fldChar w:fldCharType="begin"/>
      </w:r>
      <w:r>
        <w:instrText xml:space="preserve"> PAGEREF _Toc19197 \h </w:instrText>
      </w:r>
      <w:r>
        <w:fldChar w:fldCharType="separate"/>
      </w:r>
      <w:r>
        <w:t>1</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_Toc10455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szCs w:val="24"/>
          <w:highlight w:val="none"/>
        </w:rPr>
        <w:t>第二节</w:t>
      </w:r>
      <w:r>
        <w:rPr>
          <w:rFonts w:hint="eastAsia" w:asciiTheme="minorEastAsia" w:hAnsiTheme="minorEastAsia" w:eastAsiaTheme="minorEastAsia" w:cstheme="minorEastAsia"/>
          <w:kern w:val="2"/>
          <w:szCs w:val="24"/>
          <w:highlight w:val="none"/>
          <w:lang w:val="en-US" w:eastAsia="zh-CN"/>
        </w:rPr>
        <w:t xml:space="preserve"> </w:t>
      </w:r>
      <w:r>
        <w:rPr>
          <w:rFonts w:hint="eastAsia" w:asciiTheme="minorEastAsia" w:hAnsiTheme="minorEastAsia" w:eastAsiaTheme="minorEastAsia" w:cstheme="minorEastAsia"/>
          <w:kern w:val="2"/>
          <w:szCs w:val="24"/>
          <w:highlight w:val="none"/>
        </w:rPr>
        <w:t>重要事项时间地点一览表.</w:t>
      </w:r>
      <w:r>
        <w:tab/>
      </w:r>
      <w:r>
        <w:fldChar w:fldCharType="begin"/>
      </w:r>
      <w:r>
        <w:instrText xml:space="preserve"> PAGEREF _Toc10455 \h </w:instrText>
      </w:r>
      <w:r>
        <w:fldChar w:fldCharType="separate"/>
      </w:r>
      <w:r>
        <w:t>9</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_Toc22729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szCs w:val="24"/>
          <w:highlight w:val="none"/>
        </w:rPr>
        <w:t xml:space="preserve">第三节 </w:t>
      </w:r>
      <w:r>
        <w:rPr>
          <w:rFonts w:hint="eastAsia" w:asciiTheme="minorEastAsia" w:hAnsiTheme="minorEastAsia" w:eastAsiaTheme="minorEastAsia" w:cstheme="minorEastAsia"/>
          <w:kern w:val="2"/>
          <w:szCs w:val="24"/>
          <w:highlight w:val="none"/>
          <w:lang w:eastAsia="zh-CN"/>
        </w:rPr>
        <w:t>投标人须知</w:t>
      </w:r>
      <w:r>
        <w:rPr>
          <w:rFonts w:hint="eastAsia" w:asciiTheme="minorEastAsia" w:hAnsiTheme="minorEastAsia" w:eastAsiaTheme="minorEastAsia" w:cstheme="minorEastAsia"/>
          <w:kern w:val="2"/>
          <w:szCs w:val="24"/>
          <w:highlight w:val="none"/>
        </w:rPr>
        <w:t>正文</w:t>
      </w:r>
      <w:r>
        <w:tab/>
      </w:r>
      <w:r>
        <w:fldChar w:fldCharType="begin"/>
      </w:r>
      <w:r>
        <w:instrText xml:space="preserve"> PAGEREF _Toc22729 \h </w:instrText>
      </w:r>
      <w:r>
        <w:fldChar w:fldCharType="separate"/>
      </w:r>
      <w:r>
        <w:t>10</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_Toc20446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1、工程概况</w:t>
      </w:r>
      <w:r>
        <w:tab/>
      </w:r>
      <w:r>
        <w:fldChar w:fldCharType="begin"/>
      </w:r>
      <w:r>
        <w:instrText xml:space="preserve"> PAGEREF _Toc20446 \h </w:instrText>
      </w:r>
      <w:r>
        <w:fldChar w:fldCharType="separate"/>
      </w:r>
      <w:r>
        <w:t>10</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_Toc27537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2、招标范围</w:t>
      </w:r>
      <w:r>
        <w:tab/>
      </w:r>
      <w:r>
        <w:fldChar w:fldCharType="begin"/>
      </w:r>
      <w:r>
        <w:instrText xml:space="preserve"> PAGEREF _Toc27537 \h </w:instrText>
      </w:r>
      <w:r>
        <w:fldChar w:fldCharType="separate"/>
      </w:r>
      <w:r>
        <w:t>10</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_Toc5263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napToGrid w:val="0"/>
          <w:kern w:val="2"/>
          <w:highlight w:val="none"/>
        </w:rPr>
        <w:t>3、</w:t>
      </w:r>
      <w:r>
        <w:rPr>
          <w:rFonts w:hint="eastAsia" w:asciiTheme="minorEastAsia" w:hAnsiTheme="minorEastAsia" w:eastAsiaTheme="minorEastAsia" w:cstheme="minorEastAsia"/>
          <w:kern w:val="2"/>
          <w:highlight w:val="none"/>
        </w:rPr>
        <w:t>工期</w:t>
      </w:r>
      <w:r>
        <w:tab/>
      </w:r>
      <w:r>
        <w:fldChar w:fldCharType="begin"/>
      </w:r>
      <w:r>
        <w:instrText xml:space="preserve"> PAGEREF _Toc5263 \h </w:instrText>
      </w:r>
      <w:r>
        <w:fldChar w:fldCharType="separate"/>
      </w:r>
      <w:r>
        <w:t>11</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_Toc26753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4、投标人资质及条件要求</w:t>
      </w:r>
      <w:r>
        <w:tab/>
      </w:r>
      <w:r>
        <w:fldChar w:fldCharType="begin"/>
      </w:r>
      <w:r>
        <w:instrText xml:space="preserve"> PAGEREF _Toc26753 \h </w:instrText>
      </w:r>
      <w:r>
        <w:fldChar w:fldCharType="separate"/>
      </w:r>
      <w:r>
        <w:t>11</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_Toc30299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5、工程招标内容及要求</w:t>
      </w:r>
      <w:r>
        <w:tab/>
      </w:r>
      <w:r>
        <w:fldChar w:fldCharType="begin"/>
      </w:r>
      <w:r>
        <w:instrText xml:space="preserve"> PAGEREF _Toc30299 \h </w:instrText>
      </w:r>
      <w:r>
        <w:fldChar w:fldCharType="separate"/>
      </w:r>
      <w:r>
        <w:t>14</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_Toc3183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6、招标工程施工条件及现场踏勘</w:t>
      </w:r>
      <w:r>
        <w:tab/>
      </w:r>
      <w:r>
        <w:fldChar w:fldCharType="begin"/>
      </w:r>
      <w:r>
        <w:instrText xml:space="preserve"> PAGEREF _Toc3183 \h </w:instrText>
      </w:r>
      <w:r>
        <w:fldChar w:fldCharType="separate"/>
      </w:r>
      <w:r>
        <w:t>17</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_Toc13628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7、其他招标说明</w:t>
      </w:r>
      <w:r>
        <w:tab/>
      </w:r>
      <w:r>
        <w:fldChar w:fldCharType="begin"/>
      </w:r>
      <w:r>
        <w:instrText xml:space="preserve"> PAGEREF _Toc13628 \h </w:instrText>
      </w:r>
      <w:r>
        <w:fldChar w:fldCharType="separate"/>
      </w:r>
      <w:r>
        <w:t>18</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_Toc15334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8、招标答疑</w:t>
      </w:r>
      <w:r>
        <w:tab/>
      </w:r>
      <w:r>
        <w:fldChar w:fldCharType="begin"/>
      </w:r>
      <w:r>
        <w:instrText xml:space="preserve"> PAGEREF _Toc15334 \h </w:instrText>
      </w:r>
      <w:r>
        <w:fldChar w:fldCharType="separate"/>
      </w:r>
      <w:r>
        <w:t>20</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_Toc7720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9、投标报价的编制</w:t>
      </w:r>
      <w:r>
        <w:tab/>
      </w:r>
      <w:r>
        <w:fldChar w:fldCharType="begin"/>
      </w:r>
      <w:r>
        <w:instrText xml:space="preserve"> PAGEREF _Toc7720 \h </w:instrText>
      </w:r>
      <w:r>
        <w:fldChar w:fldCharType="separate"/>
      </w:r>
      <w:r>
        <w:t>21</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_Toc26703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4"/>
          <w:highlight w:val="none"/>
        </w:rPr>
        <w:t>10、最高</w:t>
      </w:r>
      <w:r>
        <w:rPr>
          <w:rFonts w:hint="eastAsia" w:asciiTheme="minorEastAsia" w:hAnsiTheme="minorEastAsia" w:eastAsiaTheme="minorEastAsia" w:cstheme="minorEastAsia"/>
          <w:kern w:val="2"/>
          <w:highlight w:val="none"/>
        </w:rPr>
        <w:t>投标</w:t>
      </w:r>
      <w:r>
        <w:rPr>
          <w:rFonts w:hint="eastAsia" w:asciiTheme="minorEastAsia" w:hAnsiTheme="minorEastAsia" w:eastAsiaTheme="minorEastAsia" w:cstheme="minorEastAsia"/>
          <w:szCs w:val="24"/>
          <w:highlight w:val="none"/>
        </w:rPr>
        <w:t>限价的确定</w:t>
      </w:r>
      <w:r>
        <w:tab/>
      </w:r>
      <w:r>
        <w:fldChar w:fldCharType="begin"/>
      </w:r>
      <w:r>
        <w:instrText xml:space="preserve"> PAGEREF _Toc26703 \h </w:instrText>
      </w:r>
      <w:r>
        <w:fldChar w:fldCharType="separate"/>
      </w:r>
      <w:r>
        <w:t>23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_Toc31750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2"/>
          <w:highlight w:val="none"/>
        </w:rPr>
        <w:t>11</w:t>
      </w:r>
      <w:r>
        <w:rPr>
          <w:rFonts w:hint="eastAsia" w:asciiTheme="minorEastAsia" w:hAnsiTheme="minorEastAsia" w:eastAsiaTheme="minorEastAsia" w:cstheme="minorEastAsia"/>
          <w:szCs w:val="22"/>
          <w:highlight w:val="none"/>
          <w:lang w:eastAsia="zh-CN"/>
        </w:rPr>
        <w:t>、</w:t>
      </w:r>
      <w:r>
        <w:rPr>
          <w:rFonts w:hint="eastAsia" w:asciiTheme="minorEastAsia" w:hAnsiTheme="minorEastAsia" w:eastAsiaTheme="minorEastAsia" w:cstheme="minorEastAsia"/>
          <w:kern w:val="2"/>
          <w:highlight w:val="none"/>
        </w:rPr>
        <w:t>投标</w:t>
      </w:r>
      <w:r>
        <w:rPr>
          <w:rFonts w:hint="eastAsia" w:asciiTheme="minorEastAsia" w:hAnsiTheme="minorEastAsia" w:eastAsiaTheme="minorEastAsia" w:cstheme="minorEastAsia"/>
          <w:szCs w:val="22"/>
          <w:highlight w:val="none"/>
        </w:rPr>
        <w:t>文件的编制要求</w:t>
      </w:r>
      <w:r>
        <w:tab/>
      </w:r>
      <w:r>
        <w:fldChar w:fldCharType="begin"/>
      </w:r>
      <w:r>
        <w:instrText xml:space="preserve"> PAGEREF _Toc31750 \h </w:instrText>
      </w:r>
      <w:r>
        <w:fldChar w:fldCharType="separate"/>
      </w:r>
      <w:r>
        <w:t>23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_Toc24513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12、投标有效期及对投标人的其他要求</w:t>
      </w:r>
      <w:r>
        <w:tab/>
      </w:r>
      <w:r>
        <w:fldChar w:fldCharType="begin"/>
      </w:r>
      <w:r>
        <w:instrText xml:space="preserve"> PAGEREF _Toc24513 \h </w:instrText>
      </w:r>
      <w:r>
        <w:fldChar w:fldCharType="separate"/>
      </w:r>
      <w:r>
        <w:t>27</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_Toc1044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13</w:t>
      </w:r>
      <w:r>
        <w:rPr>
          <w:rFonts w:hint="eastAsia" w:asciiTheme="minorEastAsia" w:hAnsiTheme="minorEastAsia" w:eastAsiaTheme="minorEastAsia" w:cstheme="minorEastAsia"/>
          <w:kern w:val="2"/>
          <w:highlight w:val="none"/>
          <w:lang w:eastAsia="zh-CN"/>
        </w:rPr>
        <w:t>、</w:t>
      </w:r>
      <w:r>
        <w:rPr>
          <w:rFonts w:hint="eastAsia" w:asciiTheme="minorEastAsia" w:hAnsiTheme="minorEastAsia" w:eastAsiaTheme="minorEastAsia" w:cstheme="minorEastAsia"/>
          <w:kern w:val="2"/>
          <w:highlight w:val="none"/>
        </w:rPr>
        <w:t>开标</w:t>
      </w:r>
      <w:r>
        <w:tab/>
      </w:r>
      <w:r>
        <w:fldChar w:fldCharType="begin"/>
      </w:r>
      <w:r>
        <w:instrText xml:space="preserve"> PAGEREF _Toc1044 \h </w:instrText>
      </w:r>
      <w:r>
        <w:fldChar w:fldCharType="separate"/>
      </w:r>
      <w:r>
        <w:t>27</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_Toc20198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14</w:t>
      </w:r>
      <w:r>
        <w:rPr>
          <w:rFonts w:hint="eastAsia" w:asciiTheme="minorEastAsia" w:hAnsiTheme="minorEastAsia" w:eastAsiaTheme="minorEastAsia" w:cstheme="minorEastAsia"/>
          <w:kern w:val="2"/>
          <w:highlight w:val="none"/>
          <w:lang w:eastAsia="zh-CN"/>
        </w:rPr>
        <w:t>、</w:t>
      </w:r>
      <w:r>
        <w:rPr>
          <w:rFonts w:hint="eastAsia" w:asciiTheme="minorEastAsia" w:hAnsiTheme="minorEastAsia" w:eastAsiaTheme="minorEastAsia" w:cstheme="minorEastAsia"/>
          <w:kern w:val="2"/>
          <w:highlight w:val="none"/>
        </w:rPr>
        <w:t>评标的方法和标准</w:t>
      </w:r>
      <w:r>
        <w:tab/>
      </w:r>
      <w:r>
        <w:fldChar w:fldCharType="begin"/>
      </w:r>
      <w:r>
        <w:instrText xml:space="preserve"> PAGEREF _Toc20198 \h </w:instrText>
      </w:r>
      <w:r>
        <w:fldChar w:fldCharType="separate"/>
      </w:r>
      <w:r>
        <w:t>28</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_Toc6341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highlight w:val="none"/>
          <w:lang w:val="en-US" w:eastAsia="zh-CN"/>
        </w:rPr>
        <w:t>15、</w:t>
      </w:r>
      <w:r>
        <w:rPr>
          <w:rFonts w:hint="eastAsia" w:ascii="宋体" w:hAnsi="宋体" w:eastAsia="宋体" w:cs="宋体"/>
          <w:bCs/>
          <w:highlight w:val="none"/>
          <w:lang w:val="en-US" w:eastAsia="zh-CN"/>
        </w:rPr>
        <w:t>评</w:t>
      </w:r>
      <w:r>
        <w:rPr>
          <w:rFonts w:hint="eastAsia" w:ascii="宋体" w:hAnsi="宋体" w:eastAsia="宋体" w:cs="宋体"/>
          <w:bCs/>
          <w:highlight w:val="none"/>
        </w:rPr>
        <w:t>标</w:t>
      </w:r>
      <w:r>
        <w:rPr>
          <w:rFonts w:hint="eastAsia" w:asciiTheme="minorEastAsia" w:hAnsiTheme="minorEastAsia" w:eastAsiaTheme="minorEastAsia" w:cstheme="minorEastAsia"/>
          <w:kern w:val="2"/>
          <w:highlight w:val="none"/>
        </w:rPr>
        <w:t>结果</w:t>
      </w:r>
      <w:r>
        <w:rPr>
          <w:rFonts w:hint="eastAsia" w:ascii="宋体" w:hAnsi="宋体" w:eastAsia="宋体" w:cs="宋体"/>
          <w:bCs/>
          <w:highlight w:val="none"/>
        </w:rPr>
        <w:t>公示</w:t>
      </w:r>
      <w:r>
        <w:tab/>
      </w:r>
      <w:r>
        <w:fldChar w:fldCharType="begin"/>
      </w:r>
      <w:r>
        <w:instrText xml:space="preserve"> PAGEREF _Toc6341 \h </w:instrText>
      </w:r>
      <w:r>
        <w:fldChar w:fldCharType="separate"/>
      </w:r>
      <w:r>
        <w:t>37</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_Toc1813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bCs/>
          <w:spacing w:val="0"/>
          <w:szCs w:val="24"/>
          <w:highlight w:val="none"/>
        </w:rPr>
        <w:t>16</w:t>
      </w:r>
      <w:r>
        <w:rPr>
          <w:rFonts w:hint="eastAsia" w:ascii="宋体" w:hAnsi="宋体" w:eastAsia="宋体" w:cs="宋体"/>
          <w:bCs/>
          <w:spacing w:val="0"/>
          <w:szCs w:val="24"/>
          <w:highlight w:val="none"/>
          <w:lang w:eastAsia="zh-CN"/>
        </w:rPr>
        <w:t>、</w:t>
      </w:r>
      <w:r>
        <w:rPr>
          <w:rFonts w:hint="eastAsia" w:asciiTheme="minorEastAsia" w:hAnsiTheme="minorEastAsia" w:eastAsiaTheme="minorEastAsia" w:cstheme="minorEastAsia"/>
          <w:kern w:val="2"/>
          <w:highlight w:val="none"/>
          <w:lang w:val="en-US" w:eastAsia="zh-CN"/>
        </w:rPr>
        <w:t>定</w:t>
      </w:r>
      <w:r>
        <w:rPr>
          <w:rFonts w:hint="eastAsia" w:asciiTheme="minorEastAsia" w:hAnsiTheme="minorEastAsia" w:eastAsiaTheme="minorEastAsia" w:cstheme="minorEastAsia"/>
          <w:kern w:val="2"/>
          <w:highlight w:val="none"/>
        </w:rPr>
        <w:t>标</w:t>
      </w:r>
      <w:r>
        <w:tab/>
      </w:r>
      <w:r>
        <w:fldChar w:fldCharType="begin"/>
      </w:r>
      <w:r>
        <w:instrText xml:space="preserve"> PAGEREF _Toc1813 \h </w:instrText>
      </w:r>
      <w:r>
        <w:fldChar w:fldCharType="separate"/>
      </w:r>
      <w:r>
        <w:t>37</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_Toc14218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bCs/>
          <w:spacing w:val="0"/>
          <w:szCs w:val="24"/>
          <w:highlight w:val="none"/>
          <w:lang w:val="en-US" w:eastAsia="zh-CN"/>
        </w:rPr>
        <w:t>17</w:t>
      </w:r>
      <w:r>
        <w:rPr>
          <w:rFonts w:hint="eastAsia" w:ascii="宋体" w:hAnsi="宋体" w:eastAsia="宋体" w:cs="宋体"/>
          <w:bCs/>
          <w:spacing w:val="0"/>
          <w:szCs w:val="24"/>
          <w:highlight w:val="none"/>
          <w:lang w:eastAsia="zh-CN"/>
        </w:rPr>
        <w:t>、</w:t>
      </w:r>
      <w:r>
        <w:rPr>
          <w:rFonts w:hint="eastAsia" w:ascii="宋体" w:hAnsi="宋体" w:eastAsia="宋体" w:cs="宋体"/>
          <w:bCs/>
          <w:spacing w:val="0"/>
          <w:szCs w:val="24"/>
          <w:highlight w:val="none"/>
          <w:lang w:val="en-US" w:eastAsia="zh-CN"/>
        </w:rPr>
        <w:t>定</w:t>
      </w:r>
      <w:r>
        <w:rPr>
          <w:rFonts w:hint="eastAsia" w:ascii="宋体" w:hAnsi="宋体" w:eastAsia="宋体" w:cs="宋体"/>
          <w:bCs/>
          <w:spacing w:val="0"/>
          <w:szCs w:val="24"/>
          <w:highlight w:val="none"/>
        </w:rPr>
        <w:t>标</w:t>
      </w:r>
      <w:r>
        <w:rPr>
          <w:rFonts w:hint="eastAsia" w:asciiTheme="minorEastAsia" w:hAnsiTheme="minorEastAsia" w:eastAsiaTheme="minorEastAsia" w:cstheme="minorEastAsia"/>
          <w:kern w:val="2"/>
          <w:highlight w:val="none"/>
          <w:lang w:val="en-US" w:eastAsia="zh-CN"/>
        </w:rPr>
        <w:t>结果</w:t>
      </w:r>
      <w:r>
        <w:rPr>
          <w:rFonts w:hint="eastAsia" w:ascii="宋体" w:hAnsi="宋体" w:eastAsia="宋体" w:cs="宋体"/>
          <w:bCs/>
          <w:spacing w:val="0"/>
          <w:szCs w:val="24"/>
          <w:highlight w:val="none"/>
        </w:rPr>
        <w:t>公示</w:t>
      </w:r>
      <w:r>
        <w:tab/>
      </w:r>
      <w:r>
        <w:fldChar w:fldCharType="begin"/>
      </w:r>
      <w:r>
        <w:instrText xml:space="preserve"> PAGEREF _Toc14218 \h </w:instrText>
      </w:r>
      <w:r>
        <w:fldChar w:fldCharType="separate"/>
      </w:r>
      <w:r>
        <w:t>40</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_Toc22123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第二章 拟签订合同的主要条款</w:t>
      </w:r>
      <w:r>
        <w:tab/>
      </w:r>
      <w:r>
        <w:fldChar w:fldCharType="begin"/>
      </w:r>
      <w:r>
        <w:instrText xml:space="preserve"> PAGEREF _Toc22123 \h </w:instrText>
      </w:r>
      <w:r>
        <w:fldChar w:fldCharType="separate"/>
      </w:r>
      <w:r>
        <w:t>44</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_Toc16827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1</w:t>
      </w:r>
      <w:r>
        <w:rPr>
          <w:rFonts w:hint="eastAsia" w:asciiTheme="minorEastAsia" w:hAnsiTheme="minorEastAsia" w:eastAsiaTheme="minorEastAsia" w:cstheme="minorEastAsia"/>
          <w:kern w:val="2"/>
          <w:highlight w:val="none"/>
          <w:lang w:eastAsia="zh-CN"/>
        </w:rPr>
        <w:t>、</w:t>
      </w:r>
      <w:r>
        <w:rPr>
          <w:rFonts w:hint="eastAsia" w:asciiTheme="minorEastAsia" w:hAnsiTheme="minorEastAsia" w:eastAsiaTheme="minorEastAsia" w:cstheme="minorEastAsia"/>
          <w:kern w:val="2"/>
          <w:highlight w:val="none"/>
        </w:rPr>
        <w:t>工程承包方式</w:t>
      </w:r>
      <w:r>
        <w:tab/>
      </w:r>
      <w:r>
        <w:fldChar w:fldCharType="begin"/>
      </w:r>
      <w:r>
        <w:instrText xml:space="preserve"> PAGEREF _Toc16827 \h </w:instrText>
      </w:r>
      <w:r>
        <w:fldChar w:fldCharType="separate"/>
      </w:r>
      <w:r>
        <w:t>44</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_Toc24029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szCs w:val="24"/>
          <w:highlight w:val="none"/>
          <w:lang w:val="en-US" w:eastAsia="zh-CN"/>
        </w:rPr>
        <w:t>2</w:t>
      </w:r>
      <w:r>
        <w:rPr>
          <w:rFonts w:hint="eastAsia" w:asciiTheme="minorEastAsia" w:hAnsiTheme="minorEastAsia" w:eastAsiaTheme="minorEastAsia" w:cstheme="minorEastAsia"/>
          <w:kern w:val="2"/>
          <w:szCs w:val="24"/>
          <w:highlight w:val="none"/>
          <w:lang w:eastAsia="zh-CN"/>
        </w:rPr>
        <w:t>、</w:t>
      </w:r>
      <w:r>
        <w:rPr>
          <w:rFonts w:hint="eastAsia" w:asciiTheme="minorEastAsia" w:hAnsiTheme="minorEastAsia" w:eastAsiaTheme="minorEastAsia" w:cstheme="minorEastAsia"/>
          <w:kern w:val="2"/>
          <w:szCs w:val="24"/>
          <w:highlight w:val="none"/>
        </w:rPr>
        <w:t>工程结算原则</w:t>
      </w:r>
      <w:r>
        <w:tab/>
      </w:r>
      <w:r>
        <w:fldChar w:fldCharType="begin"/>
      </w:r>
      <w:r>
        <w:instrText xml:space="preserve"> PAGEREF _Toc24029 \h </w:instrText>
      </w:r>
      <w:r>
        <w:fldChar w:fldCharType="separate"/>
      </w:r>
      <w:r>
        <w:t>44</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_Toc3442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szCs w:val="24"/>
          <w:highlight w:val="none"/>
          <w:lang w:val="en-US" w:eastAsia="zh-CN"/>
        </w:rPr>
        <w:t>3</w:t>
      </w:r>
      <w:r>
        <w:rPr>
          <w:rFonts w:hint="eastAsia" w:asciiTheme="minorEastAsia" w:hAnsiTheme="minorEastAsia" w:eastAsiaTheme="minorEastAsia" w:cstheme="minorEastAsia"/>
          <w:kern w:val="2"/>
          <w:szCs w:val="24"/>
          <w:highlight w:val="none"/>
          <w:lang w:eastAsia="zh-CN"/>
        </w:rPr>
        <w:t>、</w:t>
      </w:r>
      <w:r>
        <w:rPr>
          <w:rFonts w:hint="eastAsia" w:asciiTheme="minorEastAsia" w:hAnsiTheme="minorEastAsia" w:eastAsiaTheme="minorEastAsia" w:cstheme="minorEastAsia"/>
          <w:kern w:val="2"/>
          <w:szCs w:val="24"/>
          <w:highlight w:val="none"/>
        </w:rPr>
        <w:t>工程付款办法</w:t>
      </w:r>
      <w:r>
        <w:tab/>
      </w:r>
      <w:r>
        <w:fldChar w:fldCharType="begin"/>
      </w:r>
      <w:r>
        <w:instrText xml:space="preserve"> PAGEREF _Toc3442 \h </w:instrText>
      </w:r>
      <w:r>
        <w:fldChar w:fldCharType="separate"/>
      </w:r>
      <w:r>
        <w:t>48</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_Toc22581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第三章 中标人须知</w:t>
      </w:r>
      <w:r>
        <w:tab/>
      </w:r>
      <w:r>
        <w:fldChar w:fldCharType="begin"/>
      </w:r>
      <w:r>
        <w:instrText xml:space="preserve"> PAGEREF _Toc22581 \h </w:instrText>
      </w:r>
      <w:r>
        <w:fldChar w:fldCharType="separate"/>
      </w:r>
      <w:r>
        <w:t>73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_Toc31514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第四章 投标人提交的其他材料</w:t>
      </w:r>
      <w:r>
        <w:tab/>
      </w:r>
      <w:r>
        <w:fldChar w:fldCharType="begin"/>
      </w:r>
      <w:r>
        <w:instrText xml:space="preserve"> PAGEREF _Toc31514 \h </w:instrText>
      </w:r>
      <w:r>
        <w:fldChar w:fldCharType="separate"/>
      </w:r>
      <w:r>
        <w:t>80</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_Toc6606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1</w:t>
      </w:r>
      <w:r>
        <w:rPr>
          <w:rFonts w:hint="eastAsia" w:asciiTheme="minorEastAsia" w:hAnsiTheme="minorEastAsia" w:eastAsiaTheme="minorEastAsia" w:cstheme="minorEastAsia"/>
          <w:bCs/>
          <w:szCs w:val="24"/>
          <w:highlight w:val="none"/>
          <w:lang w:eastAsia="zh-CN"/>
        </w:rPr>
        <w:t>、</w:t>
      </w:r>
      <w:r>
        <w:rPr>
          <w:rFonts w:hint="eastAsia" w:asciiTheme="minorEastAsia" w:hAnsiTheme="minorEastAsia" w:eastAsiaTheme="minorEastAsia" w:cstheme="minorEastAsia"/>
          <w:bCs/>
          <w:szCs w:val="24"/>
          <w:highlight w:val="none"/>
        </w:rPr>
        <w:t>投标保证</w:t>
      </w:r>
      <w:r>
        <w:tab/>
      </w:r>
      <w:r>
        <w:fldChar w:fldCharType="begin"/>
      </w:r>
      <w:r>
        <w:instrText xml:space="preserve"> PAGEREF _Toc6606 \h </w:instrText>
      </w:r>
      <w:r>
        <w:fldChar w:fldCharType="separate"/>
      </w:r>
      <w:r>
        <w:t>80</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_Toc13501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2</w:t>
      </w:r>
      <w:r>
        <w:rPr>
          <w:rFonts w:hint="eastAsia" w:asciiTheme="minorEastAsia" w:hAnsiTheme="minorEastAsia" w:eastAsiaTheme="minorEastAsia" w:cstheme="minorEastAsia"/>
          <w:bCs/>
          <w:szCs w:val="24"/>
          <w:highlight w:val="none"/>
          <w:lang w:eastAsia="zh-CN"/>
        </w:rPr>
        <w:t>、</w:t>
      </w:r>
      <w:r>
        <w:rPr>
          <w:rFonts w:hint="eastAsia" w:asciiTheme="minorEastAsia" w:hAnsiTheme="minorEastAsia" w:eastAsiaTheme="minorEastAsia" w:cstheme="minorEastAsia"/>
          <w:bCs/>
          <w:szCs w:val="24"/>
          <w:highlight w:val="none"/>
        </w:rPr>
        <w:t>履约保证金</w:t>
      </w:r>
      <w:r>
        <w:tab/>
      </w:r>
      <w:r>
        <w:fldChar w:fldCharType="begin"/>
      </w:r>
      <w:r>
        <w:instrText xml:space="preserve"> PAGEREF _Toc13501 \h </w:instrText>
      </w:r>
      <w:r>
        <w:fldChar w:fldCharType="separate"/>
      </w:r>
      <w:r>
        <w:t>81</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_Toc5950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3</w:t>
      </w:r>
      <w:r>
        <w:rPr>
          <w:rFonts w:hint="eastAsia" w:asciiTheme="minorEastAsia" w:hAnsiTheme="minorEastAsia" w:eastAsiaTheme="minorEastAsia" w:cstheme="minorEastAsia"/>
          <w:bCs/>
          <w:szCs w:val="24"/>
          <w:highlight w:val="none"/>
          <w:lang w:eastAsia="zh-CN"/>
        </w:rPr>
        <w:t>、</w:t>
      </w:r>
      <w:r>
        <w:rPr>
          <w:rFonts w:hint="eastAsia" w:asciiTheme="minorEastAsia" w:hAnsiTheme="minorEastAsia" w:eastAsiaTheme="minorEastAsia" w:cstheme="minorEastAsia"/>
          <w:bCs/>
          <w:szCs w:val="24"/>
          <w:highlight w:val="none"/>
        </w:rPr>
        <w:t>质量保证</w:t>
      </w:r>
      <w:r>
        <w:tab/>
      </w:r>
      <w:r>
        <w:fldChar w:fldCharType="begin"/>
      </w:r>
      <w:r>
        <w:instrText xml:space="preserve"> PAGEREF _Toc5950 \h </w:instrText>
      </w:r>
      <w:r>
        <w:fldChar w:fldCharType="separate"/>
      </w:r>
      <w:r>
        <w:t>82</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_Toc19584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第五章 招标工程的技术要求</w:t>
      </w:r>
      <w:r>
        <w:tab/>
      </w:r>
      <w:r>
        <w:fldChar w:fldCharType="begin"/>
      </w:r>
      <w:r>
        <w:instrText xml:space="preserve"> PAGEREF _Toc19584 \h </w:instrText>
      </w:r>
      <w:r>
        <w:fldChar w:fldCharType="separate"/>
      </w:r>
      <w:r>
        <w:t>83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_Toc29273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2"/>
          <w:highlight w:val="none"/>
          <w:lang w:val="en-US" w:eastAsia="zh-CN"/>
        </w:rPr>
        <w:t>一</w:t>
      </w:r>
      <w:r>
        <w:rPr>
          <w:rFonts w:hint="eastAsia" w:asciiTheme="minorEastAsia" w:hAnsiTheme="minorEastAsia" w:eastAsiaTheme="minorEastAsia" w:cstheme="minorEastAsia"/>
          <w:bCs/>
          <w:szCs w:val="22"/>
          <w:highlight w:val="none"/>
          <w:lang w:eastAsia="zh-CN"/>
        </w:rPr>
        <w:t>、</w:t>
      </w:r>
      <w:r>
        <w:rPr>
          <w:rFonts w:hint="eastAsia" w:asciiTheme="minorEastAsia" w:hAnsiTheme="minorEastAsia" w:eastAsiaTheme="minorEastAsia" w:cstheme="minorEastAsia"/>
          <w:bCs/>
          <w:szCs w:val="24"/>
          <w:highlight w:val="none"/>
        </w:rPr>
        <w:t>工程的技术要求</w:t>
      </w:r>
      <w:r>
        <w:tab/>
      </w:r>
      <w:r>
        <w:fldChar w:fldCharType="begin"/>
      </w:r>
      <w:r>
        <w:instrText xml:space="preserve"> PAGEREF _Toc29273 \h </w:instrText>
      </w:r>
      <w:r>
        <w:fldChar w:fldCharType="separate"/>
      </w:r>
      <w:r>
        <w:t>83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_Toc23589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0"/>
          <w:szCs w:val="24"/>
          <w:highlight w:val="none"/>
          <w:lang w:val="en-US" w:eastAsia="zh-CN"/>
        </w:rPr>
        <w:t>1.</w:t>
      </w:r>
      <w:r>
        <w:rPr>
          <w:rFonts w:hint="eastAsia" w:ascii="宋体" w:hAnsi="宋体" w:eastAsia="宋体" w:cs="宋体"/>
          <w:kern w:val="0"/>
          <w:szCs w:val="24"/>
          <w:highlight w:val="none"/>
        </w:rPr>
        <w:t>工程设计标准规范</w:t>
      </w:r>
      <w:r>
        <w:tab/>
      </w:r>
      <w:r>
        <w:fldChar w:fldCharType="begin"/>
      </w:r>
      <w:r>
        <w:instrText xml:space="preserve"> PAGEREF _Toc23589 \h </w:instrText>
      </w:r>
      <w:r>
        <w:fldChar w:fldCharType="separate"/>
      </w:r>
      <w:r>
        <w:t>83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_Toc18473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bCs/>
          <w:szCs w:val="24"/>
          <w:highlight w:val="none"/>
        </w:rPr>
        <w:t>2.施工</w:t>
      </w:r>
      <w:r>
        <w:rPr>
          <w:rFonts w:hint="eastAsia" w:ascii="宋体" w:hAnsi="宋体" w:eastAsia="宋体" w:cs="宋体"/>
          <w:snapToGrid w:val="0"/>
          <w:szCs w:val="24"/>
          <w:highlight w:val="none"/>
        </w:rPr>
        <w:t>规范</w:t>
      </w:r>
      <w:r>
        <w:tab/>
      </w:r>
      <w:r>
        <w:fldChar w:fldCharType="begin"/>
      </w:r>
      <w:r>
        <w:instrText xml:space="preserve"> PAGEREF _Toc18473 \h </w:instrText>
      </w:r>
      <w:r>
        <w:fldChar w:fldCharType="separate"/>
      </w:r>
      <w:r>
        <w:t>83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_Toc5527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snapToGrid w:val="0"/>
          <w:szCs w:val="24"/>
          <w:highlight w:val="none"/>
        </w:rPr>
        <w:t>3</w:t>
      </w:r>
      <w:r>
        <w:rPr>
          <w:rFonts w:hint="eastAsia" w:hAnsi="宋体" w:eastAsia="宋体" w:cs="宋体"/>
          <w:snapToGrid w:val="0"/>
          <w:szCs w:val="24"/>
          <w:highlight w:val="none"/>
          <w:lang w:val="en-US" w:eastAsia="zh-CN"/>
        </w:rPr>
        <w:t>.</w:t>
      </w:r>
      <w:r>
        <w:rPr>
          <w:rFonts w:hint="eastAsia" w:ascii="宋体" w:hAnsi="宋体" w:eastAsia="宋体" w:cs="宋体"/>
          <w:snapToGrid w:val="0"/>
          <w:szCs w:val="24"/>
          <w:highlight w:val="none"/>
        </w:rPr>
        <w:t>备查要求</w:t>
      </w:r>
      <w:r>
        <w:tab/>
      </w:r>
      <w:r>
        <w:fldChar w:fldCharType="begin"/>
      </w:r>
      <w:r>
        <w:instrText xml:space="preserve"> PAGEREF _Toc5527 \h </w:instrText>
      </w:r>
      <w:r>
        <w:fldChar w:fldCharType="separate"/>
      </w:r>
      <w:r>
        <w:t>84</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_Toc4050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lang w:val="en-US" w:eastAsia="zh-CN"/>
        </w:rPr>
        <w:t xml:space="preserve">第六章  </w:t>
      </w:r>
      <w:r>
        <w:rPr>
          <w:rFonts w:hint="eastAsia" w:asciiTheme="minorEastAsia" w:hAnsiTheme="minorEastAsia" w:eastAsiaTheme="minorEastAsia" w:cstheme="minorEastAsia"/>
          <w:kern w:val="44"/>
          <w:szCs w:val="36"/>
          <w:highlight w:val="none"/>
          <w:lang w:eastAsia="zh-CN"/>
        </w:rPr>
        <w:t>投标文件格式</w:t>
      </w:r>
      <w:r>
        <w:tab/>
      </w:r>
      <w:r>
        <w:fldChar w:fldCharType="begin"/>
      </w:r>
      <w:r>
        <w:instrText xml:space="preserve"> PAGEREF _Toc4050 \h </w:instrText>
      </w:r>
      <w:r>
        <w:fldChar w:fldCharType="separate"/>
      </w:r>
      <w:r>
        <w:t>85</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_Toc29889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napToGrid w:val="0"/>
          <w:szCs w:val="24"/>
          <w:highlight w:val="none"/>
        </w:rPr>
        <w:t>格式一 封面</w:t>
      </w:r>
      <w:r>
        <w:tab/>
      </w:r>
      <w:r>
        <w:fldChar w:fldCharType="begin"/>
      </w:r>
      <w:r>
        <w:instrText xml:space="preserve"> PAGEREF _Toc29889 \h </w:instrText>
      </w:r>
      <w:r>
        <w:fldChar w:fldCharType="separate"/>
      </w:r>
      <w:r>
        <w:t>85</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_Toc6530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格式二 投标函</w:t>
      </w:r>
      <w:r>
        <w:tab/>
      </w:r>
      <w:r>
        <w:fldChar w:fldCharType="begin"/>
      </w:r>
      <w:r>
        <w:instrText xml:space="preserve"> PAGEREF _Toc6530 \h </w:instrText>
      </w:r>
      <w:r>
        <w:fldChar w:fldCharType="separate"/>
      </w:r>
      <w:r>
        <w:t>86</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_Toc1350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4"/>
          <w:highlight w:val="none"/>
        </w:rPr>
        <w:t>格式三 工程项目总价表</w:t>
      </w:r>
      <w:r>
        <w:tab/>
      </w:r>
      <w:r>
        <w:fldChar w:fldCharType="begin"/>
      </w:r>
      <w:r>
        <w:instrText xml:space="preserve"> PAGEREF _Toc1350 \h </w:instrText>
      </w:r>
      <w:r>
        <w:fldChar w:fldCharType="separate"/>
      </w:r>
      <w:r>
        <w:t>87</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_Toc30161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4"/>
          <w:highlight w:val="none"/>
        </w:rPr>
        <w:t>格式</w:t>
      </w:r>
      <w:r>
        <w:rPr>
          <w:rFonts w:hint="eastAsia" w:asciiTheme="minorEastAsia" w:hAnsiTheme="minorEastAsia" w:eastAsiaTheme="minorEastAsia" w:cstheme="minorEastAsia"/>
          <w:szCs w:val="24"/>
          <w:highlight w:val="none"/>
          <w:lang w:val="en-US" w:eastAsia="zh-CN"/>
        </w:rPr>
        <w:t>四</w:t>
      </w:r>
      <w:r>
        <w:rPr>
          <w:rFonts w:hint="eastAsia" w:asciiTheme="minorEastAsia" w:hAnsiTheme="minorEastAsia" w:eastAsiaTheme="minorEastAsia" w:cstheme="minorEastAsia"/>
          <w:szCs w:val="24"/>
          <w:highlight w:val="none"/>
        </w:rPr>
        <w:t xml:space="preserve"> 各项</w:t>
      </w:r>
      <w:r>
        <w:rPr>
          <w:rFonts w:hint="eastAsia" w:asciiTheme="minorEastAsia" w:hAnsiTheme="minorEastAsia" w:eastAsiaTheme="minorEastAsia" w:cstheme="minorEastAsia"/>
          <w:bCs/>
          <w:szCs w:val="24"/>
          <w:highlight w:val="none"/>
        </w:rPr>
        <w:t>承诺</w:t>
      </w:r>
      <w:r>
        <w:rPr>
          <w:rFonts w:hint="eastAsia" w:asciiTheme="minorEastAsia" w:hAnsiTheme="minorEastAsia" w:eastAsiaTheme="minorEastAsia" w:cstheme="minorEastAsia"/>
          <w:szCs w:val="24"/>
          <w:highlight w:val="none"/>
        </w:rPr>
        <w:t>一览表</w:t>
      </w:r>
      <w:r>
        <w:tab/>
      </w:r>
      <w:r>
        <w:fldChar w:fldCharType="begin"/>
      </w:r>
      <w:r>
        <w:instrText xml:space="preserve"> PAGEREF _Toc30161 \h </w:instrText>
      </w:r>
      <w:r>
        <w:fldChar w:fldCharType="separate"/>
      </w:r>
      <w:r>
        <w:t>88</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_Toc726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五</w:t>
      </w:r>
      <w:r>
        <w:rPr>
          <w:rFonts w:hint="eastAsia" w:asciiTheme="minorEastAsia" w:hAnsiTheme="minorEastAsia" w:eastAsiaTheme="minorEastAsia" w:cstheme="minorEastAsia"/>
          <w:bCs/>
          <w:szCs w:val="24"/>
          <w:highlight w:val="none"/>
        </w:rPr>
        <w:t xml:space="preserve"> 授权委托书</w:t>
      </w:r>
      <w:r>
        <w:tab/>
      </w:r>
      <w:r>
        <w:fldChar w:fldCharType="begin"/>
      </w:r>
      <w:r>
        <w:instrText xml:space="preserve"> PAGEREF _Toc726 \h </w:instrText>
      </w:r>
      <w:r>
        <w:fldChar w:fldCharType="separate"/>
      </w:r>
      <w:r>
        <w:t>93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_Toc4422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六</w:t>
      </w:r>
      <w:r>
        <w:rPr>
          <w:rFonts w:hint="eastAsia" w:asciiTheme="minorEastAsia" w:hAnsiTheme="minorEastAsia" w:eastAsiaTheme="minorEastAsia" w:cstheme="minorEastAsia"/>
          <w:bCs/>
          <w:szCs w:val="24"/>
          <w:highlight w:val="none"/>
        </w:rPr>
        <w:t xml:space="preserve"> 法定代表人身份证明</w:t>
      </w:r>
      <w:r>
        <w:tab/>
      </w:r>
      <w:r>
        <w:fldChar w:fldCharType="begin"/>
      </w:r>
      <w:r>
        <w:instrText xml:space="preserve"> PAGEREF _Toc4422 \h </w:instrText>
      </w:r>
      <w:r>
        <w:fldChar w:fldCharType="separate"/>
      </w:r>
      <w:r>
        <w:t>94</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_Toc4393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七</w:t>
      </w:r>
      <w:r>
        <w:rPr>
          <w:rFonts w:hint="eastAsia" w:asciiTheme="minorEastAsia" w:hAnsiTheme="minorEastAsia" w:eastAsiaTheme="minorEastAsia" w:cstheme="minorEastAsia"/>
          <w:bCs/>
          <w:szCs w:val="24"/>
          <w:highlight w:val="none"/>
        </w:rPr>
        <w:t xml:space="preserve"> 联合体协议书</w:t>
      </w:r>
      <w:r>
        <w:tab/>
      </w:r>
      <w:r>
        <w:fldChar w:fldCharType="begin"/>
      </w:r>
      <w:r>
        <w:instrText xml:space="preserve"> PAGEREF _Toc4393 \h </w:instrText>
      </w:r>
      <w:r>
        <w:fldChar w:fldCharType="separate"/>
      </w:r>
      <w:r>
        <w:t>95</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_Toc27865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八</w:t>
      </w:r>
      <w:r>
        <w:rPr>
          <w:rFonts w:hint="eastAsia" w:asciiTheme="minorEastAsia" w:hAnsiTheme="minorEastAsia" w:eastAsiaTheme="minorEastAsia" w:cstheme="minorEastAsia"/>
          <w:bCs/>
          <w:szCs w:val="24"/>
          <w:highlight w:val="none"/>
        </w:rPr>
        <w:t xml:space="preserve"> 投标人基本情况表</w:t>
      </w:r>
      <w:r>
        <w:tab/>
      </w:r>
      <w:r>
        <w:fldChar w:fldCharType="begin"/>
      </w:r>
      <w:r>
        <w:instrText xml:space="preserve"> PAGEREF _Toc27865 \h </w:instrText>
      </w:r>
      <w:r>
        <w:fldChar w:fldCharType="separate"/>
      </w:r>
      <w:r>
        <w:t>97</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_Toc28913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九</w:t>
      </w:r>
      <w:r>
        <w:rPr>
          <w:rFonts w:hint="eastAsia" w:asciiTheme="minorEastAsia" w:hAnsiTheme="minorEastAsia" w:eastAsiaTheme="minorEastAsia" w:cstheme="minorEastAsia"/>
          <w:bCs/>
          <w:szCs w:val="24"/>
          <w:highlight w:val="none"/>
        </w:rPr>
        <w:t xml:space="preserve"> 项目经理简历表</w:t>
      </w:r>
      <w:r>
        <w:tab/>
      </w:r>
      <w:r>
        <w:fldChar w:fldCharType="begin"/>
      </w:r>
      <w:r>
        <w:instrText xml:space="preserve"> PAGEREF _Toc28913 \h </w:instrText>
      </w:r>
      <w:r>
        <w:fldChar w:fldCharType="separate"/>
      </w:r>
      <w:r>
        <w:t>98</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_Toc25510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十</w:t>
      </w:r>
      <w:r>
        <w:rPr>
          <w:rFonts w:hint="eastAsia" w:asciiTheme="minorEastAsia" w:hAnsiTheme="minorEastAsia" w:eastAsiaTheme="minorEastAsia" w:cstheme="minorEastAsia"/>
          <w:bCs/>
          <w:szCs w:val="24"/>
          <w:highlight w:val="none"/>
        </w:rPr>
        <w:t xml:space="preserve"> 项目经理任职声明</w:t>
      </w:r>
      <w:r>
        <w:tab/>
      </w:r>
      <w:r>
        <w:fldChar w:fldCharType="begin"/>
      </w:r>
      <w:r>
        <w:instrText xml:space="preserve"> PAGEREF _Toc25510 \h </w:instrText>
      </w:r>
      <w:r>
        <w:fldChar w:fldCharType="separate"/>
      </w:r>
      <w:r>
        <w:t>99</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_Toc319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格式十</w:t>
      </w:r>
      <w:r>
        <w:rPr>
          <w:rFonts w:hint="eastAsia" w:asciiTheme="minorEastAsia" w:hAnsiTheme="minorEastAsia" w:eastAsiaTheme="minorEastAsia" w:cstheme="minorEastAsia"/>
          <w:bCs/>
          <w:szCs w:val="24"/>
          <w:highlight w:val="none"/>
          <w:lang w:val="en-US" w:eastAsia="zh-CN"/>
        </w:rPr>
        <w:t>一</w:t>
      </w:r>
      <w:r>
        <w:rPr>
          <w:rFonts w:hint="eastAsia" w:asciiTheme="minorEastAsia" w:hAnsiTheme="minorEastAsia" w:eastAsiaTheme="minorEastAsia" w:cstheme="minorEastAsia"/>
          <w:bCs/>
          <w:szCs w:val="24"/>
          <w:highlight w:val="none"/>
        </w:rPr>
        <w:t xml:space="preserve"> 项目技术负责人简历表</w:t>
      </w:r>
      <w:r>
        <w:tab/>
      </w:r>
      <w:r>
        <w:fldChar w:fldCharType="begin"/>
      </w:r>
      <w:r>
        <w:instrText xml:space="preserve"> PAGEREF _Toc319 \h </w:instrText>
      </w:r>
      <w:r>
        <w:fldChar w:fldCharType="separate"/>
      </w:r>
      <w:r>
        <w:t>100</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_Toc12087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格式十</w:t>
      </w:r>
      <w:r>
        <w:rPr>
          <w:rFonts w:hint="eastAsia" w:asciiTheme="minorEastAsia" w:hAnsiTheme="minorEastAsia" w:eastAsiaTheme="minorEastAsia" w:cstheme="minorEastAsia"/>
          <w:bCs/>
          <w:szCs w:val="24"/>
          <w:highlight w:val="none"/>
          <w:lang w:val="en-US" w:eastAsia="zh-CN"/>
        </w:rPr>
        <w:t>二</w:t>
      </w:r>
      <w:r>
        <w:rPr>
          <w:rFonts w:hint="eastAsia" w:asciiTheme="minorEastAsia" w:hAnsiTheme="minorEastAsia" w:eastAsiaTheme="minorEastAsia" w:cstheme="minorEastAsia"/>
          <w:bCs/>
          <w:szCs w:val="24"/>
          <w:highlight w:val="none"/>
        </w:rPr>
        <w:t xml:space="preserve"> 项目设计负责人简历表</w:t>
      </w:r>
      <w:r>
        <w:tab/>
      </w:r>
      <w:r>
        <w:fldChar w:fldCharType="begin"/>
      </w:r>
      <w:r>
        <w:instrText xml:space="preserve"> PAGEREF _Toc12087 \h </w:instrText>
      </w:r>
      <w:r>
        <w:fldChar w:fldCharType="separate"/>
      </w:r>
      <w:r>
        <w:t>101</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_Toc6450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napToGrid w:val="0"/>
          <w:szCs w:val="24"/>
          <w:highlight w:val="none"/>
        </w:rPr>
        <w:t>格式十</w:t>
      </w:r>
      <w:r>
        <w:rPr>
          <w:rFonts w:hint="eastAsia" w:asciiTheme="minorEastAsia" w:hAnsiTheme="minorEastAsia" w:eastAsiaTheme="minorEastAsia" w:cstheme="minorEastAsia"/>
          <w:snapToGrid w:val="0"/>
          <w:szCs w:val="24"/>
          <w:highlight w:val="none"/>
          <w:lang w:val="en-US" w:eastAsia="zh-CN"/>
        </w:rPr>
        <w:t>三</w:t>
      </w:r>
      <w:r>
        <w:rPr>
          <w:rFonts w:hint="eastAsia" w:asciiTheme="minorEastAsia" w:hAnsiTheme="minorEastAsia" w:eastAsiaTheme="minorEastAsia" w:cstheme="minorEastAsia"/>
          <w:snapToGrid w:val="0"/>
          <w:szCs w:val="24"/>
          <w:highlight w:val="none"/>
        </w:rPr>
        <w:t xml:space="preserve"> 项目管理机构组成表</w:t>
      </w:r>
      <w:r>
        <w:tab/>
      </w:r>
      <w:r>
        <w:fldChar w:fldCharType="begin"/>
      </w:r>
      <w:r>
        <w:instrText xml:space="preserve"> PAGEREF _Toc6450 \h </w:instrText>
      </w:r>
      <w:r>
        <w:fldChar w:fldCharType="separate"/>
      </w:r>
      <w:r>
        <w:t>102</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_Toc9992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napToGrid w:val="0"/>
          <w:szCs w:val="24"/>
          <w:highlight w:val="none"/>
          <w:lang w:val="en-US" w:eastAsia="zh-CN"/>
        </w:rPr>
        <w:t>格式十四 定标文件封面</w:t>
      </w:r>
      <w:r>
        <w:tab/>
      </w:r>
      <w:r>
        <w:fldChar w:fldCharType="begin"/>
      </w:r>
      <w:r>
        <w:instrText xml:space="preserve"> PAGEREF _Toc9992 \h </w:instrText>
      </w:r>
      <w:r>
        <w:fldChar w:fldCharType="separate"/>
      </w:r>
      <w:r>
        <w:t>103</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_Toc25571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napToGrid w:val="0"/>
          <w:szCs w:val="24"/>
          <w:highlight w:val="none"/>
          <w:lang w:val="en-US" w:eastAsia="zh-CN"/>
        </w:rPr>
        <w:t>格式十五 定标因素评审资料</w:t>
      </w:r>
      <w:r>
        <w:tab/>
      </w:r>
      <w:r>
        <w:fldChar w:fldCharType="begin"/>
      </w:r>
      <w:r>
        <w:instrText xml:space="preserve"> PAGEREF _Toc25571 \h </w:instrText>
      </w:r>
      <w:r>
        <w:fldChar w:fldCharType="separate"/>
      </w:r>
      <w:r>
        <w:t>104</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_Toc23853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w:t>
      </w:r>
      <w:r>
        <w:rPr>
          <w:rFonts w:hint="eastAsia" w:asciiTheme="minorEastAsia" w:hAnsiTheme="minorEastAsia" w:eastAsiaTheme="minorEastAsia" w:cstheme="minorEastAsia"/>
          <w:kern w:val="44"/>
          <w:szCs w:val="36"/>
          <w:highlight w:val="none"/>
          <w:lang w:val="en-US" w:eastAsia="zh-CN"/>
        </w:rPr>
        <w:t>七</w:t>
      </w:r>
      <w:r>
        <w:rPr>
          <w:rFonts w:hint="eastAsia" w:asciiTheme="minorEastAsia" w:hAnsiTheme="minorEastAsia" w:eastAsiaTheme="minorEastAsia" w:cstheme="minorEastAsia"/>
          <w:kern w:val="44"/>
          <w:szCs w:val="36"/>
          <w:highlight w:val="none"/>
        </w:rPr>
        <w:t>章  建设工程合同</w:t>
      </w:r>
      <w:r>
        <w:tab/>
      </w:r>
      <w:r>
        <w:fldChar w:fldCharType="begin"/>
      </w:r>
      <w:r>
        <w:instrText xml:space="preserve"> PAGEREF _Toc23853 \h </w:instrText>
      </w:r>
      <w:r>
        <w:fldChar w:fldCharType="separate"/>
      </w:r>
      <w:r>
        <w:t>105</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0"/>
        <w:tabs>
          <w:tab w:val="right" w:leader="dot" w:pos="8306"/>
        </w:tabs>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_Toc30955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32"/>
          <w:highlight w:val="none"/>
        </w:rPr>
        <w:t>廉政合同</w:t>
      </w:r>
      <w:r>
        <w:rPr>
          <w:rFonts w:hint="eastAsia" w:asciiTheme="minorEastAsia" w:hAnsiTheme="minorEastAsia" w:eastAsiaTheme="minorEastAsia" w:cstheme="minorEastAsia"/>
          <w:bCs/>
          <w:szCs w:val="32"/>
          <w:highlight w:val="none"/>
          <w:lang w:val="en-US" w:eastAsia="zh-CN"/>
        </w:rPr>
        <w:t>格式</w:t>
      </w:r>
      <w:r>
        <w:tab/>
      </w:r>
      <w:r>
        <w:fldChar w:fldCharType="begin"/>
      </w:r>
      <w:r>
        <w:instrText xml:space="preserve"> PAGEREF _Toc30955 \h </w:instrText>
      </w:r>
      <w:r>
        <w:fldChar w:fldCharType="separate"/>
      </w:r>
      <w:r>
        <w:t>105</w:t>
      </w:r>
      <w: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sectPr>
          <w:footerReference r:id="rId4" w:type="default"/>
          <w:endnotePr>
            <w:numFmt w:val="decimal"/>
          </w:endnotePr>
          <w:pgSz w:w="11906" w:h="16838"/>
          <w:pgMar w:top="1440" w:right="1800" w:bottom="1440" w:left="1800" w:header="851" w:footer="992" w:gutter="0"/>
          <w:pgNumType w:start="1"/>
          <w:cols w:space="720" w:num="1"/>
          <w:docGrid w:type="lines" w:linePitch="312" w:charSpace="0"/>
        </w:sect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38"/>
        <w:keepNext/>
        <w:keepLines/>
        <w:pageBreakBefore w:val="0"/>
        <w:kinsoku/>
        <w:wordWrap w:val="0"/>
        <w:overflowPunct/>
        <w:bidi w:val="0"/>
        <w:jc w:val="center"/>
        <w:rPr>
          <w:rFonts w:hint="eastAsia" w:asciiTheme="minorEastAsia" w:hAnsiTheme="minorEastAsia" w:eastAsiaTheme="minorEastAsia" w:cstheme="minorEastAsia"/>
          <w:b/>
          <w:color w:val="000000" w:themeColor="text1"/>
          <w:kern w:val="44"/>
          <w:sz w:val="36"/>
          <w:szCs w:val="36"/>
          <w:highlight w:val="none"/>
          <w:lang w:eastAsia="zh-CN"/>
          <w14:textFill>
            <w14:solidFill>
              <w14:schemeClr w14:val="tx1"/>
            </w14:solidFill>
          </w14:textFill>
        </w:rPr>
      </w:pPr>
      <w:bookmarkStart w:id="0" w:name="_Toc29632"/>
      <w:bookmarkStart w:id="1" w:name="_Hlt111690251"/>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第一章</w:t>
      </w:r>
      <w:r>
        <w:rPr>
          <w:rFonts w:hint="eastAsia" w:asciiTheme="minorEastAsia" w:hAnsiTheme="minorEastAsia" w:eastAsiaTheme="minorEastAsia" w:cstheme="minorEastAsia"/>
          <w:b/>
          <w:color w:val="000000" w:themeColor="text1"/>
          <w:kern w:val="44"/>
          <w:sz w:val="36"/>
          <w:szCs w:val="36"/>
          <w:highlight w:val="none"/>
          <w:lang w:eastAsia="zh-CN"/>
          <w14:textFill>
            <w14:solidFill>
              <w14:schemeClr w14:val="tx1"/>
            </w14:solidFill>
          </w14:textFill>
        </w:rPr>
        <w:t>投标人须知</w:t>
      </w:r>
      <w:bookmarkEnd w:id="0"/>
    </w:p>
    <w:p>
      <w:pPr>
        <w:pStyle w:val="39"/>
        <w:keepNext/>
        <w:keepLines/>
        <w:pageBreakBefore w:val="0"/>
        <w:kinsoku/>
        <w:wordWrap w:val="0"/>
        <w:overflowPunct/>
        <w:autoSpaceDE/>
        <w:autoSpaceDN/>
        <w:bidi w:val="0"/>
        <w:adjustRightInd/>
        <w:spacing w:before="260" w:after="260" w:line="360" w:lineRule="exact"/>
        <w:ind w:firstLine="482" w:firstLineChars="20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 w:name="_Hlt127175444"/>
      <w:bookmarkEnd w:id="2"/>
      <w:bookmarkStart w:id="3" w:name="_Toc19197"/>
      <w:bookmarkStart w:id="4" w:name="_Hlt120077520"/>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第一节</w:t>
      </w:r>
      <w:r>
        <w:rPr>
          <w:rFonts w:hint="eastAsia" w:asciiTheme="minorEastAsia" w:hAnsiTheme="minorEastAsia" w:eastAsiaTheme="minorEastAsia" w:cstheme="minorEastAsia"/>
          <w:b/>
          <w:color w:val="000000" w:themeColor="text1"/>
          <w:kern w:val="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kern w:val="2"/>
          <w:highlight w:val="none"/>
          <w:lang w:eastAsia="zh-CN"/>
          <w14:textFill>
            <w14:solidFill>
              <w14:schemeClr w14:val="tx1"/>
            </w14:solidFill>
          </w14:textFill>
        </w:rPr>
        <w:t>投标人须知</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前附表</w:t>
      </w:r>
      <w:bookmarkEnd w:id="3"/>
    </w:p>
    <w:tbl>
      <w:tblPr>
        <w:tblStyle w:val="22"/>
        <w:tblW w:w="1006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810"/>
        <w:gridCol w:w="1709"/>
        <w:gridCol w:w="754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6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序</w:t>
            </w:r>
          </w:p>
          <w:p>
            <w:pPr>
              <w:pStyle w:val="37"/>
              <w:pageBreakBefore w:val="0"/>
              <w:kinsoku/>
              <w:wordWrap w:val="0"/>
              <w:overflowPunct/>
              <w:bidi w:val="0"/>
              <w:jc w:val="cente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号</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内容</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tabs>
                <w:tab w:val="left" w:pos="1180"/>
              </w:tabs>
              <w:kinsoku/>
              <w:wordWrap w:val="0"/>
              <w:overflowPunct/>
              <w:bidi w:val="0"/>
              <w:jc w:val="cente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说明与要求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7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项目</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名称</w:t>
            </w:r>
          </w:p>
        </w:tc>
        <w:tc>
          <w:tcPr>
            <w:tcW w:w="7544" w:type="dxa"/>
            <w:tcBorders>
              <w:top w:val="single" w:color="auto" w:sz="4" w:space="0"/>
              <w:left w:val="single" w:color="auto" w:sz="4" w:space="0"/>
              <w:bottom w:val="single" w:color="auto" w:sz="4" w:space="0"/>
              <w:right w:val="single" w:color="auto" w:sz="4" w:space="0"/>
            </w:tcBorders>
            <w:noWrap/>
            <w:vAlign w:val="top"/>
          </w:tcPr>
          <w:p>
            <w:pPr>
              <w:pStyle w:val="40"/>
              <w:pageBreakBefore w:val="0"/>
              <w:kinsoku/>
              <w:wordWrap w:val="0"/>
              <w:overflowPunct/>
              <w:bidi w:val="0"/>
              <w:adjustRightInd w:val="0"/>
              <w:snapToGrid w:val="0"/>
              <w:spacing w:line="360" w:lineRule="auto"/>
              <w:jc w:val="both"/>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南雄市“银杏染秋”乡村振兴示范带建设项目-主田镇典型村建设项目施工图设计和施工总承包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项目业主</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auto"/>
                <w:kern w:val="0"/>
                <w:sz w:val="24"/>
                <w:szCs w:val="24"/>
                <w:highlight w:val="none"/>
                <w:lang w:val="en-US" w:eastAsia="zh-CN"/>
              </w:rPr>
              <w:t>南雄市乡村振兴服务中心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3</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项目批准部门</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t>南雄市发展和改革局</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4</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项目批准文号</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雄发改投审[2024]106号、雄发改投审[2026]95号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5</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项目代码</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2407-440282-20-01-288869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0"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6</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资金来源</w:t>
            </w:r>
          </w:p>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及出资比例</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tabs>
                <w:tab w:val="left" w:pos="1180"/>
              </w:tabs>
              <w:kinsoku/>
              <w:wordWrap w:val="0"/>
              <w:overflowPunct/>
              <w:bidi w:val="0"/>
              <w:jc w:val="left"/>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市财政统筹，100%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7</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招标人</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rPr>
                <w:rFonts w:hint="eastAsia" w:asciiTheme="minorEastAsia" w:hAnsiTheme="minorEastAsia" w:eastAsiaTheme="minorEastAsia" w:cstheme="minorEastAsia"/>
                <w:bCs/>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t>南雄市主田镇人民政府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68"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8</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招标代理机构</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left"/>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韶关众兴招标有限公司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9</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项目总投资</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left"/>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本次招标概算总投资302.94万元，其中建安工程费约277.34万元，设计费约6.36万元。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10</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建设地点</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rPr>
                <w:rFonts w:hint="default"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南雄市主田镇</w:t>
            </w:r>
            <w:r>
              <w:rPr>
                <w:rFonts w:hint="default"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992"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项目建设内容</w:t>
            </w:r>
          </w:p>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和规模</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8"/>
              <w:pageBreakBefore w:val="0"/>
              <w:kinsoku/>
              <w:wordWrap w:val="0"/>
              <w:overflowPunct/>
              <w:bidi w:val="0"/>
              <w:spacing w:before="64" w:line="360" w:lineRule="auto"/>
              <w:ind w:right="96"/>
              <w:jc w:val="both"/>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1.城门村:拆除砖墙，地面硬化4240.2m2，排水沟902m,挡土墙20m,四小园506m,矮墙25m,路沿石10m,绿化350m2等;</w:t>
            </w:r>
          </w:p>
          <w:p>
            <w:pPr>
              <w:pStyle w:val="8"/>
              <w:pageBreakBefore w:val="0"/>
              <w:kinsoku/>
              <w:wordWrap w:val="0"/>
              <w:overflowPunct/>
              <w:bidi w:val="0"/>
              <w:spacing w:before="64" w:line="360" w:lineRule="auto"/>
              <w:ind w:right="96"/>
              <w:jc w:val="both"/>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2.其他部分:风貌提升12688m2,三线整治1项，三清三拆5100m2等。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54"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12</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招标范围</w:t>
            </w:r>
          </w:p>
          <w:p>
            <w:pPr>
              <w:pStyle w:val="37"/>
              <w:pageBreakBefore w:val="0"/>
              <w:kinsoku/>
              <w:wordWrap w:val="0"/>
              <w:overflowPunct/>
              <w:bidi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本工程所涉及的内容包括但不限于以下（1）</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p>
            <w:pPr>
              <w:pStyle w:val="37"/>
              <w:pageBreakBefore w:val="0"/>
              <w:numPr>
                <w:ilvl w:val="0"/>
                <w:numId w:val="0"/>
              </w:numPr>
              <w:kinsoku/>
              <w:wordWrap w:val="0"/>
              <w:overflowPunct/>
              <w:bidi w:val="0"/>
              <w:ind w:leftChars="0" w:firstLine="240"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设计部分：</w:t>
            </w:r>
            <w:r>
              <w:rPr>
                <w:rFonts w:hint="eastAsia" w:asciiTheme="minorEastAsia" w:hAnsiTheme="minorEastAsia" w:eastAsiaTheme="minorEastAsia" w:cstheme="minorEastAsia"/>
                <w:snapToGrid w:val="0"/>
                <w:color w:val="000000" w:themeColor="text1"/>
                <w:kern w:val="0"/>
                <w:sz w:val="24"/>
                <w:szCs w:val="24"/>
                <w:highlight w:val="none"/>
                <w:lang w:val="zh-CN"/>
                <w14:textFill>
                  <w14:solidFill>
                    <w14:schemeClr w14:val="tx1"/>
                  </w14:solidFill>
                </w14:textFill>
              </w:rPr>
              <w:t>确保项目顺利实施的报建、报批、施工等所需的所有建安工程等设计文件。包括但不限于：施工图设计、</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提供项目所需相关检测项的明细表和危险性较大的分部分项工程清单及保障安全相关说明、</w:t>
            </w:r>
            <w:r>
              <w:rPr>
                <w:rFonts w:hint="eastAsia" w:asciiTheme="minorEastAsia" w:hAnsiTheme="minorEastAsia" w:eastAsiaTheme="minorEastAsia" w:cstheme="minorEastAsia"/>
                <w:snapToGrid w:val="0"/>
                <w:color w:val="000000" w:themeColor="text1"/>
                <w:kern w:val="0"/>
                <w:sz w:val="24"/>
                <w:szCs w:val="24"/>
                <w:highlight w:val="none"/>
                <w:lang w:val="zh-CN"/>
                <w14:textFill>
                  <w14:solidFill>
                    <w14:schemeClr w14:val="tx1"/>
                  </w14:solidFill>
                </w14:textFill>
              </w:rPr>
              <w:t>工地现场服务、验收过程中的设计指导及配合阶段验收及档案整理、协助施工单位编制竣工图及后续设计服务工作</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p>
            <w:pPr>
              <w:pStyle w:val="37"/>
              <w:pageBreakBefore w:val="0"/>
              <w:kinsoku/>
              <w:wordWrap w:val="0"/>
              <w:overflowPunct/>
              <w:bidi w:val="0"/>
              <w:ind w:firstLine="241"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注：设计文件深度要求必须满足</w:t>
            </w:r>
            <w:r>
              <w:rPr>
                <w:rFonts w:hint="eastAsia" w:asciiTheme="minorEastAsia" w:hAnsiTheme="minorEastAsia" w:eastAsiaTheme="minorEastAsia" w:cstheme="minorEastAsia"/>
                <w:b/>
                <w:bCs/>
                <w:snapToGrid w:val="0"/>
                <w:color w:val="000000" w:themeColor="text1"/>
                <w:kern w:val="0"/>
                <w:sz w:val="24"/>
                <w:szCs w:val="24"/>
                <w:highlight w:val="none"/>
                <w:lang w:eastAsia="zh-CN"/>
                <w14:textFill>
                  <w14:solidFill>
                    <w14:schemeClr w14:val="tx1"/>
                  </w14:solidFill>
                </w14:textFill>
              </w:rPr>
              <w:t>住房和城乡建设部</w:t>
            </w: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《建筑工程设计文件编制深度规定（20</w:t>
            </w:r>
            <w:r>
              <w:rPr>
                <w:rFonts w:hint="eastAsia" w:asciiTheme="minorEastAsia" w:hAnsiTheme="minorEastAsia" w:eastAsiaTheme="minorEastAsia" w:cstheme="minorEastAsia"/>
                <w:b/>
                <w:bCs/>
                <w:snapToGrid w:val="0"/>
                <w:color w:val="000000" w:themeColor="text1"/>
                <w:kern w:val="0"/>
                <w:sz w:val="24"/>
                <w:szCs w:val="24"/>
                <w:highlight w:val="none"/>
                <w:lang w:val="en-US" w:eastAsia="zh-CN"/>
                <w14:textFill>
                  <w14:solidFill>
                    <w14:schemeClr w14:val="tx1"/>
                  </w14:solidFill>
                </w14:textFill>
              </w:rPr>
              <w:t>23</w:t>
            </w: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版）》的要求，各专业还应该满足各专业工程设计文件编制深度规范或规定的要求</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p>
            <w:pPr>
              <w:pStyle w:val="37"/>
              <w:pageBreakBefore w:val="0"/>
              <w:kinsoku/>
              <w:wordWrap w:val="0"/>
              <w:overflowPunct/>
              <w:bidi w:val="0"/>
              <w:ind w:firstLine="240" w:firstLineChars="1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）施工部分：设计文件及工程量清单范围内的所有工程及配套工程、设施等的施工</w:t>
            </w:r>
            <w:r>
              <w:rPr>
                <w:rFonts w:hint="eastAsia" w:hAnsi="宋体" w:cs="Calibri"/>
                <w:bCs/>
                <w:color w:val="000000" w:themeColor="text1"/>
                <w:sz w:val="24"/>
                <w:szCs w:val="24"/>
                <w:highlight w:val="none"/>
                <w:lang w:val="zh-CN"/>
                <w14:textFill>
                  <w14:solidFill>
                    <w14:schemeClr w14:val="tx1"/>
                  </w14:solidFill>
                </w14:textFill>
              </w:rPr>
              <w:t>（含竣工验收资料编制整理、备案等），完成并配合发包人结算、负责工程缺陷保修以及发包人要求由施工单位完成的其他工作（发包人另行委托其他单位负责实施的工作内容除外，但需提供一系列协调及配合服务）等</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13</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标段划分</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本招标项目不划分标段。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14</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工期</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本项目设计、施工总工期</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210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日历天，其中：设计工期为</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60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施工工期为</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150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459"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15</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质量标准</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hAnsi="宋体" w:cs="Calibri"/>
                <w:bCs/>
                <w:color w:val="000000" w:themeColor="text1"/>
                <w:sz w:val="24"/>
                <w:szCs w:val="24"/>
                <w:highlight w:val="none"/>
                <w:lang w:val="zh-CN"/>
                <w14:textFill>
                  <w14:solidFill>
                    <w14:schemeClr w14:val="tx1"/>
                  </w14:solidFill>
                </w14:textFill>
              </w:rPr>
              <w:t>（</w:t>
            </w:r>
            <w:r>
              <w:rPr>
                <w:rFonts w:hint="eastAsia" w:hAnsi="宋体" w:cs="Calibri"/>
                <w:bCs/>
                <w:color w:val="000000" w:themeColor="text1"/>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设计要求：符合国家或行业颁布的现行有效的有关设计的规范要求，符合设计任务书的相关要求，并必须通过有关部门的审查及经有资质的审图机构审查合格。</w:t>
            </w:r>
          </w:p>
          <w:p>
            <w:pPr>
              <w:pStyle w:val="37"/>
              <w:pageBreakBefore w:val="0"/>
              <w:kinsoku/>
              <w:wordWrap w:val="0"/>
              <w:overflowPunct/>
              <w:bidi w:val="0"/>
              <w:ind w:firstLine="240" w:firstLineChars="100"/>
              <w:jc w:val="left"/>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hAnsi="宋体" w:cs="Calibri"/>
                <w:bCs/>
                <w:color w:val="000000" w:themeColor="text1"/>
                <w:sz w:val="24"/>
                <w:szCs w:val="24"/>
                <w:highlight w:val="none"/>
                <w:lang w:val="zh-CN"/>
                <w14:textFill>
                  <w14:solidFill>
                    <w14:schemeClr w14:val="tx1"/>
                  </w14:solidFill>
                </w14:textFill>
              </w:rPr>
              <w:t>（</w:t>
            </w:r>
            <w:r>
              <w:rPr>
                <w:rFonts w:hint="eastAsia" w:hAnsi="宋体" w:cs="Calibri"/>
                <w:bCs/>
                <w:color w:val="000000" w:themeColor="text1"/>
                <w:sz w:val="24"/>
                <w:szCs w:val="24"/>
                <w:highlight w:val="none"/>
                <w:lang w:val="en-US" w:eastAsia="zh-CN"/>
                <w14:textFill>
                  <w14:solidFill>
                    <w14:schemeClr w14:val="tx1"/>
                  </w14:solidFill>
                </w14:textFill>
              </w:rPr>
              <w:t>2）施工</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要求：施工质量必须达到合格标准</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符合现行国家有关工程施工质量验收规范和标准的要求。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16</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工程最高投标限价</w:t>
            </w:r>
          </w:p>
        </w:tc>
        <w:tc>
          <w:tcPr>
            <w:tcW w:w="7544"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napToGrid w:val="0"/>
                <w:color w:val="FF0000"/>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rPr>
              <w:t>本招标项目最高投标限价在开标前7天另行发布于全国公共资源交易平台（广东省·韶关市）（https://ygp.gdzwfw.gov..cn/ggzy-portal/#/440200/index）、广东省招标投标监管网（https://www.gdzwfw.gov.cn/ztbjg-portal/#/index）网站。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17</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投标人资格要求</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本次招标接受联合体投标，联合体以一个投标人的身份共同投标。</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1.1．联合体成员数量不超过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个。</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1.2．联合体各方应按招标文件提供的格式签订联合体协议书，明确联合体牵头人和各方权利义务，并承诺就中标项目向招标人承担连带责任。《联合体协议书》作为投标文件的组成部分向招标人提交。</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1.3．联合体成员单位均应具备拟承担的工作内容（以《联合体协议书》的约定为准）所规定的资格条件。若同一工作内容由两个或两个以上单位共同承担，该项工作内容按照资质等级较低的单位确定联合体资质等级。</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1.4．联合体各方不得再以自己名义单独或参加其他联合体在本招标项目中投标，否则各相关投标均无效。</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2．资格资质要求</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2.1 投标人须具备独立法人资格，按国家法律经营。</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2.2 投标人须持有建设行政主管部门颁发的企业资质证书。</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xml:space="preserve"> 投标人须具备以下资质：参加投标的投标人可以是单一独立法人或由不超过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家独立法人组成的联合体（必须注明其中一家为牵头人），单一独立法人必须至少同时具备以下①～</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资质，组成联合体投标的，联合后必须至少具备以下①～</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资质，联合体牵头人必须为施工单位，由同一专业的单位组成的联合体，按照资质等级较低的单位确定资质等级：</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①施工资质1：建设行政主管部门颁发的市政公用工程施工总承包叁级或以上(含叁级)资质，并持有有效安全生产许可证。</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②施工资质2：建设行政主管部门颁发的建筑工程施工总承包叁级或以上(含叁级)资质，并持有有效安全生产许可证。</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③设计资质必须具备建设行政主管部门颁发的工程设计综合甲级资质或同时具备（1）（2）资质：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（1）市政行业资质之一：</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1、工程设计市政行业乙级以上（含乙级）资质；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2、工程设计市政行业乙级（燃气工程、轨道交通工程除外）以上（含乙级）资质；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（2）建筑行业资质之一：</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1、工程设计建筑行业乙级以上（含乙级）资质；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2、工程设计建筑行业（建筑工程）专业乙级以上（含乙级）资质；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highlight w:val="none"/>
                <w14:textFill>
                  <w14:solidFill>
                    <w14:schemeClr w14:val="tx1"/>
                  </w14:solidFill>
                </w14:textFill>
              </w:rPr>
              <w:t>2.</w:t>
            </w:r>
            <w:r>
              <w:rPr>
                <w:rFonts w:hint="eastAsia" w:asciiTheme="minorEastAsia" w:hAnsiTheme="minorEastAsia" w:eastAsiaTheme="minorEastAsia" w:cstheme="minorEastAsia"/>
                <w:b w:val="0"/>
                <w:bCs w:val="0"/>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3．相关人员要求</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3.1 拟派项目经理为具有</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建筑工程或市政公用工程</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专业一级或二级注册建造师，其中一级注册建造师应持有国家住建部印发的有效注册证书，二级注册建造师应持有考试取得执业资格的省、自治区、直辖市住建部门核准的有效电子注册证书（二级注册建造师应持有住建部门核准的、在使用有效期内的有效电子证书）。同时均须具备有效安全生产考核合格证明（B证，安全生产考核合格证书或“广东省建筑施工企业管理人员安全生产考核信息系统”考核合格信息打印页），且未担任其他在施（包括已中标未开工、已建成未竣工）建设工程项目的项目经理。</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3.2投标人拟派项目技术负责人须具备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建筑工程或市政公用工程相关</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专业</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中</w:t>
            </w: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级（或以上）</w:t>
            </w:r>
            <w:r>
              <w:rPr>
                <w:rFonts w:hint="eastAsia" w:asciiTheme="minorEastAsia" w:hAnsiTheme="minorEastAsia" w:eastAsiaTheme="minorEastAsia" w:cstheme="minorEastAsia"/>
                <w:color w:val="000000" w:themeColor="text1"/>
                <w:sz w:val="24"/>
                <w:szCs w:val="24"/>
                <w:highlight w:val="none"/>
                <w:lang w:val="zh-CN"/>
                <w14:textFill>
                  <w14:solidFill>
                    <w14:schemeClr w14:val="tx1"/>
                  </w14:solidFill>
                </w14:textFill>
              </w:rPr>
              <w:t>技术</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职称。（若为联合体投标，则联合体成员任意一方提供即可）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投标人拟派专职安全生产管理人员须具备有效安全生产考核合格证明（C证，安全生产考核合格证书或“广东省建筑施工企业管理人员安全生产考核系统”考核合格信息打印页）</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且不少于</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1人</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投标人拟派项目设计负责人须具备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二级以上(含二级)注册建筑师注册证书或工程师或以上职称。</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3.5</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投标人与其拟派往本项目管理机构的所有人员之间必须具备合法、唯一的劳动聘用关系。拟派人员中具备注册执业资格的，其注册单位须与投标人保持一致。</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4．禁止投标条款：</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4.1．投标人不得存在下列情形之一：</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（1）为招标人不具有独立法人资格的附属机构（单位）；</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（2）为本招标项目前期准备提供咨询服务的；</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（3）与本招标项目的其他投标人为同一个单位负责人；</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（4）与本招标项目的其他投标人存在控股、管理关系；</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（5）为本招标项目的监理人；</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（6）为本招标项目的代建人；</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（7）为本招标项目的招标代理机构；</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（8）与本招标项目的监理人或代建人或招标代理机构同为一个法定代表人；</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（9）与本招标项目的监理人或代建人或招标代理机构存在控股或参股关系；</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（10）与本招标项目的监理人或代建人或招标代理机构存在相互任职或工作关系；</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（11）被依法暂停或者取消投标资格；</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（12）被责令停产停业、暂扣或者吊销许可证、暂扣或者吊销执照；</w:t>
            </w:r>
          </w:p>
          <w:p>
            <w:pPr>
              <w:pageBreakBefore w:val="0"/>
              <w:kinsoku/>
              <w:wordWrap w:val="0"/>
              <w:overflowPunct/>
              <w:bidi w:val="0"/>
              <w:adjustRightInd w:val="0"/>
              <w:snapToGrid w:val="0"/>
              <w:spacing w:line="360" w:lineRule="auto"/>
              <w:ind w:left="240" w:left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（13）进入清算程序，或被宣告破产，或其他丧失履约能力的情形；</w:t>
            </w:r>
          </w:p>
          <w:p>
            <w:pPr>
              <w:pageBreakBefore w:val="0"/>
              <w:kinsoku/>
              <w:wordWrap w:val="0"/>
              <w:overflowPunct/>
              <w:bidi w:val="0"/>
              <w:adjustRightInd w:val="0"/>
              <w:snapToGrid w:val="0"/>
              <w:spacing w:line="360" w:lineRule="auto"/>
              <w:ind w:left="240" w:left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（14）在最近三年内发生重大工程质量或安全问题（以相关行业主管部门的行政处罚决定或司法机关出具的有关法律文书为准）；</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（15）被“信用中国”网站（https://www.creditchina.gov.cn）发布的《法人和非法人组织公共信用信息报告》列入严重失信主体名单的。</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4.2．招标人拒绝以下名单中的单位参加本次投标：</w:t>
            </w:r>
          </w:p>
          <w:tbl>
            <w:tblPr>
              <w:tblStyle w:val="22"/>
              <w:tblW w:w="0" w:type="auto"/>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3405"/>
              <w:gridCol w:w="3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660"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序号</w:t>
                  </w:r>
                </w:p>
              </w:tc>
              <w:tc>
                <w:tcPr>
                  <w:tcW w:w="3405"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单位名称</w:t>
                  </w:r>
                </w:p>
              </w:tc>
              <w:tc>
                <w:tcPr>
                  <w:tcW w:w="3241"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拒绝原因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660"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w:t>
                  </w:r>
                </w:p>
              </w:tc>
              <w:tc>
                <w:tcPr>
                  <w:tcW w:w="3405"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南雄市主田镇人民政府</w:t>
                  </w:r>
                </w:p>
              </w:tc>
              <w:tc>
                <w:tcPr>
                  <w:tcW w:w="3241"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为本招标项目的招标人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60"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w:t>
                  </w:r>
                </w:p>
              </w:tc>
              <w:tc>
                <w:tcPr>
                  <w:tcW w:w="3405" w:type="dxa"/>
                  <w:noWrap/>
                  <w:vAlign w:val="center"/>
                </w:tcPr>
                <w:p>
                  <w:pPr>
                    <w:pageBreakBefore w:val="0"/>
                    <w:kinsoku/>
                    <w:wordWrap w:val="0"/>
                    <w:overflowPunct/>
                    <w:bidi w:val="0"/>
                    <w:adjustRightInd w:val="0"/>
                    <w:snapToGrid w:val="0"/>
                    <w:spacing w:line="360" w:lineRule="auto"/>
                    <w:jc w:val="center"/>
                    <w:rPr>
                      <w:rFonts w:hint="default" w:asciiTheme="minorEastAsia" w:hAnsiTheme="minorEastAsia" w:eastAsiaTheme="minorEastAsia" w:cstheme="minorEastAsia"/>
                      <w:color w:val="000000" w:themeColor="text1"/>
                      <w:sz w:val="24"/>
                      <w:szCs w:val="24"/>
                      <w:highlight w:val="none"/>
                      <w:lang w:val="en-US"/>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南雄市乡村振兴服务中心</w:t>
                  </w:r>
                </w:p>
              </w:tc>
              <w:tc>
                <w:tcPr>
                  <w:tcW w:w="3241"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为本招标项目的业主单位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w:t>
                  </w:r>
                </w:p>
              </w:tc>
              <w:tc>
                <w:tcPr>
                  <w:tcW w:w="3405"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中咨管理顾问有限责任公司</w:t>
                  </w:r>
                </w:p>
              </w:tc>
              <w:tc>
                <w:tcPr>
                  <w:tcW w:w="3241"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为本招标项目的可行性研究报告编制单位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60"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w:t>
                  </w:r>
                </w:p>
              </w:tc>
              <w:tc>
                <w:tcPr>
                  <w:tcW w:w="3405"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韶关众兴招标有限公司</w:t>
                  </w:r>
                </w:p>
              </w:tc>
              <w:tc>
                <w:tcPr>
                  <w:tcW w:w="3241"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为本招标项目的招标代理机构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60"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5</w:t>
                  </w:r>
                </w:p>
              </w:tc>
              <w:tc>
                <w:tcPr>
                  <w:tcW w:w="3405"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广咨国际工程咨询有限公司</w:t>
                  </w:r>
                </w:p>
              </w:tc>
              <w:tc>
                <w:tcPr>
                  <w:tcW w:w="3241"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为本招标项目的可行性研究报告修编单位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60" w:type="dxa"/>
                  <w:noWrap/>
                  <w:vAlign w:val="center"/>
                </w:tcPr>
                <w:p>
                  <w:pPr>
                    <w:pageBreakBefore w:val="0"/>
                    <w:kinsoku/>
                    <w:wordWrap w:val="0"/>
                    <w:overflowPunct/>
                    <w:bidi w:val="0"/>
                    <w:adjustRightInd w:val="0"/>
                    <w:snapToGrid w:val="0"/>
                    <w:spacing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6</w:t>
                  </w:r>
                </w:p>
              </w:tc>
              <w:tc>
                <w:tcPr>
                  <w:tcW w:w="3405" w:type="dxa"/>
                  <w:noWrap/>
                  <w:vAlign w:val="center"/>
                </w:tcPr>
                <w:p>
                  <w:pPr>
                    <w:pageBreakBefore w:val="0"/>
                    <w:tabs>
                      <w:tab w:val="center" w:pos="941"/>
                    </w:tabs>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待定</w:t>
                  </w:r>
                </w:p>
              </w:tc>
              <w:tc>
                <w:tcPr>
                  <w:tcW w:w="3241"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为本招标项目的监理单位</w:t>
                  </w:r>
                </w:p>
              </w:tc>
            </w:tr>
          </w:tbl>
          <w:p>
            <w:pPr>
              <w:pStyle w:val="41"/>
              <w:pageBreakBefore w:val="0"/>
              <w:kinsoku/>
              <w:wordWrap w:val="0"/>
              <w:overflowPunct/>
              <w:bidi w:val="0"/>
              <w:ind w:firstLine="480" w:firstLineChars="2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5.省外企业（包括组成联合体的所有成员单位）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及其拟派往本项目管理机构的所有人员</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须按照《广东省住房和城乡建设厅关于取消省外建筑企业和人员进粤信息备案有关工作的通知》（粤建市﹝2015﹞52号）规定在“进粤企业和人员诚信信息登记平台”录入相关信息并通过数据规范检查。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18</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snapToGrid w:val="0"/>
              <w:spacing w:beforeLines="50"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投标保证</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 xml:space="preserve">  1．投标人须缴纳金额为人民币</w:t>
            </w:r>
            <w:r>
              <w:rPr>
                <w:rFonts w:hint="eastAsia" w:asciiTheme="minorEastAsia" w:hAnsiTheme="minorEastAsia" w:eastAsiaTheme="minorEastAsia" w:cstheme="minorEastAsia"/>
                <w:b/>
                <w:bCs/>
                <w:snapToGrid w:val="0"/>
                <w:color w:val="000000" w:themeColor="text1"/>
                <w:kern w:val="0"/>
                <w:sz w:val="24"/>
                <w:szCs w:val="24"/>
                <w:highlight w:val="none"/>
                <w:u w:val="single"/>
                <w:lang w:val="en-US" w:eastAsia="zh-CN"/>
                <w14:textFill>
                  <w14:solidFill>
                    <w14:schemeClr w14:val="tx1"/>
                  </w14:solidFill>
                </w14:textFill>
              </w:rPr>
              <w:t>壹万元整</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的投标保证。联合体投标的，由联合体牵头人缴纳。</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2．投标保证的形式包括投标保证金、投标保证担保、投标保证保险三种，由投标人自主选择。</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采用投标保证金的，投标人在建设工程交易系统获取招标文件完毕后，即可在系统申请缴纳投标保证金，获取本次招标投标保证金缴纳账号。投标人必须于投标保证金到账截止时间（见本章“重要事项时间地点一览表”）前，从其基本账户将投标保证金转账到指定的缴纳账号。逾期到账的、从非投标人基本账户转出的，其投标无效。</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2）采用投标保证担保的，投标人应提交有效的银行保函，银行保函的有效期不得短于投标有效期。投标人必须在投标保证担保截止时间（见本章“重要事项时间地点一览表”）前，使用工程建设交易系统完成网上办理电子保函。</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3）采用投标保证保险的，投标人须在投标保证保险投保截止时间（见本章“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19</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投标有效期</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本次招标的投标有效期为</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90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个日历天。</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7"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20</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投标文件</w:t>
            </w:r>
          </w:p>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组成</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商务技术</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标书</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21</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评标委员会</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评标委员会由5人组成，其中招标人代表0人，专家5人。专家从广东省综合评标评审专家库中随机抽取，其中技术类专家3人，经济类专家2人。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22</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评标方法</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综合评估法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23</w:t>
            </w:r>
          </w:p>
        </w:tc>
        <w:tc>
          <w:tcPr>
            <w:tcW w:w="170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定</w:t>
            </w:r>
            <w:r>
              <w:rPr>
                <w:rFonts w:hint="eastAsia" w:ascii="宋体" w:hAnsi="宋体" w:eastAsia="宋体" w:cs="宋体"/>
                <w:snapToGrid w:val="0"/>
                <w:color w:val="auto"/>
                <w:kern w:val="0"/>
                <w:sz w:val="24"/>
                <w:szCs w:val="24"/>
                <w:highlight w:val="none"/>
                <w:lang w:eastAsia="zh-CN"/>
              </w:rPr>
              <w:t>标委员会</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定标</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委员会组成</w:t>
            </w:r>
            <w:r>
              <w:rPr>
                <w:rFonts w:hint="eastAsia" w:ascii="宋体" w:hAnsi="宋体" w:eastAsia="宋体" w:cs="宋体"/>
                <w:snapToGrid w:val="0"/>
                <w:color w:val="auto"/>
                <w:kern w:val="0"/>
                <w:sz w:val="24"/>
                <w:szCs w:val="24"/>
                <w:highlight w:val="none"/>
                <w:lang w:eastAsia="zh-CN"/>
              </w:rPr>
              <w:t xml:space="preserve">人员为 </w:t>
            </w:r>
            <w:r>
              <w:rPr>
                <w:rFonts w:hint="eastAsia" w:ascii="宋体" w:hAnsi="宋体" w:eastAsia="宋体" w:cs="宋体"/>
                <w:snapToGrid w:val="0"/>
                <w:color w:val="auto"/>
                <w:kern w:val="0"/>
                <w:sz w:val="24"/>
                <w:szCs w:val="24"/>
                <w:highlight w:val="none"/>
                <w:lang w:val="en-US" w:eastAsia="zh-CN"/>
              </w:rPr>
              <w:t xml:space="preserve">7 </w:t>
            </w:r>
            <w:r>
              <w:rPr>
                <w:rFonts w:hint="eastAsia" w:ascii="宋体" w:hAnsi="宋体" w:eastAsia="宋体" w:cs="宋体"/>
                <w:snapToGrid w:val="0"/>
                <w:color w:val="auto"/>
                <w:kern w:val="0"/>
                <w:sz w:val="24"/>
                <w:szCs w:val="24"/>
                <w:highlight w:val="none"/>
                <w:lang w:eastAsia="zh-CN"/>
              </w:rPr>
              <w:t>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24</w:t>
            </w:r>
          </w:p>
        </w:tc>
        <w:tc>
          <w:tcPr>
            <w:tcW w:w="170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宋体" w:hAnsi="宋体" w:eastAsia="宋体" w:cs="宋体"/>
                <w:snapToGrid w:val="0"/>
                <w:color w:val="auto"/>
                <w:kern w:val="0"/>
                <w:sz w:val="24"/>
                <w:szCs w:val="24"/>
                <w:highlight w:val="none"/>
                <w:lang w:val="en-US" w:eastAsia="zh-CN"/>
              </w:rPr>
              <w:t>定标办法</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宋体" w:hAnsi="宋体" w:eastAsia="宋体" w:cs="宋体"/>
                <w:snapToGrid w:val="0"/>
                <w:color w:val="auto"/>
                <w:kern w:val="0"/>
                <w:sz w:val="24"/>
                <w:szCs w:val="24"/>
                <w:highlight w:val="none"/>
                <w:lang w:eastAsia="zh-CN"/>
              </w:rPr>
              <w:t>☑票决定标法（</w:t>
            </w:r>
            <w:r>
              <w:rPr>
                <w:rFonts w:hint="eastAsia" w:ascii="宋体" w:hAnsi="宋体" w:eastAsia="宋体" w:cs="宋体"/>
                <w:snapToGrid w:val="0"/>
                <w:color w:val="auto"/>
                <w:kern w:val="0"/>
                <w:sz w:val="24"/>
                <w:szCs w:val="24"/>
                <w:highlight w:val="none"/>
                <w:lang w:val="en-US" w:eastAsia="zh-CN"/>
              </w:rPr>
              <w:t>票决数量法</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lang w:eastAsia="zh-CN"/>
              </w:rPr>
              <w:t>□集体议事法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25</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安全文明施工</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达到国家、省、市有关标准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00"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26</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房屋建筑工程</w:t>
            </w:r>
          </w:p>
          <w:p>
            <w:pPr>
              <w:pStyle w:val="37"/>
              <w:pageBreakBefore w:val="0"/>
              <w:kinsoku/>
              <w:wordWrap w:val="0"/>
              <w:overflowPunct/>
              <w:bidi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绿色建筑标准</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本招标</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项目</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不纳入绿色建筑实施范围。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27</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履约保证金</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履约保证金为中标价的</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在领取中标通知书之日起</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个工作日内、签订合同前缴纳</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组成联合体时，由联合体牵头人缴纳</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w:t>
            </w:r>
          </w:p>
          <w:p>
            <w:pPr>
              <w:pStyle w:val="37"/>
              <w:pageBreakBefore w:val="0"/>
              <w:kinsoku/>
              <w:wordWrap w:val="0"/>
              <w:overflowPunct/>
              <w:bidi w:val="0"/>
              <w:ind w:firstLine="240" w:firstLineChars="100"/>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履约保证的形式包括</w:t>
            </w:r>
            <w:r>
              <w:rPr>
                <w:rFonts w:hint="eastAsia" w:ascii="宋体" w:hAnsi="宋体" w:eastAsia="宋体" w:cs="宋体"/>
                <w:snapToGrid w:val="0"/>
                <w:color w:val="000000" w:themeColor="text1"/>
                <w:kern w:val="0"/>
                <w:sz w:val="24"/>
                <w:szCs w:val="24"/>
                <w:highlight w:val="none"/>
                <w14:textFill>
                  <w14:solidFill>
                    <w14:schemeClr w14:val="tx1"/>
                  </w14:solidFill>
                </w14:textFill>
              </w:rPr>
              <w:t>履约保证金、</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履约</w:t>
            </w:r>
            <w:r>
              <w:rPr>
                <w:rFonts w:hint="eastAsia" w:ascii="宋体" w:hAnsi="宋体" w:eastAsia="宋体" w:cs="宋体"/>
                <w:snapToGrid w:val="0"/>
                <w:color w:val="000000" w:themeColor="text1"/>
                <w:kern w:val="0"/>
                <w:sz w:val="24"/>
                <w:szCs w:val="24"/>
                <w:highlight w:val="none"/>
                <w14:textFill>
                  <w14:solidFill>
                    <w14:schemeClr w14:val="tx1"/>
                  </w14:solidFill>
                </w14:textFill>
              </w:rPr>
              <w:t>保证担保、履约保证保险三种</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，由中标人自主选择</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，保函有效期不得少于</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本工程总工期</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，如果采用银行转账方式则必须从中标人的法人开户银行的账号划出招标人指定的账户，并详细注明</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项目名称</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及用途。</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28</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工程款支付</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详见本招标文件“2-4、工程付款办法”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29</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工程质量保证金</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工程</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质量</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保证金总金额为结算价的3%，从工程竣工验收合格之日起计满</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30</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绿色施工安全防护措施费</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按《建设工程工程量清单计价规范》（</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GB/T50500～2024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）、《广东省建设工程计价依据（2018）》《关于明确建筑工程安全防护、文明施工措施费用具体管理办法的通知》（韶市建【2015】26号）等最新规定执行。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31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招标人</w:t>
            </w:r>
          </w:p>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联系方式</w:t>
            </w:r>
          </w:p>
        </w:tc>
        <w:tc>
          <w:tcPr>
            <w:tcW w:w="7544"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单位名称：</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南雄市主田镇人民政府</w:t>
            </w:r>
          </w:p>
          <w:p>
            <w:pPr>
              <w:pageBreakBefore w:val="0"/>
              <w:tabs>
                <w:tab w:val="left" w:pos="1440"/>
              </w:tabs>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办公地址：</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南雄市主田镇人民政府</w:t>
            </w:r>
          </w:p>
          <w:p>
            <w:pPr>
              <w:pageBreakBefore w:val="0"/>
              <w:tabs>
                <w:tab w:val="left" w:pos="1440"/>
              </w:tabs>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联系人（部门）：</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赖</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先生</w:t>
            </w:r>
          </w:p>
          <w:p>
            <w:pPr>
              <w:pageBreakBefore w:val="0"/>
              <w:tabs>
                <w:tab w:val="left" w:pos="1440"/>
              </w:tabs>
              <w:kinsoku/>
              <w:wordWrap w:val="0"/>
              <w:overflowPunct/>
              <w:bidi w:val="0"/>
              <w:adjustRightInd w:val="0"/>
              <w:snapToGrid w:val="0"/>
              <w:spacing w:line="360" w:lineRule="auto"/>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联系电话：</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0751-3792001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32</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招标代理机构</w:t>
            </w:r>
          </w:p>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联系方式</w:t>
            </w:r>
          </w:p>
        </w:tc>
        <w:tc>
          <w:tcPr>
            <w:tcW w:w="7544"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单位名称：韶关众兴招标有限公司</w:t>
            </w:r>
          </w:p>
          <w:p>
            <w:pPr>
              <w:pageBreakBefore w:val="0"/>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办公地址：</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韶关市曲江区马坝镇城东沿堤路君悦华庭华福楼首层13号商铺</w:t>
            </w:r>
          </w:p>
          <w:p>
            <w:pPr>
              <w:pageBreakBefore w:val="0"/>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联系人（部门）：</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高工</w:t>
            </w:r>
          </w:p>
          <w:p>
            <w:pPr>
              <w:pageBreakBefore w:val="0"/>
              <w:kinsoku/>
              <w:wordWrap w:val="0"/>
              <w:overflowPunct/>
              <w:bidi w:val="0"/>
              <w:adjustRightInd w:val="0"/>
              <w:snapToGrid w:val="0"/>
              <w:spacing w:line="360" w:lineRule="auto"/>
              <w:jc w:val="left"/>
              <w:rPr>
                <w:rFonts w:hint="default"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联系电话：1</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5119846316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default"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33</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交易场所</w:t>
            </w:r>
          </w:p>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联系方式</w:t>
            </w:r>
          </w:p>
        </w:tc>
        <w:tc>
          <w:tcPr>
            <w:tcW w:w="7544"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spacing w:line="40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单位名称：韶关市公共资源交易中心</w:t>
            </w:r>
          </w:p>
          <w:p>
            <w:pPr>
              <w:pageBreakBefore w:val="0"/>
              <w:kinsoku/>
              <w:wordWrap w:val="0"/>
              <w:overflowPunct/>
              <w:bidi w:val="0"/>
              <w:spacing w:line="40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办公地址：南雄市雄东路1号大润发四楼韶关市公共资源交易中心南雄分中心（公共服务中心内）</w:t>
            </w:r>
          </w:p>
          <w:p>
            <w:pPr>
              <w:pageBreakBefore w:val="0"/>
              <w:kinsoku/>
              <w:wordWrap w:val="0"/>
              <w:overflowPunct/>
              <w:bidi w:val="0"/>
              <w:spacing w:line="40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联系人：工程交易股</w:t>
            </w:r>
          </w:p>
          <w:p>
            <w:pPr>
              <w:pageBreakBefore w:val="0"/>
              <w:kinsoku/>
              <w:wordWrap w:val="0"/>
              <w:overflowPunct/>
              <w:bidi w:val="0"/>
              <w:spacing w:line="400" w:lineRule="exact"/>
              <w:jc w:val="left"/>
              <w:rPr>
                <w:rFonts w:hint="default"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 0751-3860729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515"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default"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34</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spacing w:line="40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行政监督部门</w:t>
            </w:r>
          </w:p>
          <w:p>
            <w:pPr>
              <w:pageBreakBefore w:val="0"/>
              <w:kinsoku/>
              <w:wordWrap w:val="0"/>
              <w:overflowPunct/>
              <w:bidi w:val="0"/>
              <w:spacing w:line="400" w:lineRule="exact"/>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联系方式</w:t>
            </w:r>
          </w:p>
        </w:tc>
        <w:tc>
          <w:tcPr>
            <w:tcW w:w="7544"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spacing w:line="40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单位名称：</w:t>
            </w:r>
            <w:r>
              <w:rPr>
                <w:rFonts w:hint="eastAsia" w:ascii="宋体" w:hAnsi="宋体" w:eastAsia="宋体" w:cs="宋体"/>
                <w:color w:val="000000" w:themeColor="text1"/>
                <w:sz w:val="24"/>
                <w:szCs w:val="24"/>
                <w:highlight w:val="none"/>
                <w:lang w:val="en-US" w:eastAsia="zh-CN"/>
                <w14:textFill>
                  <w14:solidFill>
                    <w14:schemeClr w14:val="tx1"/>
                  </w14:solidFill>
                </w14:textFill>
              </w:rPr>
              <w:t>南雄市</w:t>
            </w:r>
            <w:r>
              <w:rPr>
                <w:rFonts w:hint="eastAsia" w:hAnsi="宋体" w:eastAsia="宋体" w:cs="宋体"/>
                <w:color w:val="000000" w:themeColor="text1"/>
                <w:sz w:val="24"/>
                <w:szCs w:val="24"/>
                <w:highlight w:val="none"/>
                <w:lang w:val="en-US" w:eastAsia="zh-CN"/>
                <w14:textFill>
                  <w14:solidFill>
                    <w14:schemeClr w14:val="tx1"/>
                  </w14:solidFill>
                </w14:textFill>
              </w:rPr>
              <w:t>农业局</w:t>
            </w:r>
          </w:p>
          <w:p>
            <w:pPr>
              <w:pageBreakBefore w:val="0"/>
              <w:kinsoku/>
              <w:wordWrap w:val="0"/>
              <w:overflowPunct/>
              <w:bidi w:val="0"/>
              <w:spacing w:line="40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办公地址：南雄市沿江西路 98 号</w:t>
            </w:r>
          </w:p>
          <w:p>
            <w:pPr>
              <w:pageBreakBefore w:val="0"/>
              <w:kinsoku/>
              <w:wordWrap w:val="0"/>
              <w:overflowPunct/>
              <w:bidi w:val="0"/>
              <w:spacing w:line="40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联系人（部门）：乡村建设与农村社会事业促进股</w:t>
            </w:r>
          </w:p>
          <w:p>
            <w:pPr>
              <w:pageBreakBefore w:val="0"/>
              <w:kinsoku/>
              <w:wordWrap w:val="0"/>
              <w:overflowPunct/>
              <w:bidi w:val="0"/>
              <w:spacing w:line="40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联系电话：0751-3802620</w:t>
            </w:r>
          </w:p>
        </w:tc>
      </w:tr>
      <w:bookmarkEnd w:id="4"/>
    </w:tbl>
    <w:p>
      <w:pPr>
        <w:pStyle w:val="4"/>
        <w:pageBreakBefore w:val="0"/>
        <w:kinsoku/>
        <w:wordWrap w:val="0"/>
        <w:overflowPunct/>
        <w:autoSpaceDE/>
        <w:autoSpaceDN/>
        <w:bidi w:val="0"/>
        <w:snapToGrid w:val="0"/>
        <w:spacing w:after="260" w:line="440" w:lineRule="exact"/>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5" w:name="_Toc122671103"/>
      <w:bookmarkStart w:id="6" w:name="_Toc122769943"/>
      <w:bookmarkStart w:id="7" w:name="_Toc122859103"/>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br w:type="page"/>
      </w:r>
      <w:bookmarkEnd w:id="5"/>
      <w:bookmarkEnd w:id="6"/>
      <w:bookmarkEnd w:id="7"/>
      <w:bookmarkStart w:id="8" w:name="_Toc10455"/>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第二节</w:t>
      </w:r>
      <w:r>
        <w:rPr>
          <w:rFonts w:hint="eastAsia" w:asciiTheme="minorEastAsia" w:hAnsiTheme="minorEastAsia" w:eastAsiaTheme="minorEastAsia" w:cstheme="minorEastAsia"/>
          <w:b/>
          <w:color w:val="000000" w:themeColor="text1"/>
          <w:kern w:val="2"/>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重要事项时间地点一览表.</w:t>
      </w:r>
      <w:bookmarkEnd w:id="8"/>
    </w:p>
    <w:tbl>
      <w:tblPr>
        <w:tblStyle w:val="22"/>
        <w:tblW w:w="9699" w:type="dxa"/>
        <w:tblInd w:w="-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504"/>
        <w:gridCol w:w="1610"/>
        <w:gridCol w:w="758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2"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1</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招标公告</w:t>
            </w:r>
          </w:p>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 xml:space="preserve">发布时间 </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400" w:lineRule="exact"/>
              <w:jc w:val="left"/>
              <w:rPr>
                <w:rFonts w:hint="eastAsia" w:ascii="宋体" w:hAnsi="宋体" w:eastAsia="宋体" w:cs="宋体"/>
                <w:snapToGrid w:val="0"/>
                <w:color w:val="000000"/>
                <w:kern w:val="0"/>
                <w:sz w:val="24"/>
                <w:highlight w:val="none"/>
              </w:rPr>
            </w:pP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9</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21</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20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00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1"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2</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 xml:space="preserve">获取招标文件截止时间 </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400" w:lineRule="exact"/>
              <w:jc w:val="left"/>
              <w:rPr>
                <w:rFonts w:hint="eastAsia" w:ascii="宋体" w:hAnsi="宋体" w:eastAsia="宋体" w:cs="宋体"/>
                <w:snapToGrid w:val="0"/>
                <w:color w:val="000000"/>
                <w:kern w:val="0"/>
                <w:sz w:val="24"/>
                <w:highlight w:val="none"/>
              </w:rPr>
            </w:pPr>
            <w:r>
              <w:rPr>
                <w:rFonts w:hint="eastAsia" w:ascii="宋体" w:hAnsi="宋体" w:eastAsia="宋体" w:cs="宋体"/>
                <w:color w:val="000000"/>
                <w:sz w:val="24"/>
                <w:szCs w:val="24"/>
                <w:highlight w:val="none"/>
                <w:u w:val="single"/>
                <w:lang w:val="en-US" w:eastAsia="zh-CN"/>
              </w:rPr>
              <w:t xml:space="preserve">2026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21</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840"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3</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网上提问</w:t>
            </w:r>
          </w:p>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 xml:space="preserve">截止时间 </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400" w:lineRule="exact"/>
              <w:jc w:val="left"/>
              <w:rPr>
                <w:rFonts w:hint="eastAsia" w:ascii="宋体" w:hAnsi="宋体" w:eastAsia="宋体" w:cs="宋体"/>
                <w:snapToGrid w:val="0"/>
                <w:color w:val="000000"/>
                <w:kern w:val="0"/>
                <w:sz w:val="24"/>
                <w:highlight w:val="none"/>
              </w:rPr>
            </w:pPr>
            <w:r>
              <w:rPr>
                <w:rFonts w:hint="eastAsia" w:ascii="宋体" w:hAnsi="宋体" w:eastAsia="宋体" w:cs="宋体"/>
                <w:color w:val="000000"/>
                <w:sz w:val="24"/>
                <w:szCs w:val="24"/>
                <w:highlight w:val="none"/>
                <w:u w:val="single"/>
                <w:lang w:val="en-US" w:eastAsia="zh-CN"/>
              </w:rPr>
              <w:t xml:space="preserve">2026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11</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00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0"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4</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网上答疑</w:t>
            </w:r>
          </w:p>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时间</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400" w:lineRule="exact"/>
              <w:jc w:val="left"/>
              <w:rPr>
                <w:rFonts w:hint="eastAsia" w:ascii="宋体" w:hAnsi="宋体" w:eastAsia="宋体" w:cs="宋体"/>
                <w:snapToGrid w:val="0"/>
                <w:color w:val="000000"/>
                <w:kern w:val="0"/>
                <w:sz w:val="24"/>
                <w:highlight w:val="none"/>
              </w:rPr>
            </w:pP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11</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16</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r>
              <w:rPr>
                <w:rFonts w:hint="eastAsia" w:ascii="宋体" w:hAnsi="宋体" w:eastAsia="宋体" w:cs="宋体"/>
                <w:snapToGrid w:val="0"/>
                <w:color w:val="000000"/>
                <w:kern w:val="0"/>
                <w:sz w:val="24"/>
                <w:highlight w:val="none"/>
              </w:rPr>
              <w:t>至</w:t>
            </w: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14</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16</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00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94"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5</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投标保证缴</w:t>
            </w:r>
          </w:p>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纳截止时间</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400" w:lineRule="exact"/>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投标保证金到账截止时间：</w:t>
            </w: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20</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r>
              <w:rPr>
                <w:rFonts w:hint="eastAsia" w:ascii="宋体" w:hAnsi="宋体" w:eastAsia="宋体" w:cs="宋体"/>
                <w:snapToGrid w:val="0"/>
                <w:color w:val="000000"/>
                <w:kern w:val="0"/>
                <w:sz w:val="24"/>
                <w:highlight w:val="none"/>
              </w:rPr>
              <w:t>；</w:t>
            </w:r>
          </w:p>
          <w:p>
            <w:pPr>
              <w:pStyle w:val="40"/>
              <w:pageBreakBefore w:val="0"/>
              <w:kinsoku/>
              <w:wordWrap w:val="0"/>
              <w:overflowPunct/>
              <w:bidi w:val="0"/>
              <w:adjustRightInd w:val="0"/>
              <w:snapToGrid w:val="0"/>
              <w:spacing w:line="400" w:lineRule="exact"/>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投标保证担保上传截止时间：</w:t>
            </w: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20</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r>
              <w:rPr>
                <w:rFonts w:hint="eastAsia" w:ascii="宋体" w:hAnsi="宋体" w:eastAsia="宋体" w:cs="宋体"/>
                <w:snapToGrid w:val="0"/>
                <w:color w:val="000000"/>
                <w:kern w:val="0"/>
                <w:sz w:val="24"/>
                <w:highlight w:val="none"/>
              </w:rPr>
              <w:t>；</w:t>
            </w:r>
          </w:p>
          <w:p>
            <w:pPr>
              <w:pStyle w:val="19"/>
              <w:pageBreakBefore w:val="0"/>
              <w:kinsoku/>
              <w:wordWrap w:val="0"/>
              <w:overflowPunct/>
              <w:bidi w:val="0"/>
              <w:adjustRightInd w:val="0"/>
              <w:snapToGrid w:val="0"/>
              <w:spacing w:line="400" w:lineRule="exact"/>
              <w:rPr>
                <w:rFonts w:hint="eastAsia" w:ascii="宋体" w:hAnsi="宋体" w:eastAsia="宋体" w:cs="宋体"/>
                <w:snapToGrid w:val="0"/>
                <w:color w:val="000000"/>
                <w:kern w:val="0"/>
                <w:szCs w:val="24"/>
                <w:highlight w:val="none"/>
              </w:rPr>
            </w:pPr>
            <w:r>
              <w:rPr>
                <w:rFonts w:hint="eastAsia" w:ascii="宋体" w:hAnsi="宋体" w:eastAsia="宋体" w:cs="宋体"/>
                <w:snapToGrid w:val="0"/>
                <w:color w:val="000000"/>
                <w:kern w:val="0"/>
                <w:szCs w:val="24"/>
                <w:highlight w:val="none"/>
              </w:rPr>
              <w:t>投标保证保险投保截止时间：</w:t>
            </w: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20</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r>
              <w:rPr>
                <w:rFonts w:hint="eastAsia" w:ascii="宋体" w:hAnsi="宋体" w:eastAsia="宋体" w:cs="宋体"/>
                <w:snapToGrid w:val="0"/>
                <w:color w:val="000000"/>
                <w:kern w:val="0"/>
                <w:szCs w:val="24"/>
                <w:highlight w:val="none"/>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8"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6</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电子投标</w:t>
            </w:r>
          </w:p>
          <w:p>
            <w:pPr>
              <w:pStyle w:val="40"/>
              <w:pageBreakBefore w:val="0"/>
              <w:kinsoku/>
              <w:wordWrap w:val="0"/>
              <w:overflowPunct/>
              <w:bidi w:val="0"/>
              <w:adjustRightInd w:val="0"/>
              <w:snapToGrid w:val="0"/>
              <w:spacing w:line="360" w:lineRule="exact"/>
              <w:jc w:val="center"/>
              <w:rPr>
                <w:rFonts w:hint="eastAsia" w:ascii="宋体" w:hAnsi="宋体" w:eastAsia="宋体" w:cs="宋体"/>
                <w:strike/>
                <w:snapToGrid w:val="0"/>
                <w:color w:val="000000"/>
                <w:kern w:val="0"/>
                <w:sz w:val="24"/>
                <w:highlight w:val="none"/>
              </w:rPr>
            </w:pPr>
            <w:r>
              <w:rPr>
                <w:rFonts w:hint="eastAsia" w:ascii="宋体" w:hAnsi="宋体" w:eastAsia="宋体" w:cs="宋体"/>
                <w:snapToGrid w:val="0"/>
                <w:color w:val="000000"/>
                <w:kern w:val="0"/>
                <w:sz w:val="24"/>
                <w:highlight w:val="none"/>
              </w:rPr>
              <w:t>截止时间</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19"/>
              <w:pageBreakBefore w:val="0"/>
              <w:kinsoku/>
              <w:wordWrap w:val="0"/>
              <w:overflowPunct/>
              <w:bidi w:val="0"/>
              <w:adjustRightInd w:val="0"/>
              <w:snapToGrid w:val="0"/>
              <w:spacing w:line="400" w:lineRule="exact"/>
              <w:ind w:firstLine="120" w:firstLineChars="50"/>
              <w:jc w:val="left"/>
              <w:rPr>
                <w:rFonts w:hint="eastAsia" w:ascii="宋体" w:hAnsi="宋体" w:eastAsia="宋体" w:cs="宋体"/>
                <w:snapToGrid w:val="0"/>
                <w:color w:val="000000"/>
                <w:kern w:val="0"/>
                <w:szCs w:val="24"/>
                <w:highlight w:val="none"/>
              </w:rPr>
            </w:pPr>
            <w:r>
              <w:rPr>
                <w:rFonts w:hint="eastAsia" w:ascii="宋体" w:hAnsi="宋体" w:eastAsia="宋体" w:cs="宋体"/>
                <w:color w:val="000000"/>
                <w:sz w:val="24"/>
                <w:szCs w:val="24"/>
                <w:highlight w:val="none"/>
                <w:u w:val="single"/>
                <w:lang w:val="en-US" w:eastAsia="zh-CN"/>
              </w:rPr>
              <w:t xml:space="preserve">2026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21</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810"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7</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highlight w:val="none"/>
              </w:rPr>
              <w:t xml:space="preserve">开标时间 </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19"/>
              <w:pageBreakBefore w:val="0"/>
              <w:kinsoku/>
              <w:wordWrap w:val="0"/>
              <w:overflowPunct/>
              <w:bidi w:val="0"/>
              <w:adjustRightInd w:val="0"/>
              <w:snapToGrid w:val="0"/>
              <w:spacing w:line="400" w:lineRule="exact"/>
              <w:jc w:val="left"/>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Cs w:val="24"/>
                <w:highlight w:val="none"/>
              </w:rPr>
              <w:t xml:space="preserve"> </w:t>
            </w:r>
            <w:r>
              <w:rPr>
                <w:rFonts w:hint="eastAsia" w:ascii="宋体" w:hAnsi="宋体" w:eastAsia="宋体" w:cs="宋体"/>
                <w:color w:val="000000"/>
                <w:sz w:val="24"/>
                <w:szCs w:val="24"/>
                <w:highlight w:val="none"/>
                <w:u w:val="single"/>
                <w:lang w:val="en-US" w:eastAsia="zh-CN"/>
              </w:rPr>
              <w:t xml:space="preserve">2026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21</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10</w:t>
            </w:r>
            <w:bookmarkStart w:id="594" w:name="_GoBack"/>
            <w:bookmarkEnd w:id="594"/>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607"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8</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highlight w:val="none"/>
              </w:rPr>
              <w:t xml:space="preserve">开标地点 </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left"/>
              <w:rPr>
                <w:rFonts w:hint="eastAsia" w:ascii="宋体" w:hAnsi="宋体" w:eastAsia="宋体" w:cs="宋体"/>
                <w:snapToGrid w:val="0"/>
                <w:color w:val="000000"/>
                <w:kern w:val="0"/>
                <w:sz w:val="24"/>
                <w:szCs w:val="24"/>
                <w:highlight w:val="none"/>
                <w:lang w:val="en" w:eastAsia="zh-CN"/>
              </w:rPr>
            </w:pPr>
            <w:r>
              <w:rPr>
                <w:rFonts w:hint="eastAsia" w:ascii="宋体" w:hAnsi="宋体" w:eastAsia="宋体" w:cs="宋体"/>
                <w:snapToGrid w:val="0"/>
                <w:color w:val="000000"/>
                <w:kern w:val="0"/>
                <w:sz w:val="24"/>
                <w:szCs w:val="24"/>
                <w:highlight w:val="none"/>
              </w:rPr>
              <w:t>开标场所：</w:t>
            </w:r>
            <w:r>
              <w:rPr>
                <w:rFonts w:hint="eastAsia" w:ascii="宋体" w:hAnsi="宋体" w:eastAsia="宋体" w:cs="宋体"/>
                <w:snapToGrid w:val="0"/>
                <w:color w:val="000000"/>
                <w:kern w:val="0"/>
                <w:sz w:val="24"/>
                <w:szCs w:val="24"/>
                <w:highlight w:val="none"/>
                <w:lang w:val="en" w:eastAsia="zh-CN"/>
              </w:rPr>
              <w:t>韶关市公共资源交易中心南雄分中心</w:t>
            </w:r>
          </w:p>
          <w:p>
            <w:pPr>
              <w:pStyle w:val="40"/>
              <w:pageBreakBefore w:val="0"/>
              <w:kinsoku/>
              <w:wordWrap w:val="0"/>
              <w:overflowPunct/>
              <w:bidi w:val="0"/>
              <w:adjustRightInd w:val="0"/>
              <w:snapToGrid w:val="0"/>
              <w:spacing w:line="360" w:lineRule="auto"/>
              <w:jc w:val="left"/>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 w:eastAsia="zh-CN"/>
              </w:rPr>
              <w:t>地址：南雄市雄东路1号大润发四楼韶关市公共资源交易中心南雄分中心，具体房间号以当日现场通知为准。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569"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9</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ageBreakBefore w:val="0"/>
              <w:kinsoku/>
              <w:wordWrap w:val="0"/>
              <w:overflowPunct/>
              <w:bidi w:val="0"/>
              <w:adjustRightInd w:val="0"/>
              <w:snapToGrid w:val="0"/>
              <w:spacing w:line="360" w:lineRule="auto"/>
              <w:jc w:val="center"/>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Cs w:val="24"/>
                <w:highlight w:val="none"/>
              </w:rPr>
              <w:t>备注</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ageBreakBefore w:val="0"/>
              <w:kinsoku/>
              <w:wordWrap w:val="0"/>
              <w:overflowPunct/>
              <w:bidi w:val="0"/>
              <w:adjustRightInd w:val="0"/>
              <w:snapToGrid w:val="0"/>
              <w:spacing w:line="360" w:lineRule="auto"/>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Cs w:val="24"/>
                <w:highlight w:val="none"/>
              </w:rPr>
              <w:t>投标人应按有关要求办理数字证书（CA）和企业入库、获取招标文件、资料文件及招标答疑书等。若由于投标人自身原因未能及时取得上述资料的，由此发生的任何责任由投标人自行承担。</w:t>
            </w:r>
          </w:p>
        </w:tc>
      </w:tr>
    </w:tbl>
    <w:p>
      <w:pPr>
        <w:pStyle w:val="4"/>
        <w:pageBreakBefore w:val="0"/>
        <w:kinsoku/>
        <w:wordWrap w:val="0"/>
        <w:overflowPunct/>
        <w:autoSpaceDE/>
        <w:autoSpaceDN/>
        <w:bidi w:val="0"/>
        <w:snapToGrid w:val="0"/>
        <w:spacing w:after="260" w:line="440" w:lineRule="exact"/>
        <w:jc w:val="center"/>
        <w:rPr>
          <w:rFonts w:hint="eastAsia" w:asciiTheme="minorEastAsia" w:hAnsiTheme="minorEastAsia" w:eastAsiaTheme="minorEastAsia" w:cstheme="minorEastAsia"/>
          <w:color w:val="000000" w:themeColor="text1"/>
          <w:sz w:val="24"/>
          <w:szCs w:val="28"/>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br w:type="page"/>
      </w:r>
      <w:bookmarkStart w:id="9" w:name="_Hlt69669159"/>
      <w:bookmarkEnd w:id="9"/>
      <w:bookmarkStart w:id="10" w:name="_Toc22729"/>
      <w:bookmarkStart w:id="11" w:name="_Hlt69698705"/>
      <w:bookmarkStart w:id="12" w:name="_Hlt69698754"/>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第三节</w:t>
      </w:r>
      <w:bookmarkStart w:id="13" w:name="_Hlt87793819"/>
      <w:bookmarkEnd w:id="13"/>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 xml:space="preserve"> </w:t>
      </w:r>
      <w:r>
        <w:rPr>
          <w:rFonts w:hint="eastAsia" w:asciiTheme="minorEastAsia" w:hAnsiTheme="minorEastAsia" w:eastAsiaTheme="minorEastAsia" w:cstheme="minorEastAsia"/>
          <w:b/>
          <w:color w:val="000000" w:themeColor="text1"/>
          <w:kern w:val="2"/>
          <w:szCs w:val="24"/>
          <w:highlight w:val="none"/>
          <w:lang w:eastAsia="zh-CN"/>
          <w14:textFill>
            <w14:solidFill>
              <w14:schemeClr w14:val="tx1"/>
            </w14:solidFill>
          </w14:textFill>
        </w:rPr>
        <w:t>投标人须知</w:t>
      </w:r>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正文</w:t>
      </w:r>
      <w:bookmarkEnd w:id="10"/>
      <w:bookmarkEnd w:id="11"/>
      <w:bookmarkEnd w:id="12"/>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u w:val="single"/>
          <w:lang w:eastAsia="zh-CN"/>
          <w14:textFill>
            <w14:solidFill>
              <w14:schemeClr w14:val="tx1"/>
            </w14:solidFill>
          </w14:textFill>
        </w:rPr>
        <w:t>南雄市“银杏染秋”乡村振兴示范带建设项目</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业经</w:t>
      </w:r>
      <w:r>
        <w:rPr>
          <w:rFonts w:hint="eastAsia" w:asciiTheme="minorEastAsia" w:hAnsiTheme="minorEastAsia" w:eastAsiaTheme="minorEastAsia" w:cstheme="minorEastAsia"/>
          <w:snapToGrid w:val="0"/>
          <w:color w:val="000000" w:themeColor="text1"/>
          <w:kern w:val="0"/>
          <w:highlight w:val="none"/>
          <w:u w:val="single"/>
          <w:lang w:eastAsia="zh-CN"/>
          <w14:textFill>
            <w14:solidFill>
              <w14:schemeClr w14:val="tx1"/>
            </w14:solidFill>
          </w14:textFill>
        </w:rPr>
        <w:t>南雄市发展和改革局</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以《</w:t>
      </w:r>
      <w:r>
        <w:rPr>
          <w:rFonts w:hint="eastAsia" w:asciiTheme="minorEastAsia" w:hAnsiTheme="minorEastAsia" w:eastAsiaTheme="minorEastAsia" w:cstheme="minorEastAsia"/>
          <w:snapToGrid w:val="0"/>
          <w:color w:val="000000" w:themeColor="text1"/>
          <w:kern w:val="0"/>
          <w:szCs w:val="24"/>
          <w:highlight w:val="none"/>
          <w:u w:val="single"/>
          <w:lang w:eastAsia="zh-CN"/>
          <w14:textFill>
            <w14:solidFill>
              <w14:schemeClr w14:val="tx1"/>
            </w14:solidFill>
          </w14:textFill>
        </w:rPr>
        <w:t>关于南雄市“银杏染秋”乡村振兴示范带建设项目可行性研究报告的批复</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u w:val="single"/>
          <w:lang w:eastAsia="zh-CN"/>
          <w14:textFill>
            <w14:solidFill>
              <w14:schemeClr w14:val="tx1"/>
            </w14:solidFill>
          </w14:textFill>
        </w:rPr>
        <w:t>雄发改投审[2024]106号、雄发改投审[2026]95号</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批准建设，项目代码为</w:t>
      </w:r>
      <w:r>
        <w:rPr>
          <w:rFonts w:hint="eastAsia" w:asciiTheme="minorEastAsia" w:hAnsiTheme="minorEastAsia" w:eastAsiaTheme="minorEastAsia" w:cstheme="minorEastAsia"/>
          <w:color w:val="000000" w:themeColor="text1"/>
          <w:szCs w:val="24"/>
          <w:highlight w:val="none"/>
          <w:u w:val="single"/>
          <w:lang w:eastAsia="zh-CN"/>
          <w14:textFill>
            <w14:solidFill>
              <w14:schemeClr w14:val="tx1"/>
            </w14:solidFill>
          </w14:textFill>
        </w:rPr>
        <w:t>2407-440282-20-01-288869</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项目</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业主为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南雄市乡村振兴服务中心</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，建设资金来自</w:t>
      </w:r>
      <w:r>
        <w:rPr>
          <w:rFonts w:hint="eastAsia" w:hAnsi="宋体" w:eastAsia="宋体" w:cs="宋体"/>
          <w:snapToGrid w:val="0"/>
          <w:color w:val="000000" w:themeColor="text1"/>
          <w:kern w:val="0"/>
          <w:sz w:val="24"/>
          <w:highlight w:val="none"/>
          <w:u w:val="single"/>
          <w:lang w:eastAsia="zh-CN"/>
          <w14:textFill>
            <w14:solidFill>
              <w14:schemeClr w14:val="tx1"/>
            </w14:solidFill>
          </w14:textFill>
        </w:rPr>
        <w:t>市财政统筹</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，出资比例</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100%</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，招标人为</w:t>
      </w:r>
      <w:r>
        <w:rPr>
          <w:rFonts w:hint="eastAsia" w:asciiTheme="minorEastAsia" w:hAnsiTheme="minorEastAsia" w:eastAsiaTheme="minorEastAsia" w:cstheme="minorEastAsia"/>
          <w:snapToGrid w:val="0"/>
          <w:color w:val="000000" w:themeColor="text1"/>
          <w:kern w:val="0"/>
          <w:highlight w:val="none"/>
          <w:u w:val="single"/>
          <w:lang w:eastAsia="zh-CN"/>
          <w14:textFill>
            <w14:solidFill>
              <w14:schemeClr w14:val="tx1"/>
            </w14:solidFill>
          </w14:textFill>
        </w:rPr>
        <w:t>南雄市主田镇人民政府</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，招标代理机构为</w:t>
      </w:r>
      <w:r>
        <w:rPr>
          <w:rFonts w:hint="eastAsia" w:asciiTheme="minorEastAsia" w:hAnsiTheme="minorEastAsia" w:eastAsiaTheme="minorEastAsia" w:cstheme="minorEastAsia"/>
          <w:color w:val="000000" w:themeColor="text1"/>
          <w:kern w:val="0"/>
          <w:highlight w:val="none"/>
          <w:u w:val="single"/>
          <w:lang w:eastAsia="zh-CN"/>
          <w14:textFill>
            <w14:solidFill>
              <w14:schemeClr w14:val="tx1"/>
            </w14:solidFill>
          </w14:textFill>
        </w:rPr>
        <w:t>韶关众兴招标有限公司</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。项目已具备招标条件，现对该项目的</w:t>
      </w:r>
      <w:r>
        <w:rPr>
          <w:rFonts w:hint="eastAsia" w:asciiTheme="minorEastAsia" w:hAnsiTheme="minorEastAsia" w:eastAsiaTheme="minorEastAsia" w:cstheme="minorEastAsia"/>
          <w:snapToGrid w:val="0"/>
          <w:color w:val="000000" w:themeColor="text1"/>
          <w:kern w:val="0"/>
          <w:szCs w:val="24"/>
          <w:highlight w:val="none"/>
          <w:u w:val="single"/>
          <w:lang w:val="en-US" w:eastAsia="zh-CN"/>
          <w14:textFill>
            <w14:solidFill>
              <w14:schemeClr w14:val="tx1"/>
            </w14:solidFill>
          </w14:textFill>
        </w:rPr>
        <w:t>施工图设计和施工总承包</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进行公开招标。</w:t>
      </w:r>
      <w:bookmarkStart w:id="14" w:name="_Hlt78795222"/>
      <w:bookmarkEnd w:id="14"/>
      <w:bookmarkStart w:id="15" w:name="_Hlt74474735"/>
      <w:bookmarkEnd w:id="15"/>
      <w:bookmarkStart w:id="16" w:name="_Hlt109358474"/>
      <w:bookmarkEnd w:id="16"/>
      <w:bookmarkStart w:id="17" w:name="_Hlt119991399"/>
      <w:bookmarkEnd w:id="17"/>
      <w:bookmarkStart w:id="18" w:name="_Hlt87948285"/>
      <w:bookmarkEnd w:id="18"/>
      <w:bookmarkStart w:id="19" w:name="_Toc574"/>
      <w:bookmarkStart w:id="20" w:name="_Toc31976"/>
      <w:bookmarkStart w:id="21" w:name="_Toc30732"/>
      <w:bookmarkStart w:id="22" w:name="_Toc23054"/>
      <w:bookmarkStart w:id="23" w:name="_Toc4081"/>
      <w:bookmarkStart w:id="24" w:name="_Toc25252"/>
      <w:bookmarkStart w:id="25" w:name="_Toc24563"/>
      <w:bookmarkStart w:id="26" w:name="_Toc18453"/>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bCs/>
          <w:snapToGrid w:val="0"/>
          <w:color w:val="000000" w:themeColor="text1"/>
          <w:highlight w:val="none"/>
          <w14:textFill>
            <w14:solidFill>
              <w14:schemeClr w14:val="tx1"/>
            </w14:solidFill>
          </w14:textFill>
        </w:rPr>
      </w:pPr>
      <w:bookmarkStart w:id="27" w:name="_Toc20446"/>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1、工程概况</w:t>
      </w:r>
      <w:bookmarkEnd w:id="19"/>
      <w:bookmarkEnd w:id="20"/>
      <w:bookmarkEnd w:id="21"/>
      <w:bookmarkEnd w:id="22"/>
      <w:bookmarkEnd w:id="23"/>
      <w:bookmarkEnd w:id="24"/>
      <w:bookmarkEnd w:id="25"/>
      <w:bookmarkEnd w:id="26"/>
      <w:bookmarkEnd w:id="27"/>
    </w:p>
    <w:p>
      <w:pPr>
        <w:pStyle w:val="40"/>
        <w:pageBreakBefore w:val="0"/>
        <w:kinsoku/>
        <w:wordWrap w:val="0"/>
        <w:overflowPunct/>
        <w:bidi w:val="0"/>
        <w:adjustRightInd w:val="0"/>
        <w:snapToGrid w:val="0"/>
        <w:spacing w:line="360" w:lineRule="auto"/>
        <w:ind w:firstLine="480"/>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1.1</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工程概况</w:t>
      </w:r>
    </w:p>
    <w:p>
      <w:pPr>
        <w:pStyle w:val="40"/>
        <w:pageBreakBefore w:val="0"/>
        <w:kinsoku/>
        <w:wordWrap w:val="0"/>
        <w:overflowPunct/>
        <w:bidi w:val="0"/>
        <w:adjustRightInd w:val="0"/>
        <w:snapToGrid w:val="0"/>
        <w:spacing w:line="360" w:lineRule="auto"/>
        <w:ind w:firstLine="480"/>
        <w:jc w:val="left"/>
        <w:rPr>
          <w:rFonts w:hint="eastAsia" w:asciiTheme="minorEastAsia" w:hAnsiTheme="minorEastAsia" w:eastAsiaTheme="minorEastAsia" w:cstheme="minorEastAsia"/>
          <w:color w:val="000000" w:themeColor="text1"/>
          <w:sz w:val="24"/>
          <w:szCs w:val="18"/>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1.1.1</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建设地点：</w:t>
      </w:r>
      <w:r>
        <w:rPr>
          <w:rFonts w:hint="eastAsia" w:asciiTheme="minorEastAsia" w:hAnsiTheme="minorEastAsia" w:eastAsiaTheme="minorEastAsia" w:cstheme="minorEastAsia"/>
          <w:color w:val="000000" w:themeColor="text1"/>
          <w:kern w:val="2"/>
          <w:sz w:val="24"/>
          <w:szCs w:val="24"/>
          <w:highlight w:val="none"/>
          <w:u w:val="single"/>
          <w:lang w:val="en-US" w:eastAsia="zh-CN" w:bidi="ar-SA"/>
          <w14:textFill>
            <w14:solidFill>
              <w14:schemeClr w14:val="tx1"/>
            </w14:solidFill>
          </w14:textFill>
        </w:rPr>
        <w:t>南雄市主田镇。</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u w:val="none"/>
          <w14:textFill>
            <w14:solidFill>
              <w14:schemeClr w14:val="tx1"/>
            </w14:solidFill>
          </w14:textFill>
        </w:rPr>
      </w:pPr>
      <w:r>
        <w:rPr>
          <w:rFonts w:hint="eastAsia" w:asciiTheme="minorEastAsia" w:hAnsiTheme="minorEastAsia" w:eastAsiaTheme="minorEastAsia" w:cstheme="minorEastAsia"/>
          <w:b/>
          <w:bCs/>
          <w:color w:val="000000" w:themeColor="text1"/>
          <w:kern w:val="2"/>
          <w:sz w:val="24"/>
          <w:szCs w:val="24"/>
          <w:highlight w:val="none"/>
          <w:lang w:val="en-US" w:eastAsia="zh-CN" w:bidi="ar-SA"/>
          <w14:textFill>
            <w14:solidFill>
              <w14:schemeClr w14:val="tx1"/>
            </w14:solidFill>
          </w14:textFill>
        </w:rPr>
        <w:t>1.1.2</w:t>
      </w:r>
      <w:r>
        <w:rPr>
          <w:rFonts w:hint="eastAsia" w:asciiTheme="minorEastAsia" w:hAnsiTheme="minorEastAsia" w:eastAsiaTheme="minorEastAsia" w:cstheme="minorEastAsia"/>
          <w:color w:val="000000" w:themeColor="text1"/>
          <w:szCs w:val="24"/>
          <w:highlight w:val="none"/>
          <w:u w:val="none"/>
          <w14:textFill>
            <w14:solidFill>
              <w14:schemeClr w14:val="tx1"/>
            </w14:solidFill>
          </w14:textFill>
        </w:rPr>
        <w:t xml:space="preserve"> 建设内容和规模：</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1.城门村:拆除砖墙，地面硬化4240.2m2，排水沟902m,挡土墙20m,四小园506m,矮墙25m,路沿石10m,绿化350m2等;2.其他部分:风貌提升12688m2,三线整治1项，三清三拆5100m2等。</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kern w:val="2"/>
          <w:sz w:val="24"/>
          <w:szCs w:val="24"/>
          <w:highlight w:val="none"/>
          <w:lang w:val="en-US" w:eastAsia="zh-CN" w:bidi="ar-SA"/>
          <w14:textFill>
            <w14:solidFill>
              <w14:schemeClr w14:val="tx1"/>
            </w14:solidFill>
          </w14:textFill>
        </w:rPr>
        <w:t>1.1.3</w:t>
      </w:r>
      <w:r>
        <w:rPr>
          <w:rFonts w:hint="eastAsia" w:asciiTheme="minorEastAsia" w:hAnsiTheme="minorEastAsia" w:eastAsiaTheme="minorEastAsia" w:cstheme="minorEastAsia"/>
          <w:b/>
          <w:bCs/>
          <w:color w:val="000000" w:themeColor="text1"/>
          <w:kern w:val="2"/>
          <w:sz w:val="24"/>
          <w:szCs w:val="24"/>
          <w:highlight w:val="none"/>
          <w:u w:val="none"/>
          <w:lang w:val="en-US" w:eastAsia="zh-CN" w:bidi="ar-SA"/>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u w:val="none"/>
          <w14:textFill>
            <w14:solidFill>
              <w14:schemeClr w14:val="tx1"/>
            </w14:solidFill>
          </w14:textFill>
        </w:rPr>
        <w:t>项目总投资：</w:t>
      </w:r>
      <w:bookmarkStart w:id="28" w:name="_Toc20999"/>
      <w:r>
        <w:rPr>
          <w:rFonts w:hint="eastAsia" w:asciiTheme="minorEastAsia" w:hAnsiTheme="minorEastAsia" w:eastAsiaTheme="minorEastAsia" w:cstheme="minorEastAsia"/>
          <w:color w:val="000000" w:themeColor="text1"/>
          <w:szCs w:val="24"/>
          <w:highlight w:val="none"/>
          <w:u w:val="single"/>
          <w:lang w:val="en-US" w:eastAsia="zh-CN"/>
          <w14:textFill>
            <w14:solidFill>
              <w14:schemeClr w14:val="tx1"/>
            </w14:solidFill>
          </w14:textFill>
        </w:rPr>
        <w:t>本次招标概算总投资302.94万元，其中建安工程费约277.34万元，设计费约6.36万元。</w:t>
      </w:r>
    </w:p>
    <w:p>
      <w:pPr>
        <w:pageBreakBefore w:val="0"/>
        <w:widowControl/>
        <w:kinsoku/>
        <w:wordWrap w:val="0"/>
        <w:overflowPunct/>
        <w:bidi w:val="0"/>
        <w:spacing w:line="360" w:lineRule="auto"/>
        <w:ind w:left="511" w:leftChars="213"/>
        <w:rPr>
          <w:rFonts w:hint="eastAsia" w:asciiTheme="minorEastAsia" w:hAnsiTheme="minorEastAsia" w:eastAsiaTheme="minorEastAsia" w:cstheme="minorEastAsia"/>
          <w:snapToGrid w:val="0"/>
          <w:color w:val="000000" w:themeColor="text1"/>
          <w:kern w:val="0"/>
          <w:highlight w:val="none"/>
          <w:u w:val="singl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highlight w:val="none"/>
          <w14:textFill>
            <w14:solidFill>
              <w14:schemeClr w14:val="tx1"/>
            </w14:solidFill>
          </w14:textFill>
        </w:rPr>
        <w:t>1.2</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 xml:space="preserve"> 标段划分：</w:t>
      </w:r>
      <w:bookmarkEnd w:id="28"/>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本招标项目不划分标段。</w:t>
      </w:r>
    </w:p>
    <w:p>
      <w:pPr>
        <w:pStyle w:val="37"/>
        <w:pageBreakBefore w:val="0"/>
        <w:tabs>
          <w:tab w:val="left" w:pos="7020"/>
        </w:tabs>
        <w:kinsoku/>
        <w:wordWrap w:val="0"/>
        <w:overflowPunct/>
        <w:bidi w:val="0"/>
        <w:ind w:firstLine="482"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监理单位：</w:t>
      </w:r>
      <w:r>
        <w:rPr>
          <w:rFonts w:hint="eastAsia" w:asciiTheme="minorEastAsia" w:hAnsiTheme="minorEastAsia" w:eastAsiaTheme="minorEastAsia" w:cstheme="minorEastAsia"/>
          <w:color w:val="000000" w:themeColor="text1"/>
          <w:szCs w:val="18"/>
          <w:highlight w:val="none"/>
          <w:u w:val="single"/>
          <w14:textFill>
            <w14:solidFill>
              <w14:schemeClr w14:val="tx1"/>
            </w14:solidFill>
          </w14:textFill>
        </w:rPr>
        <w:t>待定</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投标费用：</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投标人应承担所有准备和参加投标的相关费用，不论投标结果如何，招标人均无义务和责任承担这些费用</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bookmarkStart w:id="29" w:name="_Toc106184808"/>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30" w:name="_Toc14958"/>
      <w:bookmarkStart w:id="31" w:name="_Toc18851"/>
      <w:bookmarkStart w:id="32" w:name="_Toc32400"/>
      <w:bookmarkStart w:id="33" w:name="_Toc12190"/>
      <w:bookmarkStart w:id="34" w:name="_Toc17359"/>
      <w:bookmarkStart w:id="35" w:name="_Toc121"/>
      <w:bookmarkStart w:id="36" w:name="_Toc22550"/>
      <w:bookmarkStart w:id="37" w:name="_Toc7700"/>
      <w:bookmarkStart w:id="38" w:name="_Toc27537"/>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2、招标范围</w:t>
      </w:r>
      <w:bookmarkEnd w:id="29"/>
      <w:bookmarkEnd w:id="30"/>
      <w:bookmarkEnd w:id="31"/>
      <w:bookmarkEnd w:id="32"/>
      <w:bookmarkEnd w:id="33"/>
      <w:bookmarkEnd w:id="34"/>
      <w:bookmarkEnd w:id="35"/>
      <w:bookmarkEnd w:id="36"/>
      <w:bookmarkEnd w:id="37"/>
      <w:bookmarkEnd w:id="38"/>
    </w:p>
    <w:p>
      <w:pPr>
        <w:pStyle w:val="42"/>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bookmarkStart w:id="39" w:name="_Hlt91408212"/>
      <w:bookmarkEnd w:id="39"/>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2.1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招标范围：</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本工程所涉及的内容包括但不限于以下（1）～（</w:t>
      </w:r>
      <w:r>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w:t>
      </w:r>
    </w:p>
    <w:p>
      <w:pPr>
        <w:pStyle w:val="37"/>
        <w:pageBreakBefore w:val="0"/>
        <w:numPr>
          <w:ilvl w:val="0"/>
          <w:numId w:val="0"/>
        </w:numPr>
        <w:kinsoku/>
        <w:wordWrap w:val="0"/>
        <w:overflowPunct/>
        <w:bidi w:val="0"/>
        <w:ind w:leftChars="0" w:firstLine="240"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bookmarkStart w:id="40" w:name="_Toc7799"/>
      <w:bookmarkStart w:id="41" w:name="_Toc4645"/>
      <w:bookmarkStart w:id="42" w:name="_Toc13988"/>
      <w:bookmarkStart w:id="43" w:name="_Toc708"/>
      <w:bookmarkStart w:id="44" w:name="_Toc26845"/>
      <w:bookmarkStart w:id="45" w:name="_Toc27886"/>
      <w:bookmarkStart w:id="46" w:name="_Toc32739"/>
      <w:bookmarkStart w:id="47" w:name="_Toc21803"/>
      <w:bookmarkStart w:id="48" w:name="_Toc2350"/>
      <w:bookmarkStart w:id="49" w:name="_Toc1366"/>
      <w:bookmarkStart w:id="50" w:name="_Toc2217"/>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设计部分：</w:t>
      </w:r>
      <w:r>
        <w:rPr>
          <w:rFonts w:hint="eastAsia" w:asciiTheme="minorEastAsia" w:hAnsiTheme="minorEastAsia" w:eastAsiaTheme="minorEastAsia" w:cstheme="minorEastAsia"/>
          <w:snapToGrid w:val="0"/>
          <w:color w:val="000000" w:themeColor="text1"/>
          <w:kern w:val="0"/>
          <w:sz w:val="24"/>
          <w:szCs w:val="24"/>
          <w:highlight w:val="none"/>
          <w:lang w:val="zh-CN"/>
          <w14:textFill>
            <w14:solidFill>
              <w14:schemeClr w14:val="tx1"/>
            </w14:solidFill>
          </w14:textFill>
        </w:rPr>
        <w:t>确保项目顺利实施的报建、报批、施工等所需的所有建安工程等设计文件。包括但不限于：施工图设计、</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提供项目所需相关检测项的明细表和危险性较大的分部分项工程清单及保障安全相关说明</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zh-CN"/>
          <w14:textFill>
            <w14:solidFill>
              <w14:schemeClr w14:val="tx1"/>
            </w14:solidFill>
          </w14:textFill>
        </w:rPr>
        <w:t>工地现场服务、验收过程中的设计指导及配合阶段验收及档案整理、协助施工单位编制竣工图及后续设计服务工作</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p>
      <w:pPr>
        <w:pStyle w:val="37"/>
        <w:pageBreakBefore w:val="0"/>
        <w:kinsoku/>
        <w:wordWrap w:val="0"/>
        <w:overflowPunct/>
        <w:bidi w:val="0"/>
        <w:ind w:firstLine="241"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注：设计文件深度要求必须满足</w:t>
      </w:r>
      <w:r>
        <w:rPr>
          <w:rFonts w:hint="eastAsia" w:asciiTheme="minorEastAsia" w:hAnsiTheme="minorEastAsia" w:eastAsiaTheme="minorEastAsia" w:cstheme="minorEastAsia"/>
          <w:b/>
          <w:bCs/>
          <w:snapToGrid w:val="0"/>
          <w:color w:val="000000" w:themeColor="text1"/>
          <w:kern w:val="0"/>
          <w:sz w:val="24"/>
          <w:szCs w:val="24"/>
          <w:highlight w:val="none"/>
          <w:lang w:eastAsia="zh-CN"/>
          <w14:textFill>
            <w14:solidFill>
              <w14:schemeClr w14:val="tx1"/>
            </w14:solidFill>
          </w14:textFill>
        </w:rPr>
        <w:t>住房和城乡建设部</w:t>
      </w: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《建筑工程设计文件编制深度规定（20</w:t>
      </w:r>
      <w:r>
        <w:rPr>
          <w:rFonts w:hint="eastAsia" w:asciiTheme="minorEastAsia" w:hAnsiTheme="minorEastAsia" w:eastAsiaTheme="minorEastAsia" w:cstheme="minorEastAsia"/>
          <w:b/>
          <w:bCs/>
          <w:snapToGrid w:val="0"/>
          <w:color w:val="000000" w:themeColor="text1"/>
          <w:kern w:val="0"/>
          <w:sz w:val="24"/>
          <w:szCs w:val="24"/>
          <w:highlight w:val="none"/>
          <w:lang w:val="en-US" w:eastAsia="zh-CN"/>
          <w14:textFill>
            <w14:solidFill>
              <w14:schemeClr w14:val="tx1"/>
            </w14:solidFill>
          </w14:textFill>
        </w:rPr>
        <w:t>23</w:t>
      </w: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版）》的要求，各专业还应该满足各专业工程设计文件编制深度规范或规定的要求</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p>
      <w:pPr>
        <w:pStyle w:val="37"/>
        <w:pageBreakBefore w:val="0"/>
        <w:kinsoku/>
        <w:wordWrap w:val="0"/>
        <w:overflowPunct/>
        <w:bidi w:val="0"/>
        <w:ind w:firstLine="240" w:firstLineChars="100"/>
        <w:jc w:val="left"/>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）施工部分：设计文件及工程量清单范围内的所有工程及配套工程、设施等的施工</w:t>
      </w:r>
      <w:r>
        <w:rPr>
          <w:rFonts w:hint="eastAsia" w:hAnsi="宋体" w:cs="Calibri"/>
          <w:bCs/>
          <w:color w:val="000000" w:themeColor="text1"/>
          <w:sz w:val="24"/>
          <w:szCs w:val="24"/>
          <w:highlight w:val="none"/>
          <w:lang w:val="zh-CN"/>
          <w14:textFill>
            <w14:solidFill>
              <w14:schemeClr w14:val="tx1"/>
            </w14:solidFill>
          </w14:textFill>
        </w:rPr>
        <w:t>（含竣工验收资料编制整理、备案等），完成并配合发包人结算、负责工程缺陷保修以及发包人要求由施工单位完成的其他工作（发包人另行委托其他单位负责实施的工作内容除外，但需提供一系列协调及配合服务）等</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bookmarkEnd w:id="40"/>
      <w:bookmarkEnd w:id="41"/>
      <w:bookmarkEnd w:id="42"/>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bCs/>
          <w:snapToGrid w:val="0"/>
          <w:color w:val="000000" w:themeColor="text1"/>
          <w:kern w:val="2"/>
          <w:highlight w:val="none"/>
          <w14:textFill>
            <w14:solidFill>
              <w14:schemeClr w14:val="tx1"/>
            </w14:solidFill>
          </w14:textFill>
        </w:rPr>
      </w:pPr>
      <w:bookmarkStart w:id="51" w:name="_Toc5263"/>
      <w:r>
        <w:rPr>
          <w:rFonts w:hint="eastAsia" w:asciiTheme="minorEastAsia" w:hAnsiTheme="minorEastAsia" w:eastAsiaTheme="minorEastAsia" w:cstheme="minorEastAsia"/>
          <w:b/>
          <w:bCs/>
          <w:snapToGrid w:val="0"/>
          <w:color w:val="000000" w:themeColor="text1"/>
          <w:kern w:val="2"/>
          <w:highlight w:val="none"/>
          <w14:textFill>
            <w14:solidFill>
              <w14:schemeClr w14:val="tx1"/>
            </w14:solidFill>
          </w14:textFill>
        </w:rPr>
        <w:t>3</w:t>
      </w:r>
      <w:bookmarkStart w:id="52" w:name="_Hlt66187826"/>
      <w:bookmarkEnd w:id="52"/>
      <w:r>
        <w:rPr>
          <w:rFonts w:hint="eastAsia" w:asciiTheme="minorEastAsia" w:hAnsiTheme="minorEastAsia" w:eastAsiaTheme="minorEastAsia" w:cstheme="minorEastAsia"/>
          <w:b/>
          <w:bCs/>
          <w:snapToGrid w:val="0"/>
          <w:color w:val="000000" w:themeColor="text1"/>
          <w:kern w:val="2"/>
          <w:highlight w:val="none"/>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工期</w:t>
      </w:r>
      <w:bookmarkEnd w:id="43"/>
      <w:bookmarkEnd w:id="44"/>
      <w:bookmarkEnd w:id="45"/>
      <w:bookmarkEnd w:id="46"/>
      <w:bookmarkEnd w:id="47"/>
      <w:bookmarkEnd w:id="48"/>
      <w:bookmarkEnd w:id="49"/>
      <w:bookmarkEnd w:id="50"/>
      <w:bookmarkEnd w:id="51"/>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szCs w:val="20"/>
          <w:highlight w:val="none"/>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highlight w:val="none"/>
          <w14:textFill>
            <w14:solidFill>
              <w14:schemeClr w14:val="tx1"/>
            </w14:solidFill>
          </w14:textFill>
        </w:rPr>
        <w:t>3.1</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 xml:space="preserve"> 本工程工期为：</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本项目设计、施工总工期</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210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日历天，其中：设计工期为</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60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施工工期为</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150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w:t>
      </w:r>
      <w:r>
        <w:rPr>
          <w:rFonts w:hint="eastAsia" w:asciiTheme="minorEastAsia" w:hAnsiTheme="minorEastAsia" w:eastAsiaTheme="minorEastAsia" w:cstheme="minorEastAsia"/>
          <w:snapToGrid w:val="0"/>
          <w:color w:val="000000" w:themeColor="text1"/>
          <w:kern w:val="2"/>
          <w:highlight w:val="none"/>
          <w14:textFill>
            <w14:solidFill>
              <w14:schemeClr w14:val="tx1"/>
            </w14:solidFill>
          </w14:textFill>
        </w:rPr>
        <w:t>中标人必须在所要求的工期内</w:t>
      </w:r>
      <w:r>
        <w:rPr>
          <w:rFonts w:hint="eastAsia" w:asciiTheme="minorEastAsia" w:hAnsiTheme="minorEastAsia" w:eastAsiaTheme="minorEastAsia" w:cstheme="minorEastAsia"/>
          <w:snapToGrid w:val="0"/>
          <w:color w:val="000000" w:themeColor="text1"/>
          <w:kern w:val="2"/>
          <w:highlight w:val="none"/>
          <w:lang w:eastAsia="zh-CN"/>
          <w14:textFill>
            <w14:solidFill>
              <w14:schemeClr w14:val="tx1"/>
            </w14:solidFill>
          </w14:textFill>
        </w:rPr>
        <w:t>完成招标范围内的全部内容</w:t>
      </w:r>
      <w:r>
        <w:rPr>
          <w:rFonts w:hint="eastAsia" w:asciiTheme="minorEastAsia" w:hAnsiTheme="minorEastAsia" w:eastAsiaTheme="minorEastAsia" w:cstheme="minorEastAsia"/>
          <w:snapToGrid w:val="0"/>
          <w:color w:val="000000" w:themeColor="text1"/>
          <w:kern w:val="2"/>
          <w:highlight w:val="none"/>
          <w14:textFill>
            <w14:solidFill>
              <w14:schemeClr w14:val="tx1"/>
            </w14:solidFill>
          </w14:textFill>
        </w:rPr>
        <w:t>。</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highlight w:val="none"/>
          <w14:textFill>
            <w14:solidFill>
              <w14:schemeClr w14:val="tx1"/>
            </w14:solidFill>
          </w14:textFill>
        </w:rPr>
        <w:t>3.2</w:t>
      </w:r>
      <w:r>
        <w:rPr>
          <w:rFonts w:hint="eastAsia" w:asciiTheme="minorEastAsia" w:hAnsiTheme="minorEastAsia" w:eastAsiaTheme="minorEastAsia" w:cstheme="minorEastAsia"/>
          <w:color w:val="000000" w:themeColor="text1"/>
          <w:highlight w:val="none"/>
          <w14:textFill>
            <w14:solidFill>
              <w14:schemeClr w14:val="tx1"/>
            </w14:solidFill>
          </w14:textFill>
        </w:rPr>
        <w:t>因中标人原因，没有按期完成设计任务、工程没有按期竣工时，中标人须在逾期第壹天起每天分别按设计、施工合同价款的1.5</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‰向</w:t>
      </w:r>
      <w:r>
        <w:rPr>
          <w:rFonts w:hint="eastAsia" w:asciiTheme="minorEastAsia" w:hAnsiTheme="minorEastAsia" w:eastAsiaTheme="minorEastAsia" w:cstheme="minorEastAsia"/>
          <w:color w:val="000000" w:themeColor="text1"/>
          <w:highlight w:val="none"/>
          <w14:textFill>
            <w14:solidFill>
              <w14:schemeClr w14:val="tx1"/>
            </w14:solidFill>
          </w14:textFill>
        </w:rPr>
        <w:t>招标人缴纳逾期违约金，分别累计最高不超过设计、施工合同价款的10%向招标人缴纳逾期违约金。</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b/>
          <w:color w:val="000000" w:themeColor="text1"/>
          <w:kern w:val="44"/>
          <w:highlight w:val="none"/>
          <w14:textFill>
            <w14:solidFill>
              <w14:schemeClr w14:val="tx1"/>
            </w14:solidFill>
          </w14:textFill>
        </w:rPr>
        <w:t>3.3</w:t>
      </w:r>
      <w:r>
        <w:rPr>
          <w:rFonts w:hint="eastAsia" w:asciiTheme="minorEastAsia" w:hAnsiTheme="minorEastAsia" w:eastAsiaTheme="minorEastAsia" w:cstheme="minorEastAsia"/>
          <w:color w:val="000000" w:themeColor="text1"/>
          <w:highlight w:val="none"/>
          <w14:textFill>
            <w14:solidFill>
              <w14:schemeClr w14:val="tx1"/>
            </w14:solidFill>
          </w14:textFill>
        </w:rPr>
        <w:t>设计工期自</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中标通知书发出之日</w:t>
      </w:r>
      <w:r>
        <w:rPr>
          <w:rFonts w:hint="eastAsia" w:asciiTheme="minorEastAsia" w:hAnsiTheme="minorEastAsia" w:eastAsiaTheme="minorEastAsia" w:cstheme="minorEastAsia"/>
          <w:color w:val="000000" w:themeColor="text1"/>
          <w:highlight w:val="none"/>
          <w14:textFill>
            <w14:solidFill>
              <w14:schemeClr w14:val="tx1"/>
            </w14:solidFill>
          </w14:textFill>
        </w:rPr>
        <w:t>起计算，至提交符合招标人及审图机构要求的施工图设计文件之日止（每一步设计工作，必须以招标人及有关部门审核批准后方可实施）</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p>
    <w:p>
      <w:pPr>
        <w:pStyle w:val="37"/>
        <w:pageBreakBefore w:val="0"/>
        <w:kinsoku/>
        <w:wordWrap w:val="0"/>
        <w:overflowPunct/>
        <w:bidi w:val="0"/>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3</w:t>
      </w:r>
      <w:r>
        <w:rPr>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b/>
          <w:bCs/>
          <w:color w:val="000000" w:themeColor="text1"/>
          <w:highlight w:val="none"/>
          <w14:textFill>
            <w14:solidFill>
              <w14:schemeClr w14:val="tx1"/>
            </w14:solidFill>
          </w14:textFill>
        </w:rPr>
        <w:t>4</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 xml:space="preserve"> 施工工期从开工令签发之日起计，至竣工验收之日止。</w:t>
      </w:r>
      <w:bookmarkStart w:id="53" w:name="_Toc11872"/>
    </w:p>
    <w:p>
      <w:pPr>
        <w:pStyle w:val="39"/>
        <w:keepNext/>
        <w:keepLines/>
        <w:pageBreakBefore w:val="0"/>
        <w:kinsoku/>
        <w:wordWrap w:val="0"/>
        <w:overflowPunct/>
        <w:bidi w:val="0"/>
        <w:ind w:firstLine="482" w:firstLineChars="200"/>
        <w:jc w:val="both"/>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pPr>
      <w:bookmarkStart w:id="54" w:name="_Toc30034"/>
      <w:bookmarkStart w:id="55" w:name="_Toc1889"/>
      <w:bookmarkStart w:id="56" w:name="_Toc24539"/>
      <w:bookmarkStart w:id="57" w:name="_Toc26753"/>
      <w:bookmarkStart w:id="58" w:name="_Toc2499"/>
      <w:bookmarkStart w:id="59" w:name="_Toc19644"/>
      <w:bookmarkStart w:id="60" w:name="_Toc13379"/>
      <w:bookmarkStart w:id="61" w:name="_Toc3312"/>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4、投标人资质及条件要求</w:t>
      </w:r>
      <w:bookmarkEnd w:id="53"/>
      <w:bookmarkEnd w:id="54"/>
      <w:bookmarkEnd w:id="55"/>
      <w:bookmarkEnd w:id="56"/>
      <w:bookmarkEnd w:id="57"/>
      <w:bookmarkEnd w:id="58"/>
      <w:bookmarkEnd w:id="59"/>
      <w:bookmarkEnd w:id="60"/>
      <w:bookmarkEnd w:id="61"/>
      <w:bookmarkStart w:id="62" w:name="_Hlt74496495"/>
      <w:bookmarkEnd w:id="62"/>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本次招标接受联合体投标，联合体以一个投标人的身份共同投标。</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1.1．联合体成员数量不超过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个。</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1.2．联合体各方应按招标文件提供的格式签订联合体协议书，明确联合体牵头人和各方权利义务，并承诺就中标项目向招标人承担连带责任。《联合体协议书》作为投标文件的组成部分向招标人提交。</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1.3．联合体成员单位均应具备拟承担的工作内容（以《联合体协议书》的约定为准）所规定的资格条件。若同一工作内容由两个或两个以上单位共同承担，该项工作内容按照资质等级较低的单位确定联合体资质等级。</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1.4．联合体各方不得再以自己名义单独或参加其他联合体在本招标项目中投标，否则各相关投标均无效。</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2．资格资质要求</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2.1 投标人须具备独立法人资格，按国家法律经营。</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2.2 投标人须持有建设行政主管部门颁发的企业资质证书。</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xml:space="preserve"> 投标人须具备以下资质：参加投标的投标人可以是单一独立法人或由不超过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家独立法人组成的联合体（必须注明其中一家为牵头人），单一独立法人必须至少同时具备以下①～</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资质，组成联合体投标的，联合后必须至少具备以下①～</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资质，联合体牵头人必须为施工单位，由同一专业的单位组成的联合体，按照资质等级较低的单位确定资质等级：</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①施工资质1：建设行政主管部门颁发的市政公用工程施工总承包叁级或以上(含叁级)资质，并持有有效安全生产许可证。</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②施工资质2：建设行政主管部门颁发的建筑工程施工总承包叁级或以上(含叁级)资质，并持有有效安全生产许可证。</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③设计资质必须具备建设行政主管部门颁发的工程设计综合甲级资质或同时具备（1）（2）资质：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（1）市政行业资质之一：</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1、工程设计市政行业乙级以上（含乙级）资质；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2、工程设计市政行业乙级（燃气工程、轨道交通工程除外）以上（含乙级）资质；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（2）建筑行业资质之一：</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1、工程设计建筑行业乙级以上（含乙级）资质；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2、工程设计建筑行业（建筑工程）专业乙级以上（含乙级）资质；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val="0"/>
          <w:bCs w:val="0"/>
          <w:color w:val="000000" w:themeColor="text1"/>
          <w:sz w:val="24"/>
          <w:szCs w:val="24"/>
          <w:highlight w:val="none"/>
          <w14:textFill>
            <w14:solidFill>
              <w14:schemeClr w14:val="tx1"/>
            </w14:solidFill>
          </w14:textFill>
        </w:rPr>
        <w:t>2.</w:t>
      </w:r>
      <w:r>
        <w:rPr>
          <w:rFonts w:hint="eastAsia" w:asciiTheme="minorEastAsia" w:hAnsiTheme="minorEastAsia" w:eastAsiaTheme="minorEastAsia" w:cstheme="minorEastAsia"/>
          <w:b w:val="0"/>
          <w:bCs w:val="0"/>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4.3．相关人员要求</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3.1 拟派项目经理为具有</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建筑工程或市政公用工程</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专业一级或二级注册建造师，其中一级注册建造师应持有国家住建部印发的有效注册证书，二级注册建造师应持有考试取得执业资格的省、自治区、直辖市住建部门核准的有效电子注册证书（二级注册建造师应持有住建部门核准的、在使用有效期内的有效电子证书）。同时均须具备有效安全生产考核合格证明（B证，安全生产考核合格证书或“广东省建筑施工企业管理人员安全生产考核信息系统”考核合格信息打印页），且未担任其他在施（包括已中标未开工、已建成未竣工）建设工程项目的项目经理。</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3.2投标人拟派项目技术负责人须具备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建筑工程或市政公用工程相关</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专业</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中</w:t>
      </w: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级（或以上）</w:t>
      </w:r>
      <w:r>
        <w:rPr>
          <w:rFonts w:hint="eastAsia" w:asciiTheme="minorEastAsia" w:hAnsiTheme="minorEastAsia" w:eastAsiaTheme="minorEastAsia" w:cstheme="minorEastAsia"/>
          <w:color w:val="000000" w:themeColor="text1"/>
          <w:sz w:val="24"/>
          <w:szCs w:val="24"/>
          <w:highlight w:val="none"/>
          <w:lang w:val="zh-CN"/>
          <w14:textFill>
            <w14:solidFill>
              <w14:schemeClr w14:val="tx1"/>
            </w14:solidFill>
          </w14:textFill>
        </w:rPr>
        <w:t>技术</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职称。（若为联合体投标，则联合体成员任意一方提供即可）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投标人拟派专职安全生产管理人员须具备有效安全生产考核合格证明（C证，安全生产考核合格证书或“广东省建筑施工企业管理人员安全生产考核系统”考核合格信息打印页）</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且不少于</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1人</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投标人拟派项目设计负责人须具备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二级以上(含二级)注册建筑师注册证书或工程师或以上职称。</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4.3.5</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投标人与其拟派往本项目管理机构的所有人员之间必须具备合法、唯一的劳动聘用关系。拟派人员中具备注册执业资格的，其注册单位须与投标人保持一致。</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4"/>
          <w:highlight w:val="none"/>
          <w14:textFill>
            <w14:solidFill>
              <w14:schemeClr w14:val="tx1"/>
            </w14:solidFill>
          </w14:textFill>
        </w:rPr>
        <w:t>4.4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禁止投标条款：</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4"/>
          <w:highlight w:val="none"/>
          <w14:textFill>
            <w14:solidFill>
              <w14:schemeClr w14:val="tx1"/>
            </w14:solidFill>
          </w14:textFill>
        </w:rPr>
        <w:t>4.4.1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投标人不得存在下列情形之一：</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（1）为招标人不具有独立法人资格的附属机构（单位）；</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（2）为本招标项目前期准备提供咨询服务的；</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（3）与本招标项目的其他投标人为同一个单位负责人；</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（4）与本招标项目的其他投标人存在控股、管理关系；</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（5）为本招标项目的监理人；</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（6）为本招标项目的代建人；</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（7）为本招标项目的招标代理机构；</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（8）与本招标项目的监理人或代建人或招标代理机构同为一个法定代表人；</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（9）与本招标项目的监理人或代建人或招标代理机构存在控股或参股关系；</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（10）与本招标项目的监理人或代建人或招标代理机构存在相互任职或工作关系；</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（11）被依法暂停或者取消投标资格；</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（12）被责令停产停业、暂扣或者吊销许可证、暂扣或者吊销执照；</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（13）进入清算程序，或被宣告破产，或其他丧失履约能力的情形；</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（14）在最近三年内发生重大工程质量或安全问题（以相关行业主管部门的行政处罚决定或司法机关出具的有关法律文书为准）；</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（15）被“信用中国”网站（https://www.creditchina.gov.cn）发布的《法人和非法人组织公共信用信息报告》列入严重失信主体名单的。</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4.4.2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招标人拒绝以下名单中的单位参加本次投标：</w:t>
      </w:r>
    </w:p>
    <w:tbl>
      <w:tblPr>
        <w:tblStyle w:val="22"/>
        <w:tblW w:w="0" w:type="auto"/>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3096"/>
        <w:gridCol w:w="4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8" w:hRule="atLeast"/>
        </w:trPr>
        <w:tc>
          <w:tcPr>
            <w:tcW w:w="0" w:type="auto"/>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序号</w:t>
            </w:r>
          </w:p>
        </w:tc>
        <w:tc>
          <w:tcPr>
            <w:tcW w:w="0" w:type="auto"/>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单位名称</w:t>
            </w:r>
          </w:p>
        </w:tc>
        <w:tc>
          <w:tcPr>
            <w:tcW w:w="0" w:type="auto"/>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拒绝原因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0" w:type="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w:t>
            </w:r>
          </w:p>
        </w:tc>
        <w:tc>
          <w:tcPr>
            <w:tcW w:w="0" w:type="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南雄市主田镇人民政府</w:t>
            </w:r>
          </w:p>
        </w:tc>
        <w:tc>
          <w:tcPr>
            <w:tcW w:w="0" w:type="auto"/>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为本招标项目的招标人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0" w:type="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w:t>
            </w:r>
          </w:p>
        </w:tc>
        <w:tc>
          <w:tcPr>
            <w:tcW w:w="0" w:type="auto"/>
            <w:noWrap/>
            <w:vAlign w:val="center"/>
          </w:tcPr>
          <w:p>
            <w:pPr>
              <w:pageBreakBefore w:val="0"/>
              <w:kinsoku/>
              <w:wordWrap w:val="0"/>
              <w:overflowPunct/>
              <w:bidi w:val="0"/>
              <w:adjustRightInd w:val="0"/>
              <w:snapToGrid w:val="0"/>
              <w:spacing w:line="360" w:lineRule="auto"/>
              <w:jc w:val="center"/>
              <w:rPr>
                <w:rFonts w:hint="default" w:asciiTheme="minorEastAsia" w:hAnsiTheme="minorEastAsia" w:eastAsiaTheme="minorEastAsia" w:cstheme="minorEastAsia"/>
                <w:color w:val="000000" w:themeColor="text1"/>
                <w:sz w:val="24"/>
                <w:szCs w:val="24"/>
                <w:highlight w:val="none"/>
                <w:lang w:val="en-US"/>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南雄市乡村振兴服务中心</w:t>
            </w:r>
          </w:p>
        </w:tc>
        <w:tc>
          <w:tcPr>
            <w:tcW w:w="0" w:type="auto"/>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为本招标项目的业主单位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0" w:type="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w:t>
            </w:r>
          </w:p>
        </w:tc>
        <w:tc>
          <w:tcPr>
            <w:tcW w:w="0" w:type="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中咨管理顾问有限责任公司</w:t>
            </w:r>
          </w:p>
        </w:tc>
        <w:tc>
          <w:tcPr>
            <w:tcW w:w="0" w:type="auto"/>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为本招标项目的可行性研究报告编制单位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0" w:type="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w:t>
            </w:r>
          </w:p>
        </w:tc>
        <w:tc>
          <w:tcPr>
            <w:tcW w:w="0" w:type="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韶关众兴招标有限公司</w:t>
            </w:r>
          </w:p>
        </w:tc>
        <w:tc>
          <w:tcPr>
            <w:tcW w:w="0" w:type="auto"/>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为本招标项目的招标代理机构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0" w:type="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5</w:t>
            </w:r>
          </w:p>
        </w:tc>
        <w:tc>
          <w:tcPr>
            <w:tcW w:w="0" w:type="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广咨国际工程咨询有限公司</w:t>
            </w:r>
          </w:p>
        </w:tc>
        <w:tc>
          <w:tcPr>
            <w:tcW w:w="0" w:type="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为本招标项目的可行性研究报告修编单位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0" w:type="auto"/>
            <w:noWrap/>
            <w:vAlign w:val="center"/>
          </w:tcPr>
          <w:p>
            <w:pPr>
              <w:pageBreakBefore w:val="0"/>
              <w:kinsoku/>
              <w:wordWrap w:val="0"/>
              <w:overflowPunct/>
              <w:bidi w:val="0"/>
              <w:adjustRightInd w:val="0"/>
              <w:snapToGrid w:val="0"/>
              <w:spacing w:line="360" w:lineRule="auto"/>
              <w:jc w:val="cente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6</w:t>
            </w:r>
          </w:p>
        </w:tc>
        <w:tc>
          <w:tcPr>
            <w:tcW w:w="0" w:type="auto"/>
            <w:noWrap/>
            <w:vAlign w:val="center"/>
          </w:tcPr>
          <w:p>
            <w:pPr>
              <w:pageBreakBefore w:val="0"/>
              <w:tabs>
                <w:tab w:val="center" w:pos="941"/>
              </w:tabs>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待定</w:t>
            </w:r>
          </w:p>
        </w:tc>
        <w:tc>
          <w:tcPr>
            <w:tcW w:w="0" w:type="auto"/>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为本招标项目的监理单位</w:t>
            </w:r>
          </w:p>
        </w:tc>
      </w:tr>
    </w:tbl>
    <w:p>
      <w:pPr>
        <w:pageBreakBefore w:val="0"/>
        <w:kinsoku/>
        <w:wordWrap w:val="0"/>
        <w:overflowPunct/>
        <w:bidi w:val="0"/>
        <w:adjustRightInd w:val="0"/>
        <w:snapToGrid w:val="0"/>
        <w:spacing w:line="360" w:lineRule="auto"/>
        <w:ind w:firstLine="482" w:firstLineChars="200"/>
        <w:jc w:val="lef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4.5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省外企业（包括组成联合体的所有成员单位）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及其拟派往本项目管理机构的所有人员</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须按照《广东省住房和城乡建设厅关于取消省外建筑企业和人员进粤信息备案有关工作的通知》（粤建市﹝2015﹞52号）规定在“进粤企业和人员诚信信息登记平台”录入相关信息并通过数据规范检查。</w:t>
      </w:r>
    </w:p>
    <w:p>
      <w:pPr>
        <w:pStyle w:val="39"/>
        <w:keepNext/>
        <w:keepLines/>
        <w:pageBreakBefore w:val="0"/>
        <w:kinsoku/>
        <w:wordWrap w:val="0"/>
        <w:overflowPunct/>
        <w:bidi w:val="0"/>
        <w:ind w:firstLine="482" w:firstLineChars="20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63" w:name="_Toc24391"/>
      <w:bookmarkStart w:id="64" w:name="_Toc18979"/>
      <w:bookmarkStart w:id="65" w:name="_Toc2707"/>
      <w:bookmarkStart w:id="66" w:name="_Toc30299"/>
      <w:bookmarkStart w:id="67" w:name="_Toc17645"/>
      <w:bookmarkStart w:id="68" w:name="_Toc3588"/>
      <w:bookmarkStart w:id="69" w:name="_Toc20378"/>
      <w:bookmarkStart w:id="70" w:name="_Toc3094"/>
      <w:bookmarkStart w:id="71" w:name="_Toc8294"/>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5、工程招标内容及要求</w:t>
      </w:r>
      <w:bookmarkEnd w:id="63"/>
      <w:bookmarkEnd w:id="64"/>
      <w:bookmarkEnd w:id="65"/>
      <w:bookmarkEnd w:id="66"/>
      <w:bookmarkEnd w:id="67"/>
      <w:bookmarkEnd w:id="68"/>
      <w:bookmarkEnd w:id="69"/>
      <w:bookmarkEnd w:id="70"/>
      <w:bookmarkEnd w:id="71"/>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Calibri"/>
          <w:bCs/>
          <w:color w:val="000000" w:themeColor="text1"/>
          <w:sz w:val="24"/>
          <w:szCs w:val="24"/>
          <w:highlight w:val="none"/>
          <w:u w:val="none"/>
          <w14:textFill>
            <w14:solidFill>
              <w14:schemeClr w14:val="tx1"/>
            </w14:solidFill>
          </w14:textFill>
        </w:rPr>
      </w:pPr>
      <w:r>
        <w:rPr>
          <w:rFonts w:hint="eastAsia" w:ascii="宋体" w:hAnsi="宋体" w:eastAsia="宋体" w:cs="Calibri"/>
          <w:bCs/>
          <w:color w:val="000000" w:themeColor="text1"/>
          <w:sz w:val="24"/>
          <w:szCs w:val="24"/>
          <w:highlight w:val="none"/>
          <w:u w:val="none"/>
          <w:lang w:val="en-US" w:eastAsia="zh-CN"/>
          <w14:textFill>
            <w14:solidFill>
              <w14:schemeClr w14:val="tx1"/>
            </w14:solidFill>
          </w14:textFill>
        </w:rPr>
        <w:t>5.1</w:t>
      </w:r>
      <w:r>
        <w:rPr>
          <w:rFonts w:hint="eastAsia" w:ascii="宋体" w:hAnsi="宋体" w:eastAsia="宋体" w:cs="Calibri"/>
          <w:bCs/>
          <w:color w:val="000000" w:themeColor="text1"/>
          <w:sz w:val="24"/>
          <w:szCs w:val="24"/>
          <w:highlight w:val="none"/>
          <w:u w:val="none"/>
          <w:lang w:val="zh-CN"/>
          <w14:textFill>
            <w14:solidFill>
              <w14:schemeClr w14:val="tx1"/>
            </w14:solidFill>
          </w14:textFill>
        </w:rPr>
        <w:t>本工程所涉及的内容包括但不限于以下（1）～（</w:t>
      </w:r>
      <w:r>
        <w:rPr>
          <w:rFonts w:hint="eastAsia" w:hAnsi="宋体" w:cs="Calibri"/>
          <w:bCs/>
          <w:color w:val="000000" w:themeColor="text1"/>
          <w:sz w:val="24"/>
          <w:szCs w:val="24"/>
          <w:highlight w:val="none"/>
          <w:u w:val="none"/>
          <w:lang w:val="en-US" w:eastAsia="zh-CN"/>
          <w14:textFill>
            <w14:solidFill>
              <w14:schemeClr w14:val="tx1"/>
            </w14:solidFill>
          </w14:textFill>
        </w:rPr>
        <w:t>2</w:t>
      </w:r>
      <w:r>
        <w:rPr>
          <w:rFonts w:hint="eastAsia" w:ascii="宋体" w:hAnsi="宋体" w:eastAsia="宋体" w:cs="Calibri"/>
          <w:bCs/>
          <w:color w:val="000000" w:themeColor="text1"/>
          <w:sz w:val="24"/>
          <w:szCs w:val="24"/>
          <w:highlight w:val="none"/>
          <w:u w:val="none"/>
          <w:lang w:val="zh-CN"/>
          <w14:textFill>
            <w14:solidFill>
              <w14:schemeClr w14:val="tx1"/>
            </w14:solidFill>
          </w14:textFill>
        </w:rPr>
        <w:t>）：</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u w:val="none"/>
          <w14:textFill>
            <w14:solidFill>
              <w14:schemeClr w14:val="tx1"/>
            </w14:solidFill>
          </w14:textFill>
        </w:rPr>
      </w:pPr>
      <w:r>
        <w:rPr>
          <w:rFonts w:hint="eastAsia" w:hAnsi="宋体" w:cs="Calibri"/>
          <w:bCs/>
          <w:color w:val="000000" w:themeColor="text1"/>
          <w:sz w:val="24"/>
          <w:szCs w:val="24"/>
          <w:highlight w:val="none"/>
          <w:u w:val="none"/>
          <w14:textFill>
            <w14:solidFill>
              <w14:schemeClr w14:val="tx1"/>
            </w14:solidFill>
          </w14:textFill>
        </w:rPr>
        <w:t>（1）设计部分：</w:t>
      </w:r>
      <w:r>
        <w:rPr>
          <w:rFonts w:hint="eastAsia" w:hAnsi="宋体" w:cs="宋体"/>
          <w:snapToGrid w:val="0"/>
          <w:color w:val="000000" w:themeColor="text1"/>
          <w:kern w:val="0"/>
          <w:sz w:val="24"/>
          <w:szCs w:val="24"/>
          <w:highlight w:val="none"/>
          <w:u w:val="none"/>
          <w:lang w:val="zh-CN"/>
          <w14:textFill>
            <w14:solidFill>
              <w14:schemeClr w14:val="tx1"/>
            </w14:solidFill>
          </w14:textFill>
        </w:rPr>
        <w:t>确保项目顺利实施的报建、报批、施工等所需的所有建安工程等设计文件。包括但不限于：施工图设计，</w:t>
      </w:r>
      <w:r>
        <w:rPr>
          <w:rFonts w:hint="eastAsia" w:ascii="宋体" w:hAnsi="宋体" w:eastAsia="宋体" w:cs="宋体"/>
          <w:snapToGrid w:val="0"/>
          <w:color w:val="000000" w:themeColor="text1"/>
          <w:kern w:val="0"/>
          <w:sz w:val="24"/>
          <w:szCs w:val="24"/>
          <w:highlight w:val="none"/>
          <w:u w:val="none"/>
          <w14:textFill>
            <w14:solidFill>
              <w14:schemeClr w14:val="tx1"/>
            </w14:solidFill>
          </w14:textFill>
        </w:rPr>
        <w:t>提供项目所需相关检测项的明细表和危险性较大的分部分项工程清单</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及保障安全相关说明</w:t>
      </w:r>
      <w:r>
        <w:rPr>
          <w:rFonts w:hint="eastAsia" w:ascii="宋体" w:hAnsi="宋体" w:eastAsia="宋体" w:cs="宋体"/>
          <w:snapToGrid w:val="0"/>
          <w:color w:val="000000" w:themeColor="text1"/>
          <w:kern w:val="0"/>
          <w:sz w:val="24"/>
          <w:szCs w:val="24"/>
          <w:highlight w:val="none"/>
          <w:u w:val="none"/>
          <w:lang w:eastAsia="zh-CN"/>
          <w14:textFill>
            <w14:solidFill>
              <w14:schemeClr w14:val="tx1"/>
            </w14:solidFill>
          </w14:textFill>
        </w:rPr>
        <w:t>、</w:t>
      </w:r>
      <w:r>
        <w:rPr>
          <w:rFonts w:hint="eastAsia" w:hAnsi="宋体" w:cs="宋体"/>
          <w:snapToGrid w:val="0"/>
          <w:color w:val="000000" w:themeColor="text1"/>
          <w:kern w:val="0"/>
          <w:sz w:val="24"/>
          <w:szCs w:val="24"/>
          <w:highlight w:val="none"/>
          <w:u w:val="none"/>
          <w:lang w:val="zh-CN"/>
          <w14:textFill>
            <w14:solidFill>
              <w14:schemeClr w14:val="tx1"/>
            </w14:solidFill>
          </w14:textFill>
        </w:rPr>
        <w:t>工地现场服务、验收过程中的设计指导及配合阶段验收及档案整理、协助施工单位编制竣工图及后续设计服务工作</w:t>
      </w:r>
      <w:r>
        <w:rPr>
          <w:rFonts w:hint="eastAsia" w:hAnsi="宋体" w:cs="Calibri"/>
          <w:bCs/>
          <w:color w:val="000000" w:themeColor="text1"/>
          <w:sz w:val="24"/>
          <w:szCs w:val="24"/>
          <w:highlight w:val="none"/>
          <w:u w:val="none"/>
          <w14:textFill>
            <w14:solidFill>
              <w14:schemeClr w14:val="tx1"/>
            </w14:solidFill>
          </w14:textFill>
        </w:rPr>
        <w:t>。</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u w:val="none"/>
          <w:lang w:val="zh-CN"/>
          <w14:textFill>
            <w14:solidFill>
              <w14:schemeClr w14:val="tx1"/>
            </w14:solidFill>
          </w14:textFill>
        </w:rPr>
      </w:pPr>
      <w:r>
        <w:rPr>
          <w:rFonts w:hint="eastAsia" w:hAnsi="宋体" w:cs="Calibri"/>
          <w:bCs/>
          <w:color w:val="000000" w:themeColor="text1"/>
          <w:sz w:val="24"/>
          <w:szCs w:val="24"/>
          <w:highlight w:val="none"/>
          <w:u w:val="none"/>
          <w:lang w:val="zh-CN"/>
          <w14:textFill>
            <w14:solidFill>
              <w14:schemeClr w14:val="tx1"/>
            </w14:solidFill>
          </w14:textFill>
        </w:rPr>
        <w:t>（</w:t>
      </w:r>
      <w:r>
        <w:rPr>
          <w:rFonts w:hint="eastAsia" w:hAnsi="宋体" w:cs="Calibri"/>
          <w:bCs/>
          <w:color w:val="000000" w:themeColor="text1"/>
          <w:sz w:val="24"/>
          <w:szCs w:val="24"/>
          <w:highlight w:val="none"/>
          <w:u w:val="none"/>
          <w:lang w:val="en-US" w:eastAsia="zh-CN"/>
          <w14:textFill>
            <w14:solidFill>
              <w14:schemeClr w14:val="tx1"/>
            </w14:solidFill>
          </w14:textFill>
        </w:rPr>
        <w:t>2</w:t>
      </w:r>
      <w:r>
        <w:rPr>
          <w:rFonts w:hint="eastAsia" w:hAnsi="宋体" w:cs="Calibri"/>
          <w:bCs/>
          <w:color w:val="000000" w:themeColor="text1"/>
          <w:sz w:val="24"/>
          <w:szCs w:val="24"/>
          <w:highlight w:val="none"/>
          <w:u w:val="none"/>
          <w:lang w:val="zh-CN"/>
          <w14:textFill>
            <w14:solidFill>
              <w14:schemeClr w14:val="tx1"/>
            </w14:solidFill>
          </w14:textFill>
        </w:rPr>
        <w:t>）施工部分：</w:t>
      </w:r>
      <w:r>
        <w:rPr>
          <w:rFonts w:hint="eastAsia" w:ascii="宋体" w:hAnsi="宋体" w:eastAsia="宋体" w:cs="宋体"/>
          <w:snapToGrid w:val="0"/>
          <w:color w:val="000000" w:themeColor="text1"/>
          <w:kern w:val="0"/>
          <w:sz w:val="24"/>
          <w:szCs w:val="24"/>
          <w:highlight w:val="none"/>
          <w:u w:val="none"/>
          <w14:textFill>
            <w14:solidFill>
              <w14:schemeClr w14:val="tx1"/>
            </w14:solidFill>
          </w14:textFill>
        </w:rPr>
        <w:t>设计文件及工程量清单范围内的所有工程及配套工程、设施等的施工</w:t>
      </w:r>
      <w:r>
        <w:rPr>
          <w:rFonts w:hint="eastAsia" w:hAnsi="宋体" w:cs="Calibri"/>
          <w:bCs/>
          <w:color w:val="000000" w:themeColor="text1"/>
          <w:sz w:val="24"/>
          <w:szCs w:val="24"/>
          <w:highlight w:val="none"/>
          <w:u w:val="none"/>
          <w:lang w:val="zh-CN"/>
          <w14:textFill>
            <w14:solidFill>
              <w14:schemeClr w14:val="tx1"/>
            </w14:solidFill>
          </w14:textFill>
        </w:rPr>
        <w:t>（含竣工验收资料编制整理、备案等），完成并配合发包人结算、负责工程缺陷保修以及发包人要求由施工单位完成的其他工作（发包人另行委托其他单位负责实施的工作内容除外，但需提供一系列协调及配合服务）等。</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5.2</w:t>
      </w:r>
      <w:r>
        <w:rPr>
          <w:rFonts w:hint="eastAsia" w:hAnsi="宋体" w:cs="Calibri"/>
          <w:bCs/>
          <w:color w:val="000000" w:themeColor="text1"/>
          <w:sz w:val="24"/>
          <w:szCs w:val="24"/>
          <w:highlight w:val="none"/>
          <w:lang w:val="zh-CN"/>
          <w14:textFill>
            <w14:solidFill>
              <w14:schemeClr w14:val="tx1"/>
            </w14:solidFill>
          </w14:textFill>
        </w:rPr>
        <w:t>设计要求：</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5.2.1设计质量要求：</w:t>
      </w:r>
      <w:r>
        <w:rPr>
          <w:rFonts w:hint="eastAsia" w:hAnsi="宋体" w:cs="Calibri"/>
          <w:bCs/>
          <w:color w:val="000000" w:themeColor="text1"/>
          <w:sz w:val="24"/>
          <w:szCs w:val="24"/>
          <w:highlight w:val="none"/>
          <w:lang w:val="zh-CN"/>
          <w14:textFill>
            <w14:solidFill>
              <w14:schemeClr w14:val="tx1"/>
            </w14:solidFill>
          </w14:textFill>
        </w:rPr>
        <w:t>符合国家或行业颁布的现行有效的有关设计的规范要求，并必须通过有关部门的审查及经有资质的审图机构审查合格。</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5.2.2</w:t>
      </w:r>
      <w:r>
        <w:rPr>
          <w:rFonts w:hint="eastAsia" w:hAnsi="宋体" w:cs="Calibri"/>
          <w:bCs/>
          <w:color w:val="000000" w:themeColor="text1"/>
          <w:sz w:val="24"/>
          <w:szCs w:val="24"/>
          <w:highlight w:val="none"/>
          <w:lang w:val="zh-CN"/>
          <w14:textFill>
            <w14:solidFill>
              <w14:schemeClr w14:val="tx1"/>
            </w14:solidFill>
          </w14:textFill>
        </w:rPr>
        <w:t>本工程施工图设计必须先经</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确认才能送审，并经</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委托的有资质的审图机构审查合格。若</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或审图机构在审查过程中提出的设计修改或变更，设计单位必须无条件进行修改或优化设计，</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不再支付由此而增加的设计费用。</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Calibri"/>
          <w:bCs/>
          <w:color w:val="000000" w:themeColor="text1"/>
          <w:sz w:val="24"/>
          <w:szCs w:val="24"/>
          <w:highlight w:val="none"/>
          <w:lang w:val="en-US" w:eastAsia="zh-CN"/>
          <w14:textFill>
            <w14:solidFill>
              <w14:schemeClr w14:val="tx1"/>
            </w14:solidFill>
          </w14:textFill>
        </w:rPr>
      </w:pPr>
      <w:r>
        <w:rPr>
          <w:rFonts w:hint="eastAsia" w:ascii="宋体" w:hAnsi="宋体" w:eastAsia="宋体" w:cs="Calibri"/>
          <w:bCs/>
          <w:color w:val="000000" w:themeColor="text1"/>
          <w:sz w:val="24"/>
          <w:szCs w:val="24"/>
          <w:highlight w:val="none"/>
          <w:lang w:val="en-US" w:eastAsia="zh-CN"/>
          <w14:textFill>
            <w14:solidFill>
              <w14:schemeClr w14:val="tx1"/>
            </w14:solidFill>
          </w14:textFill>
        </w:rPr>
        <w:t>5.</w:t>
      </w:r>
      <w:r>
        <w:rPr>
          <w:rFonts w:hint="eastAsia" w:hAnsi="宋体" w:cs="Calibri"/>
          <w:bCs/>
          <w:color w:val="000000" w:themeColor="text1"/>
          <w:sz w:val="24"/>
          <w:szCs w:val="24"/>
          <w:highlight w:val="none"/>
          <w:lang w:val="en-US" w:eastAsia="zh-CN"/>
          <w14:textFill>
            <w14:solidFill>
              <w14:schemeClr w14:val="tx1"/>
            </w14:solidFill>
          </w14:textFill>
        </w:rPr>
        <w:t>2</w:t>
      </w:r>
      <w:r>
        <w:rPr>
          <w:rFonts w:hint="eastAsia" w:ascii="宋体" w:hAnsi="宋体" w:eastAsia="宋体" w:cs="Calibri"/>
          <w:bCs/>
          <w:color w:val="000000" w:themeColor="text1"/>
          <w:sz w:val="24"/>
          <w:szCs w:val="24"/>
          <w:highlight w:val="none"/>
          <w:lang w:val="en-US" w:eastAsia="zh-CN"/>
          <w14:textFill>
            <w14:solidFill>
              <w14:schemeClr w14:val="tx1"/>
            </w14:solidFill>
          </w14:textFill>
        </w:rPr>
        <w:t>.3关于设计深度的要求</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按国家及地方现行的设计文件深度规定等有关技术标准、设计规范（标准）要求。</w:t>
      </w:r>
    </w:p>
    <w:p>
      <w:pPr>
        <w:pStyle w:val="37"/>
        <w:pageBreakBefore w:val="0"/>
        <w:numPr>
          <w:ilvl w:val="0"/>
          <w:numId w:val="0"/>
        </w:numPr>
        <w:kinsoku/>
        <w:wordWrap w:val="0"/>
        <w:overflowPunct/>
        <w:bidi w:val="0"/>
        <w:spacing w:line="360" w:lineRule="auto"/>
        <w:ind w:left="0" w:leftChars="0"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各专业设计应同步进行，涉及单位应指定总体设计人统筹布局，做好各项设施的协调和衔接、位置预留，不得留待施工中临时变更。</w:t>
      </w:r>
    </w:p>
    <w:p>
      <w:pPr>
        <w:pStyle w:val="37"/>
        <w:pageBreakBefore w:val="0"/>
        <w:numPr>
          <w:ilvl w:val="0"/>
          <w:numId w:val="0"/>
        </w:numPr>
        <w:kinsoku/>
        <w:wordWrap w:val="0"/>
        <w:overflowPunct/>
        <w:bidi w:val="0"/>
        <w:spacing w:line="360" w:lineRule="auto"/>
        <w:ind w:left="0" w:leftChars="0"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 xml:space="preserve">对技术复杂或造价、规模较大的主要分项工程应作方案比较。 </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施工图设计文件的深度，应当满足设备材料采购，非标准设备制作和施工的需要，并注明建设工程合理使用年限。</w:t>
      </w:r>
    </w:p>
    <w:p>
      <w:pPr>
        <w:pStyle w:val="37"/>
        <w:pageBreakBefore w:val="0"/>
        <w:numPr>
          <w:ilvl w:val="0"/>
          <w:numId w:val="0"/>
        </w:numPr>
        <w:kinsoku/>
        <w:wordWrap w:val="0"/>
        <w:overflowPunct/>
        <w:bidi w:val="0"/>
        <w:spacing w:line="360" w:lineRule="auto"/>
        <w:ind w:left="0" w:leftChars="0"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w:t>
      </w:r>
      <w:r>
        <w:rPr>
          <w:rFonts w:hint="eastAsia" w:hAnsi="宋体" w:cs="宋体"/>
          <w:color w:val="000000" w:themeColor="text1"/>
          <w:kern w:val="2"/>
          <w:sz w:val="24"/>
          <w:szCs w:val="24"/>
          <w:highlight w:val="none"/>
          <w:lang w:val="en-US" w:eastAsia="zh-CN" w:bidi="ar-SA"/>
          <w14:textFill>
            <w14:solidFill>
              <w14:schemeClr w14:val="tx1"/>
            </w14:solidFill>
          </w14:textFill>
        </w:rPr>
        <w:t>5</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相关的配套外部接口方案均需取得政府主管部门或规划部门认可。</w:t>
      </w:r>
    </w:p>
    <w:p>
      <w:pPr>
        <w:pStyle w:val="37"/>
        <w:pageBreakBefore w:val="0"/>
        <w:numPr>
          <w:ilvl w:val="0"/>
          <w:numId w:val="0"/>
        </w:numPr>
        <w:kinsoku/>
        <w:wordWrap w:val="0"/>
        <w:overflowPunct/>
        <w:bidi w:val="0"/>
        <w:spacing w:line="360" w:lineRule="auto"/>
        <w:ind w:left="0" w:leftChars="0"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hAnsi="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施工图设计文件应考虑交通维护、临时施工便道、基坑支护、对周边建筑物的影响等因素，以指导现场施工及过程评审。</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snapToGrid w:val="0"/>
          <w:color w:val="000000" w:themeColor="text1"/>
          <w:kern w:val="0"/>
          <w:sz w:val="24"/>
          <w:szCs w:val="24"/>
          <w:highlight w:val="none"/>
          <w14:textFill>
            <w14:solidFill>
              <w14:schemeClr w14:val="tx1"/>
            </w14:solidFill>
          </w14:textFill>
        </w:rPr>
        <w:t>设计后期配合工作</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施工图设计完成并经有关单位审查后，才能进入施工阶段。</w:t>
      </w:r>
    </w:p>
    <w:p>
      <w:pPr>
        <w:pStyle w:val="37"/>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snapToGrid w:val="0"/>
          <w:color w:val="000000" w:themeColor="text1"/>
          <w:kern w:val="0"/>
          <w:sz w:val="24"/>
          <w:szCs w:val="24"/>
          <w:highlight w:val="none"/>
          <w14:textFill>
            <w14:solidFill>
              <w14:schemeClr w14:val="tx1"/>
            </w14:solidFill>
          </w14:textFill>
        </w:rPr>
        <w:t>设计单位配合施工、监理及业主单位的工作内容如下：</w:t>
      </w:r>
    </w:p>
    <w:p>
      <w:pPr>
        <w:keepNext w:val="0"/>
        <w:keepLines w:val="0"/>
        <w:pageBreakBefore w:val="0"/>
        <w:widowControl w:val="0"/>
        <w:numPr>
          <w:ilvl w:val="0"/>
          <w:numId w:val="1"/>
        </w:numPr>
        <w:tabs>
          <w:tab w:val="left" w:pos="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施工图设计（技术）交底；</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配合勘察单位现场交桩；</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变更设计和所有补充设计；</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会签设计变更审批表；</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参加处理施工中发生的工程质量和安全事故；</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参加隐蔽工程及工程竣工验收；</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解决与设计有关的施工问题；</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配合质量检测；</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参加审查施工单位的施工组织设计和专项施工方案；</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参加本项目建设有关会议。</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在监理招标期间配合建设及相关单位解释及完善施工图相关内容。</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（3）设计工作技术总结</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对设计文件及施工过程中发生的补充设计进行检查，并提出设计文件质量检查报告，在竣工验收前交</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snapToGrid w:val="0"/>
          <w:color w:val="000000" w:themeColor="text1"/>
          <w:kern w:val="0"/>
          <w:sz w:val="24"/>
          <w:szCs w:val="24"/>
          <w:highlight w:val="none"/>
          <w14:textFill>
            <w14:solidFill>
              <w14:schemeClr w14:val="tx1"/>
            </w14:solidFill>
          </w14:textFill>
        </w:rPr>
        <w:t>。工程完工后，</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应组织设计技术工作人员将全部资料进行整理并撰写工程技术总结，并于竣工后一个月内完成，交</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hAnsi="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val="en-US" w:eastAsia="zh-CN"/>
          <w14:textFill>
            <w14:solidFill>
              <w14:schemeClr w14:val="tx1"/>
            </w14:solidFill>
          </w14:textFill>
        </w:rPr>
        <w:t>限额设计要求：</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若</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第三方</w:t>
      </w:r>
      <w:r>
        <w:rPr>
          <w:rFonts w:hint="eastAsia" w:ascii="宋体" w:hAnsi="宋体" w:eastAsia="宋体" w:cs="宋体"/>
          <w:snapToGrid w:val="0"/>
          <w:color w:val="000000" w:themeColor="text1"/>
          <w:kern w:val="0"/>
          <w:sz w:val="24"/>
          <w:szCs w:val="24"/>
          <w:highlight w:val="none"/>
          <w14:textFill>
            <w14:solidFill>
              <w14:schemeClr w14:val="tx1"/>
            </w14:solidFill>
          </w14:textFill>
        </w:rPr>
        <w:t>造价咨询单位按施工图编制或审核的建安工程费高于</w:t>
      </w:r>
      <w:r>
        <w:rPr>
          <w:rFonts w:hint="eastAsia" w:ascii="宋体" w:hAnsi="宋体" w:eastAsia="宋体" w:cs="宋体"/>
          <w:color w:val="000000" w:themeColor="text1"/>
          <w:sz w:val="24"/>
          <w:szCs w:val="24"/>
          <w:highlight w:val="none"/>
          <w14:textFill>
            <w14:solidFill>
              <w14:schemeClr w14:val="tx1"/>
            </w14:solidFill>
          </w14:textFill>
        </w:rPr>
        <w:t>建安工程费的中标价</w:t>
      </w:r>
      <w:r>
        <w:rPr>
          <w:rFonts w:hint="eastAsia" w:ascii="宋体" w:hAnsi="宋体" w:eastAsia="宋体" w:cs="宋体"/>
          <w:snapToGrid w:val="0"/>
          <w:color w:val="000000" w:themeColor="text1"/>
          <w:kern w:val="0"/>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必须无条件对施工图进行修改，直至满足限额设计要求，</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不另行增加设计费</w:t>
      </w:r>
      <w:r>
        <w:rPr>
          <w:rFonts w:hint="eastAsia" w:ascii="宋体" w:hAnsi="宋体" w:eastAsia="宋体" w:cs="宋体"/>
          <w:snapToGrid w:val="0"/>
          <w:color w:val="000000" w:themeColor="text1"/>
          <w:kern w:val="0"/>
          <w:sz w:val="24"/>
          <w:szCs w:val="24"/>
          <w:highlight w:val="none"/>
          <w14:textFill>
            <w14:solidFill>
              <w14:schemeClr w14:val="tx1"/>
            </w14:solidFill>
          </w14:textFill>
        </w:rPr>
        <w:t>。由此造成造价咨询单位重复编制或审核施工图预算的费用由</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承担，结算时在设计费中扣除。</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r>
        <w:rPr>
          <w:rFonts w:hint="eastAsia" w:hAnsi="宋体" w:cs="宋体"/>
          <w:snapToGrid w:val="0"/>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不得为了用完设计限额额度，擅自扩大建设规模、增加建设内容、提高建设标准的行为，因此导致造价增加由</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负责及承担费用。</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5.3.5</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在设计前，要充分进行市场调查，主要材料、设备在满足设计规范及建设标准的情况下，尽量采用造价管理机构发布的信息价中有相应型号、规格的标准材料，若必须采用非标准材料的，必须经</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同意，否则参照信息价中相近且低于其标准的材料信息价作为该项材料的结算价。</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5.</w:t>
      </w:r>
      <w:r>
        <w:rPr>
          <w:rFonts w:hint="eastAsia" w:hAnsi="宋体" w:cs="宋体"/>
          <w:b w:val="0"/>
          <w:bCs w:val="0"/>
          <w:snapToGrid w:val="0"/>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设计时需要考虑与周边地块的开发相结合。</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en-US" w:eastAsia="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5.2.7设计成果文件要求：</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color w:val="000000" w:themeColor="text1"/>
          <w:sz w:val="24"/>
          <w:szCs w:val="24"/>
          <w:highlight w:val="none"/>
          <w14:textFill>
            <w14:solidFill>
              <w14:schemeClr w14:val="tx1"/>
            </w14:solidFill>
          </w14:textFill>
        </w:rPr>
        <w:t>按合同约定、招标文件内容要求、法律法规及国家强制性标准要求提供完整的设计文件</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要求提供施工图设计文件12套。提供的所有资料均含电子版（含CAD及PDF文件格式）。</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5.3</w:t>
      </w:r>
      <w:r>
        <w:rPr>
          <w:rFonts w:hint="eastAsia" w:hAnsi="宋体" w:cs="Calibri"/>
          <w:bCs/>
          <w:color w:val="000000" w:themeColor="text1"/>
          <w:sz w:val="24"/>
          <w:szCs w:val="24"/>
          <w:highlight w:val="none"/>
          <w:lang w:val="zh-CN"/>
          <w14:textFill>
            <w14:solidFill>
              <w14:schemeClr w14:val="tx1"/>
            </w14:solidFill>
          </w14:textFill>
        </w:rPr>
        <w:t>施工要求：</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5.3.1施工质量要求：</w:t>
      </w:r>
      <w:r>
        <w:rPr>
          <w:rFonts w:hint="eastAsia" w:hAnsi="宋体" w:cs="Calibri"/>
          <w:bCs/>
          <w:color w:val="000000" w:themeColor="text1"/>
          <w:sz w:val="24"/>
          <w:szCs w:val="24"/>
          <w:highlight w:val="none"/>
          <w:lang w:val="zh-CN"/>
          <w14:textFill>
            <w14:solidFill>
              <w14:schemeClr w14:val="tx1"/>
            </w14:solidFill>
          </w14:textFill>
        </w:rPr>
        <w:t>施工质量必须达到国家验收合格标准。</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若因</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原因，</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工程在竣工</w:t>
      </w:r>
      <w:r>
        <w:rPr>
          <w:rFonts w:hint="eastAsia" w:ascii="宋体" w:hAnsi="宋体" w:eastAsia="宋体" w:cs="宋体"/>
          <w:color w:val="000000" w:themeColor="text1"/>
          <w:sz w:val="24"/>
          <w:szCs w:val="24"/>
          <w:highlight w:val="none"/>
          <w14:textFill>
            <w14:solidFill>
              <w14:schemeClr w14:val="tx1"/>
            </w14:solidFill>
          </w14:textFill>
        </w:rPr>
        <w:t>验收时没有达到</w:t>
      </w:r>
      <w:r>
        <w:rPr>
          <w:rFonts w:hint="eastAsia" w:ascii="宋体" w:hAnsi="宋体" w:eastAsia="宋体" w:cs="宋体"/>
          <w:color w:val="000000" w:themeColor="text1"/>
          <w:sz w:val="24"/>
          <w:szCs w:val="24"/>
          <w:highlight w:val="none"/>
          <w:lang w:val="zh-CN"/>
          <w14:textFill>
            <w14:solidFill>
              <w14:schemeClr w14:val="tx1"/>
            </w14:solidFill>
          </w14:textFill>
        </w:rPr>
        <w:t>国家验收合格标准</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按合同价款的1％向</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返纳质量违约金。</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在施工中如果工程质量不符合设计要求或有关规定，</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或监理单位要求停工和返工的必须立即执行，并承担由此产生的各种费用，工期不予顺延。</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保修期限按中华人民共和国国务院令第279号文《建设工程质量管理条例》规定执行，在保修期内因施工质量问题而造成返修，一切费用由</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负责。</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在向</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提交竣工验收报告时，应当向</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出具质量保修书。质量保修书中应当明确建设工程的保修范围、保修期限和保修责任等。</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项目使用的主要材料质量要求必须符合本项目达到验收合格标准的要求。主要材料必须先提供样板给</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确定其颜色、等级等，并经发包人委托的检测机构检测合格方可使用。</w:t>
      </w:r>
      <w:bookmarkStart w:id="72" w:name="OLE_LINK2"/>
      <w:bookmarkStart w:id="73" w:name="OLE_LINK1"/>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为保证施工现场的环境卫生，</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在本工程施工过程中，所有的车辆必须按</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规定的行车路线行驶。并负责施工现场及受施工影响周边道路的卫生。</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5.</w:t>
      </w:r>
      <w:r>
        <w:rPr>
          <w:rFonts w:hint="eastAsia" w:hAnsi="宋体" w:cs="宋体"/>
          <w:b w:val="0"/>
          <w:bCs w:val="0"/>
          <w:snapToGrid w:val="0"/>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.7</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在施工期间应严格遵守国家、广东省、韶关市有关绿色施工、文明施工、噪音扬尘、消防爆破、环境卫生、渣土清运、治安保卫等方面的规定，并建立相应规章制度和保障措施。否则由此造成的经济损失和法律责任，均由</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承担。</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5.</w:t>
      </w:r>
      <w:r>
        <w:rPr>
          <w:rFonts w:hint="eastAsia" w:hAnsi="宋体" w:cs="宋体"/>
          <w:b w:val="0"/>
          <w:bCs w:val="0"/>
          <w:snapToGrid w:val="0"/>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.8</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应按安全施工有关规定，采取严格、科学的安全防护措施，确保施工和人员（包括第三者）的安全，承担由于自身安全防护措施不力所造成的安全事故责任和发生的费用。</w:t>
      </w:r>
    </w:p>
    <w:p>
      <w:pPr>
        <w:pStyle w:val="44"/>
        <w:pageBreakBefore w:val="0"/>
        <w:widowControl/>
        <w:kinsoku/>
        <w:wordWrap w:val="0"/>
        <w:overflowPunct/>
        <w:bidi w:val="0"/>
        <w:spacing w:line="360" w:lineRule="auto"/>
        <w:ind w:firstLine="48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w:t>
      </w:r>
      <w:bookmarkEnd w:id="72"/>
      <w:bookmarkEnd w:id="73"/>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5.</w:t>
      </w:r>
      <w:r>
        <w:rPr>
          <w:rFonts w:hint="eastAsia" w:asciiTheme="minorEastAsia" w:hAnsiTheme="minorEastAsia" w:eastAsiaTheme="minorEastAsia" w:cstheme="minorEastAsia"/>
          <w:b/>
          <w:bCs/>
          <w:snapToGrid w:val="0"/>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凡参加本次招标的投标人被视为已充分认识和理解了任何与本工程有关的影响事项和困难等情况。</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74" w:name="_Hlt74496537"/>
      <w:bookmarkEnd w:id="74"/>
      <w:bookmarkStart w:id="75" w:name="_Hlt69699204"/>
      <w:bookmarkEnd w:id="75"/>
      <w:bookmarkStart w:id="76" w:name="_Hlt88974078"/>
      <w:bookmarkEnd w:id="76"/>
      <w:bookmarkStart w:id="77" w:name="_Hlt120502666"/>
      <w:bookmarkEnd w:id="77"/>
      <w:bookmarkStart w:id="78" w:name="_Hlt69356505"/>
      <w:bookmarkEnd w:id="78"/>
      <w:bookmarkStart w:id="79" w:name="_Hlt111690342"/>
      <w:bookmarkEnd w:id="79"/>
      <w:bookmarkStart w:id="80" w:name="_Hlt121563076"/>
      <w:bookmarkEnd w:id="80"/>
      <w:bookmarkStart w:id="81" w:name="_Hlt74493474"/>
      <w:bookmarkEnd w:id="81"/>
      <w:bookmarkStart w:id="82" w:name="_Toc12891"/>
      <w:bookmarkStart w:id="83" w:name="_Toc10812"/>
      <w:bookmarkStart w:id="84" w:name="_Toc20827"/>
      <w:bookmarkStart w:id="85" w:name="_Toc17958"/>
      <w:bookmarkStart w:id="86" w:name="_Toc3183"/>
      <w:bookmarkStart w:id="87" w:name="_Toc16432"/>
      <w:bookmarkStart w:id="88" w:name="_Toc19911"/>
      <w:bookmarkStart w:id="89" w:name="_Toc3193"/>
      <w:bookmarkStart w:id="90" w:name="_Toc24793"/>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6、招标工程施工条件及现场踏勘</w:t>
      </w:r>
      <w:bookmarkEnd w:id="82"/>
      <w:bookmarkEnd w:id="83"/>
      <w:bookmarkEnd w:id="84"/>
      <w:bookmarkEnd w:id="85"/>
      <w:bookmarkEnd w:id="86"/>
      <w:bookmarkEnd w:id="87"/>
      <w:bookmarkEnd w:id="88"/>
      <w:bookmarkEnd w:id="89"/>
      <w:bookmarkEnd w:id="90"/>
    </w:p>
    <w:p>
      <w:pPr>
        <w:pStyle w:val="45"/>
        <w:pageBreakBefore w:val="0"/>
        <w:kinsoku/>
        <w:wordWrap w:val="0"/>
        <w:overflowPunct/>
        <w:bidi w:val="0"/>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6.1本工程招标人仅在征地红线范围内提供场地，其他一切场地费用由中标人自行负责（含临时道路）。</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6.2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施工用水：</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招标人协调，</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施工用水及水源由中标人自行解决，费用含在投标报价中，不另计</w:t>
      </w:r>
      <w:r>
        <w:rPr>
          <w:rFonts w:hint="eastAsia" w:asciiTheme="minorEastAsia" w:hAnsiTheme="minorEastAsia" w:eastAsiaTheme="minorEastAsia" w:cstheme="minorEastAsia"/>
          <w:color w:val="000000" w:themeColor="text1"/>
          <w:kern w:val="0"/>
          <w:szCs w:val="24"/>
          <w:highlight w:val="none"/>
          <w:u w:val="singl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6.3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施工用电：</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招标人协调，</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施工用电及电源由中标人自行解决，费用含在投标报价中，不另计</w:t>
      </w:r>
      <w:r>
        <w:rPr>
          <w:rFonts w:hint="eastAsia" w:asciiTheme="minorEastAsia" w:hAnsiTheme="minorEastAsia" w:eastAsiaTheme="minorEastAsia" w:cstheme="minorEastAsia"/>
          <w:color w:val="000000" w:themeColor="text1"/>
          <w:kern w:val="0"/>
          <w:szCs w:val="24"/>
          <w:highlight w:val="none"/>
          <w:u w:val="single"/>
          <w14:textFill>
            <w14:solidFill>
              <w14:schemeClr w14:val="tx1"/>
            </w14:solidFill>
          </w14:textFill>
        </w:rPr>
        <w:t>。</w:t>
      </w:r>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6.4</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施工用水、用电由中标人负责报装并接入施工红线范围，</w:t>
      </w:r>
      <w:r>
        <w:rPr>
          <w:rFonts w:hint="eastAsia" w:asciiTheme="minorEastAsia" w:hAnsiTheme="minorEastAsia" w:eastAsiaTheme="minorEastAsia" w:cstheme="minorEastAsia"/>
          <w:color w:val="000000" w:themeColor="text1"/>
          <w:highlight w:val="none"/>
          <w14:textFill>
            <w14:solidFill>
              <w14:schemeClr w14:val="tx1"/>
            </w14:solidFill>
          </w14:textFill>
        </w:rPr>
        <w:t>并由中标人负责购置及安装满足施工所需的临时用电变压器、水表、电表，其水、电费按工程所在地</w:t>
      </w:r>
      <w:r>
        <w:rPr>
          <w:rFonts w:hint="eastAsia" w:asciiTheme="minorEastAsia" w:hAnsiTheme="minorEastAsia" w:eastAsiaTheme="minorEastAsia" w:cstheme="minorEastAsia"/>
          <w:color w:val="000000" w:themeColor="text1"/>
          <w:highlight w:val="none"/>
          <w:u w:val="singl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highlight w:val="none"/>
          <w14:textFill>
            <w14:solidFill>
              <w14:schemeClr w14:val="tx1"/>
            </w14:solidFill>
          </w14:textFill>
        </w:rPr>
        <w:t>基建工程水、电计费标准计算并由中标人缴纳，相关线路、管路费用及安装费用以及购置及安装临时用电变压器的费用由中标人自行承担。</w:t>
      </w:r>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6.5招标人不集中现场踏勘，但会在招标文件及有关设计文件中明确告知招标工程的具体位置和周边环境，并在现场设置足以识别的标识或提供足以表明工程具体位置的文字或图片。投标人需要了解现场情况的，可自行进行现场踏勘。</w:t>
      </w:r>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6.6在现场踏勘过程中，投标人应确保自身安全，投标人如果发生人身伤亡、财物或其他损失，法律法规有规定的按有关规定处理，没有规定的由投标人自行负责。</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6.7现场踏勘期间的交通、食宿由投标人自行安排，费用自理。</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bookmarkStart w:id="91" w:name="_Toc25942"/>
      <w:bookmarkStart w:id="92" w:name="_Toc17548"/>
      <w:bookmarkStart w:id="93" w:name="_Toc27595"/>
      <w:bookmarkStart w:id="94" w:name="_Toc8518"/>
      <w:bookmarkStart w:id="95" w:name="_Toc13628"/>
      <w:bookmarkStart w:id="96" w:name="_Toc23962"/>
      <w:bookmarkStart w:id="97" w:name="_Toc22484"/>
      <w:bookmarkStart w:id="98" w:name="_Toc5795"/>
      <w:bookmarkStart w:id="99" w:name="_Toc3294"/>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7</w:t>
      </w:r>
      <w:bookmarkStart w:id="100" w:name="_Toc488220856"/>
      <w:bookmarkStart w:id="101" w:name="_Toc371968705"/>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、其他招标说明</w:t>
      </w:r>
      <w:bookmarkEnd w:id="91"/>
      <w:bookmarkEnd w:id="92"/>
      <w:bookmarkEnd w:id="93"/>
      <w:bookmarkEnd w:id="94"/>
      <w:bookmarkEnd w:id="95"/>
      <w:bookmarkEnd w:id="96"/>
      <w:bookmarkEnd w:id="97"/>
      <w:bookmarkEnd w:id="98"/>
      <w:bookmarkEnd w:id="99"/>
      <w:bookmarkEnd w:id="100"/>
    </w:p>
    <w:bookmarkEnd w:id="101"/>
    <w:p>
      <w:pPr>
        <w:pageBreakBefore w:val="0"/>
        <w:kinsoku/>
        <w:wordWrap w:val="0"/>
        <w:overflowPunct/>
        <w:autoSpaceDE/>
        <w:autoSpaceDN/>
        <w:bidi w:val="0"/>
        <w:snapToGrid w:val="0"/>
        <w:spacing w:line="440" w:lineRule="exact"/>
        <w:ind w:firstLine="480"/>
        <w:jc w:val="both"/>
        <w:outlineLvl w:val="9"/>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pPr>
      <w:bookmarkStart w:id="102" w:name="_Toc28014"/>
      <w:bookmarkStart w:id="103" w:name="_Toc10210"/>
      <w:r>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t>7.1．</w:t>
      </w:r>
      <w:r>
        <w:rPr>
          <w:rStyle w:val="25"/>
          <w:rFonts w:hint="eastAsia" w:asciiTheme="minorEastAsia" w:hAnsiTheme="minorEastAsia" w:eastAsiaTheme="minorEastAsia" w:cstheme="minorEastAsia"/>
          <w:color w:val="000000" w:themeColor="text1"/>
          <w:szCs w:val="24"/>
          <w:highlight w:val="none"/>
          <w:shd w:val="clear" w:color="auto" w:fill="FFFFFF"/>
          <w14:textFill>
            <w14:solidFill>
              <w14:schemeClr w14:val="tx1"/>
            </w14:solidFill>
          </w14:textFill>
        </w:rPr>
        <w:t>获取招标文件</w:t>
      </w:r>
      <w:bookmarkEnd w:id="102"/>
      <w:bookmarkEnd w:id="103"/>
    </w:p>
    <w:p>
      <w:pPr>
        <w:pStyle w:val="20"/>
        <w:pageBreakBefore w:val="0"/>
        <w:widowControl w:val="0"/>
        <w:kinsoku/>
        <w:wordWrap w:val="0"/>
        <w:overflowPunct/>
        <w:bidi w:val="0"/>
        <w:adjustRightInd w:val="0"/>
        <w:snapToGrid w:val="0"/>
        <w:spacing w:beforeAutospacing="0" w:afterAutospacing="0" w:line="440" w:lineRule="exact"/>
        <w:ind w:firstLine="482" w:firstLineChars="200"/>
        <w:rPr>
          <w:rFonts w:hint="eastAsia" w:asciiTheme="minorEastAsia" w:hAnsiTheme="minorEastAsia" w:eastAsiaTheme="minorEastAsia" w:cstheme="minorEastAsia"/>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highlight w:val="none"/>
          <w14:textFill>
            <w14:solidFill>
              <w14:schemeClr w14:val="tx1"/>
            </w14:solidFill>
          </w14:textFill>
        </w:rPr>
        <w:t>7.1.1</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本次招标实行电子投标。</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本项目招标文件随招标公告一并在</w:t>
      </w:r>
      <w:r>
        <w:rPr>
          <w:rFonts w:hint="eastAsia" w:asciiTheme="minorEastAsia" w:hAnsiTheme="minorEastAsia" w:eastAsiaTheme="minorEastAsia" w:cstheme="minorEastAsia"/>
          <w:bCs/>
          <w:snapToGrid w:val="0"/>
          <w:color w:val="000000" w:themeColor="text1"/>
          <w:highlight w:val="none"/>
          <w14:textFill>
            <w14:solidFill>
              <w14:schemeClr w14:val="tx1"/>
            </w14:solidFill>
          </w14:textFill>
        </w:rPr>
        <w:t>广东省招标投标监管网(https://www.gdzwfw.gov.cn/ztbjg-portal/#/index)、</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全国公共资源交易平台（广东省·韶关市）（https://ygp.gdzwfw.gov.cn/ggzy-portal/#/440200/index）网站发布。招标文件一经在交易平台发布，视为发送投标人，招标文件及相关附件由投标人自行在交易平台网站下载。招标文件获取</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期间</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见本章第二节“重要事项时间地点一览表”，招标文件获取期间与招标公告发布时间一致</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），投标人须登录全国公共资源交易平台（广东省·韶关市）（https://ygp.gdzwfw.gov.cn/ggzy-portal/#/440200/index）</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下载</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招标文件及相关附件，并于电子投标截止时间（</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见本章第二节“重要事项时间地点一览表”</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前完成电子投标。投标人可登录全国公共资源交易平台（广东省·韶关市）（https://ygp.gdzwfw.gov.cn/ggzy-portal/#/440200/index），在【服务指南】栏目中下载《韶关市公共资源建设工程交易系统-投标人操作指南（电子评标）》，了解网上获取招标文件操作流程。技术咨询电话：18819797080/0751-8379671 伍先生，业务咨询电话：0751-8633211、8633071。</w:t>
      </w:r>
    </w:p>
    <w:p>
      <w:pPr>
        <w:pStyle w:val="40"/>
        <w:pageBreakBefore w:val="0"/>
        <w:kinsoku/>
        <w:wordWrap w:val="0"/>
        <w:overflowPunct/>
        <w:bidi w:val="0"/>
        <w:adjustRightInd w:val="0"/>
        <w:snapToGrid w:val="0"/>
        <w:spacing w:line="440" w:lineRule="exact"/>
        <w:ind w:firstLine="480"/>
        <w:jc w:val="left"/>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highlight w:val="none"/>
          <w14:textFill>
            <w14:solidFill>
              <w14:schemeClr w14:val="tx1"/>
            </w14:solidFill>
          </w14:textFill>
        </w:rPr>
        <w:t xml:space="preserve">7.1.2 </w:t>
      </w: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只有申领了数字证书（CA）、“粤企签”或GDCA/SZCA/NETCA等符合法律法规规定的电子印章，并在交易平台中完成企业信息数据入库的投标人，方可在交易平台获取招标文件和电子投标。</w:t>
      </w:r>
    </w:p>
    <w:p>
      <w:pPr>
        <w:pStyle w:val="40"/>
        <w:pageBreakBefore w:val="0"/>
        <w:kinsoku/>
        <w:wordWrap w:val="0"/>
        <w:overflowPunct/>
        <w:bidi w:val="0"/>
        <w:adjustRightInd w:val="0"/>
        <w:snapToGrid w:val="0"/>
        <w:spacing w:line="440" w:lineRule="exact"/>
        <w:ind w:firstLine="480"/>
        <w:jc w:val="left"/>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首次在韶关市参与建设工程招标投标活动的投标人，必须在交易平台上传企业相关资料办理企业入库事宜。投标人可登录全国公共资源交易平台（广东省·韶关市）（https://ygp.gdzwfw.gov.cn/ggzy-portal/#/440200/index）办理企业入库、数字证书及电子印章事宜，具体请在交易平台查阅相应的交易指引。</w:t>
      </w:r>
    </w:p>
    <w:p>
      <w:pPr>
        <w:pStyle w:val="40"/>
        <w:pageBreakBefore w:val="0"/>
        <w:kinsoku/>
        <w:wordWrap w:val="0"/>
        <w:overflowPunct/>
        <w:bidi w:val="0"/>
        <w:adjustRightInd w:val="0"/>
        <w:snapToGrid w:val="0"/>
        <w:spacing w:line="440" w:lineRule="exact"/>
        <w:ind w:firstLine="480"/>
        <w:jc w:val="left"/>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已入库企业有关信息（如单位名称、基本账号、资质、人员等）发生变化的，须及时在交易平台进行相应变更。投标人未及时变更信息而造成的损失和后果，由投标人自行承担。</w:t>
      </w:r>
    </w:p>
    <w:p>
      <w:pPr>
        <w:pageBreakBefore w:val="0"/>
        <w:tabs>
          <w:tab w:val="left" w:pos="7020"/>
        </w:tabs>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shd w:val="clear" w:color="auto" w:fill="FFFFFF"/>
          <w14:textFill>
            <w14:solidFill>
              <w14:schemeClr w14:val="tx1"/>
            </w14:solidFill>
          </w14:textFill>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asciiTheme="minorEastAsia" w:hAnsiTheme="minorEastAsia" w:eastAsiaTheme="minorEastAsia" w:cstheme="minorEastAsia"/>
          <w:snapToGrid w:val="0"/>
          <w:color w:val="000000" w:themeColor="text1"/>
          <w:szCs w:val="24"/>
          <w:highlight w:val="none"/>
          <w14:textFill>
            <w14:solidFill>
              <w14:schemeClr w14:val="tx1"/>
            </w14:solidFill>
          </w14:textFill>
        </w:rPr>
        <w:t>。</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7.2</w:t>
      </w:r>
      <w:r>
        <w:rPr>
          <w:rFonts w:hint="eastAsia" w:asciiTheme="minorEastAsia" w:hAnsiTheme="minorEastAsia" w:eastAsiaTheme="minorEastAsia" w:cstheme="minorEastAsia"/>
          <w:color w:val="000000" w:themeColor="text1"/>
          <w:highlight w:val="none"/>
          <w14:textFill>
            <w14:solidFill>
              <w14:schemeClr w14:val="tx1"/>
            </w14:solidFill>
          </w14:textFill>
        </w:rPr>
        <w:t>招标人（或招标代理机构）对投标人的失误不负任何责任，投标人应指定一名投标事务负责人（即授权委托人），专门负责跟踪、签收、阅读和理解招标文件及随后收到的有关资料，向招标人（或招标代理机构）发出疑问，检查投标文件，协助有关人员尽力克服各种投标失误。投标事务负责人（即授权委托人）如有更换，投标人应及时向招标人（或招标代理机构）提交授权委托书。</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7.3 </w:t>
      </w:r>
      <w:r>
        <w:rPr>
          <w:rFonts w:hint="eastAsia" w:asciiTheme="minorEastAsia" w:hAnsiTheme="minorEastAsia" w:eastAsiaTheme="minorEastAsia" w:cstheme="minorEastAsia"/>
          <w:b/>
          <w:bCs/>
          <w:color w:val="000000" w:themeColor="text1"/>
          <w:highlight w:val="none"/>
          <w14:textFill>
            <w14:solidFill>
              <w14:schemeClr w14:val="tx1"/>
            </w14:solidFill>
          </w14:textFill>
        </w:rPr>
        <w:t>纪律与保密要求</w:t>
      </w:r>
    </w:p>
    <w:p>
      <w:pPr>
        <w:pageBreakBefore w:val="0"/>
        <w:kinsoku/>
        <w:wordWrap w:val="0"/>
        <w:overflowPunct/>
        <w:bidi w:val="0"/>
        <w:spacing w:line="360" w:lineRule="auto"/>
        <w:ind w:firstLine="495"/>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7.3.1</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对招标人的纪律要求</w:t>
      </w:r>
    </w:p>
    <w:p>
      <w:pPr>
        <w:pageBreakBefore w:val="0"/>
        <w:kinsoku/>
        <w:wordWrap w:val="0"/>
        <w:overflowPunct/>
        <w:bidi w:val="0"/>
        <w:spacing w:line="360" w:lineRule="auto"/>
        <w:ind w:firstLine="49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招标人不得泄露招标投标活动中应当保密的情况和资料，不得与投标人串通损害国家利益、社会公共利益或者他人合法权益。</w:t>
      </w:r>
    </w:p>
    <w:p>
      <w:pPr>
        <w:pageBreakBefore w:val="0"/>
        <w:kinsoku/>
        <w:wordWrap w:val="0"/>
        <w:overflowPunct/>
        <w:bidi w:val="0"/>
        <w:spacing w:line="360" w:lineRule="auto"/>
        <w:ind w:firstLine="495"/>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7.3.2 </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对投标人的纪律要求</w:t>
      </w:r>
    </w:p>
    <w:p>
      <w:pPr>
        <w:pageBreakBefore w:val="0"/>
        <w:kinsoku/>
        <w:wordWrap w:val="0"/>
        <w:overflowPunct/>
        <w:bidi w:val="0"/>
        <w:spacing w:line="360" w:lineRule="auto"/>
        <w:ind w:firstLine="49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投标人不得相互串通投标或者与招标人串通投标，不得向招标人或者评标委员会成员行贿谋取中标，不得以他人名义投标或者以其他方式弄虚作假骗取中标；投标人不得以任何方式干扰、影响评标工作。</w:t>
      </w:r>
    </w:p>
    <w:p>
      <w:pPr>
        <w:pageBreakBefore w:val="0"/>
        <w:kinsoku/>
        <w:wordWrap w:val="0"/>
        <w:overflowPunct/>
        <w:bidi w:val="0"/>
        <w:spacing w:line="360" w:lineRule="auto"/>
        <w:ind w:firstLine="49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7.3.3 </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参与招</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标</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投标活</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动</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的各方</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应</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对招标</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文</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件和投</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标</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文件中</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的</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商业和</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技</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术等秘密</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保密，违者应对由此造成的后果承担法律责任。</w:t>
      </w:r>
      <w:bookmarkStart w:id="104" w:name="_Toc371968706"/>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w:t>
      </w:r>
      <w:bookmarkStart w:id="105" w:name="_Toc353462191"/>
      <w:bookmarkStart w:id="106" w:name="_Toc353462300"/>
      <w:bookmarkStart w:id="107" w:name="_Toc143766459"/>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4 </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语言、计量及投标费用</w:t>
      </w:r>
      <w:bookmarkEnd w:id="104"/>
      <w:bookmarkEnd w:id="105"/>
      <w:bookmarkEnd w:id="106"/>
      <w:bookmarkEnd w:id="107"/>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7.4.1 除专用术语外</w:t>
      </w:r>
      <w:r>
        <w:rPr>
          <w:rFonts w:hint="eastAsia" w:asciiTheme="minorEastAsia" w:hAnsiTheme="minorEastAsia" w:eastAsiaTheme="minorEastAsia" w:cstheme="minorEastAsia"/>
          <w:color w:val="000000" w:themeColor="text1"/>
          <w:spacing w:val="-80"/>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与招标投标有关的语言均使用中文</w:t>
      </w:r>
      <w:r>
        <w:rPr>
          <w:rFonts w:hint="eastAsia" w:asciiTheme="minorEastAsia" w:hAnsiTheme="minorEastAsia" w:eastAsiaTheme="minorEastAsia" w:cstheme="minorEastAsia"/>
          <w:color w:val="000000" w:themeColor="text1"/>
          <w:spacing w:val="-80"/>
          <w:szCs w:val="24"/>
          <w:highlight w:val="none"/>
          <w14:textFill>
            <w14:solidFill>
              <w14:schemeClr w14:val="tx1"/>
            </w14:solidFill>
          </w14:textFill>
        </w:rPr>
        <w:t>。</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7.4.2 所有计量均采用中华人民共和国法定计量单位。</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7.4.3 招标文件、投标文件中所指的币种均为人民币。</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7.4.4 投标人准备和参加投标活动发生的所有费用自理。</w:t>
      </w:r>
      <w:bookmarkStart w:id="108" w:name="_Toc371968707"/>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b/>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7.5</w:t>
      </w:r>
      <w:r>
        <w:rPr>
          <w:rFonts w:hint="eastAsia" w:asciiTheme="minorEastAsia" w:hAnsiTheme="minorEastAsia" w:eastAsiaTheme="minorEastAsia" w:cstheme="minorEastAsia"/>
          <w:b/>
          <w:bCs/>
          <w:color w:val="000000" w:themeColor="text1"/>
          <w:highlight w:val="none"/>
          <w14:textFill>
            <w14:solidFill>
              <w14:schemeClr w14:val="tx1"/>
            </w14:solidFill>
          </w14:textFill>
        </w:rPr>
        <w:t>知识产权和专利权</w:t>
      </w:r>
      <w:bookmarkEnd w:id="108"/>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7.5.1 </w:t>
      </w:r>
      <w:r>
        <w:rPr>
          <w:rFonts w:hint="eastAsia" w:asciiTheme="minorEastAsia" w:hAnsiTheme="minorEastAsia" w:eastAsiaTheme="minorEastAsia" w:cstheme="minorEastAsia"/>
          <w:color w:val="000000" w:themeColor="text1"/>
          <w:highlight w:val="none"/>
          <w14:textFill>
            <w14:solidFill>
              <w14:schemeClr w14:val="tx1"/>
            </w14:solidFill>
          </w14:textFill>
        </w:rPr>
        <w:t>投标人保证投标文件及资料均未侵犯他人的知识产权，否则必须承担全部责任。若投标人使用了他人的专利、专有技术，涉及的费用由投标人负责。</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投标价应包括所有应支付的对专利权和版权、设计和其他知识产权而需要向其他方支付的版税。</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7.5.2 中标人应保证招标人在本项目建设过程中使用其设计文件和设计文件的任何一部分时，招标人免受第三方提出侵犯其专利权、商标权或其他知识产权的起诉。</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7.5.3 中标人提交给招标人的设计文件，其著作权、版权、专利权和使用权归招标人所有（署名权除外）。</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bookmarkStart w:id="109" w:name="_Toc371968708"/>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w:t>
      </w:r>
      <w:bookmarkEnd w:id="109"/>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 招标文件是招标人发出的要约邀请，投标人参加投标均视为承认招标公告、招标文件及附件的所有条款，并承诺一旦中标将按招标文件、投标文件、合同条款、技术规范要求的质量和进度完成全部委托任务。</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110" w:name="_Toc30148"/>
      <w:bookmarkStart w:id="111" w:name="_Toc15334"/>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8、招标答疑</w:t>
      </w:r>
      <w:bookmarkEnd w:id="110"/>
      <w:bookmarkEnd w:id="111"/>
      <w:bookmarkStart w:id="112" w:name="_Hlt74496410"/>
      <w:bookmarkEnd w:id="112"/>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8.1招标人不集中组织答疑，实行网上答疑。</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投标人若对招标文件有疑问</w:t>
      </w:r>
      <w:r>
        <w:rPr>
          <w:rFonts w:hint="eastAsia" w:asciiTheme="minorEastAsia" w:hAnsiTheme="minorEastAsia" w:eastAsiaTheme="minorEastAsia" w:cstheme="minorEastAsia"/>
          <w:color w:val="000000" w:themeColor="text1"/>
          <w:highlight w:val="none"/>
          <w14:textFill>
            <w14:solidFill>
              <w14:schemeClr w14:val="tx1"/>
            </w14:solidFill>
          </w14:textFill>
        </w:rPr>
        <w:t>应在提问截止时间（</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见本章第二节“重要事项时间地点一览表”</w:t>
      </w:r>
      <w:r>
        <w:rPr>
          <w:rFonts w:hint="eastAsia" w:asciiTheme="minorEastAsia" w:hAnsiTheme="minorEastAsia" w:eastAsiaTheme="minorEastAsia" w:cstheme="minorEastAsia"/>
          <w:color w:val="000000" w:themeColor="text1"/>
          <w:highlight w:val="none"/>
          <w14:textFill>
            <w14:solidFill>
              <w14:schemeClr w14:val="tx1"/>
            </w14:solidFill>
          </w14:textFill>
        </w:rPr>
        <w:t>）前在交易平台提出问题。未在指定时间前、未采用指定方式提出的，招标人不予受理。</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8.2 </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招标人在提问截止时间（</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见本章第二节“重要事项时间地点一览表”</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8.3 答疑书（</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或修改</w:t>
      </w:r>
      <w:r>
        <w:rPr>
          <w:rFonts w:hint="eastAsia" w:asciiTheme="minorEastAsia" w:hAnsiTheme="minorEastAsia" w:eastAsiaTheme="minorEastAsia" w:cstheme="minorEastAsia"/>
          <w:color w:val="000000" w:themeColor="text1"/>
          <w:highlight w:val="none"/>
          <w14:textFill>
            <w14:solidFill>
              <w14:schemeClr w14:val="tx1"/>
            </w14:solidFill>
          </w14:textFill>
        </w:rPr>
        <w:t>）对招标文件的修改或补充内容作为招标文件的组成部分，具有约束作用。招标文件的澄清、修改、补充等内容均以答疑书（</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或修改</w:t>
      </w:r>
      <w:r>
        <w:rPr>
          <w:rFonts w:hint="eastAsia" w:asciiTheme="minorEastAsia" w:hAnsiTheme="minorEastAsia" w:eastAsiaTheme="minorEastAsia" w:cstheme="minorEastAsia"/>
          <w:color w:val="000000" w:themeColor="text1"/>
          <w:highlight w:val="none"/>
          <w14:textFill>
            <w14:solidFill>
              <w14:schemeClr w14:val="tx1"/>
            </w14:solidFill>
          </w14:textFill>
        </w:rPr>
        <w:t>）中明确的内容为准。当招标文件、招标文件的澄清、修改、补充等文件在同一内容的表述上不一致时，以最后发出的答疑书（</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或修改</w:t>
      </w:r>
      <w:r>
        <w:rPr>
          <w:rFonts w:hint="eastAsia" w:asciiTheme="minorEastAsia" w:hAnsiTheme="minorEastAsia" w:eastAsiaTheme="minorEastAsia" w:cstheme="minorEastAsia"/>
          <w:color w:val="000000" w:themeColor="text1"/>
          <w:highlight w:val="none"/>
          <w14:textFill>
            <w14:solidFill>
              <w14:schemeClr w14:val="tx1"/>
            </w14:solidFill>
          </w14:textFill>
        </w:rPr>
        <w:t>）为准。</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8.4 投标人在规定的时间内未对招标文件提出澄清或疑问的，招标人将视其为无异议。对招标文件中描述有歧义或前后不一致的地方，评标委员会有权进行评判，但对同一条款的评判应适用于每个投标人。</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8.5 招标人向投标人提供的资料和数据，是招标人现有的能使投标人利用的资料。投标人对招标人提供的招标文件所作出的推论、解释和结论，招标人概不负责；投标人由于对招标文件的任何推论和误解以及招标人对有关问题的口头解释所造成的后果，均由投标人自行负责。</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113" w:name="_Hlt92513711"/>
      <w:bookmarkEnd w:id="113"/>
      <w:bookmarkStart w:id="114" w:name="_Hlt69699188"/>
      <w:bookmarkEnd w:id="114"/>
      <w:bookmarkStart w:id="115" w:name="_Hlt92513715"/>
      <w:bookmarkEnd w:id="115"/>
      <w:bookmarkStart w:id="116" w:name="_Toc7720"/>
      <w:bookmarkStart w:id="117" w:name="_Toc15195"/>
      <w:bookmarkStart w:id="118" w:name="_Toc20643"/>
      <w:bookmarkStart w:id="119" w:name="_Toc25532"/>
      <w:bookmarkStart w:id="120" w:name="_Toc11301"/>
      <w:bookmarkStart w:id="121" w:name="_Toc30627"/>
      <w:bookmarkStart w:id="122" w:name="_Toc31064"/>
      <w:bookmarkStart w:id="123" w:name="_Toc8032"/>
      <w:bookmarkStart w:id="124" w:name="_Toc28777"/>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9、投标报价的编制</w:t>
      </w:r>
      <w:bookmarkEnd w:id="116"/>
      <w:bookmarkEnd w:id="117"/>
      <w:bookmarkEnd w:id="118"/>
      <w:bookmarkEnd w:id="119"/>
      <w:bookmarkEnd w:id="120"/>
      <w:bookmarkEnd w:id="121"/>
      <w:bookmarkEnd w:id="122"/>
      <w:bookmarkEnd w:id="123"/>
      <w:bookmarkEnd w:id="124"/>
      <w:bookmarkStart w:id="125" w:name="_Hlt74498519"/>
      <w:bookmarkEnd w:id="125"/>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spacing w:val="12"/>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2"/>
          <w:highlight w:val="none"/>
          <w14:textFill>
            <w14:solidFill>
              <w14:schemeClr w14:val="tx1"/>
            </w14:solidFill>
          </w14:textFill>
        </w:rPr>
        <w:t>9.1 本工程计价依据为：</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bookmarkStart w:id="126" w:name="_Hlt69335755"/>
      <w:bookmarkEnd w:id="126"/>
      <w:r>
        <w:rPr>
          <w:rFonts w:hint="eastAsia" w:asciiTheme="minorEastAsia" w:hAnsiTheme="minorEastAsia" w:eastAsiaTheme="minorEastAsia" w:cstheme="minorEastAsia"/>
          <w:color w:val="000000" w:themeColor="text1"/>
          <w:highlight w:val="none"/>
          <w14:textFill>
            <w14:solidFill>
              <w14:schemeClr w14:val="tx1"/>
            </w14:solidFill>
          </w14:textFill>
        </w:rPr>
        <w:t>（1）《工程勘察设计收费管理规定》（计价格[2002]10号）、《工程勘察设计收费导则（第二版）》（粤勘设协〔2021〕2号）；</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（2）《建设工程工程量清单计价规范》（GB50500—2013）；</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招标文件及其答疑（或修改）公告</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（5）施工现场情况、工程特点及常规施工方案；</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（6）项目所在地工程造价管理机构发布的工程造价信息，工程造价信息缺项的，参照市场价格；</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（7）与建设项目相关的标准、规范、技术资料。</w:t>
      </w:r>
    </w:p>
    <w:p>
      <w:pPr>
        <w:pStyle w:val="37"/>
        <w:pageBreakBefore w:val="0"/>
        <w:kinsoku/>
        <w:wordWrap w:val="0"/>
        <w:overflowPunct/>
        <w:bidi w:val="0"/>
        <w:ind w:firstLine="792" w:firstLineChars="3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2"/>
          <w:highlight w:val="none"/>
          <w14:textFill>
            <w14:solidFill>
              <w14:schemeClr w14:val="tx1"/>
            </w14:solidFill>
          </w14:textFill>
        </w:rPr>
        <w:t>9.2</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本工程投标前，招标人及招标代理机构不集中组织现场踏勘，投标人需要了解现场情况的，可自行进行现场踏勘。各投标人应勘察施工现场及周围环境、地形、地貌、水文、交通等情况，以获得一切可能影响到投标的直</w:t>
      </w:r>
      <w:bookmarkStart w:id="127" w:name="_Hlt66509056"/>
      <w:bookmarkEnd w:id="127"/>
      <w:r>
        <w:rPr>
          <w:rFonts w:hint="eastAsia" w:asciiTheme="minorEastAsia" w:hAnsiTheme="minorEastAsia" w:eastAsiaTheme="minorEastAsia" w:cstheme="minorEastAsia"/>
          <w:color w:val="000000" w:themeColor="text1"/>
          <w:highlight w:val="none"/>
          <w14:textFill>
            <w14:solidFill>
              <w14:schemeClr w14:val="tx1"/>
            </w14:solidFill>
          </w14:textFill>
        </w:rPr>
        <w:t>接资料。投标人应针对现场情况编制施工组织设计，并在写投标报价时考虑现场情况的影响。</w:t>
      </w:r>
    </w:p>
    <w:p>
      <w:pPr>
        <w:pStyle w:val="46"/>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2"/>
          <w:highlight w:val="none"/>
          <w14:textFill>
            <w14:solidFill>
              <w14:schemeClr w14:val="tx1"/>
            </w14:solidFill>
          </w14:textFill>
        </w:rPr>
        <w:t>9.</w:t>
      </w:r>
      <w:bookmarkStart w:id="128" w:name="_Hlt88974322"/>
      <w:r>
        <w:rPr>
          <w:rFonts w:hint="eastAsia" w:asciiTheme="minorEastAsia" w:hAnsiTheme="minorEastAsia" w:eastAsiaTheme="minorEastAsia" w:cstheme="minorEastAsia"/>
          <w:color w:val="000000" w:themeColor="text1"/>
          <w:spacing w:val="12"/>
          <w:highlight w:val="none"/>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现场踏勘费以及其它施工措施项目费，由投标人在投标报价中综合考虑，</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一次包定</w:t>
      </w:r>
      <w:r>
        <w:rPr>
          <w:rFonts w:hint="eastAsia" w:asciiTheme="minorEastAsia" w:hAnsiTheme="minorEastAsia" w:eastAsiaTheme="minorEastAsia" w:cstheme="minorEastAsia"/>
          <w:color w:val="000000" w:themeColor="text1"/>
          <w:highlight w:val="none"/>
          <w14:textFill>
            <w14:solidFill>
              <w14:schemeClr w14:val="tx1"/>
            </w14:solidFill>
          </w14:textFill>
        </w:rPr>
        <w:t>。无论投标人是否列出费用，招标人将一律视为已确认所有现场条件和可能发生的异常情况。</w:t>
      </w:r>
    </w:p>
    <w:bookmarkEnd w:id="128"/>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9.4 招标人向投标人提供的有关现场的数据和资料，是招标人现有的能被投标人利用的资料，招标人对投标人做出的任何推论、理解和结论均不负责任。</w:t>
      </w:r>
    </w:p>
    <w:p>
      <w:pPr>
        <w:pageBreakBefore w:val="0"/>
        <w:kinsoku/>
        <w:wordWrap w:val="0"/>
        <w:overflowPunct/>
        <w:bidi w:val="0"/>
        <w:spacing w:line="360" w:lineRule="auto"/>
        <w:ind w:firstLine="60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5</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投标人负责协调处理因项目实施与周边企业和村民等关系并承担相关费用。</w:t>
      </w:r>
    </w:p>
    <w:p>
      <w:pPr>
        <w:pageBreakBefore w:val="0"/>
        <w:kinsoku/>
        <w:wordWrap w:val="0"/>
        <w:overflowPunct/>
        <w:bidi w:val="0"/>
        <w:spacing w:line="360" w:lineRule="auto"/>
        <w:ind w:firstLine="60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6</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投标人应采取设计优化的方式，通过土方平衡方法解决弃土问题，若仍有弃土，按实结算。</w:t>
      </w:r>
    </w:p>
    <w:p>
      <w:pPr>
        <w:pageBreakBefore w:val="0"/>
        <w:kinsoku/>
        <w:wordWrap w:val="0"/>
        <w:overflowPunct/>
        <w:bidi w:val="0"/>
        <w:spacing w:line="360" w:lineRule="auto"/>
        <w:ind w:firstLine="570"/>
        <w:rPr>
          <w:rFonts w:hint="eastAsia" w:asciiTheme="minorEastAsia" w:hAnsiTheme="minorEastAsia" w:eastAsiaTheme="minorEastAsia" w:cstheme="minorEastAsia"/>
          <w:b/>
          <w:color w:val="000000" w:themeColor="text1"/>
          <w:highlight w:val="none"/>
          <w:u w:val="doub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bookmarkStart w:id="129" w:name="_Toc319917951"/>
      <w:r>
        <w:rPr>
          <w:rFonts w:hint="eastAsia" w:asciiTheme="minorEastAsia" w:hAnsiTheme="minorEastAsia" w:eastAsiaTheme="minorEastAsia" w:cstheme="minorEastAsia"/>
          <w:color w:val="000000" w:themeColor="text1"/>
          <w:highlight w:val="none"/>
          <w14:textFill>
            <w14:solidFill>
              <w14:schemeClr w14:val="tx1"/>
            </w14:solidFill>
          </w14:textFill>
        </w:rPr>
        <w:t>7</w:t>
      </w:r>
      <w:r>
        <w:rPr>
          <w:rFonts w:hint="eastAsia" w:asciiTheme="minorEastAsia" w:hAnsiTheme="minorEastAsia" w:eastAsiaTheme="minorEastAsia" w:cstheme="minorEastAsia"/>
          <w:b/>
          <w:color w:val="000000" w:themeColor="text1"/>
          <w:highlight w:val="none"/>
          <w:u w:val="double"/>
          <w14:textFill>
            <w14:solidFill>
              <w14:schemeClr w14:val="tx1"/>
            </w14:solidFill>
          </w14:textFill>
        </w:rPr>
        <w:t>投标人的投标报价不得超过招标人公布的最高投标限价。本项目为限额设计，工程结算总造价不得超过中标价。</w:t>
      </w:r>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9.8</w:t>
      </w:r>
      <w:r>
        <w:rPr>
          <w:rFonts w:hint="eastAsia" w:asciiTheme="minorEastAsia" w:hAnsiTheme="minorEastAsia" w:eastAsiaTheme="minorEastAsia" w:cstheme="minorEastAsia"/>
          <w:b/>
          <w:color w:val="000000" w:themeColor="text1"/>
          <w:highlight w:val="none"/>
          <w:lang w:val="zh-CN"/>
          <w14:textFill>
            <w14:solidFill>
              <w14:schemeClr w14:val="tx1"/>
            </w14:solidFill>
          </w14:textFill>
        </w:rPr>
        <w:t>投标单位应充分考虑本招标文件“第二章 拟签订合同的主要条款”所列的结算原则进行投标及报价。</w:t>
      </w:r>
      <w:bookmarkEnd w:id="129"/>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投标人的投标总报价应考虑完成招标文件中招标规模、内容及设计任务书所规定的所有工程及设备的费用，并承担结算原则中规定的一切风险，还应考虑报建和施工时应由施工单位承担的一切费用。各项费用的主要内容及其报价方式：</w:t>
      </w:r>
      <w:bookmarkStart w:id="130" w:name="_Toc3872"/>
      <w:bookmarkStart w:id="131" w:name="_Toc17803"/>
      <w:bookmarkStart w:id="132" w:name="_Toc39136339"/>
      <w:bookmarkStart w:id="133" w:name="_Toc29402"/>
      <w:bookmarkStart w:id="134" w:name="_Toc11568"/>
      <w:bookmarkStart w:id="135" w:name="_Toc20815"/>
      <w:bookmarkStart w:id="136" w:name="_Toc13707"/>
      <w:bookmarkStart w:id="137" w:name="_Toc18903"/>
      <w:bookmarkStart w:id="138" w:name="_Toc15059"/>
      <w:bookmarkStart w:id="139" w:name="_Toc57"/>
      <w:bookmarkStart w:id="140" w:name="_Toc32012"/>
      <w:bookmarkStart w:id="141" w:name="_Toc11863"/>
      <w:r>
        <w:rPr>
          <w:rFonts w:hint="eastAsia" w:asciiTheme="minorEastAsia" w:hAnsiTheme="minorEastAsia" w:eastAsiaTheme="minorEastAsia" w:cstheme="minorEastAsia"/>
          <w:b/>
          <w:bCs/>
          <w:color w:val="000000" w:themeColor="text1"/>
          <w:highlight w:val="none"/>
          <w:u w:val="single"/>
          <w:lang w:val="zh-CN"/>
          <w14:textFill>
            <w14:solidFill>
              <w14:schemeClr w14:val="tx1"/>
            </w14:solidFill>
          </w14:textFill>
        </w:rPr>
        <w:t>投标人投标报价=设计</w:t>
      </w:r>
      <w:r>
        <w:rPr>
          <w:rFonts w:hint="eastAsia" w:asciiTheme="minorEastAsia" w:hAnsiTheme="minorEastAsia" w:eastAsiaTheme="minorEastAsia" w:cstheme="minorEastAsia"/>
          <w:b/>
          <w:bCs/>
          <w:color w:val="000000" w:themeColor="text1"/>
          <w:highlight w:val="none"/>
          <w:u w:val="single"/>
          <w:lang w:val="zh-CN" w:eastAsia="zh-CN"/>
          <w14:textFill>
            <w14:solidFill>
              <w14:schemeClr w14:val="tx1"/>
            </w14:solidFill>
          </w14:textFill>
        </w:rPr>
        <w:t>费投标报价+</w:t>
      </w:r>
      <w:r>
        <w:rPr>
          <w:rFonts w:hint="eastAsia" w:asciiTheme="minorEastAsia" w:hAnsiTheme="minorEastAsia" w:eastAsiaTheme="minorEastAsia" w:cstheme="minorEastAsia"/>
          <w:b/>
          <w:bCs/>
          <w:color w:val="000000" w:themeColor="text1"/>
          <w:highlight w:val="none"/>
          <w:u w:val="single"/>
          <w:lang w:val="zh-CN"/>
          <w14:textFill>
            <w14:solidFill>
              <w14:schemeClr w14:val="tx1"/>
            </w14:solidFill>
          </w14:textFill>
        </w:rPr>
        <w:t>建安工程费投标报价</w:t>
      </w:r>
      <w:bookmarkEnd w:id="130"/>
      <w:bookmarkEnd w:id="131"/>
      <w:bookmarkEnd w:id="132"/>
      <w:bookmarkEnd w:id="133"/>
      <w:bookmarkEnd w:id="134"/>
      <w:bookmarkEnd w:id="135"/>
      <w:bookmarkEnd w:id="136"/>
      <w:bookmarkEnd w:id="137"/>
      <w:bookmarkEnd w:id="138"/>
      <w:bookmarkEnd w:id="139"/>
      <w:bookmarkEnd w:id="140"/>
      <w:bookmarkEnd w:id="141"/>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.1</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设计</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费投标报价</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在最高投标限价范围内，投标人自行报总价</w:t>
      </w:r>
      <w:r>
        <w:rPr>
          <w:rFonts w:hint="eastAsia" w:asciiTheme="minorEastAsia" w:hAnsiTheme="minorEastAsia" w:eastAsiaTheme="minorEastAsia" w:cstheme="minorEastAsia"/>
          <w:color w:val="000000" w:themeColor="text1"/>
          <w:szCs w:val="24"/>
          <w:highlight w:val="none"/>
          <w:lang w:val="zh-CN" w:eastAsia="zh-CN"/>
          <w14:textFill>
            <w14:solidFill>
              <w14:schemeClr w14:val="tx1"/>
            </w14:solidFill>
          </w14:textFill>
        </w:rPr>
        <w:t>及投标费率</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设计费</w:t>
      </w:r>
      <w:r>
        <w:rPr>
          <w:rFonts w:hint="eastAsia" w:asciiTheme="minorEastAsia" w:hAnsiTheme="minorEastAsia" w:eastAsiaTheme="minorEastAsia" w:cstheme="minorEastAsia"/>
          <w:color w:val="000000" w:themeColor="text1"/>
          <w:szCs w:val="24"/>
          <w:highlight w:val="none"/>
          <w:lang w:val="zh-CN" w:eastAsia="zh-CN"/>
          <w14:textFill>
            <w14:solidFill>
              <w14:schemeClr w14:val="tx1"/>
            </w14:solidFill>
          </w14:textFill>
        </w:rPr>
        <w:t>报价应包含各</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个不同专业的</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施工图</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设计费用、进行优化设计或修改设计所增加的设计费用、各项专家评审的专家费用。若中标单位不具备专业设计资质的，需经招标人同意后，委托有相应资质的单位进行设计，所产生的费用由投标人承担。</w:t>
      </w:r>
    </w:p>
    <w:p>
      <w:pPr>
        <w:pageBreakBefore w:val="0"/>
        <w:kinsoku/>
        <w:wordWrap w:val="0"/>
        <w:overflowPunct/>
        <w:bidi w:val="0"/>
        <w:spacing w:line="360" w:lineRule="auto"/>
        <w:ind w:firstLine="570"/>
        <w:rPr>
          <w:rFonts w:hint="eastAsia" w:asciiTheme="minorEastAsia" w:hAnsiTheme="minorEastAsia" w:eastAsiaTheme="minorEastAsia" w:cstheme="minorEastAsia"/>
          <w:b/>
          <w:bCs/>
          <w:color w:val="000000" w:themeColor="text1"/>
          <w:szCs w:val="24"/>
          <w:highlight w:val="none"/>
          <w:u w:val="single"/>
          <w:lang w:val="zh-CN" w:eastAsia="zh-CN"/>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u w:val="single"/>
          <w:lang w:val="zh-CN" w:eastAsia="zh-CN"/>
          <w14:textFill>
            <w14:solidFill>
              <w14:schemeClr w14:val="tx1"/>
            </w14:solidFill>
          </w14:textFill>
        </w:rPr>
        <w:t>设计</w:t>
      </w:r>
      <w:r>
        <w:rPr>
          <w:rFonts w:hint="eastAsia" w:asciiTheme="minorEastAsia" w:hAnsiTheme="minorEastAsia" w:eastAsiaTheme="minorEastAsia" w:cstheme="minorEastAsia"/>
          <w:b/>
          <w:bCs/>
          <w:color w:val="000000" w:themeColor="text1"/>
          <w:szCs w:val="24"/>
          <w:highlight w:val="none"/>
          <w:u w:val="single"/>
          <w:lang w:val="zh-CN"/>
          <w14:textFill>
            <w14:solidFill>
              <w14:schemeClr w14:val="tx1"/>
            </w14:solidFill>
          </w14:textFill>
        </w:rPr>
        <w:t>费投标报价</w:t>
      </w:r>
      <w:r>
        <w:rPr>
          <w:rFonts w:hint="eastAsia" w:asciiTheme="minorEastAsia" w:hAnsiTheme="minorEastAsia" w:eastAsiaTheme="minorEastAsia" w:cstheme="minorEastAsia"/>
          <w:b/>
          <w:bCs/>
          <w:color w:val="000000" w:themeColor="text1"/>
          <w:szCs w:val="24"/>
          <w:highlight w:val="none"/>
          <w:u w:val="single"/>
          <w:lang w:val="en-US" w:eastAsia="zh-CN"/>
          <w14:textFill>
            <w14:solidFill>
              <w14:schemeClr w14:val="tx1"/>
            </w14:solidFill>
          </w14:textFill>
        </w:rPr>
        <w:t>=报价基数</w:t>
      </w:r>
      <w:r>
        <w:rPr>
          <w:rFonts w:hint="eastAsia" w:asciiTheme="minorEastAsia" w:hAnsiTheme="minorEastAsia" w:eastAsiaTheme="minorEastAsia" w:cstheme="minorEastAsia"/>
          <w:b/>
          <w:bCs/>
          <w:color w:val="000000" w:themeColor="text1"/>
          <w:szCs w:val="24"/>
          <w:highlight w:val="none"/>
          <w:u w:val="single"/>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u w:val="single"/>
          <w:lang w:eastAsia="zh-CN"/>
          <w14:textFill>
            <w14:solidFill>
              <w14:schemeClr w14:val="tx1"/>
            </w14:solidFill>
          </w14:textFill>
        </w:rPr>
        <w:t>投标费率</w:t>
      </w:r>
    </w:p>
    <w:p>
      <w:pPr>
        <w:pageBreakBefore w:val="0"/>
        <w:kinsoku/>
        <w:wordWrap w:val="0"/>
        <w:overflowPunct/>
        <w:bidi w:val="0"/>
        <w:spacing w:line="360" w:lineRule="auto"/>
        <w:ind w:firstLine="570"/>
        <w:rPr>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t>本项目在实施过程中可能出现设计成果已通过确认，仍需进行设计变更、修改、调整等情况，不另行增加设计费。</w:t>
      </w:r>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9.9.</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建安工程费用：采用</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投标</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下浮率</w:t>
      </w:r>
      <w:r>
        <w:rPr>
          <w:rFonts w:hint="eastAsia" w:ascii="宋体" w:hAnsi="宋体" w:eastAsia="宋体" w:cs="宋体"/>
          <w:color w:val="000000" w:themeColor="text1"/>
          <w:sz w:val="24"/>
          <w:szCs w:val="24"/>
          <w:highlight w:val="none"/>
          <w:lang w:val="en-US" w:eastAsia="zh-CN"/>
          <w14:textFill>
            <w14:solidFill>
              <w14:schemeClr w14:val="tx1"/>
            </w14:solidFill>
          </w14:textFill>
        </w:rPr>
        <w:t>和投标报价</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的方式进行报价，结算时按招标文件有关结算原则计算后再按建安工程费</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投</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标下浮率下浮。</w:t>
      </w:r>
    </w:p>
    <w:p>
      <w:pPr>
        <w:pageBreakBefore w:val="0"/>
        <w:kinsoku/>
        <w:wordWrap w:val="0"/>
        <w:overflowPunct/>
        <w:bidi w:val="0"/>
        <w:spacing w:line="360" w:lineRule="auto"/>
        <w:ind w:firstLine="570"/>
        <w:rPr>
          <w:rFonts w:hint="eastAsia" w:asciiTheme="minorEastAsia" w:hAnsiTheme="minorEastAsia" w:eastAsiaTheme="minorEastAsia" w:cstheme="minorEastAsia"/>
          <w:b/>
          <w:bCs/>
          <w:color w:val="000000" w:themeColor="text1"/>
          <w:szCs w:val="24"/>
          <w:highlight w:val="none"/>
          <w:u w:val="single"/>
          <w:lang w:val="zh-CN" w:eastAsia="zh-CN"/>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u w:val="single"/>
          <w:lang w:val="zh-CN" w:eastAsia="zh-CN"/>
          <w14:textFill>
            <w14:solidFill>
              <w14:schemeClr w14:val="tx1"/>
            </w14:solidFill>
          </w14:textFill>
        </w:rPr>
        <w:t>建安工程费投标报价=报价基数×（1-投标下浮率）</w:t>
      </w:r>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如投标人的建安工程费用投标报价下浮率高于15%时，投标人必须在投标报价书中另行作出详细合理的书面说明并提供相关证明材料供评标委员会评审，否则评标委员会将认定该投标人以低于成本报价竞标。</w:t>
      </w:r>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建安工程费用的报价应考虑完成招标文件中招标规模、内容及可行性研究报告所规定的所有工程及设备的费用</w:t>
      </w:r>
      <w:r>
        <w:rPr>
          <w:rFonts w:hint="eastAsia" w:asciiTheme="minorEastAsia" w:hAnsiTheme="minorEastAsia" w:eastAsiaTheme="minorEastAsia" w:cstheme="minorEastAsia"/>
          <w:color w:val="000000" w:themeColor="text1"/>
          <w:szCs w:val="24"/>
          <w:highlight w:val="none"/>
          <w:lang w:val="zh-CN" w:eastAsia="zh-CN"/>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并承担结算原则中规定的一切风险，还应考虑报建和施工时应由施工单位承担的一切费用、工程一切检测费用（除有文件规定必须招标人支付的费用外）、工程有关档案和影像等整理或制作及向相关部门交取的费用。</w:t>
      </w:r>
    </w:p>
    <w:p>
      <w:pPr>
        <w:pageBreakBefore w:val="0"/>
        <w:kinsoku/>
        <w:wordWrap w:val="0"/>
        <w:overflowPunct/>
        <w:bidi w:val="0"/>
        <w:spacing w:line="360" w:lineRule="auto"/>
        <w:ind w:firstLine="588" w:firstLineChars="24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9.9.3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投标人在投标报价时，自行考虑高温补贴费、施工视频监控系统费用，专业分包的总包服务及配合费等，并承担相应风险，结算时不另行计取。</w:t>
      </w:r>
    </w:p>
    <w:p>
      <w:pPr>
        <w:pageBreakBefore w:val="0"/>
        <w:kinsoku/>
        <w:wordWrap w:val="0"/>
        <w:overflowPunct/>
        <w:bidi w:val="0"/>
        <w:spacing w:line="360" w:lineRule="auto"/>
        <w:ind w:firstLine="588" w:firstLineChars="245"/>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Fonts w:hint="eastAsia" w:ascii="Arial" w:hAnsi="Arial" w:eastAsia="宋体" w:cs="Arial"/>
          <w:b/>
          <w:color w:val="000000" w:themeColor="text1"/>
          <w:sz w:val="24"/>
          <w:szCs w:val="24"/>
          <w:highlight w:val="none"/>
          <w:u w:val="double"/>
          <w14:textFill>
            <w14:solidFill>
              <w14:schemeClr w14:val="tx1"/>
            </w14:solidFill>
          </w14:textFill>
        </w:rPr>
        <w:t>招标人可根据本项目实际情况对规模及内容进行调整或减少，投标人中标后不得因此调整或减少向招标人索赔，并且必须按调整或减少后的规模及内容完成工程建设。投标人在投标报价时需综合考虑该因素并报价。</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bookmarkStart w:id="142" w:name="_Toc26703"/>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10、最高</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投标</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限价的确定</w:t>
      </w:r>
      <w:bookmarkEnd w:id="142"/>
      <w:bookmarkStart w:id="143" w:name="_Hlt69335617"/>
      <w:bookmarkStart w:id="144" w:name="_Hlt121629839"/>
    </w:p>
    <w:p>
      <w:pPr>
        <w:pageBreakBefore w:val="0"/>
        <w:kinsoku/>
        <w:wordWrap w:val="0"/>
        <w:overflowPunct/>
        <w:bidi w:val="0"/>
        <w:spacing w:line="360" w:lineRule="auto"/>
        <w:ind w:firstLine="480" w:firstLineChars="200"/>
        <w:rPr>
          <w:rFonts w:hint="default" w:ascii="宋体" w:hAnsi="宋体" w:eastAsia="宋体" w:cs="宋体"/>
          <w:color w:val="auto"/>
          <w:szCs w:val="21"/>
          <w:highlight w:val="none"/>
          <w:lang w:val="en-US" w:eastAsia="zh-CN"/>
        </w:rPr>
      </w:pPr>
      <w:bookmarkStart w:id="145" w:name="_Toc7307"/>
      <w:bookmarkStart w:id="146" w:name="_Toc5483"/>
      <w:bookmarkStart w:id="147" w:name="_Toc15152"/>
      <w:bookmarkStart w:id="148" w:name="_Toc32578"/>
      <w:bookmarkStart w:id="149" w:name="_Toc24510"/>
      <w:bookmarkStart w:id="150" w:name="_Toc13350"/>
      <w:bookmarkStart w:id="151" w:name="_Toc29734"/>
      <w:bookmarkStart w:id="152" w:name="_Toc4604"/>
      <w:r>
        <w:rPr>
          <w:rFonts w:hint="eastAsia" w:asciiTheme="minorEastAsia" w:hAnsiTheme="minorEastAsia" w:eastAsiaTheme="minorEastAsia" w:cstheme="minorEastAsia"/>
          <w:snapToGrid w:val="0"/>
          <w:color w:val="auto"/>
          <w:kern w:val="0"/>
          <w:sz w:val="24"/>
          <w:szCs w:val="24"/>
          <w:highlight w:val="none"/>
          <w:lang w:val="en-US" w:eastAsia="zh-CN"/>
        </w:rPr>
        <w:t>本招标项目最高投标限价在开标前7天另行发布于全国公共资源交易平台（广东省·韶关市）（https://ygp.gdzwfw.gov..cn/ggzy-portal/#/440200/index）、广东省招标投标监管网（https://www.gdzwfw.gov.cn/ztbjg-portal/#/index）网站。</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szCs w:val="22"/>
          <w:highlight w:val="none"/>
          <w14:textFill>
            <w14:solidFill>
              <w14:schemeClr w14:val="tx1"/>
            </w14:solidFill>
          </w14:textFill>
        </w:rPr>
      </w:pPr>
      <w:bookmarkStart w:id="153" w:name="_Toc31750"/>
      <w:r>
        <w:rPr>
          <w:rFonts w:hint="eastAsia" w:asciiTheme="minorEastAsia" w:hAnsiTheme="minorEastAsia" w:eastAsiaTheme="minorEastAsia" w:cstheme="minorEastAsia"/>
          <w:b/>
          <w:color w:val="000000" w:themeColor="text1"/>
          <w:szCs w:val="22"/>
          <w:highlight w:val="none"/>
          <w14:textFill>
            <w14:solidFill>
              <w14:schemeClr w14:val="tx1"/>
            </w14:solidFill>
          </w14:textFill>
        </w:rPr>
        <w:t>11</w:t>
      </w:r>
      <w:r>
        <w:rPr>
          <w:rFonts w:hint="eastAsia" w:asciiTheme="minorEastAsia" w:hAnsiTheme="minorEastAsia" w:eastAsiaTheme="minorEastAsia" w:cstheme="minorEastAsia"/>
          <w:b/>
          <w:color w:val="000000" w:themeColor="text1"/>
          <w:szCs w:val="2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投标</w:t>
      </w:r>
      <w:r>
        <w:rPr>
          <w:rFonts w:hint="eastAsia" w:asciiTheme="minorEastAsia" w:hAnsiTheme="minorEastAsia" w:eastAsiaTheme="minorEastAsia" w:cstheme="minorEastAsia"/>
          <w:b/>
          <w:color w:val="000000" w:themeColor="text1"/>
          <w:szCs w:val="22"/>
          <w:highlight w:val="none"/>
          <w14:textFill>
            <w14:solidFill>
              <w14:schemeClr w14:val="tx1"/>
            </w14:solidFill>
          </w14:textFill>
        </w:rPr>
        <w:t>文件的编制</w:t>
      </w:r>
      <w:bookmarkStart w:id="154" w:name="_Hlt69332370"/>
      <w:bookmarkEnd w:id="154"/>
      <w:bookmarkStart w:id="155" w:name="_Hlt69208262"/>
      <w:bookmarkEnd w:id="155"/>
      <w:r>
        <w:rPr>
          <w:rFonts w:hint="eastAsia" w:asciiTheme="minorEastAsia" w:hAnsiTheme="minorEastAsia" w:eastAsiaTheme="minorEastAsia" w:cstheme="minorEastAsia"/>
          <w:b/>
          <w:color w:val="000000" w:themeColor="text1"/>
          <w:szCs w:val="22"/>
          <w:highlight w:val="none"/>
          <w14:textFill>
            <w14:solidFill>
              <w14:schemeClr w14:val="tx1"/>
            </w14:solidFill>
          </w14:textFill>
        </w:rPr>
        <w:t>要求</w:t>
      </w:r>
      <w:bookmarkEnd w:id="145"/>
      <w:bookmarkEnd w:id="146"/>
      <w:bookmarkEnd w:id="147"/>
      <w:bookmarkEnd w:id="148"/>
      <w:bookmarkEnd w:id="149"/>
      <w:bookmarkEnd w:id="150"/>
      <w:bookmarkEnd w:id="151"/>
      <w:bookmarkEnd w:id="152"/>
      <w:bookmarkEnd w:id="153"/>
    </w:p>
    <w:p>
      <w:pPr>
        <w:pStyle w:val="47"/>
        <w:pageBreakBefore w:val="0"/>
        <w:kinsoku/>
        <w:wordWrap w:val="0"/>
        <w:overflowPunct/>
        <w:bidi w:val="0"/>
        <w:spacing w:line="360" w:lineRule="auto"/>
        <w:ind w:firstLine="482" w:firstLineChars="200"/>
        <w:jc w:val="both"/>
        <w:outlineLvl w:val="9"/>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pPr>
      <w:bookmarkStart w:id="156" w:name="_Hlt78768224"/>
      <w:bookmarkEnd w:id="156"/>
      <w:bookmarkStart w:id="157" w:name="_Hlt74497202"/>
      <w:bookmarkEnd w:id="157"/>
      <w:bookmarkStart w:id="158" w:name="_Hlt74495594"/>
      <w:bookmarkEnd w:id="158"/>
      <w:bookmarkStart w:id="159" w:name="_Toc23441"/>
      <w:bookmarkStart w:id="160" w:name="_Toc9699"/>
      <w:bookmarkStart w:id="161" w:name="_Toc32061"/>
      <w:bookmarkStart w:id="162" w:name="_Toc9696"/>
      <w:bookmarkStart w:id="163" w:name="_Toc8542"/>
      <w:bookmarkStart w:id="164" w:name="_Toc13462"/>
      <w:bookmarkStart w:id="165" w:name="_Toc20541"/>
      <w:bookmarkStart w:id="166" w:name="_Toc29847"/>
      <w:bookmarkStart w:id="167" w:name="_Toc5812"/>
      <w:bookmarkStart w:id="168" w:name="_Toc17330"/>
      <w:bookmarkStart w:id="169" w:name="_Toc2841"/>
      <w:bookmarkStart w:id="170" w:name="_Toc12050"/>
      <w:bookmarkStart w:id="171" w:name="_Toc25295"/>
      <w:bookmarkStart w:id="172" w:name="_Toc31856"/>
      <w:bookmarkStart w:id="173" w:name="_Toc437"/>
      <w:bookmarkStart w:id="174" w:name="_Toc6695"/>
      <w:bookmarkStart w:id="175" w:name="_Toc20091"/>
      <w:r>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t>11.1 一般要求</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45"/>
        <w:pageBreakBefore w:val="0"/>
        <w:kinsoku/>
        <w:wordWrap w:val="0"/>
        <w:overflowPunct/>
        <w:bidi w:val="0"/>
        <w:ind w:firstLineChars="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投标文件应按第</w:t>
      </w:r>
      <w:r>
        <w:rPr>
          <w:rFonts w:hint="eastAsia" w:asciiTheme="minorEastAsia" w:hAnsiTheme="minorEastAsia" w:eastAsiaTheme="minorEastAsia" w:cstheme="minorEastAsia"/>
          <w:snapToGrid w:val="0"/>
          <w:color w:val="000000" w:themeColor="text1"/>
          <w:kern w:val="0"/>
          <w:highlight w:val="none"/>
          <w:lang w:val="en-US" w:eastAsia="zh-CN"/>
          <w14:textFill>
            <w14:solidFill>
              <w14:schemeClr w14:val="tx1"/>
            </w14:solidFill>
          </w14:textFill>
        </w:rPr>
        <w:t>六</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章 投标文件格式规定的内容，投标人提交的投标文件应当使用招标文件所提供的投标文件全部格式。</w:t>
      </w:r>
    </w:p>
    <w:p>
      <w:pPr>
        <w:pStyle w:val="37"/>
        <w:pageBreakBefore w:val="0"/>
        <w:kinsoku/>
        <w:wordWrap w:val="0"/>
        <w:overflowPunct/>
        <w:bidi w:val="0"/>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11.1.1</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投标人必须响应招标文件，并在充分理解招标人提供的全部文件、设计图纸、资料及现场条件的基础上编制投标文件。因投标文件不符合招标文件的要求而造成的损失和后果，由投标人自行承担。</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11.1.2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投标文件包含</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商务技术</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标书。</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投标文件在电子投标时全部采用电子文档（中标人自中标通知书发出之日起五个工作日内再提供正本1份、副本壹份的纸质版投标文件给招标人存档），投标文件所附证书证件均为原件彩色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 （广东省 · 韶关市）（https://ygp.gdzwfw.gov.cn/ggzy-portal/#/440200/index）交易指引。</w:t>
      </w:r>
      <w:r>
        <w:rPr>
          <w:rFonts w:hint="eastAsia" w:asciiTheme="minorEastAsia" w:hAnsiTheme="minorEastAsia" w:eastAsiaTheme="minorEastAsia" w:cstheme="minorEastAsia"/>
          <w:color w:val="000000" w:themeColor="text1"/>
          <w:highlight w:val="none"/>
          <w14:textFill>
            <w14:solidFill>
              <w14:schemeClr w14:val="tx1"/>
            </w14:solidFill>
          </w14:textFill>
        </w:rPr>
        <w:t>（注：组成联合体时，只须加盖联合体牵头人的公章，联合体其它成员可不盖章）。</w:t>
      </w:r>
    </w:p>
    <w:p>
      <w:pPr>
        <w:pStyle w:val="37"/>
        <w:pageBreakBefore w:val="0"/>
        <w:kinsoku/>
        <w:wordWrap w:val="0"/>
        <w:overflowPunct/>
        <w:bidi w:val="0"/>
        <w:ind w:firstLine="56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11.1.3 投标文件需按以下要求签字、盖章：</w:t>
      </w:r>
    </w:p>
    <w:p>
      <w:pPr>
        <w:pStyle w:val="37"/>
        <w:pageBreakBefore w:val="0"/>
        <w:kinsoku/>
        <w:wordWrap w:val="0"/>
        <w:overflowPunct/>
        <w:bidi w:val="0"/>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11.1.3.1 投标文件封面、组成内容中凡注明“签字”处由要求的人员签字或电子签章；凡注明“签字或盖章”处由要求的人员签字或盖其私章（电子印章）；凡注明“签字并盖执业印章”处由要求的人员签字并盖其执业印章。</w:t>
      </w:r>
    </w:p>
    <w:p>
      <w:pPr>
        <w:pStyle w:val="37"/>
        <w:pageBreakBefore w:val="0"/>
        <w:kinsoku/>
        <w:wordWrap w:val="0"/>
        <w:overflowPunct/>
        <w:bidi w:val="0"/>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11.1.3.2 投标文件封面、组成内容中凡要求录入投标人名称且注明“盖单位章”处盖单位法人公章（电子印章）</w:t>
      </w:r>
    </w:p>
    <w:p>
      <w:pPr>
        <w:pStyle w:val="37"/>
        <w:pageBreakBefore w:val="0"/>
        <w:kinsoku/>
        <w:wordWrap w:val="0"/>
        <w:overflowPunct/>
        <w:bidi w:val="0"/>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11.1.3.3 投标文件的签字均为签字人本人亲笔署名或签章（电子印章），其余部分的彩色扫描件无须另行签字、盖章。</w:t>
      </w:r>
    </w:p>
    <w:p>
      <w:pPr>
        <w:pStyle w:val="37"/>
        <w:pageBreakBefore w:val="0"/>
        <w:kinsoku/>
        <w:wordWrap w:val="0"/>
        <w:overflowPunct/>
        <w:bidi w:val="0"/>
        <w:ind w:firstLine="560"/>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11.1.3.4 联合体投标的，除《联合体协议书》外，由联合体牵头人按以上要求签字（电子印章）、盖章（电子印章）即可。</w:t>
      </w:r>
      <w:bookmarkStart w:id="176" w:name="_Toc274313880"/>
      <w:bookmarkStart w:id="177" w:name="_Toc257031159"/>
    </w:p>
    <w:p>
      <w:pPr>
        <w:pStyle w:val="47"/>
        <w:pageBreakBefore w:val="0"/>
        <w:kinsoku/>
        <w:wordWrap w:val="0"/>
        <w:overflowPunct/>
        <w:bidi w:val="0"/>
        <w:spacing w:line="360" w:lineRule="auto"/>
        <w:ind w:firstLine="482" w:firstLineChars="200"/>
        <w:jc w:val="both"/>
        <w:outlineLvl w:val="9"/>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pPr>
      <w:bookmarkStart w:id="178" w:name="_Toc6622"/>
      <w:bookmarkStart w:id="179" w:name="_Toc27606"/>
      <w:bookmarkStart w:id="180" w:name="_Toc8355"/>
      <w:bookmarkStart w:id="181" w:name="_Toc26859"/>
      <w:bookmarkStart w:id="182" w:name="_Toc16107"/>
      <w:bookmarkStart w:id="183" w:name="_Toc27670"/>
      <w:bookmarkStart w:id="184" w:name="_Toc18076"/>
      <w:bookmarkStart w:id="185" w:name="_Toc38"/>
      <w:bookmarkStart w:id="186" w:name="_Toc23484"/>
      <w:bookmarkStart w:id="187" w:name="_Toc26289"/>
      <w:bookmarkStart w:id="188" w:name="_Toc19460"/>
      <w:bookmarkStart w:id="189" w:name="_Toc17683"/>
      <w:bookmarkStart w:id="190" w:name="_Toc18670"/>
      <w:bookmarkStart w:id="191" w:name="_Toc4699"/>
      <w:bookmarkStart w:id="192" w:name="_Toc29894"/>
      <w:bookmarkStart w:id="193" w:name="_Toc22861"/>
      <w:bookmarkStart w:id="194" w:name="_Toc17946"/>
      <w:r>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t xml:space="preserve">11.2 </w:t>
      </w:r>
      <w:bookmarkEnd w:id="176"/>
      <w:bookmarkEnd w:id="177"/>
      <w:bookmarkEnd w:id="178"/>
      <w:bookmarkEnd w:id="179"/>
      <w:bookmarkEnd w:id="180"/>
      <w:bookmarkEnd w:id="181"/>
      <w:bookmarkEnd w:id="182"/>
      <w:bookmarkEnd w:id="183"/>
      <w:bookmarkEnd w:id="184"/>
      <w:bookmarkEnd w:id="185"/>
      <w:r>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t>商务技术标书的编制要求</w:t>
      </w:r>
      <w:bookmarkEnd w:id="186"/>
      <w:bookmarkEnd w:id="187"/>
      <w:bookmarkEnd w:id="188"/>
      <w:bookmarkEnd w:id="189"/>
      <w:bookmarkEnd w:id="190"/>
      <w:bookmarkEnd w:id="191"/>
      <w:bookmarkEnd w:id="192"/>
      <w:bookmarkEnd w:id="193"/>
      <w:bookmarkEnd w:id="194"/>
    </w:p>
    <w:p>
      <w:pPr>
        <w:pStyle w:val="37"/>
        <w:pageBreakBefore w:val="0"/>
        <w:kinsoku/>
        <w:wordWrap w:val="0"/>
        <w:overflowPunct/>
        <w:bidi w:val="0"/>
        <w:ind w:firstLine="561"/>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11.2.1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商务技术</w:t>
      </w:r>
      <w:r>
        <w:rPr>
          <w:rFonts w:hint="eastAsia" w:asciiTheme="minorEastAsia" w:hAnsiTheme="minorEastAsia" w:eastAsiaTheme="minorEastAsia" w:cstheme="minorEastAsia"/>
          <w:color w:val="000000" w:themeColor="text1"/>
          <w:highlight w:val="none"/>
          <w14:textFill>
            <w14:solidFill>
              <w14:schemeClr w14:val="tx1"/>
            </w14:solidFill>
          </w14:textFill>
        </w:rPr>
        <w:t>标书包括但不限于以下内容：</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（1）封面（格式一）；</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（2）目录； </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（3）《投标函》（格式二）</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《工程项目总价表》（格式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三</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）《各项承诺一览表》（格式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四</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6</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）《授权委托书》（格式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五</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（6）《法定代表人身份证明》（格式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六</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（7）《联合体协议书》（格式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七</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（8）投标保证缴纳证明（</w:t>
      </w:r>
      <w:r>
        <w:rPr>
          <w:rFonts w:hint="eastAsia" w:asciiTheme="minorEastAsia" w:hAnsiTheme="minorEastAsia" w:eastAsiaTheme="minorEastAsia" w:cstheme="minorEastAsia"/>
          <w:snapToGrid w:val="0"/>
          <w:color w:val="000000" w:themeColor="text1"/>
          <w:kern w:val="0"/>
          <w:szCs w:val="18"/>
          <w:highlight w:val="none"/>
          <w14:textFill>
            <w14:solidFill>
              <w14:schemeClr w14:val="tx1"/>
            </w14:solidFill>
          </w14:textFill>
        </w:rPr>
        <w:t>投标人采用投标保证金的，附建设工程交易系统《缴纳投标保证金通知书》页面截图和银行转账单</w:t>
      </w:r>
      <w:r>
        <w:rPr>
          <w:rFonts w:hint="eastAsia" w:asciiTheme="minorEastAsia" w:hAnsiTheme="minorEastAsia" w:eastAsiaTheme="minorEastAsia" w:cstheme="minorEastAsia"/>
          <w:snapToGrid w:val="0"/>
          <w:color w:val="000000" w:themeColor="text1"/>
          <w:kern w:val="0"/>
          <w:szCs w:val="18"/>
          <w:highlight w:val="none"/>
          <w:lang w:val="en-US" w:eastAsia="zh-CN"/>
          <w14:textFill>
            <w14:solidFill>
              <w14:schemeClr w14:val="tx1"/>
            </w14:solidFill>
          </w14:textFill>
        </w:rPr>
        <w:t>彩色扫描</w:t>
      </w:r>
      <w:r>
        <w:rPr>
          <w:rFonts w:hint="eastAsia" w:asciiTheme="minorEastAsia" w:hAnsiTheme="minorEastAsia" w:eastAsiaTheme="minorEastAsia" w:cstheme="minorEastAsia"/>
          <w:snapToGrid w:val="0"/>
          <w:color w:val="000000" w:themeColor="text1"/>
          <w:kern w:val="0"/>
          <w:szCs w:val="18"/>
          <w:highlight w:val="none"/>
          <w14:textFill>
            <w14:solidFill>
              <w14:schemeClr w14:val="tx1"/>
            </w14:solidFill>
          </w14:textFill>
        </w:rPr>
        <w:t>件；采用投标保证担保的，附银行保函</w:t>
      </w:r>
      <w:r>
        <w:rPr>
          <w:rFonts w:hint="eastAsia" w:asciiTheme="minorEastAsia" w:hAnsiTheme="minorEastAsia" w:eastAsiaTheme="minorEastAsia" w:cstheme="minorEastAsia"/>
          <w:snapToGrid w:val="0"/>
          <w:color w:val="000000" w:themeColor="text1"/>
          <w:kern w:val="0"/>
          <w:szCs w:val="18"/>
          <w:highlight w:val="none"/>
          <w:lang w:val="en-US" w:eastAsia="zh-CN"/>
          <w14:textFill>
            <w14:solidFill>
              <w14:schemeClr w14:val="tx1"/>
            </w14:solidFill>
          </w14:textFill>
        </w:rPr>
        <w:t>彩色扫描件</w:t>
      </w:r>
      <w:r>
        <w:rPr>
          <w:rFonts w:hint="eastAsia" w:asciiTheme="minorEastAsia" w:hAnsiTheme="minorEastAsia" w:eastAsiaTheme="minorEastAsia" w:cstheme="minorEastAsia"/>
          <w:snapToGrid w:val="0"/>
          <w:color w:val="000000" w:themeColor="text1"/>
          <w:kern w:val="0"/>
          <w:szCs w:val="18"/>
          <w:highlight w:val="none"/>
          <w14:textFill>
            <w14:solidFill>
              <w14:schemeClr w14:val="tx1"/>
            </w14:solidFill>
          </w14:textFill>
        </w:rPr>
        <w:t>；采用投标保证保险的，附电子保单和</w:t>
      </w: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《韶关市公共资源交易一体化平台保证金缴纳信息》</w:t>
      </w:r>
      <w:r>
        <w:rPr>
          <w:rFonts w:hint="eastAsia" w:asciiTheme="minorEastAsia" w:hAnsiTheme="minorEastAsia" w:eastAsiaTheme="minorEastAsia" w:cstheme="minorEastAsia"/>
          <w:b w:val="0"/>
          <w:bCs w:val="0"/>
          <w:snapToGrid w:val="0"/>
          <w:color w:val="000000" w:themeColor="text1"/>
          <w:kern w:val="0"/>
          <w:szCs w:val="18"/>
          <w:highlight w:val="none"/>
          <w14:textFill>
            <w14:solidFill>
              <w14:schemeClr w14:val="tx1"/>
            </w14:solidFill>
          </w14:textFill>
        </w:rPr>
        <w:t>页面截图</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（9）《投标人基本情况表》（格式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八</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trike/>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（10）《项目经理简历表》（格式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九</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（11）《项目经理任职声明》（格式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十</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（12）《项目技术负责人简历表》（格式十</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一</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（13）《项目设计负责人简历表》（格式十</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二</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）《项目管理机构组成表》（格式十</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三</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）本章第14.2目“评标方法”要求提供的评审资料（如有）；</w:t>
      </w:r>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6</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技术建议书；</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szCs w:val="18"/>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17）</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认为有必要补充的其他资料。（例如投标人已经工商变更，但其企业资质证书、安全生产许可证或其员工执业资格注册证书上的企业名称未能在投标期间完成变更的书面说明和佐证材料；外省企业所在省、地级市</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住房和城乡建设部</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门或其授权的组织（机构）关于企业资质、人员资格有效期自动顺延或延期办理的相关文件等；关于投标总价下浮率超过15%的书面说明和佐证材料）。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 本章第</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11.2.1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目中所列出的投标标书组成内容中，第（1）至第（1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）项所有投标人均应提供，</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但非联合体投标的，无需提供第（7）项内容。</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3 </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商务技术</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标书的组成内容按本章第</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11.2.1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目规定的顺序整理、编排后，逐页连续标记页码。</w:t>
      </w:r>
    </w:p>
    <w:p>
      <w:pPr>
        <w:pStyle w:val="50"/>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特别说明：</w:t>
      </w:r>
    </w:p>
    <w:p>
      <w:pPr>
        <w:pStyle w:val="50"/>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1、本次招标投标时不要求编制施工组织设计。中标人中标后先按有关规定及要求提供设计成果文件，中标人设计成果确认经有关部门的审查及经有资质的审图机构审查合格通过，中标人还应编制施工组织设计及专项施工方案报监理及招标人审批，然后依据审图合格后的设计施工图编写施工组织设计，报有关部门审查批准后方可实施；中标人须向招标人提供经批准的施工组织设计一式五份。</w:t>
      </w:r>
    </w:p>
    <w:p>
      <w:pPr>
        <w:pStyle w:val="50"/>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2、本次招标投标时不要求按编制工程量清单计价模式进行投标报价。</w:t>
      </w:r>
      <w:bookmarkStart w:id="195" w:name="_Toc13003"/>
      <w:bookmarkStart w:id="196" w:name="_Toc14130"/>
      <w:bookmarkStart w:id="197" w:name="_Toc11313"/>
      <w:bookmarkStart w:id="198" w:name="_Toc11926"/>
      <w:bookmarkStart w:id="199" w:name="_Toc17812"/>
      <w:bookmarkStart w:id="200" w:name="_Toc17459"/>
      <w:bookmarkStart w:id="201" w:name="_Toc1583"/>
      <w:bookmarkStart w:id="202" w:name="_Toc27175"/>
    </w:p>
    <w:bookmarkEnd w:id="195"/>
    <w:bookmarkEnd w:id="196"/>
    <w:bookmarkEnd w:id="197"/>
    <w:bookmarkEnd w:id="198"/>
    <w:bookmarkEnd w:id="199"/>
    <w:bookmarkEnd w:id="200"/>
    <w:bookmarkEnd w:id="201"/>
    <w:bookmarkEnd w:id="202"/>
    <w:p>
      <w:pPr>
        <w:pStyle w:val="47"/>
        <w:pageBreakBefore w:val="0"/>
        <w:kinsoku/>
        <w:wordWrap w:val="0"/>
        <w:overflowPunct/>
        <w:bidi w:val="0"/>
        <w:spacing w:line="360" w:lineRule="auto"/>
        <w:ind w:firstLine="482" w:firstLineChars="200"/>
        <w:jc w:val="both"/>
        <w:outlineLvl w:val="9"/>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pPr>
      <w:bookmarkStart w:id="203" w:name="_Toc15051"/>
      <w:bookmarkStart w:id="204" w:name="_Toc1454"/>
      <w:bookmarkStart w:id="205" w:name="_Toc7631"/>
      <w:bookmarkStart w:id="206" w:name="_Toc30635"/>
      <w:bookmarkStart w:id="207" w:name="_Toc24322"/>
      <w:bookmarkStart w:id="208" w:name="_Toc28454"/>
      <w:bookmarkStart w:id="209" w:name="_Toc23010"/>
      <w:bookmarkStart w:id="210" w:name="_Toc22741"/>
      <w:bookmarkStart w:id="211" w:name="_Toc4483"/>
      <w:bookmarkStart w:id="212" w:name="_Toc9838"/>
      <w:bookmarkStart w:id="213" w:name="_Toc104711075"/>
      <w:bookmarkStart w:id="214" w:name="_Toc3050"/>
      <w:bookmarkStart w:id="215" w:name="_Toc106418820"/>
      <w:r>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t>11.3定标文件的编制要求</w:t>
      </w:r>
      <w:bookmarkEnd w:id="203"/>
      <w:bookmarkEnd w:id="204"/>
    </w:p>
    <w:p>
      <w:pPr>
        <w:wordWrap w:val="0"/>
        <w:adjustRightInd w:val="0"/>
        <w:spacing w:line="440" w:lineRule="exact"/>
        <w:ind w:firstLine="482"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b/>
          <w:bCs/>
          <w:snapToGrid w:val="0"/>
          <w:color w:val="auto"/>
          <w:kern w:val="0"/>
          <w:highlight w:val="none"/>
        </w:rPr>
        <w:t>1</w:t>
      </w:r>
      <w:r>
        <w:rPr>
          <w:rFonts w:hint="eastAsia" w:ascii="宋体" w:hAnsi="宋体" w:eastAsia="宋体" w:cs="宋体"/>
          <w:b/>
          <w:bCs/>
          <w:snapToGrid w:val="0"/>
          <w:color w:val="auto"/>
          <w:kern w:val="0"/>
          <w:highlight w:val="none"/>
          <w:lang w:val="en-US" w:eastAsia="zh-CN"/>
        </w:rPr>
        <w:t>1.</w:t>
      </w:r>
      <w:r>
        <w:rPr>
          <w:rFonts w:hint="eastAsia" w:hAnsi="宋体" w:eastAsia="宋体" w:cs="宋体"/>
          <w:b/>
          <w:bCs/>
          <w:snapToGrid w:val="0"/>
          <w:color w:val="auto"/>
          <w:kern w:val="0"/>
          <w:highlight w:val="none"/>
          <w:lang w:val="en-US" w:eastAsia="zh-CN"/>
        </w:rPr>
        <w:t>3</w:t>
      </w:r>
      <w:r>
        <w:rPr>
          <w:rFonts w:hint="eastAsia" w:ascii="宋体" w:hAnsi="宋体" w:eastAsia="宋体" w:cs="宋体"/>
          <w:b/>
          <w:bCs/>
          <w:snapToGrid w:val="0"/>
          <w:color w:val="auto"/>
          <w:kern w:val="0"/>
          <w:highlight w:val="none"/>
          <w:lang w:val="en-US" w:eastAsia="zh-CN"/>
        </w:rPr>
        <w:t>.1</w:t>
      </w:r>
      <w:r>
        <w:rPr>
          <w:rFonts w:hint="eastAsia" w:ascii="宋体" w:hAnsi="宋体" w:eastAsia="宋体" w:cs="宋体"/>
          <w:snapToGrid w:val="0"/>
          <w:color w:val="auto"/>
          <w:kern w:val="0"/>
          <w:highlight w:val="none"/>
          <w:lang w:val="en-US" w:eastAsia="zh-CN"/>
        </w:rPr>
        <w:t xml:space="preserve"> 定标文件包括以下内容：</w:t>
      </w:r>
    </w:p>
    <w:p>
      <w:pPr>
        <w:wordWrap w:val="0"/>
        <w:adjustRightInd w:val="0"/>
        <w:spacing w:line="440" w:lineRule="exact"/>
        <w:ind w:firstLine="480"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snapToGrid w:val="0"/>
          <w:color w:val="auto"/>
          <w:kern w:val="0"/>
          <w:highlight w:val="none"/>
          <w:lang w:val="en-US" w:eastAsia="zh-CN"/>
        </w:rPr>
        <w:t>（1）封面（格式十四）；</w:t>
      </w:r>
    </w:p>
    <w:p>
      <w:pPr>
        <w:wordWrap w:val="0"/>
        <w:adjustRightIn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（2）定标因素评审资料（格式十五）。</w:t>
      </w:r>
    </w:p>
    <w:p>
      <w:pPr>
        <w:wordWrap w:val="0"/>
        <w:adjustRightInd w:val="0"/>
        <w:spacing w:line="440" w:lineRule="exact"/>
        <w:ind w:firstLine="482"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b/>
          <w:bCs/>
          <w:snapToGrid w:val="0"/>
          <w:color w:val="auto"/>
          <w:kern w:val="0"/>
          <w:highlight w:val="none"/>
        </w:rPr>
        <w:t>1</w:t>
      </w:r>
      <w:r>
        <w:rPr>
          <w:rFonts w:hint="eastAsia" w:ascii="宋体" w:hAnsi="宋体" w:eastAsia="宋体" w:cs="宋体"/>
          <w:b/>
          <w:bCs/>
          <w:snapToGrid w:val="0"/>
          <w:color w:val="auto"/>
          <w:kern w:val="0"/>
          <w:highlight w:val="none"/>
          <w:lang w:val="en-US" w:eastAsia="zh-CN"/>
        </w:rPr>
        <w:t>1.</w:t>
      </w:r>
      <w:r>
        <w:rPr>
          <w:rFonts w:hint="eastAsia" w:hAnsi="宋体" w:eastAsia="宋体" w:cs="宋体"/>
          <w:b/>
          <w:bCs/>
          <w:snapToGrid w:val="0"/>
          <w:color w:val="auto"/>
          <w:kern w:val="0"/>
          <w:highlight w:val="none"/>
          <w:lang w:val="en-US" w:eastAsia="zh-CN"/>
        </w:rPr>
        <w:t>3</w:t>
      </w:r>
      <w:r>
        <w:rPr>
          <w:rFonts w:hint="eastAsia" w:ascii="宋体" w:hAnsi="宋体" w:eastAsia="宋体" w:cs="宋体"/>
          <w:b/>
          <w:bCs/>
          <w:snapToGrid w:val="0"/>
          <w:color w:val="auto"/>
          <w:kern w:val="0"/>
          <w:highlight w:val="none"/>
        </w:rPr>
        <w:t>.</w:t>
      </w:r>
      <w:r>
        <w:rPr>
          <w:rFonts w:hint="eastAsia" w:ascii="宋体" w:hAnsi="宋体" w:eastAsia="宋体" w:cs="宋体"/>
          <w:b/>
          <w:bCs/>
          <w:snapToGrid w:val="0"/>
          <w:color w:val="auto"/>
          <w:kern w:val="0"/>
          <w:highlight w:val="none"/>
          <w:lang w:val="en-US" w:eastAsia="zh-CN"/>
        </w:rPr>
        <w:t>2</w:t>
      </w:r>
      <w:r>
        <w:rPr>
          <w:rFonts w:hint="eastAsia" w:ascii="宋体" w:hAnsi="宋体" w:eastAsia="宋体" w:cs="宋体"/>
          <w:snapToGrid w:val="0"/>
          <w:color w:val="auto"/>
          <w:kern w:val="0"/>
          <w:highlight w:val="none"/>
        </w:rPr>
        <w:t xml:space="preserve"> 本节第1</w:t>
      </w:r>
      <w:r>
        <w:rPr>
          <w:rFonts w:hint="eastAsia" w:ascii="宋体" w:hAnsi="宋体" w:eastAsia="宋体" w:cs="宋体"/>
          <w:snapToGrid w:val="0"/>
          <w:color w:val="auto"/>
          <w:kern w:val="0"/>
          <w:highlight w:val="none"/>
          <w:lang w:val="en-US" w:eastAsia="zh-CN"/>
        </w:rPr>
        <w:t>1.</w:t>
      </w:r>
      <w:r>
        <w:rPr>
          <w:rFonts w:hint="eastAsia" w:hAnsi="宋体" w:eastAsia="宋体" w:cs="宋体"/>
          <w:snapToGrid w:val="0"/>
          <w:color w:val="auto"/>
          <w:kern w:val="0"/>
          <w:highlight w:val="none"/>
          <w:lang w:val="en-US" w:eastAsia="zh-CN"/>
        </w:rPr>
        <w:t>3</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目中所列出的组成内容中，第（1）至第（</w:t>
      </w:r>
      <w:r>
        <w:rPr>
          <w:rFonts w:hint="eastAsia" w:hAnsi="宋体" w:cs="宋体"/>
          <w:snapToGrid w:val="0"/>
          <w:color w:val="auto"/>
          <w:kern w:val="0"/>
          <w:highlight w:val="none"/>
          <w:lang w:val="en-US" w:eastAsia="zh-CN"/>
        </w:rPr>
        <w:t>2</w:t>
      </w:r>
      <w:r>
        <w:rPr>
          <w:rFonts w:hint="eastAsia" w:ascii="宋体" w:hAnsi="宋体" w:eastAsia="宋体" w:cs="宋体"/>
          <w:snapToGrid w:val="0"/>
          <w:color w:val="auto"/>
          <w:kern w:val="0"/>
          <w:highlight w:val="none"/>
        </w:rPr>
        <w:t>）项所有投标人均应提供。</w:t>
      </w:r>
    </w:p>
    <w:p>
      <w:pPr>
        <w:pStyle w:val="50"/>
        <w:pageBreakBefore w:val="0"/>
        <w:kinsoku/>
        <w:wordWrap w:val="0"/>
        <w:overflowPunct/>
        <w:bidi w:val="0"/>
        <w:ind w:firstLine="482" w:firstLineChars="200"/>
        <w:rPr>
          <w:rFonts w:hint="default" w:asciiTheme="minorEastAsia" w:hAnsiTheme="minorEastAsia" w:eastAsiaTheme="minorEastAsia" w:cstheme="minorEastAsia"/>
          <w:b/>
          <w:bCs/>
          <w:color w:val="000000" w:themeColor="text1"/>
          <w:highlight w:val="none"/>
          <w:u w:val="singl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highlight w:val="none"/>
          <w:u w:val="single"/>
          <w:lang w:val="en-US" w:eastAsia="zh-CN"/>
          <w14:textFill>
            <w14:solidFill>
              <w14:schemeClr w14:val="tx1"/>
            </w14:solidFill>
          </w14:textFill>
        </w:rPr>
        <w:t>注：定标文件只适用于定标阶段提交给定标委员会查阅，评标委员会评标时不采用定标文件评审。</w:t>
      </w:r>
    </w:p>
    <w:p>
      <w:pPr>
        <w:pStyle w:val="50"/>
        <w:pageBreakBefore w:val="0"/>
        <w:kinsoku/>
        <w:wordWrap w:val="0"/>
        <w:overflowPunct/>
        <w:bidi w:val="0"/>
        <w:ind w:firstLine="482" w:firstLineChars="200"/>
        <w:rPr>
          <w:rFonts w:hint="eastAsia" w:asciiTheme="minorEastAsia" w:hAnsiTheme="minorEastAsia" w:eastAsiaTheme="minorEastAsia" w:cstheme="minorEastAsia"/>
          <w:b/>
          <w:snapToGrid w:val="0"/>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11.</w:t>
      </w:r>
      <w:r>
        <w:rPr>
          <w:rFonts w:hint="eastAsia" w:asciiTheme="minorEastAsia" w:hAnsiTheme="minorEastAsia" w:eastAsiaTheme="minorEastAsia" w:cstheme="minorEastAsia"/>
          <w:b/>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
          <w:snapToGrid w:val="0"/>
          <w:color w:val="000000" w:themeColor="text1"/>
          <w:highlight w:val="none"/>
          <w14:textFill>
            <w14:solidFill>
              <w14:schemeClr w14:val="tx1"/>
            </w14:solidFill>
          </w14:textFill>
        </w:rPr>
        <w:t>电子投标</w:t>
      </w:r>
      <w:bookmarkStart w:id="216" w:name="_Hlt66511038"/>
      <w:bookmarkEnd w:id="216"/>
      <w:bookmarkStart w:id="217" w:name="_Hlt88627590"/>
      <w:bookmarkEnd w:id="217"/>
      <w:bookmarkStart w:id="218" w:name="_Hlt66200498"/>
      <w:bookmarkEnd w:id="218"/>
      <w:bookmarkStart w:id="219" w:name="_Toc27961"/>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1、在交易平台上传加盖了电子印章的投标文件、录入相关信息及标书页码信息，并提交投标标书（页码起始从封面开始）。提交标书为已加密投标文件。具体操作参照《韶关市公共资源建设工程交易系统-投标人操作指南（电子评标）》。</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本项目评标采用全流程电子化进行招标投标（投标人应在交易平台进行编辑投标相关内容、按招标文件电子投标要求上传已加盖电子印章的投标文件，否则将自行承担不利后果）。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投标文件完成上传后，投标人应使用 CA 数字证书对投标文件进行文件加密，形成加密的投标文件并提交标书。</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2电子投标文件的修改、撤回：在提交投标文件截止时间前，投标人可以修改或撤回未解密的电子投标文件，并于提交投标文件截止时间前将重新上传修改后的电子投标文件至交易平台，到达投标文件提交截止时间后投标人不得撤回、补充、修改和更换投标文件。</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.3电子投标及投标解密失败及突发情况的补救方案</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.3.1按照交易平台关于全流程电子化项目的相关指南进行操作。详见：全国公共资源交易平台（广东省·韶关市）发布的最新版操作指南。</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.3.2补救方案</w:t>
      </w:r>
    </w:p>
    <w:p>
      <w:pPr>
        <w:pStyle w:val="50"/>
        <w:pageBreakBefore w:val="0"/>
        <w:numPr>
          <w:ilvl w:val="0"/>
          <w:numId w:val="2"/>
        </w:numPr>
        <w:kinsoku/>
        <w:wordWrap w:val="0"/>
        <w:overflowPunct/>
        <w:bidi w:val="0"/>
        <w:ind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投标文件解密失败的补救方案：</w:t>
      </w:r>
      <w:bookmarkStart w:id="220" w:name="_Toc28927"/>
    </w:p>
    <w:p>
      <w:pPr>
        <w:pStyle w:val="50"/>
        <w:pageBreakBefore w:val="0"/>
        <w:numPr>
          <w:ilvl w:val="0"/>
          <w:numId w:val="0"/>
        </w:numPr>
        <w:kinsoku/>
        <w:wordWrap w:val="0"/>
        <w:overflowPunct/>
        <w:bidi w:val="0"/>
        <w:ind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电子投标文件解密失败且未在规定的时限内按要求成功上传未加密的备用投标文件的，视为无效投标。</w:t>
      </w:r>
      <w:bookmarkEnd w:id="220"/>
      <w:bookmarkStart w:id="221" w:name="_Toc9612"/>
    </w:p>
    <w:p>
      <w:pPr>
        <w:pStyle w:val="50"/>
        <w:pageBreakBefore w:val="0"/>
        <w:numPr>
          <w:ilvl w:val="0"/>
          <w:numId w:val="2"/>
        </w:numPr>
        <w:kinsoku/>
        <w:wordWrap w:val="0"/>
        <w:overflowPunct/>
        <w:bidi w:val="0"/>
        <w:ind w:left="0" w:leftChars="0"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评标时突发情况的补救方案</w:t>
      </w:r>
      <w:bookmarkEnd w:id="221"/>
      <w:bookmarkStart w:id="222" w:name="_Toc6314"/>
      <w:r>
        <w:rPr>
          <w:rFonts w:hint="eastAsia" w:asciiTheme="minorEastAsia" w:hAnsiTheme="minorEastAsia" w:eastAsiaTheme="minorEastAsia" w:cstheme="minorEastAsia"/>
          <w:bCs/>
          <w:color w:val="000000" w:themeColor="text1"/>
          <w:kern w:val="2"/>
          <w:highlight w:val="none"/>
          <w:lang w:eastAsia="zh-CN"/>
          <w14:textFill>
            <w14:solidFill>
              <w14:schemeClr w14:val="tx1"/>
            </w14:solidFill>
          </w14:textFill>
        </w:rPr>
        <w:t>：</w:t>
      </w:r>
    </w:p>
    <w:p>
      <w:pPr>
        <w:pStyle w:val="50"/>
        <w:pageBreakBefore w:val="0"/>
        <w:numPr>
          <w:ilvl w:val="0"/>
          <w:numId w:val="0"/>
        </w:numPr>
        <w:kinsoku/>
        <w:wordWrap w:val="0"/>
        <w:overflowPunct/>
        <w:bidi w:val="0"/>
        <w:ind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bookmarkEnd w:id="222"/>
      <w:bookmarkStart w:id="223" w:name="_Toc10157"/>
    </w:p>
    <w:p>
      <w:pPr>
        <w:pStyle w:val="50"/>
        <w:pageBreakBefore w:val="0"/>
        <w:numPr>
          <w:ilvl w:val="0"/>
          <w:numId w:val="2"/>
        </w:numPr>
        <w:kinsoku/>
        <w:wordWrap w:val="0"/>
        <w:overflowPunct/>
        <w:bidi w:val="0"/>
        <w:ind w:left="0" w:leftChars="0"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除发生上述情况外，开标评标均以投标人通过交易平台网上递交的电子投标文件为准。</w:t>
      </w:r>
      <w:bookmarkEnd w:id="223"/>
      <w:bookmarkStart w:id="224" w:name="_Toc12675"/>
    </w:p>
    <w:p>
      <w:pPr>
        <w:pStyle w:val="50"/>
        <w:pageBreakBefore w:val="0"/>
        <w:numPr>
          <w:ilvl w:val="0"/>
          <w:numId w:val="0"/>
        </w:numPr>
        <w:kinsoku/>
        <w:wordWrap w:val="0"/>
        <w:overflowPunct/>
        <w:bidi w:val="0"/>
        <w:ind w:leftChars="200"/>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11.</w:t>
      </w:r>
      <w:r>
        <w:rPr>
          <w:rFonts w:hint="eastAsia" w:asciiTheme="minorEastAsia" w:hAnsiTheme="minorEastAsia" w:eastAsiaTheme="minorEastAsia" w:cstheme="minorEastAsia"/>
          <w:b/>
          <w:color w:val="000000" w:themeColor="text1"/>
          <w:kern w:val="2"/>
          <w:highlight w:val="none"/>
          <w:lang w:val="en-US" w:eastAsia="zh-CN"/>
          <w14:textFill>
            <w14:solidFill>
              <w14:schemeClr w14:val="tx1"/>
            </w14:solidFill>
          </w14:textFill>
        </w:rPr>
        <w:t>5</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 xml:space="preserve"> 投标文件的提交、修改和撤回</w:t>
      </w:r>
      <w:bookmarkEnd w:id="219"/>
      <w:bookmarkEnd w:id="224"/>
      <w:bookmarkStart w:id="225" w:name="_Hlt69699424"/>
      <w:bookmarkEnd w:id="225"/>
      <w:bookmarkStart w:id="226" w:name="_Hlt75685366"/>
      <w:bookmarkEnd w:id="226"/>
      <w:bookmarkStart w:id="227" w:name="_Hlt66608380"/>
      <w:bookmarkEnd w:id="227"/>
      <w:bookmarkStart w:id="228" w:name="_Hlt92512875"/>
      <w:bookmarkEnd w:id="228"/>
      <w:bookmarkStart w:id="229" w:name="_Hlt74494779"/>
      <w:bookmarkEnd w:id="229"/>
      <w:bookmarkStart w:id="230" w:name="_Toc24469"/>
    </w:p>
    <w:p>
      <w:pPr>
        <w:pStyle w:val="50"/>
        <w:pageBreakBefore w:val="0"/>
        <w:numPr>
          <w:ilvl w:val="0"/>
          <w:numId w:val="0"/>
        </w:numPr>
        <w:kinsoku/>
        <w:wordWrap w:val="0"/>
        <w:overflowPunct/>
        <w:bidi w:val="0"/>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kern w:val="2"/>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.1在投标文件提交截止时间前，投标人通过交易平台提交已加密投标文件。逾期提交的电子投标文件，交易平台将予以拒收。</w:t>
      </w:r>
      <w:bookmarkEnd w:id="230"/>
      <w:bookmarkStart w:id="231" w:name="_Toc25103"/>
    </w:p>
    <w:p>
      <w:pPr>
        <w:pStyle w:val="50"/>
        <w:pageBreakBefore w:val="0"/>
        <w:numPr>
          <w:ilvl w:val="0"/>
          <w:numId w:val="0"/>
        </w:numPr>
        <w:kinsoku/>
        <w:wordWrap w:val="0"/>
        <w:overflowPunct/>
        <w:bidi w:val="0"/>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kern w:val="2"/>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.2提交时间：见本章第二节“重要事项时间地点一览表”。</w:t>
      </w:r>
      <w:bookmarkEnd w:id="231"/>
      <w:bookmarkStart w:id="232" w:name="_Toc9791"/>
    </w:p>
    <w:p>
      <w:pPr>
        <w:pStyle w:val="50"/>
        <w:pageBreakBefore w:val="0"/>
        <w:numPr>
          <w:ilvl w:val="0"/>
          <w:numId w:val="0"/>
        </w:numPr>
        <w:kinsoku/>
        <w:wordWrap w:val="0"/>
        <w:overflowPunct/>
        <w:bidi w:val="0"/>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kern w:val="2"/>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.3</w:t>
      </w:r>
      <w:bookmarkEnd w:id="232"/>
      <w:bookmarkStart w:id="233" w:name="_Toc2022"/>
      <w:bookmarkStart w:id="234" w:name="_Toc17679"/>
      <w:bookmarkStart w:id="235" w:name="_Toc23037"/>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出现下述情形之一，属于未成功提交投标文件，按无效投标处理：</w:t>
      </w:r>
      <w:bookmarkEnd w:id="233"/>
      <w:bookmarkEnd w:id="234"/>
      <w:bookmarkEnd w:id="235"/>
      <w:bookmarkStart w:id="236" w:name="_Toc30279"/>
      <w:bookmarkStart w:id="237" w:name="_Toc22805"/>
      <w:bookmarkStart w:id="238" w:name="_Toc27579"/>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（1）至提交投标文件截止时，投标文件未完整上传或未提交投标；</w:t>
      </w:r>
      <w:bookmarkEnd w:id="236"/>
      <w:bookmarkEnd w:id="237"/>
      <w:bookmarkEnd w:id="238"/>
      <w:bookmarkStart w:id="239" w:name="_Toc26257"/>
      <w:bookmarkStart w:id="240" w:name="_Toc17052"/>
      <w:bookmarkStart w:id="241" w:name="_Toc1293"/>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（2）投标文件未按投标格式中注明需签字盖章的要求进行签名（含电子签名）和加盖电子印章，或签名（含电子签名）或电子印章不完整的；</w:t>
      </w:r>
      <w:bookmarkEnd w:id="239"/>
      <w:bookmarkEnd w:id="240"/>
      <w:bookmarkEnd w:id="241"/>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242" w:name="_Toc444"/>
      <w:bookmarkStart w:id="243" w:name="_Toc7367"/>
      <w:bookmarkStart w:id="244" w:name="_Toc23907"/>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（3）解密失败且在规定时间内未重新提交投标文件的；</w:t>
      </w:r>
      <w:bookmarkEnd w:id="242"/>
      <w:bookmarkEnd w:id="243"/>
      <w:bookmarkEnd w:id="244"/>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245" w:name="_Toc13"/>
      <w:bookmarkStart w:id="246" w:name="_Toc26444"/>
      <w:bookmarkStart w:id="247" w:name="_Toc21719"/>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（4）投标文件损坏或格式不正确的。</w:t>
      </w:r>
      <w:bookmarkEnd w:id="245"/>
      <w:bookmarkEnd w:id="246"/>
      <w:bookmarkEnd w:id="247"/>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48" w:name="_Toc24513"/>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12、投标有效期及对投标人的其他要求</w:t>
      </w:r>
      <w:bookmarkEnd w:id="205"/>
      <w:bookmarkEnd w:id="206"/>
      <w:bookmarkEnd w:id="207"/>
      <w:bookmarkEnd w:id="208"/>
      <w:bookmarkEnd w:id="209"/>
      <w:bookmarkEnd w:id="210"/>
      <w:bookmarkEnd w:id="211"/>
      <w:bookmarkEnd w:id="212"/>
      <w:bookmarkEnd w:id="213"/>
      <w:bookmarkEnd w:id="214"/>
      <w:bookmarkEnd w:id="215"/>
      <w:bookmarkEnd w:id="248"/>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本次招标投标有效期为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lang w:val="en-US" w:eastAsia="zh-CN"/>
          <w14:textFill>
            <w14:solidFill>
              <w14:schemeClr w14:val="tx1"/>
            </w14:solidFill>
          </w14:textFill>
        </w:rPr>
        <w:t>90</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个日历天，投标有效期从提交投标文件的截止之日起计算。在此期间，投标人不得撤销或修改其投标文件，否则其投标保证不予退还。</w:t>
      </w:r>
    </w:p>
    <w:bookmarkEnd w:id="143"/>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49" w:name="_Hlt111081624"/>
      <w:bookmarkEnd w:id="249"/>
      <w:bookmarkStart w:id="250" w:name="_Toc1044"/>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13</w:t>
      </w:r>
      <w:r>
        <w:rPr>
          <w:rFonts w:hint="eastAsia" w:asciiTheme="minorEastAsia" w:hAnsiTheme="minorEastAsia" w:eastAsiaTheme="minorEastAsia" w:cstheme="minorEastAsia"/>
          <w:b/>
          <w:color w:val="000000" w:themeColor="text1"/>
          <w:kern w:val="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开标</w:t>
      </w:r>
      <w:bookmarkEnd w:id="250"/>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13.1 招标人邀请所有正确完成了网上获取招标文件、电子投标、缴纳投标保证、递交投标文件的投标人参加开标，投标人可自主决定是否参加。投标人不参加开标的，视其默认开标结果，以及放弃在开标期间见证、监督、投诉、申辩的权利。</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13.1.1 开标时间和地点：见本章第二节“重要事项时间地点一览表”。</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13.1.2 开标前24小时，若交易平台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13.2 开标程序</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（1）主持人（招标人代表或招标人授权的招标代理机构人员）宣读开标纪律。</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（2）主持人宣布唱标人、记录人、见证人、监督人等有关人员姓名。</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（3）唱标人公布在投标截止时间前进行投标文件的投标人数量和名称</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（4）招标代理机构会同交易场所工作人员对投标人的电子投标信息进行解密，建设工程交易系统自动生成《投标保证缴纳情况表》和《开标一览表》。</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温馨提示：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因本工程采用全流程电子招标投标方式进行招标，投标人在唱标环节为解密唱标时，以网上电子解密唱标信息为准。全流程电子招标投标采用线上评审，以电子投标文件为准。如果两者报价不一致的，视为报价不唯一，其响应性评审不通过。</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13.3 投标人对开标相关事项（如开标程序等）有异议的，必须在开标期间及时提出，招标人或其授权的招标代理机构应当场作出答复，并记录在案。对开标事项的异议未在开标期间及时提出的，招标人不予受理。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13.4 招标代理机构将资料原件（若有）、《开标一览表》以及其他有关资料移交评标委员会。</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51" w:name="_Toc21041"/>
      <w:bookmarkStart w:id="252" w:name="_Toc20198"/>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14</w:t>
      </w:r>
      <w:bookmarkStart w:id="253" w:name="_Hlt127093805"/>
      <w:bookmarkEnd w:id="253"/>
      <w:r>
        <w:rPr>
          <w:rFonts w:hint="eastAsia" w:asciiTheme="minorEastAsia" w:hAnsiTheme="minorEastAsia" w:eastAsiaTheme="minorEastAsia" w:cstheme="minorEastAsia"/>
          <w:b/>
          <w:color w:val="000000" w:themeColor="text1"/>
          <w:kern w:val="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评标的方法和标准</w:t>
      </w:r>
      <w:bookmarkEnd w:id="251"/>
      <w:bookmarkEnd w:id="252"/>
    </w:p>
    <w:p>
      <w:pPr>
        <w:keepNext w:val="0"/>
        <w:keepLines w:val="0"/>
        <w:pageBreakBefore w:val="0"/>
        <w:wordWrap w:val="0"/>
        <w:overflowPunct/>
        <w:topLinePunct w:val="0"/>
        <w:bidi w:val="0"/>
        <w:spacing w:before="78" w:line="331" w:lineRule="auto"/>
        <w:ind w:left="8" w:right="65" w:firstLine="480"/>
        <w:rPr>
          <w:rFonts w:hint="eastAsia" w:asciiTheme="minorEastAsia" w:hAnsiTheme="minorEastAsia" w:eastAsiaTheme="minorEastAsia" w:cstheme="minorEastAsia"/>
          <w:b w:val="0"/>
          <w:bCs/>
          <w:color w:val="000000" w:themeColor="text1"/>
          <w:highlight w:val="none"/>
          <w14:textFill>
            <w14:solidFill>
              <w14:schemeClr w14:val="tx1"/>
            </w14:solidFill>
          </w14:textFill>
        </w:rPr>
      </w:pPr>
      <w:bookmarkStart w:id="254" w:name="_Toc32313"/>
      <w:r>
        <w:rPr>
          <w:rFonts w:hint="eastAsia" w:ascii="宋体" w:hAnsi="宋体" w:eastAsia="宋体" w:cs="宋体"/>
          <w:color w:val="auto"/>
          <w:spacing w:val="0"/>
          <w:sz w:val="24"/>
          <w:szCs w:val="24"/>
          <w:highlight w:val="none"/>
        </w:rPr>
        <w:t>评标分为初步评审和详细评审两个阶段，由评标委员会在有关部门的监督下，严格按照本招标文件指定的评标方法，对投标人的投标文件进行审查、评审。评标委员会完成评标后，向招标人推荐</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b/>
          <w:bCs/>
          <w:color w:val="auto"/>
          <w:spacing w:val="0"/>
          <w:sz w:val="24"/>
          <w:szCs w:val="24"/>
          <w:highlight w:val="none"/>
          <w:u w:val="single"/>
          <w:lang w:val="en-US" w:eastAsia="zh-CN"/>
        </w:rPr>
        <w:t>5</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个</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标候选人</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如不足5个，则往下递减，</w:t>
      </w:r>
      <w:r>
        <w:rPr>
          <w:rFonts w:hint="eastAsia" w:hAnsi="宋体" w:eastAsia="宋体" w:cs="宋体"/>
          <w:b/>
          <w:bCs/>
          <w:color w:val="auto"/>
          <w:spacing w:val="0"/>
          <w:sz w:val="24"/>
          <w:szCs w:val="24"/>
          <w:highlight w:val="none"/>
          <w:lang w:val="en-US" w:eastAsia="zh-CN"/>
        </w:rPr>
        <w:t>但不得少于3个</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color w:val="auto"/>
          <w:spacing w:val="0"/>
          <w:sz w:val="24"/>
          <w:szCs w:val="24"/>
          <w:highlight w:val="none"/>
        </w:rPr>
        <w:t>，并向招标人提交由全体评标委员会成员签字的评标报告。</w:t>
      </w:r>
    </w:p>
    <w:p>
      <w:pPr>
        <w:pStyle w:val="37"/>
        <w:pageBreakBefore w:val="0"/>
        <w:kinsoku/>
        <w:wordWrap w:val="0"/>
        <w:overflowPunct/>
        <w:autoSpaceDE w:val="0"/>
        <w:autoSpaceDN w:val="0"/>
        <w:bidi w:val="0"/>
        <w:adjustRightInd w:val="0"/>
        <w:ind w:firstLine="482"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14.1 评标</w:t>
      </w:r>
      <w:bookmarkStart w:id="255" w:name="_Hlt69208274"/>
      <w:bookmarkEnd w:id="255"/>
      <w:r>
        <w:rPr>
          <w:rFonts w:hint="eastAsia" w:asciiTheme="minorEastAsia" w:hAnsiTheme="minorEastAsia" w:eastAsiaTheme="minorEastAsia" w:cstheme="minorEastAsia"/>
          <w:b/>
          <w:color w:val="000000" w:themeColor="text1"/>
          <w:highlight w:val="none"/>
          <w14:textFill>
            <w14:solidFill>
              <w14:schemeClr w14:val="tx1"/>
            </w14:solidFill>
          </w14:textFill>
        </w:rPr>
        <w:t>委员会</w:t>
      </w:r>
      <w:bookmarkEnd w:id="254"/>
      <w:bookmarkStart w:id="256" w:name="_Hlt69338169"/>
      <w:bookmarkEnd w:id="256"/>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14.1.1 评标委员会由5人组成。专家从广东省综合评标评审专家库-韶关区域中随机抽取，其中技术类专家3人，经济类专家2人。评标委员会的负责人在评委中民主选出，负责人的权力与评委成员相等。</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14.1.2 评标委员会应认真、公正、诚实、廉洁地履行职责。有下列情形之一的，不得担任评标委员会成员：</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14.1.2.1 投标人或者投标人主要负责人的近亲属；</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14.1.2.2 项目主管部门或者行政监督部门的人员；</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14.1.2.3 与投标人有经济利益关系，可能影响对投标公正评审的；</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14.1.2.4 曾因在</w:t>
      </w:r>
      <w:bookmarkStart w:id="257" w:name="_Hlt69700387"/>
      <w:bookmarkEnd w:id="257"/>
      <w:r>
        <w:rPr>
          <w:rFonts w:hint="eastAsia" w:asciiTheme="minorEastAsia" w:hAnsiTheme="minorEastAsia" w:eastAsiaTheme="minorEastAsia" w:cstheme="minorEastAsia"/>
          <w:bCs/>
          <w:color w:val="000000" w:themeColor="text1"/>
          <w:highlight w:val="none"/>
          <w14:textFill>
            <w14:solidFill>
              <w14:schemeClr w14:val="tx1"/>
            </w14:solidFill>
          </w14:textFill>
        </w:rPr>
        <w:t>招标、评标以及其他与招标投标有关活动中从事违法行为而受过行政处罚或刑事处罚的。</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14.1.3 评标委员会成员有前款规定情形之一的，应主动提出回避。</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14.1.4 评标全过程实行封闭式管理，在中标结果公布前，禁止评标委员会成员以任何方式私下接触投标人。</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14.1.5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14.1.6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pPr>
        <w:pStyle w:val="37"/>
        <w:pageBreakBefore w:val="0"/>
        <w:kinsoku/>
        <w:wordWrap w:val="0"/>
        <w:overflowPunct/>
        <w:autoSpaceDE w:val="0"/>
        <w:autoSpaceDN w:val="0"/>
        <w:bidi w:val="0"/>
        <w:adjustRightInd w:val="0"/>
        <w:ind w:firstLine="482" w:firstLineChars="200"/>
        <w:rPr>
          <w:rFonts w:hint="eastAsia" w:asciiTheme="minorEastAsia" w:hAnsiTheme="minorEastAsia" w:eastAsiaTheme="minorEastAsia" w:cstheme="minorEastAsia"/>
          <w:b/>
          <w:color w:val="000000" w:themeColor="text1"/>
          <w:highlight w:val="none"/>
          <w14:textFill>
            <w14:solidFill>
              <w14:schemeClr w14:val="tx1"/>
            </w14:solidFill>
          </w14:textFill>
        </w:rPr>
      </w:pPr>
      <w:bookmarkStart w:id="258" w:name="_Toc106418823"/>
      <w:bookmarkStart w:id="259" w:name="_Toc104711078"/>
      <w:bookmarkStart w:id="260" w:name="_Toc17385"/>
      <w:r>
        <w:rPr>
          <w:rFonts w:hint="eastAsia" w:asciiTheme="minorEastAsia" w:hAnsiTheme="minorEastAsia" w:eastAsiaTheme="minorEastAsia" w:cstheme="minorEastAsia"/>
          <w:b/>
          <w:color w:val="000000" w:themeColor="text1"/>
          <w:highlight w:val="none"/>
          <w14:textFill>
            <w14:solidFill>
              <w14:schemeClr w14:val="tx1"/>
            </w14:solidFill>
          </w14:textFill>
        </w:rPr>
        <w:t>14.2</w:t>
      </w:r>
      <w:bookmarkEnd w:id="258"/>
      <w:bookmarkEnd w:id="259"/>
      <w:r>
        <w:rPr>
          <w:rFonts w:hint="eastAsia" w:asciiTheme="minorEastAsia" w:hAnsiTheme="minorEastAsia" w:eastAsiaTheme="minorEastAsia" w:cstheme="minorEastAsia"/>
          <w:b/>
          <w:color w:val="000000" w:themeColor="text1"/>
          <w:highlight w:val="none"/>
          <w14:textFill>
            <w14:solidFill>
              <w14:schemeClr w14:val="tx1"/>
            </w14:solidFill>
          </w14:textFill>
        </w:rPr>
        <w:t>评标方法</w:t>
      </w:r>
      <w:bookmarkEnd w:id="260"/>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bookmarkStart w:id="261" w:name="_Hlt66591657"/>
      <w:bookmarkEnd w:id="261"/>
      <w:r>
        <w:rPr>
          <w:rFonts w:hint="eastAsia" w:asciiTheme="minorEastAsia" w:hAnsiTheme="minorEastAsia" w:eastAsiaTheme="minorEastAsia" w:cstheme="minorEastAsia"/>
          <w:bCs/>
          <w:color w:val="000000" w:themeColor="text1"/>
          <w:highlight w:val="none"/>
          <w14:textFill>
            <w14:solidFill>
              <w14:schemeClr w14:val="tx1"/>
            </w14:solidFill>
          </w14:textFill>
        </w:rPr>
        <w:t>根据有关法律、法规的相关规定，结合本招标项目资金来源和规模特点，本次招标采用综合评估法进行评标。</w:t>
      </w:r>
    </w:p>
    <w:p>
      <w:pPr>
        <w:pStyle w:val="37"/>
        <w:pageBreakBefore w:val="0"/>
        <w:kinsoku/>
        <w:wordWrap w:val="0"/>
        <w:overflowPunct/>
        <w:autoSpaceDE w:val="0"/>
        <w:autoSpaceDN w:val="0"/>
        <w:bidi w:val="0"/>
        <w:adjustRightInd w:val="0"/>
        <w:ind w:firstLine="482"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14.</w:t>
      </w:r>
      <w:r>
        <w:rPr>
          <w:rFonts w:hint="eastAsia" w:asciiTheme="minorEastAsia" w:hAnsiTheme="minorEastAsia" w:eastAsiaTheme="minorEastAsia" w:cstheme="minorEastAsia"/>
          <w:b/>
          <w:bCs w:val="0"/>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bCs/>
          <w:color w:val="000000" w:themeColor="text1"/>
          <w:highlight w:val="none"/>
          <w14:textFill>
            <w14:solidFill>
              <w14:schemeClr w14:val="tx1"/>
            </w14:solidFill>
          </w14:textFill>
        </w:rPr>
        <w:t>评审范围：评标委员会应对所有投标人的投标文件进行评审。</w:t>
      </w:r>
    </w:p>
    <w:p>
      <w:pPr>
        <w:pStyle w:val="37"/>
        <w:pageBreakBefore w:val="0"/>
        <w:kinsoku/>
        <w:wordWrap w:val="0"/>
        <w:overflowPunct/>
        <w:autoSpaceDE w:val="0"/>
        <w:autoSpaceDN w:val="0"/>
        <w:bidi w:val="0"/>
        <w:adjustRightInd w:val="0"/>
        <w:ind w:firstLine="482"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14.</w:t>
      </w:r>
      <w:r>
        <w:rPr>
          <w:rFonts w:hint="eastAsia" w:asciiTheme="minorEastAsia" w:hAnsiTheme="minorEastAsia" w:eastAsiaTheme="minorEastAsia" w:cstheme="minorEastAsia"/>
          <w:b/>
          <w:bCs w:val="0"/>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bCs/>
          <w:color w:val="000000" w:themeColor="text1"/>
          <w:highlight w:val="none"/>
          <w14:textFill>
            <w14:solidFill>
              <w14:schemeClr w14:val="tx1"/>
            </w14:solidFill>
          </w14:textFill>
        </w:rPr>
        <w:t>初步评审阶段</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初步评审阶段分为资格评审、形式评审和响应性评审三个环节。</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4.1</w:t>
      </w:r>
      <w:r>
        <w:rPr>
          <w:rFonts w:hint="eastAsia" w:asciiTheme="minorEastAsia" w:hAnsiTheme="minorEastAsia" w:eastAsiaTheme="minorEastAsia" w:cstheme="minorEastAsia"/>
          <w:bCs/>
          <w:color w:val="000000" w:themeColor="text1"/>
          <w:highlight w:val="none"/>
          <w14:textFill>
            <w14:solidFill>
              <w14:schemeClr w14:val="tx1"/>
            </w14:solidFill>
          </w14:textFill>
        </w:rPr>
        <w:t>资格评审环节</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资格评审事项包括：</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（1）投标人是否符合本章第三节第 4.4条“禁止投标条款”规定。</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（2）投标人名称是否与营业执照、资质证书、安全生产许可证一致。</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（3）投标人的资质是否符合招标文件规定；其营业执照、资质证书、安全生产许可证是否合法、有效、准确。</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（4）《项目经理简历表》中拟派项目经理是否与《开标一览表》一致。</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5）拟派项目经理、项目技术负责人、专职安全员、设计负责人的条件是否符合招标文件规定；项目管理机构组成人员的各类证书、证件、证明是否合法、有效、准确；是否擅自修改、遗漏《项目经理任职声明》的实质性内容。</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6）联合体投标的，是否提交《联合体协议书》；是否擅自修改、遗漏《联合体协议书》的实质性内容；联合体成员的数量、资质是否符合招标文件规定；联合体成员是否以自己名义单独或者参加其他联合体参与本招标工程投标。</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（7）投标人为外省建筑企业的，是否按规定在“进粤企业和人员诚信信息登记平台”录入企业及其拟派人员有关信息并通过数据规范检查。</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形式评审环节</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形式评审事项包括：</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1</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14:textFill>
            <w14:solidFill>
              <w14:schemeClr w14:val="tx1"/>
            </w14:solidFill>
          </w14:textFill>
        </w:rPr>
        <w:t>投标文件是否按招标文件规定加盖电子印章。</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14:textFill>
            <w14:solidFill>
              <w14:schemeClr w14:val="tx1"/>
            </w14:solidFill>
          </w14:textFill>
        </w:rPr>
        <w:t>本节第11.2.2目中规定的“所有投标人均应提供”的组成内容（包括该组成内容的所附资料）是否完整、齐全。</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响应性评审环节</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响应性评审事项包括：</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（1）投标有效期、质量标准、工期等是否响应招标文件实质性要求；是否擅自修改、遗漏《投标函》《各项承诺一览表》的实质性内容。</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（2）编投标总价是否唯一；投标总价是否超出最高投标限价；投标人是否以低于成本的价格竞标。</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注：如果某投标人的投标总价下浮率（投标总价下浮率＝100%－投标总价÷</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最高投标限价</w:t>
      </w:r>
      <w:r>
        <w:rPr>
          <w:rFonts w:hint="eastAsia" w:asciiTheme="minorEastAsia" w:hAnsiTheme="minorEastAsia" w:eastAsiaTheme="minorEastAsia" w:cstheme="minorEastAsia"/>
          <w:bCs/>
          <w:color w:val="000000" w:themeColor="text1"/>
          <w:highlight w:val="none"/>
          <w14:textFill>
            <w14:solidFill>
              <w14:schemeClr w14:val="tx1"/>
            </w14:solidFill>
          </w14:textFill>
        </w:rPr>
        <w:t>×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否决投标说明</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初步评审阶段各个环节否决投标的全部条件，在本章第四节“否决投标条件”第1条至第4条中集中列示。投标人有其中所列任何一种情形的，由评标委员会否决其投标。在初步评审阶段任何环节被否决的投标人，不进入下一环节（或阶段）评审。在初步评审阶段任何环节，有效投标人数量不足3个时，招标人应依法重新组织招标。</w:t>
      </w:r>
    </w:p>
    <w:bookmarkEnd w:id="144"/>
    <w:p>
      <w:pPr>
        <w:pStyle w:val="37"/>
        <w:pageBreakBefore w:val="0"/>
        <w:kinsoku/>
        <w:wordWrap w:val="0"/>
        <w:overflowPunct/>
        <w:autoSpaceDE w:val="0"/>
        <w:autoSpaceDN w:val="0"/>
        <w:bidi w:val="0"/>
        <w:adjustRightInd w:val="0"/>
        <w:ind w:firstLine="482"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14.</w:t>
      </w:r>
      <w:r>
        <w:rPr>
          <w:rFonts w:hint="eastAsia" w:asciiTheme="minorEastAsia" w:hAnsiTheme="minorEastAsia" w:eastAsiaTheme="minorEastAsia" w:cstheme="minorEastAsia"/>
          <w:b/>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stheme="minorEastAsia"/>
          <w:b/>
          <w:color w:val="000000" w:themeColor="text1"/>
          <w:highlight w:val="none"/>
          <w14:textFill>
            <w14:solidFill>
              <w14:schemeClr w14:val="tx1"/>
            </w14:solidFill>
          </w14:textFill>
        </w:rPr>
        <w:t xml:space="preserve"> 详细评审阶段</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highlight w:val="none"/>
          <w14:textFill>
            <w14:solidFill>
              <w14:schemeClr w14:val="tx1"/>
            </w14:solidFill>
          </w14:textFill>
        </w:rPr>
        <w:t>.1 “综合评估法”评审程序</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评审内容分为商务部分</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技术部分</w:t>
      </w:r>
      <w:r>
        <w:rPr>
          <w:rFonts w:hint="eastAsia" w:asciiTheme="minorEastAsia" w:hAnsiTheme="minorEastAsia" w:eastAsiaTheme="minorEastAsia" w:cstheme="minorEastAsia"/>
          <w:bCs/>
          <w:color w:val="000000" w:themeColor="text1"/>
          <w:highlight w:val="none"/>
          <w14:textFill>
            <w14:solidFill>
              <w14:schemeClr w14:val="tx1"/>
            </w14:solidFill>
          </w14:textFill>
        </w:rPr>
        <w:t>和</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投标报价得分</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二</w:t>
      </w:r>
      <w:r>
        <w:rPr>
          <w:rFonts w:hint="eastAsia" w:asciiTheme="minorEastAsia" w:hAnsiTheme="minorEastAsia" w:eastAsiaTheme="minorEastAsia" w:cstheme="minorEastAsia"/>
          <w:bCs/>
          <w:color w:val="000000" w:themeColor="text1"/>
          <w:highlight w:val="none"/>
          <w14:textFill>
            <w14:solidFill>
              <w14:schemeClr w14:val="tx1"/>
            </w14:solidFill>
          </w14:textFill>
        </w:rPr>
        <w:t>大部分，实行分项计分，以100分为满分。具体分值详见《综合评分表》。</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除特别注明外，综合得分以及商务部分得分</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技术部分、</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投标报价得分</w:t>
      </w:r>
      <w:r>
        <w:rPr>
          <w:rFonts w:hint="eastAsia" w:asciiTheme="minorEastAsia" w:hAnsiTheme="minorEastAsia" w:eastAsiaTheme="minorEastAsia" w:cstheme="minorEastAsia"/>
          <w:bCs/>
          <w:color w:val="000000" w:themeColor="text1"/>
          <w:highlight w:val="none"/>
          <w14:textFill>
            <w14:solidFill>
              <w14:schemeClr w14:val="tx1"/>
            </w14:solidFill>
          </w14:textFill>
        </w:rPr>
        <w:t>的中间过程计算值和最终值，均按“四舍五入”原则精确到两位小数。</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（1）商务部分得分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①评标委员会各成员独立按照《综合评分表》商务部分指定的评分标准对各评分因素进行打分。各评分因素得分之和即为某投标人的商务部分得分。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②全体评委对该投标人的商务部分总评分取平均值，按“四舍五入”原则精确到两位小数即为该投标人商务部分的最终得分。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bCs/>
          <w:color w:val="000000" w:themeColor="text1"/>
          <w:highlight w:val="none"/>
          <w14:textFill>
            <w14:solidFill>
              <w14:schemeClr w14:val="tx1"/>
            </w14:solidFill>
          </w14:textFill>
        </w:rPr>
        <w:t>部分得分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①评标委员会各成员独立按照《综合评分表》</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bCs/>
          <w:color w:val="000000" w:themeColor="text1"/>
          <w:highlight w:val="none"/>
          <w14:textFill>
            <w14:solidFill>
              <w14:schemeClr w14:val="tx1"/>
            </w14:solidFill>
          </w14:textFill>
        </w:rPr>
        <w:t>部分指定的评分标准对各评分因素进行打分。各评分因素得分之和即为某投标人的</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bCs/>
          <w:color w:val="000000" w:themeColor="text1"/>
          <w:highlight w:val="none"/>
          <w14:textFill>
            <w14:solidFill>
              <w14:schemeClr w14:val="tx1"/>
            </w14:solidFill>
          </w14:textFill>
        </w:rPr>
        <w:t>部分得分。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②全体评委对该投标人的</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bCs/>
          <w:color w:val="000000" w:themeColor="text1"/>
          <w:highlight w:val="none"/>
          <w14:textFill>
            <w14:solidFill>
              <w14:schemeClr w14:val="tx1"/>
            </w14:solidFill>
          </w14:textFill>
        </w:rPr>
        <w:t>部分总评分取平均值，按“四舍五入”原则精确到两位小数即为该投标人</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bCs/>
          <w:color w:val="000000" w:themeColor="text1"/>
          <w:highlight w:val="none"/>
          <w14:textFill>
            <w14:solidFill>
              <w14:schemeClr w14:val="tx1"/>
            </w14:solidFill>
          </w14:textFill>
        </w:rPr>
        <w:t>部分的最终得分。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投标报价得分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投标报价得分</w:t>
      </w:r>
      <w:r>
        <w:rPr>
          <w:rFonts w:hint="eastAsia" w:asciiTheme="minorEastAsia" w:hAnsiTheme="minorEastAsia" w:eastAsiaTheme="minorEastAsia" w:cstheme="minorEastAsia"/>
          <w:bCs/>
          <w:color w:val="000000" w:themeColor="text1"/>
          <w:highlight w:val="none"/>
          <w14:textFill>
            <w14:solidFill>
              <w14:schemeClr w14:val="tx1"/>
            </w14:solidFill>
          </w14:textFill>
        </w:rPr>
        <w:t>评分方法详见《综合评分表》。</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）综合得分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综合得分=商务部分得分+</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投标报价得分。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highlight w:val="none"/>
          <w14:textFill>
            <w14:solidFill>
              <w14:schemeClr w14:val="tx1"/>
            </w14:solidFill>
          </w14:textFill>
        </w:rPr>
        <w:t>）评标委员会根据招标文件规定的评分细则，对招标文件中的各评审因素进行评审、比较、打分，将得分前5名不排序（按企业统一社会信用代码后4位大小排位）的投标人作为定标候选人推荐给招标人，并对每个定标候选人的优势、风险等评审情况进行说明。当投标人综合总得分相同时，以报价低为前；当投标人综合总得分相同且报价相同时，由评标委员会投票确定排前。</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定标候选人得分只作为评标委员会的推荐依据，不作为定标委员会对中标候选人排序的依据。当有效投标人数量不足5名但满足法定要求时，所有通过评审的有效投标人均应作为定标候选人。</w:t>
      </w:r>
    </w:p>
    <w:p>
      <w:pPr>
        <w:pStyle w:val="37"/>
        <w:pageBreakBefore w:val="0"/>
        <w:kinsoku/>
        <w:wordWrap w:val="0"/>
        <w:overflowPunct/>
        <w:autoSpaceDE w:val="0"/>
        <w:autoSpaceDN w:val="0"/>
        <w:bidi w:val="0"/>
        <w:adjustRightInd w:val="0"/>
        <w:jc w:val="center"/>
        <w:outlineLvl w:val="2"/>
        <w:rPr>
          <w:rFonts w:hint="eastAsia" w:hAnsi="宋体" w:cs="宋体"/>
          <w:b/>
          <w:bCs/>
          <w:color w:val="000000" w:themeColor="text1"/>
          <w:kern w:val="0"/>
          <w:sz w:val="28"/>
          <w:szCs w:val="30"/>
          <w:highlight w:val="none"/>
          <w14:textFill>
            <w14:solidFill>
              <w14:schemeClr w14:val="tx1"/>
            </w14:solidFill>
          </w14:textFill>
        </w:rPr>
      </w:pPr>
    </w:p>
    <w:p>
      <w:pPr>
        <w:pStyle w:val="37"/>
        <w:pageBreakBefore w:val="0"/>
        <w:kinsoku/>
        <w:wordWrap w:val="0"/>
        <w:overflowPunct/>
        <w:autoSpaceDE w:val="0"/>
        <w:autoSpaceDN w:val="0"/>
        <w:bidi w:val="0"/>
        <w:adjustRightInd w:val="0"/>
        <w:jc w:val="center"/>
        <w:outlineLvl w:val="2"/>
        <w:rPr>
          <w:rFonts w:hint="eastAsia" w:hAnsi="宋体" w:cs="宋体"/>
          <w:b/>
          <w:bCs/>
          <w:color w:val="000000" w:themeColor="text1"/>
          <w:kern w:val="0"/>
          <w:sz w:val="28"/>
          <w:szCs w:val="30"/>
          <w:highlight w:val="none"/>
          <w14:textFill>
            <w14:solidFill>
              <w14:schemeClr w14:val="tx1"/>
            </w14:solidFill>
          </w14:textFill>
        </w:rPr>
      </w:pPr>
      <w:r>
        <w:rPr>
          <w:rFonts w:hint="eastAsia" w:hAnsi="宋体" w:cs="宋体"/>
          <w:b/>
          <w:bCs/>
          <w:color w:val="000000" w:themeColor="text1"/>
          <w:kern w:val="0"/>
          <w:sz w:val="28"/>
          <w:szCs w:val="30"/>
          <w:highlight w:val="none"/>
          <w14:textFill>
            <w14:solidFill>
              <w14:schemeClr w14:val="tx1"/>
            </w14:solidFill>
          </w14:textFill>
        </w:rPr>
        <w:t>综合评分表</w:t>
      </w:r>
    </w:p>
    <w:tbl>
      <w:tblPr>
        <w:tblStyle w:val="22"/>
        <w:tblpPr w:leftFromText="181" w:rightFromText="181" w:vertAnchor="text" w:horzAnchor="page" w:tblpXSpec="center" w:tblpY="1"/>
        <w:tblOverlap w:val="never"/>
        <w:tblW w:w="95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595"/>
        <w:gridCol w:w="1221"/>
        <w:gridCol w:w="3063"/>
        <w:gridCol w:w="1"/>
        <w:gridCol w:w="3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275" w:type="dxa"/>
            <w:gridSpan w:val="2"/>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评标内容</w:t>
            </w:r>
          </w:p>
        </w:tc>
        <w:tc>
          <w:tcPr>
            <w:tcW w:w="4285" w:type="dxa"/>
            <w:gridSpan w:val="3"/>
            <w:vMerge w:val="restart"/>
            <w:noWrap w:val="0"/>
            <w:vAlign w:val="center"/>
          </w:tcPr>
          <w:p>
            <w:pPr>
              <w:keepNext/>
              <w:keepLines w:val="0"/>
              <w:pageBreakBefore w:val="0"/>
              <w:widowControl/>
              <w:kinsoku/>
              <w:wordWrap w:val="0"/>
              <w:overflowPunct/>
              <w:topLinePunct w:val="0"/>
              <w:autoSpaceDE/>
              <w:autoSpaceDN/>
              <w:bidi w:val="0"/>
              <w:spacing w:line="360" w:lineRule="auto"/>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lang w:eastAsia="zh-CN"/>
                <w14:textFill>
                  <w14:solidFill>
                    <w14:schemeClr w14:val="tx1"/>
                  </w14:solidFill>
                </w14:textFill>
              </w:rPr>
              <w:t>评分标准</w:t>
            </w:r>
          </w:p>
        </w:tc>
        <w:tc>
          <w:tcPr>
            <w:tcW w:w="3950" w:type="dxa"/>
            <w:vMerge w:val="restart"/>
            <w:noWrap w:val="0"/>
            <w:vAlign w:val="center"/>
          </w:tcPr>
          <w:p>
            <w:pPr>
              <w:keepNext/>
              <w:keepLines w:val="0"/>
              <w:pageBreakBefore w:val="0"/>
              <w:widowControl/>
              <w:kinsoku/>
              <w:wordWrap w:val="0"/>
              <w:overflowPunct/>
              <w:topLinePunct w:val="0"/>
              <w:autoSpaceDE/>
              <w:autoSpaceDN/>
              <w:bidi w:val="0"/>
              <w:spacing w:line="360" w:lineRule="auto"/>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0" w:type="dxa"/>
            <w:vMerge w:val="restart"/>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商务得分（</w:t>
            </w:r>
            <w:r>
              <w:rPr>
                <w:rFonts w:hint="eastAsia"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val="en-US" w:eastAsia="zh-CN"/>
                <w14:textFill>
                  <w14:solidFill>
                    <w14:schemeClr w14:val="tx1"/>
                  </w14:solidFill>
                </w14:textFill>
              </w:rPr>
              <w:t>0分）</w:t>
            </w:r>
          </w:p>
        </w:tc>
        <w:tc>
          <w:tcPr>
            <w:tcW w:w="595" w:type="dxa"/>
            <w:vMerge w:val="restart"/>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施工企业（</w:t>
            </w:r>
            <w:r>
              <w:rPr>
                <w:rFonts w:hint="eastAsia" w:hAnsi="宋体" w:eastAsia="宋体" w:cs="宋体"/>
                <w:color w:val="000000" w:themeColor="text1"/>
                <w:sz w:val="24"/>
                <w:szCs w:val="24"/>
                <w:highlight w:val="none"/>
                <w:lang w:val="en-US" w:eastAsia="zh-CN"/>
                <w14:textFill>
                  <w14:solidFill>
                    <w14:schemeClr w14:val="tx1"/>
                  </w14:solidFill>
                </w14:textFill>
              </w:rPr>
              <w:t>20</w:t>
            </w:r>
            <w:r>
              <w:rPr>
                <w:rFonts w:hint="eastAsia" w:ascii="宋体" w:hAnsi="宋体" w:eastAsia="宋体" w:cs="宋体"/>
                <w:color w:val="000000" w:themeColor="text1"/>
                <w:sz w:val="24"/>
                <w:szCs w:val="24"/>
                <w:highlight w:val="none"/>
                <w:lang w:val="en-US" w:eastAsia="zh-CN"/>
                <w14:textFill>
                  <w14:solidFill>
                    <w14:schemeClr w14:val="tx1"/>
                  </w14:solidFill>
                </w14:textFill>
              </w:rPr>
              <w:t>分）</w:t>
            </w:r>
          </w:p>
        </w:tc>
        <w:tc>
          <w:tcPr>
            <w:tcW w:w="1221" w:type="dxa"/>
            <w:noWrap w:val="0"/>
            <w:vAlign w:val="center"/>
          </w:tcPr>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auto"/>
              <w:jc w:val="center"/>
              <w:textAlignment w:val="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企业业绩</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auto"/>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snapToGrid w:val="0"/>
                <w:color w:val="auto"/>
                <w:kern w:val="0"/>
                <w:sz w:val="24"/>
                <w:szCs w:val="24"/>
                <w:highlight w:val="none"/>
              </w:rPr>
              <w:t>（</w:t>
            </w:r>
            <w:r>
              <w:rPr>
                <w:rFonts w:hint="eastAsia" w:hAnsi="宋体" w:eastAsia="宋体" w:cs="宋体"/>
                <w:b w:val="0"/>
                <w:bCs w:val="0"/>
                <w:snapToGrid w:val="0"/>
                <w:color w:val="auto"/>
                <w:kern w:val="0"/>
                <w:sz w:val="24"/>
                <w:szCs w:val="24"/>
                <w:highlight w:val="none"/>
                <w:lang w:val="en-US" w:eastAsia="zh-CN"/>
              </w:rPr>
              <w:t>6</w:t>
            </w:r>
            <w:r>
              <w:rPr>
                <w:rFonts w:hint="eastAsia" w:ascii="宋体" w:hAnsi="宋体" w:eastAsia="宋体" w:cs="宋体"/>
                <w:b w:val="0"/>
                <w:bCs w:val="0"/>
                <w:snapToGrid w:val="0"/>
                <w:color w:val="auto"/>
                <w:kern w:val="0"/>
                <w:sz w:val="24"/>
                <w:szCs w:val="24"/>
                <w:highlight w:val="none"/>
              </w:rPr>
              <w:t>分）</w:t>
            </w:r>
          </w:p>
        </w:tc>
        <w:tc>
          <w:tcPr>
            <w:tcW w:w="3063" w:type="dxa"/>
            <w:noWrap w:val="0"/>
            <w:vAlign w:val="center"/>
          </w:tcPr>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投标人</w:t>
            </w:r>
            <w:r>
              <w:rPr>
                <w:rFonts w:hint="eastAsia" w:ascii="宋体" w:hAnsi="宋体" w:eastAsia="宋体" w:cs="宋体"/>
                <w:snapToGrid w:val="0"/>
                <w:color w:val="auto"/>
                <w:kern w:val="0"/>
                <w:sz w:val="24"/>
                <w:szCs w:val="24"/>
                <w:highlight w:val="none"/>
              </w:rPr>
              <w:t>近</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5</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年来（20</w:t>
            </w:r>
            <w:r>
              <w:rPr>
                <w:rFonts w:hint="eastAsia" w:ascii="宋体" w:hAnsi="宋体" w:eastAsia="宋体" w:cs="宋体"/>
                <w:snapToGrid w:val="0"/>
                <w:color w:val="auto"/>
                <w:kern w:val="0"/>
                <w:sz w:val="24"/>
                <w:szCs w:val="24"/>
                <w:highlight w:val="none"/>
                <w:lang w:val="en-US" w:eastAsia="zh-CN"/>
              </w:rPr>
              <w:t>21</w:t>
            </w:r>
            <w:r>
              <w:rPr>
                <w:rFonts w:hint="eastAsia" w:ascii="宋体" w:hAnsi="宋体" w:eastAsia="宋体" w:cs="宋体"/>
                <w:snapToGrid w:val="0"/>
                <w:color w:val="auto"/>
                <w:kern w:val="0"/>
                <w:sz w:val="24"/>
                <w:szCs w:val="24"/>
                <w:highlight w:val="none"/>
              </w:rPr>
              <w:t>年1月1日至</w:t>
            </w:r>
            <w:r>
              <w:rPr>
                <w:rFonts w:hint="eastAsia" w:ascii="宋体" w:hAnsi="宋体" w:eastAsia="宋体" w:cs="宋体"/>
                <w:snapToGrid w:val="0"/>
                <w:color w:val="auto"/>
                <w:kern w:val="0"/>
                <w:sz w:val="24"/>
                <w:szCs w:val="24"/>
                <w:highlight w:val="none"/>
                <w:lang w:val="en-US" w:eastAsia="zh-CN"/>
              </w:rPr>
              <w:t>今</w:t>
            </w:r>
            <w:r>
              <w:rPr>
                <w:rFonts w:hint="eastAsia" w:ascii="宋体" w:hAnsi="宋体" w:eastAsia="宋体" w:cs="宋体"/>
                <w:snapToGrid w:val="0"/>
                <w:color w:val="auto"/>
                <w:kern w:val="0"/>
                <w:sz w:val="24"/>
                <w:szCs w:val="24"/>
                <w:highlight w:val="none"/>
              </w:rPr>
              <w:t>）业绩情况：</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u w:val="single"/>
                <w:lang w:val="en-US" w:eastAsia="zh-CN"/>
              </w:rPr>
              <w:t>承接</w:t>
            </w:r>
            <w:r>
              <w:rPr>
                <w:rFonts w:hint="eastAsia" w:ascii="宋体" w:hAnsi="宋体" w:eastAsia="宋体" w:cs="宋体"/>
                <w:snapToGrid w:val="0"/>
                <w:color w:val="auto"/>
                <w:kern w:val="0"/>
                <w:sz w:val="24"/>
                <w:szCs w:val="24"/>
                <w:highlight w:val="none"/>
              </w:rPr>
              <w:t>过类似工程的，每个得</w:t>
            </w:r>
            <w:r>
              <w:rPr>
                <w:rFonts w:hint="eastAsia"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分。</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u w:val="single"/>
              </w:rPr>
              <w:t>未</w:t>
            </w:r>
            <w:r>
              <w:rPr>
                <w:rFonts w:hint="eastAsia" w:ascii="宋体" w:hAnsi="宋体" w:eastAsia="宋体" w:cs="宋体"/>
                <w:snapToGrid w:val="0"/>
                <w:color w:val="auto"/>
                <w:kern w:val="0"/>
                <w:sz w:val="24"/>
                <w:szCs w:val="24"/>
                <w:highlight w:val="none"/>
                <w:u w:val="single"/>
                <w:lang w:val="en-US" w:eastAsia="zh-CN"/>
              </w:rPr>
              <w:t>承接</w:t>
            </w:r>
            <w:r>
              <w:rPr>
                <w:rFonts w:hint="eastAsia" w:ascii="宋体" w:hAnsi="宋体" w:eastAsia="宋体" w:cs="宋体"/>
                <w:snapToGrid w:val="0"/>
                <w:color w:val="auto"/>
                <w:kern w:val="0"/>
                <w:sz w:val="24"/>
                <w:szCs w:val="24"/>
                <w:highlight w:val="none"/>
              </w:rPr>
              <w:t>过类似工程的，不予计分。</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本项最高得</w:t>
            </w:r>
            <w:r>
              <w:rPr>
                <w:rFonts w:hint="eastAsia" w:hAnsi="宋体" w:eastAsia="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 xml:space="preserve">分。 </w:t>
            </w:r>
          </w:p>
        </w:tc>
        <w:tc>
          <w:tcPr>
            <w:tcW w:w="3951" w:type="dxa"/>
            <w:gridSpan w:val="2"/>
            <w:noWrap w:val="0"/>
            <w:vAlign w:val="center"/>
          </w:tcPr>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1.类似工程指:市政类工程。</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2.需附有关业绩合同协议书关键页和中标通知书的彩色扫描件并加盖单位公章，否则不得分。</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3.业绩时间以合同签订日期为准。</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4.任一业绩有以下情形之一的，该业绩视为无效，不予计分</w:t>
            </w:r>
            <w:r>
              <w:rPr>
                <w:rFonts w:hint="eastAsia" w:ascii="宋体" w:hAnsi="宋体" w:eastAsia="宋体" w:cs="宋体"/>
                <w:snapToGrid w:val="0"/>
                <w:color w:val="auto"/>
                <w:kern w:val="0"/>
                <w:sz w:val="24"/>
                <w:szCs w:val="24"/>
                <w:highlight w:val="none"/>
                <w:lang w:eastAsia="zh-CN"/>
              </w:rPr>
              <w:t>；</w:t>
            </w:r>
          </w:p>
          <w:p>
            <w:pPr>
              <w:spacing w:line="360" w:lineRule="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①业绩不属于类似工程的</w:t>
            </w:r>
            <w:r>
              <w:rPr>
                <w:rFonts w:hint="eastAsia" w:ascii="宋体" w:hAnsi="宋体" w:eastAsia="宋体" w:cs="宋体"/>
                <w:snapToGrid w:val="0"/>
                <w:color w:val="auto"/>
                <w:kern w:val="0"/>
                <w:sz w:val="24"/>
                <w:szCs w:val="24"/>
                <w:highlight w:val="none"/>
                <w:lang w:eastAsia="zh-CN"/>
              </w:rPr>
              <w:t>；</w:t>
            </w:r>
          </w:p>
          <w:p>
            <w:pPr>
              <w:spacing w:line="360" w:lineRule="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snapToGrid w:val="0"/>
                <w:color w:val="auto"/>
                <w:kern w:val="0"/>
                <w:sz w:val="24"/>
                <w:szCs w:val="24"/>
                <w:highlight w:val="none"/>
              </w:rPr>
              <w:t>②</w:t>
            </w:r>
            <w:r>
              <w:rPr>
                <w:rFonts w:hint="eastAsia" w:ascii="宋体" w:hAnsi="宋体" w:eastAsia="宋体" w:cs="宋体"/>
                <w:snapToGrid w:val="0"/>
                <w:color w:val="auto"/>
                <w:kern w:val="0"/>
                <w:sz w:val="24"/>
                <w:szCs w:val="24"/>
                <w:highlight w:val="none"/>
              </w:rPr>
              <w:t>业绩时间不符合要求的。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1221" w:type="dxa"/>
            <w:noWrap w:val="0"/>
            <w:vAlign w:val="center"/>
          </w:tcPr>
          <w:p>
            <w:pPr>
              <w:pStyle w:val="8"/>
              <w:keepNext w:val="0"/>
              <w:keepLines w:val="0"/>
              <w:pageBreakBefore w:val="0"/>
              <w:widowControl w:val="0"/>
              <w:kinsoku/>
              <w:wordWrap/>
              <w:overflowPunct/>
              <w:topLinePunct w:val="0"/>
              <w:autoSpaceDE/>
              <w:autoSpaceDN/>
              <w:bidi w:val="0"/>
              <w:adjustRightInd w:val="0"/>
              <w:snapToGrid w:val="0"/>
              <w:spacing w:after="0" w:afterLines="0" w:line="36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企业纳税信用</w:t>
            </w:r>
          </w:p>
          <w:p>
            <w:pPr>
              <w:keepNext/>
              <w:keepLines w:val="0"/>
              <w:pageBreakBefore w:val="0"/>
              <w:widowControl/>
              <w:kinsoku/>
              <w:wordWrap w:val="0"/>
              <w:overflowPunct/>
              <w:topLinePunct w:val="0"/>
              <w:autoSpaceDE/>
              <w:autoSpaceDN/>
              <w:bidi w:val="0"/>
              <w:snapToGrid w:val="0"/>
              <w:spacing w:line="360" w:lineRule="auto"/>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auto"/>
                <w:kern w:val="0"/>
                <w:sz w:val="24"/>
                <w:szCs w:val="24"/>
                <w:highlight w:val="none"/>
                <w:lang w:val="en-US" w:eastAsia="zh-CN" w:bidi="ar-SA"/>
              </w:rPr>
              <w:t>（</w:t>
            </w:r>
            <w:r>
              <w:rPr>
                <w:rFonts w:hint="eastAsia" w:hAnsi="宋体" w:eastAsia="宋体" w:cs="宋体"/>
                <w:snapToGrid w:val="0"/>
                <w:color w:val="auto"/>
                <w:kern w:val="0"/>
                <w:sz w:val="24"/>
                <w:szCs w:val="24"/>
                <w:highlight w:val="none"/>
                <w:lang w:val="en-US" w:eastAsia="zh-CN" w:bidi="ar-SA"/>
              </w:rPr>
              <w:t>6</w:t>
            </w:r>
            <w:r>
              <w:rPr>
                <w:rFonts w:hint="eastAsia" w:ascii="宋体" w:hAnsi="宋体" w:eastAsia="宋体" w:cs="宋体"/>
                <w:snapToGrid w:val="0"/>
                <w:color w:val="auto"/>
                <w:kern w:val="0"/>
                <w:sz w:val="24"/>
                <w:szCs w:val="24"/>
                <w:highlight w:val="none"/>
                <w:lang w:val="en-US" w:eastAsia="zh-CN" w:bidi="ar-SA"/>
              </w:rPr>
              <w:t>分）</w:t>
            </w:r>
          </w:p>
        </w:tc>
        <w:tc>
          <w:tcPr>
            <w:tcW w:w="3063" w:type="dxa"/>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1.投标人202</w:t>
            </w:r>
            <w:r>
              <w:rPr>
                <w:rFonts w:hint="eastAsia" w:hAnsi="宋体" w:eastAsia="宋体" w:cs="宋体"/>
                <w:color w:val="000000" w:themeColor="text1"/>
                <w:kern w:val="2"/>
                <w:sz w:val="24"/>
                <w:szCs w:val="24"/>
                <w:highlight w:val="none"/>
                <w:lang w:val="en-US" w:eastAsia="zh-CN" w:bidi="ar-SA"/>
                <w14:textFill>
                  <w14:solidFill>
                    <w14:schemeClr w14:val="tx1"/>
                  </w14:solidFill>
                </w14:textFill>
              </w:rPr>
              <w:t>4</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年度至2025年度连续</w:t>
            </w:r>
            <w:r>
              <w:rPr>
                <w:rFonts w:hint="eastAsia" w:hAnsi="宋体" w:eastAsia="宋体" w:cs="宋体"/>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年</w:t>
            </w:r>
            <w:r>
              <w:rPr>
                <w:rFonts w:hint="eastAsia" w:hAnsi="宋体" w:eastAsia="宋体" w:cs="宋体"/>
                <w:color w:val="000000" w:themeColor="text1"/>
                <w:kern w:val="2"/>
                <w:sz w:val="24"/>
                <w:szCs w:val="24"/>
                <w:highlight w:val="none"/>
                <w:lang w:val="en-US" w:eastAsia="zh-CN" w:bidi="ar-SA"/>
                <w14:textFill>
                  <w14:solidFill>
                    <w14:schemeClr w14:val="tx1"/>
                  </w14:solidFill>
                </w14:textFill>
              </w:rPr>
              <w:t>或以上</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获得纳税信用A级纳税人的，得</w:t>
            </w:r>
            <w:r>
              <w:rPr>
                <w:rFonts w:hint="eastAsia" w:hAnsi="宋体" w:eastAsia="宋体" w:cs="宋体"/>
                <w:color w:val="000000" w:themeColor="text1"/>
                <w:kern w:val="2"/>
                <w:sz w:val="24"/>
                <w:szCs w:val="24"/>
                <w:highlight w:val="none"/>
                <w:lang w:val="en-US" w:eastAsia="zh-CN" w:bidi="ar-SA"/>
                <w14:textFill>
                  <w14:solidFill>
                    <w14:schemeClr w14:val="tx1"/>
                  </w14:solidFill>
                </w14:textFill>
              </w:rPr>
              <w:t>6</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分</w:t>
            </w:r>
            <w:r>
              <w:rPr>
                <w:rFonts w:hint="eastAsia" w:hAnsi="宋体" w:eastAsia="宋体" w:cs="宋体"/>
                <w:color w:val="000000" w:themeColor="text1"/>
                <w:kern w:val="2"/>
                <w:sz w:val="24"/>
                <w:szCs w:val="24"/>
                <w:highlight w:val="none"/>
                <w:lang w:val="en-US" w:eastAsia="zh-CN" w:bidi="ar-SA"/>
                <w14:textFill>
                  <w14:solidFill>
                    <w14:schemeClr w14:val="tx1"/>
                  </w14:solidFill>
                </w14:textFill>
              </w:rPr>
              <w:t>；</w:t>
            </w:r>
          </w:p>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2.其他情形的，不予计分。</w:t>
            </w:r>
          </w:p>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本项最高得</w:t>
            </w:r>
            <w:r>
              <w:rPr>
                <w:rFonts w:hint="eastAsia" w:hAnsi="宋体" w:eastAsia="宋体" w:cs="宋体"/>
                <w:color w:val="000000" w:themeColor="text1"/>
                <w:kern w:val="2"/>
                <w:sz w:val="24"/>
                <w:szCs w:val="24"/>
                <w:highlight w:val="none"/>
                <w:lang w:val="en-US" w:eastAsia="zh-CN" w:bidi="ar-SA"/>
                <w14:textFill>
                  <w14:solidFill>
                    <w14:schemeClr w14:val="tx1"/>
                  </w14:solidFill>
                </w14:textFill>
              </w:rPr>
              <w:t>6</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分。</w:t>
            </w:r>
          </w:p>
        </w:tc>
        <w:tc>
          <w:tcPr>
            <w:tcW w:w="3951" w:type="dxa"/>
            <w:gridSpan w:val="2"/>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1.需提供企业纳税信用A级纳税人证明材料(或证书)彩色扫描件及国家税务总局(或省级电子税务局)网上查询截图并加盖单位公章，否则不得分。</w:t>
            </w:r>
          </w:p>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2.只计算投标人自身(不计算投标人的分公司、子公司及分支机构)。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1221" w:type="dxa"/>
            <w:noWrap w:val="0"/>
            <w:vAlign w:val="center"/>
          </w:tcPr>
          <w:p>
            <w:pPr>
              <w:keepNext/>
              <w:keepLines w:val="0"/>
              <w:pageBreakBefore w:val="0"/>
              <w:widowControl/>
              <w:kinsoku/>
              <w:wordWrap w:val="0"/>
              <w:overflowPunct/>
              <w:topLinePunct w:val="0"/>
              <w:autoSpaceDE/>
              <w:autoSpaceDN/>
              <w:bidi w:val="0"/>
              <w:adjustRightInd w:val="0"/>
              <w:snapToGrid w:val="0"/>
              <w:spacing w:after="0"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企业安全承诺(</w:t>
            </w:r>
            <w:r>
              <w:rPr>
                <w:rFonts w:hint="eastAsia" w:hAnsi="宋体" w:eastAsia="宋体" w:cs="宋体"/>
                <w:snapToGrid w:val="0"/>
                <w:color w:val="000000" w:themeColor="text1"/>
                <w:kern w:val="0"/>
                <w:sz w:val="24"/>
                <w:szCs w:val="24"/>
                <w:highlight w:val="none"/>
                <w:lang w:val="en-US" w:eastAsia="zh-CN" w:bidi="ar-SA"/>
                <w14:textFill>
                  <w14:solidFill>
                    <w14:schemeClr w14:val="tx1"/>
                  </w14:solidFill>
                </w14:textFill>
              </w:rPr>
              <w:t>5</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3063" w:type="dxa"/>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1.投标人近</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5</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年来(2021年1月1日至今)投标人未发生事故等级为一般事故及以上的生产安全事故、一般质量事故及以上的工程质量事故的，得</w:t>
            </w:r>
            <w:r>
              <w:rPr>
                <w:rFonts w:hint="eastAsia" w:hAnsi="宋体" w:eastAsia="宋体" w:cs="宋体"/>
                <w:b w:val="0"/>
                <w:bCs w:val="0"/>
                <w:color w:val="000000" w:themeColor="text1"/>
                <w:kern w:val="2"/>
                <w:sz w:val="24"/>
                <w:szCs w:val="24"/>
                <w:highlight w:val="none"/>
                <w:lang w:val="en-US" w:eastAsia="zh-CN" w:bidi="ar-SA"/>
                <w14:textFill>
                  <w14:solidFill>
                    <w14:schemeClr w14:val="tx1"/>
                  </w14:solidFill>
                </w14:textFill>
              </w:rPr>
              <w:t>5</w:t>
            </w: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分；</w:t>
            </w:r>
          </w:p>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2.其他情形的，不予计分。</w:t>
            </w:r>
          </w:p>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本项最高得</w:t>
            </w:r>
            <w:r>
              <w:rPr>
                <w:rFonts w:hint="eastAsia" w:hAnsi="宋体" w:eastAsia="宋体" w:cs="宋体"/>
                <w:b w:val="0"/>
                <w:bCs w:val="0"/>
                <w:color w:val="000000" w:themeColor="text1"/>
                <w:kern w:val="2"/>
                <w:sz w:val="24"/>
                <w:szCs w:val="24"/>
                <w:highlight w:val="none"/>
                <w:lang w:val="en-US" w:eastAsia="zh-CN" w:bidi="ar-SA"/>
                <w14:textFill>
                  <w14:solidFill>
                    <w14:schemeClr w14:val="tx1"/>
                  </w14:solidFill>
                </w14:textFill>
              </w:rPr>
              <w:t>5</w:t>
            </w: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分。</w:t>
            </w:r>
          </w:p>
        </w:tc>
        <w:tc>
          <w:tcPr>
            <w:tcW w:w="3951" w:type="dxa"/>
            <w:gridSpan w:val="2"/>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1.需提供本单位承诺书(格式自定)并加盖本单位公章。</w:t>
            </w:r>
          </w:p>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2.未提供本单位承诺书并加盖本单位公章的，按第2项标准处理。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1221" w:type="dxa"/>
            <w:noWrap w:val="0"/>
            <w:vAlign w:val="center"/>
          </w:tcPr>
          <w:p>
            <w:pPr>
              <w:pStyle w:val="8"/>
              <w:keepNext w:val="0"/>
              <w:keepLines w:val="0"/>
              <w:pageBreakBefore w:val="0"/>
              <w:widowControl w:val="0"/>
              <w:kinsoku/>
              <w:wordWrap/>
              <w:overflowPunct/>
              <w:topLinePunct w:val="0"/>
              <w:autoSpaceDE/>
              <w:autoSpaceDN/>
              <w:bidi w:val="0"/>
              <w:adjustRightInd w:val="0"/>
              <w:snapToGrid w:val="0"/>
              <w:spacing w:after="0" w:afterLines="0" w:line="360" w:lineRule="auto"/>
              <w:jc w:val="center"/>
              <w:textAlignment w:val="auto"/>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企业管理</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auto"/>
              <w:jc w:val="center"/>
              <w:textAlignment w:val="auto"/>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体系认证</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auto"/>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lang w:bidi="ar"/>
              </w:rPr>
              <w:t>（</w:t>
            </w:r>
            <w:r>
              <w:rPr>
                <w:rFonts w:hint="eastAsia" w:hAnsi="宋体" w:eastAsia="宋体" w:cs="宋体"/>
                <w:bCs/>
                <w:snapToGrid w:val="0"/>
                <w:color w:val="auto"/>
                <w:kern w:val="0"/>
                <w:sz w:val="24"/>
                <w:szCs w:val="24"/>
                <w:highlight w:val="none"/>
                <w:lang w:val="en-US" w:eastAsia="zh-CN" w:bidi="ar"/>
              </w:rPr>
              <w:t>3</w:t>
            </w:r>
            <w:r>
              <w:rPr>
                <w:rFonts w:hint="eastAsia" w:ascii="宋体" w:hAnsi="宋体" w:eastAsia="宋体" w:cs="宋体"/>
                <w:snapToGrid w:val="0"/>
                <w:color w:val="auto"/>
                <w:kern w:val="0"/>
                <w:sz w:val="24"/>
                <w:szCs w:val="24"/>
                <w:highlight w:val="none"/>
                <w:lang w:bidi="ar"/>
              </w:rPr>
              <w:t>分）</w:t>
            </w:r>
          </w:p>
        </w:tc>
        <w:tc>
          <w:tcPr>
            <w:tcW w:w="3063" w:type="dxa"/>
            <w:noWrap w:val="0"/>
            <w:vAlign w:val="center"/>
          </w:tcPr>
          <w:p>
            <w:pPr>
              <w:pStyle w:val="8"/>
              <w:keepNext w:val="0"/>
              <w:keepLines w:val="0"/>
              <w:pageBreakBefore w:val="0"/>
              <w:widowControl w:val="0"/>
              <w:kinsoku/>
              <w:wordWrap/>
              <w:overflowPunct/>
              <w:topLinePunct w:val="0"/>
              <w:autoSpaceDE/>
              <w:autoSpaceDN/>
              <w:bidi w:val="0"/>
              <w:adjustRightInd w:val="0"/>
              <w:snapToGrid w:val="0"/>
              <w:spacing w:after="0" w:afterLines="0"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1．质量管理体系认证</w:t>
            </w:r>
            <w:r>
              <w:rPr>
                <w:rFonts w:hint="eastAsia" w:ascii="宋体" w:hAnsi="宋体" w:eastAsia="宋体" w:cs="宋体"/>
                <w:snapToGrid w:val="0"/>
                <w:color w:val="auto"/>
                <w:kern w:val="0"/>
                <w:sz w:val="24"/>
                <w:szCs w:val="24"/>
                <w:highlight w:val="none"/>
                <w:lang w:bidi="ar"/>
              </w:rPr>
              <w:t>、</w:t>
            </w:r>
            <w:r>
              <w:rPr>
                <w:rFonts w:hint="eastAsia" w:ascii="宋体" w:hAnsi="宋体" w:eastAsia="宋体" w:cs="宋体"/>
                <w:snapToGrid w:val="0"/>
                <w:color w:val="auto"/>
                <w:kern w:val="0"/>
                <w:sz w:val="24"/>
                <w:szCs w:val="24"/>
                <w:highlight w:val="none"/>
              </w:rPr>
              <w:t>职业健康安全管理体系认证</w:t>
            </w:r>
            <w:r>
              <w:rPr>
                <w:rFonts w:hint="eastAsia" w:ascii="宋体" w:hAnsi="宋体" w:eastAsia="宋体" w:cs="宋体"/>
                <w:snapToGrid w:val="0"/>
                <w:color w:val="auto"/>
                <w:kern w:val="0"/>
                <w:sz w:val="24"/>
                <w:szCs w:val="24"/>
                <w:highlight w:val="none"/>
                <w:lang w:bidi="ar"/>
              </w:rPr>
              <w:t>、</w:t>
            </w:r>
            <w:r>
              <w:rPr>
                <w:rFonts w:hint="eastAsia" w:ascii="宋体" w:hAnsi="宋体" w:eastAsia="宋体" w:cs="宋体"/>
                <w:snapToGrid w:val="0"/>
                <w:color w:val="auto"/>
                <w:kern w:val="0"/>
                <w:sz w:val="24"/>
                <w:szCs w:val="24"/>
                <w:highlight w:val="none"/>
              </w:rPr>
              <w:t>环境管理体系认证</w:t>
            </w:r>
            <w:r>
              <w:rPr>
                <w:rFonts w:hint="eastAsia" w:ascii="宋体" w:hAnsi="宋体" w:eastAsia="宋体" w:cs="宋体"/>
                <w:snapToGrid w:val="0"/>
                <w:color w:val="auto"/>
                <w:kern w:val="0"/>
                <w:sz w:val="24"/>
                <w:szCs w:val="24"/>
                <w:highlight w:val="none"/>
                <w:lang w:bidi="ar"/>
              </w:rPr>
              <w:t>中，每获得1项认证</w:t>
            </w:r>
            <w:r>
              <w:rPr>
                <w:rFonts w:hint="eastAsia" w:ascii="宋体" w:hAnsi="宋体" w:eastAsia="宋体" w:cs="宋体"/>
                <w:snapToGrid w:val="0"/>
                <w:color w:val="auto"/>
                <w:kern w:val="0"/>
                <w:sz w:val="24"/>
                <w:szCs w:val="24"/>
                <w:highlight w:val="none"/>
              </w:rPr>
              <w:t>得</w:t>
            </w:r>
            <w:r>
              <w:rPr>
                <w:rFonts w:hint="eastAsia"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分，最高得</w:t>
            </w:r>
            <w:r>
              <w:rPr>
                <w:rFonts w:hint="eastAsia" w:hAnsi="宋体" w:eastAsia="宋体" w:cs="宋体"/>
                <w:bCs/>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分。</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auto"/>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2．未获得以上认证的，不予计分。</w:t>
            </w:r>
          </w:p>
        </w:tc>
        <w:tc>
          <w:tcPr>
            <w:tcW w:w="3951" w:type="dxa"/>
            <w:gridSpan w:val="2"/>
            <w:noWrap w:val="0"/>
            <w:vAlign w:val="center"/>
          </w:tcPr>
          <w:p>
            <w:pPr>
              <w:pStyle w:val="8"/>
              <w:keepNext w:val="0"/>
              <w:keepLines w:val="0"/>
              <w:pageBreakBefore w:val="0"/>
              <w:widowControl w:val="0"/>
              <w:kinsoku/>
              <w:wordWrap/>
              <w:overflowPunct/>
              <w:topLinePunct w:val="0"/>
              <w:autoSpaceDE/>
              <w:autoSpaceDN/>
              <w:bidi w:val="0"/>
              <w:adjustRightInd w:val="0"/>
              <w:snapToGrid w:val="0"/>
              <w:spacing w:after="0" w:afterLines="0" w:line="360" w:lineRule="auto"/>
              <w:textAlignment w:val="auto"/>
              <w:rPr>
                <w:rFonts w:hint="eastAsia" w:ascii="宋体" w:hAnsi="宋体" w:eastAsia="宋体" w:cs="宋体"/>
                <w:strike/>
                <w:dstrike w:val="0"/>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需附在有效期内的认证证书</w:t>
            </w:r>
            <w:r>
              <w:rPr>
                <w:rFonts w:hint="eastAsia" w:ascii="宋体" w:hAnsi="宋体" w:eastAsia="宋体" w:cs="宋体"/>
                <w:snapToGrid w:val="0"/>
                <w:color w:val="auto"/>
                <w:kern w:val="0"/>
                <w:sz w:val="24"/>
                <w:szCs w:val="24"/>
                <w:highlight w:val="none"/>
                <w:lang w:eastAsia="zh-CN"/>
              </w:rPr>
              <w:t>扫描件</w:t>
            </w:r>
            <w:r>
              <w:rPr>
                <w:rFonts w:hint="eastAsia" w:ascii="宋体" w:hAnsi="宋体" w:eastAsia="宋体" w:cs="宋体"/>
                <w:strike w:val="0"/>
                <w:dstrike w:val="0"/>
                <w:snapToGrid w:val="0"/>
                <w:color w:val="auto"/>
                <w:kern w:val="0"/>
                <w:sz w:val="24"/>
                <w:szCs w:val="24"/>
                <w:highlight w:val="none"/>
                <w:lang w:eastAsia="zh-CN"/>
              </w:rPr>
              <w:t>；</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2．任一认证证书有以下情形之一的，该认证证书视为无效，不予计分：</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auto"/>
              <w:textAlignment w:val="auto"/>
              <w:rPr>
                <w:rFonts w:hint="eastAsia" w:ascii="宋体" w:hAnsi="宋体" w:eastAsia="宋体" w:cs="宋体"/>
                <w:b/>
                <w:bCs/>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①认证证书不在有效期内的。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restart"/>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设计企业（</w:t>
            </w:r>
            <w:r>
              <w:rPr>
                <w:rFonts w:hint="eastAsia" w:hAnsi="宋体" w:eastAsia="宋体" w:cs="宋体"/>
                <w:color w:val="000000" w:themeColor="text1"/>
                <w:sz w:val="24"/>
                <w:szCs w:val="24"/>
                <w:highlight w:val="non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lang w:val="en-US" w:eastAsia="zh-CN"/>
                <w14:textFill>
                  <w14:solidFill>
                    <w14:schemeClr w14:val="tx1"/>
                  </w14:solidFill>
                </w14:textFill>
              </w:rPr>
              <w:t>分）</w:t>
            </w:r>
          </w:p>
        </w:tc>
        <w:tc>
          <w:tcPr>
            <w:tcW w:w="1221" w:type="dxa"/>
            <w:shd w:val="clear" w:color="auto" w:fill="auto"/>
            <w:noWrap w:val="0"/>
            <w:vAlign w:val="center"/>
          </w:tcPr>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企业</w:t>
            </w:r>
            <w:r>
              <w:rPr>
                <w:rFonts w:hint="eastAsia" w:ascii="宋体" w:hAnsi="宋体" w:eastAsia="宋体" w:cs="宋体"/>
                <w:color w:val="auto"/>
                <w:sz w:val="24"/>
                <w:szCs w:val="24"/>
                <w:highlight w:val="none"/>
              </w:rPr>
              <w:t>业绩</w:t>
            </w:r>
          </w:p>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auto"/>
                <w:sz w:val="24"/>
                <w:szCs w:val="24"/>
                <w:highlight w:val="none"/>
              </w:rPr>
              <w:t>（</w:t>
            </w:r>
            <w:r>
              <w:rPr>
                <w:rFonts w:hint="eastAsia"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3063" w:type="dxa"/>
            <w:shd w:val="clear" w:color="auto" w:fill="auto"/>
            <w:noWrap w:val="0"/>
            <w:vAlign w:val="center"/>
          </w:tcPr>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投标人近</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5</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年来</w:t>
            </w:r>
            <w:r>
              <w:rPr>
                <w:rFonts w:hint="eastAsia" w:ascii="宋体" w:hAnsi="宋体" w:eastAsia="宋体" w:cs="宋体"/>
                <w:snapToGrid w:val="0"/>
                <w:color w:val="auto"/>
                <w:kern w:val="0"/>
                <w:sz w:val="24"/>
                <w:szCs w:val="24"/>
                <w:highlight w:val="none"/>
              </w:rPr>
              <w:t>（2021年1月1日至今）</w:t>
            </w:r>
            <w:r>
              <w:rPr>
                <w:rFonts w:hint="eastAsia" w:ascii="宋体" w:hAnsi="宋体" w:eastAsia="宋体" w:cs="宋体"/>
                <w:snapToGrid w:val="0"/>
                <w:color w:val="auto"/>
                <w:kern w:val="0"/>
                <w:sz w:val="24"/>
                <w:szCs w:val="24"/>
                <w:highlight w:val="none"/>
                <w:lang w:val="en-US" w:eastAsia="zh-CN"/>
              </w:rPr>
              <w:t>业绩情况：</w:t>
            </w:r>
          </w:p>
          <w:p>
            <w:pPr>
              <w:keepNext w:val="0"/>
              <w:keepLines w:val="0"/>
              <w:pageBreakBefore w:val="0"/>
              <w:widowControl w:val="0"/>
              <w:numPr>
                <w:ilvl w:val="0"/>
                <w:numId w:val="0"/>
              </w:numPr>
              <w:kinsoku/>
              <w:overflowPunct/>
              <w:topLinePunct w:val="0"/>
              <w:autoSpaceDN/>
              <w:bidi w:val="0"/>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u w:val="none"/>
                <w:lang w:val="en-US" w:eastAsia="zh-CN"/>
              </w:rPr>
              <w:t>1.</w:t>
            </w:r>
            <w:r>
              <w:rPr>
                <w:rFonts w:hint="eastAsia" w:ascii="宋体" w:hAnsi="宋体" w:eastAsia="宋体" w:cs="宋体"/>
                <w:snapToGrid w:val="0"/>
                <w:color w:val="auto"/>
                <w:kern w:val="0"/>
                <w:sz w:val="24"/>
                <w:szCs w:val="24"/>
                <w:highlight w:val="none"/>
                <w:u w:val="single"/>
                <w:lang w:val="en-US" w:eastAsia="zh-CN"/>
              </w:rPr>
              <w:t xml:space="preserve"> </w:t>
            </w:r>
            <w:r>
              <w:rPr>
                <w:rFonts w:hint="eastAsia" w:ascii="宋体" w:hAnsi="宋体" w:eastAsia="宋体" w:cs="宋体"/>
                <w:snapToGrid w:val="0"/>
                <w:color w:val="auto"/>
                <w:kern w:val="0"/>
                <w:sz w:val="24"/>
                <w:szCs w:val="24"/>
                <w:highlight w:val="none"/>
                <w:u w:val="single"/>
              </w:rPr>
              <w:t>承接</w:t>
            </w:r>
            <w:r>
              <w:rPr>
                <w:rFonts w:hint="eastAsia" w:ascii="宋体" w:hAnsi="宋体" w:eastAsia="宋体" w:cs="宋体"/>
                <w:snapToGrid w:val="0"/>
                <w:color w:val="auto"/>
                <w:kern w:val="0"/>
                <w:sz w:val="24"/>
                <w:szCs w:val="24"/>
                <w:highlight w:val="none"/>
                <w:u w:val="single"/>
                <w:lang w:val="en-US" w:eastAsia="zh-CN"/>
              </w:rPr>
              <w:t xml:space="preserve"> </w:t>
            </w:r>
            <w:r>
              <w:rPr>
                <w:rFonts w:hint="eastAsia" w:ascii="宋体" w:hAnsi="宋体" w:eastAsia="宋体" w:cs="宋体"/>
                <w:snapToGrid w:val="0"/>
                <w:color w:val="auto"/>
                <w:kern w:val="0"/>
                <w:sz w:val="24"/>
                <w:szCs w:val="24"/>
                <w:highlight w:val="none"/>
              </w:rPr>
              <w:t>过类似项目设计的，每</w:t>
            </w:r>
            <w:r>
              <w:rPr>
                <w:rFonts w:hint="eastAsia" w:ascii="宋体" w:hAnsi="宋体" w:eastAsia="宋体" w:cs="宋体"/>
                <w:snapToGrid w:val="0"/>
                <w:color w:val="auto"/>
                <w:kern w:val="0"/>
                <w:sz w:val="24"/>
                <w:szCs w:val="24"/>
                <w:highlight w:val="none"/>
                <w:lang w:val="en-US" w:eastAsia="zh-CN"/>
              </w:rPr>
              <w:t>个</w:t>
            </w:r>
            <w:r>
              <w:rPr>
                <w:rFonts w:hint="eastAsia" w:ascii="宋体" w:hAnsi="宋体" w:eastAsia="宋体" w:cs="宋体"/>
                <w:snapToGrid w:val="0"/>
                <w:color w:val="auto"/>
                <w:kern w:val="0"/>
                <w:sz w:val="24"/>
                <w:szCs w:val="24"/>
                <w:highlight w:val="none"/>
              </w:rPr>
              <w:t>得</w:t>
            </w:r>
            <w:r>
              <w:rPr>
                <w:rFonts w:hint="eastAsia" w:hAnsi="宋体" w:eastAsia="宋体" w:cs="宋体"/>
                <w:snapToGrid w:val="0"/>
                <w:color w:val="auto"/>
                <w:kern w:val="0"/>
                <w:sz w:val="24"/>
                <w:szCs w:val="24"/>
                <w:highlight w:val="none"/>
                <w:lang w:val="en-US" w:eastAsia="zh-CN"/>
              </w:rPr>
              <w:t>1.5</w:t>
            </w:r>
            <w:r>
              <w:rPr>
                <w:rFonts w:hint="eastAsia" w:ascii="宋体" w:hAnsi="宋体" w:eastAsia="宋体" w:cs="宋体"/>
                <w:snapToGrid w:val="0"/>
                <w:color w:val="auto"/>
                <w:kern w:val="0"/>
                <w:sz w:val="24"/>
                <w:szCs w:val="24"/>
                <w:highlight w:val="none"/>
              </w:rPr>
              <w:t>分。</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snapToGrid w:val="0"/>
                <w:color w:val="auto"/>
                <w:kern w:val="0"/>
                <w:sz w:val="24"/>
                <w:szCs w:val="24"/>
                <w:highlight w:val="none"/>
                <w:u w:val="single"/>
                <w:lang w:val="en-US" w:eastAsia="zh-CN"/>
              </w:rPr>
              <w:t xml:space="preserve"> </w:t>
            </w:r>
            <w:r>
              <w:rPr>
                <w:rFonts w:hint="eastAsia" w:ascii="宋体" w:hAnsi="宋体" w:eastAsia="宋体" w:cs="宋体"/>
                <w:snapToGrid w:val="0"/>
                <w:color w:val="auto"/>
                <w:kern w:val="0"/>
                <w:sz w:val="24"/>
                <w:szCs w:val="24"/>
                <w:highlight w:val="none"/>
                <w:u w:val="single"/>
              </w:rPr>
              <w:t>未</w:t>
            </w:r>
            <w:r>
              <w:rPr>
                <w:rFonts w:hint="eastAsia" w:ascii="宋体" w:hAnsi="宋体" w:eastAsia="宋体" w:cs="宋体"/>
                <w:snapToGrid w:val="0"/>
                <w:color w:val="auto"/>
                <w:kern w:val="0"/>
                <w:sz w:val="24"/>
                <w:szCs w:val="24"/>
                <w:highlight w:val="none"/>
                <w:u w:val="single"/>
                <w:lang w:val="en-US" w:eastAsia="zh-CN"/>
              </w:rPr>
              <w:t xml:space="preserve">承接 </w:t>
            </w:r>
            <w:r>
              <w:rPr>
                <w:rFonts w:hint="eastAsia" w:ascii="宋体" w:hAnsi="宋体" w:eastAsia="宋体" w:cs="宋体"/>
                <w:snapToGrid w:val="0"/>
                <w:color w:val="auto"/>
                <w:kern w:val="0"/>
                <w:sz w:val="24"/>
                <w:szCs w:val="24"/>
                <w:highlight w:val="none"/>
              </w:rPr>
              <w:t>过类似工程的，不予计分。</w:t>
            </w:r>
          </w:p>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auto"/>
                <w:sz w:val="24"/>
                <w:szCs w:val="24"/>
                <w:highlight w:val="none"/>
              </w:rPr>
              <w:t>本项最高得</w:t>
            </w:r>
            <w:r>
              <w:rPr>
                <w:rFonts w:hint="eastAsia"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3951" w:type="dxa"/>
            <w:gridSpan w:val="2"/>
            <w:shd w:val="clear" w:color="auto" w:fill="auto"/>
            <w:noWrap w:val="0"/>
            <w:vAlign w:val="center"/>
          </w:tcPr>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1.类似项目指：</w:t>
            </w:r>
            <w:r>
              <w:rPr>
                <w:rFonts w:hint="eastAsia" w:ascii="宋体" w:hAnsi="宋体" w:eastAsia="宋体" w:cs="宋体"/>
                <w:snapToGrid w:val="0"/>
                <w:color w:val="auto"/>
                <w:kern w:val="0"/>
                <w:sz w:val="24"/>
                <w:szCs w:val="24"/>
                <w:highlight w:val="none"/>
                <w:u w:val="single"/>
                <w:lang w:val="en-US" w:eastAsia="zh-CN"/>
              </w:rPr>
              <w:t>市政类工程</w:t>
            </w:r>
            <w:r>
              <w:rPr>
                <w:rFonts w:hint="eastAsia" w:ascii="宋体" w:hAnsi="宋体" w:eastAsia="宋体" w:cs="宋体"/>
                <w:snapToGrid w:val="0"/>
                <w:color w:val="auto"/>
                <w:kern w:val="0"/>
                <w:sz w:val="24"/>
                <w:szCs w:val="24"/>
                <w:highlight w:val="none"/>
                <w:u w:val="single"/>
              </w:rPr>
              <w:t>设计项目（含设计</w:t>
            </w:r>
            <w:r>
              <w:rPr>
                <w:rFonts w:hint="eastAsia" w:ascii="宋体" w:hAnsi="宋体" w:eastAsia="宋体" w:cs="宋体"/>
                <w:snapToGrid w:val="0"/>
                <w:color w:val="auto"/>
                <w:kern w:val="0"/>
                <w:sz w:val="24"/>
                <w:szCs w:val="24"/>
                <w:highlight w:val="none"/>
                <w:u w:val="single"/>
                <w:lang w:eastAsia="zh-CN"/>
              </w:rPr>
              <w:t>、</w:t>
            </w:r>
            <w:r>
              <w:rPr>
                <w:rFonts w:hint="eastAsia" w:ascii="宋体" w:hAnsi="宋体" w:eastAsia="宋体" w:cs="宋体"/>
                <w:snapToGrid w:val="0"/>
                <w:color w:val="auto"/>
                <w:kern w:val="0"/>
                <w:sz w:val="24"/>
                <w:szCs w:val="24"/>
                <w:highlight w:val="none"/>
                <w:u w:val="single"/>
              </w:rPr>
              <w:t>勘察设计</w:t>
            </w:r>
            <w:r>
              <w:rPr>
                <w:rFonts w:hint="eastAsia" w:ascii="宋体" w:hAnsi="宋体" w:eastAsia="宋体" w:cs="宋体"/>
                <w:snapToGrid w:val="0"/>
                <w:color w:val="auto"/>
                <w:kern w:val="0"/>
                <w:sz w:val="24"/>
                <w:szCs w:val="24"/>
                <w:highlight w:val="none"/>
                <w:u w:val="single"/>
                <w:lang w:eastAsia="zh-CN"/>
              </w:rPr>
              <w:t>、</w:t>
            </w:r>
            <w:r>
              <w:rPr>
                <w:rFonts w:hint="eastAsia" w:ascii="宋体" w:hAnsi="宋体" w:eastAsia="宋体" w:cs="宋体"/>
                <w:snapToGrid w:val="0"/>
                <w:color w:val="auto"/>
                <w:kern w:val="0"/>
                <w:sz w:val="24"/>
                <w:szCs w:val="24"/>
                <w:highlight w:val="none"/>
                <w:u w:val="single"/>
              </w:rPr>
              <w:t>勘察设计施工总承包项目）</w:t>
            </w:r>
            <w:r>
              <w:rPr>
                <w:rFonts w:hint="eastAsia" w:ascii="宋体" w:hAnsi="宋体" w:eastAsia="宋体" w:cs="宋体"/>
                <w:snapToGrid w:val="0"/>
                <w:color w:val="auto"/>
                <w:kern w:val="0"/>
                <w:sz w:val="24"/>
                <w:szCs w:val="24"/>
                <w:highlight w:val="none"/>
              </w:rPr>
              <w:t>。</w:t>
            </w:r>
          </w:p>
          <w:p>
            <w:pPr>
              <w:keepNext w:val="0"/>
              <w:keepLines w:val="0"/>
              <w:pageBreakBefore w:val="0"/>
              <w:widowControl w:val="0"/>
              <w:numPr>
                <w:ilvl w:val="0"/>
                <w:numId w:val="0"/>
              </w:numPr>
              <w:kinsoku/>
              <w:overflowPunct/>
              <w:topLinePunct w:val="0"/>
              <w:autoSpaceDN/>
              <w:bidi w:val="0"/>
              <w:spacing w:line="4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2.证明材料须提供设计合同关键页彩色扫描件（或彩色打印件）</w:t>
            </w:r>
            <w:r>
              <w:rPr>
                <w:rFonts w:hint="eastAsia" w:ascii="宋体" w:hAnsi="宋体" w:eastAsia="宋体" w:cs="宋体"/>
                <w:snapToGrid w:val="0"/>
                <w:color w:val="auto"/>
                <w:kern w:val="0"/>
                <w:sz w:val="24"/>
                <w:szCs w:val="24"/>
                <w:highlight w:val="none"/>
                <w:lang w:val="en-US" w:eastAsia="zh-CN"/>
              </w:rPr>
              <w:t>并加盖单位公章</w:t>
            </w:r>
            <w:r>
              <w:rPr>
                <w:rFonts w:hint="eastAsia" w:ascii="宋体" w:hAnsi="宋体" w:eastAsia="宋体" w:cs="宋体"/>
                <w:snapToGrid w:val="0"/>
                <w:color w:val="auto"/>
                <w:kern w:val="0"/>
                <w:sz w:val="24"/>
                <w:szCs w:val="24"/>
                <w:highlight w:val="none"/>
              </w:rPr>
              <w:t>。</w:t>
            </w:r>
          </w:p>
          <w:p>
            <w:pPr>
              <w:keepNext w:val="0"/>
              <w:keepLines w:val="0"/>
              <w:pageBreakBefore w:val="0"/>
              <w:widowControl w:val="0"/>
              <w:numPr>
                <w:ilvl w:val="0"/>
                <w:numId w:val="0"/>
              </w:numPr>
              <w:kinsoku/>
              <w:overflowPunct/>
              <w:topLinePunct w:val="0"/>
              <w:autoSpaceDN/>
              <w:bidi w:val="0"/>
              <w:spacing w:line="4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r>
              <w:rPr>
                <w:rFonts w:hint="eastAsia" w:ascii="宋体" w:hAnsi="宋体" w:eastAsia="宋体" w:cs="宋体"/>
                <w:color w:val="auto"/>
                <w:sz w:val="24"/>
                <w:szCs w:val="24"/>
                <w:highlight w:val="none"/>
              </w:rPr>
              <w:t>业绩</w:t>
            </w:r>
            <w:r>
              <w:rPr>
                <w:rFonts w:hint="eastAsia" w:ascii="宋体" w:hAnsi="宋体" w:eastAsia="宋体" w:cs="宋体"/>
                <w:snapToGrid w:val="0"/>
                <w:color w:val="auto"/>
                <w:kern w:val="0"/>
                <w:sz w:val="24"/>
                <w:szCs w:val="24"/>
                <w:highlight w:val="none"/>
              </w:rPr>
              <w:t>时间以合同签订时间为准。</w:t>
            </w:r>
          </w:p>
          <w:p>
            <w:pPr>
              <w:keepNext w:val="0"/>
              <w:keepLines w:val="0"/>
              <w:pageBreakBefore w:val="0"/>
              <w:widowControl w:val="0"/>
              <w:kinsoku/>
              <w:wordWrap w:val="0"/>
              <w:overflowPunct/>
              <w:topLinePunct w:val="0"/>
              <w:autoSpaceDN/>
              <w:bidi w:val="0"/>
              <w:adjustRightInd w:val="0"/>
              <w:snapToGrid w:val="0"/>
              <w:spacing w:line="4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4.任一业绩有以下情形之一的，该业绩视为无效，不予计分：</w:t>
            </w:r>
          </w:p>
          <w:p>
            <w:pPr>
              <w:keepNext w:val="0"/>
              <w:keepLines w:val="0"/>
              <w:pageBreakBefore w:val="0"/>
              <w:widowControl w:val="0"/>
              <w:kinsoku/>
              <w:wordWrap w:val="0"/>
              <w:overflowPunct/>
              <w:topLinePunct w:val="0"/>
              <w:autoSpaceDN/>
              <w:bidi w:val="0"/>
              <w:adjustRightInd w:val="0"/>
              <w:snapToGrid w:val="0"/>
              <w:spacing w:line="4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①业绩不属于</w:t>
            </w:r>
            <w:r>
              <w:rPr>
                <w:rFonts w:hint="eastAsia" w:ascii="宋体" w:hAnsi="宋体" w:eastAsia="宋体" w:cs="宋体"/>
                <w:snapToGrid w:val="0"/>
                <w:color w:val="auto"/>
                <w:kern w:val="0"/>
                <w:sz w:val="24"/>
                <w:szCs w:val="24"/>
                <w:highlight w:val="none"/>
                <w:lang w:val="en-US" w:eastAsia="zh-CN"/>
              </w:rPr>
              <w:t>类似项目</w:t>
            </w:r>
            <w:r>
              <w:rPr>
                <w:rFonts w:hint="eastAsia" w:ascii="宋体" w:hAnsi="宋体" w:eastAsia="宋体" w:cs="宋体"/>
                <w:snapToGrid w:val="0"/>
                <w:color w:val="auto"/>
                <w:kern w:val="0"/>
                <w:sz w:val="24"/>
                <w:szCs w:val="24"/>
                <w:highlight w:val="none"/>
              </w:rPr>
              <w:t>的；</w:t>
            </w:r>
          </w:p>
          <w:p>
            <w:pPr>
              <w:keepNext w:val="0"/>
              <w:keepLines w:val="0"/>
              <w:pageBreakBefore w:val="0"/>
              <w:widowControl w:val="0"/>
              <w:kinsoku/>
              <w:wordWrap w:val="0"/>
              <w:overflowPunct/>
              <w:topLinePunct w:val="0"/>
              <w:autoSpaceDN/>
              <w:bidi w:val="0"/>
              <w:adjustRightInd w:val="0"/>
              <w:snapToGrid w:val="0"/>
              <w:spacing w:line="460" w:lineRule="exac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auto"/>
                <w:kern w:val="0"/>
                <w:sz w:val="24"/>
                <w:szCs w:val="24"/>
                <w:highlight w:val="none"/>
              </w:rPr>
              <w:t>②业绩时间不符合要求的。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shd w:val="clear" w:color="auto" w:fill="auto"/>
            <w:noWrap w:val="0"/>
            <w:vAlign w:val="center"/>
          </w:tcPr>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企业</w:t>
            </w:r>
            <w:r>
              <w:rPr>
                <w:rFonts w:hint="eastAsia" w:ascii="宋体" w:hAnsi="宋体" w:eastAsia="宋体" w:cs="宋体"/>
                <w:color w:val="auto"/>
                <w:sz w:val="24"/>
                <w:szCs w:val="24"/>
                <w:highlight w:val="none"/>
              </w:rPr>
              <w:t>获奖</w:t>
            </w:r>
          </w:p>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情况</w:t>
            </w:r>
          </w:p>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auto"/>
                <w:sz w:val="24"/>
                <w:szCs w:val="24"/>
                <w:highlight w:val="none"/>
              </w:rPr>
              <w:t>（</w:t>
            </w:r>
            <w:r>
              <w:rPr>
                <w:rFonts w:hint="eastAsia"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3063" w:type="dxa"/>
            <w:shd w:val="clear" w:color="auto" w:fill="auto"/>
            <w:noWrap w:val="0"/>
            <w:vAlign w:val="center"/>
          </w:tcPr>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投标人近</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5</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年来（</w:t>
            </w:r>
            <w:r>
              <w:rPr>
                <w:rFonts w:hint="eastAsia" w:ascii="宋体" w:hAnsi="宋体" w:eastAsia="宋体" w:cs="宋体"/>
                <w:snapToGrid w:val="0"/>
                <w:color w:val="auto"/>
                <w:kern w:val="0"/>
                <w:sz w:val="24"/>
                <w:szCs w:val="24"/>
                <w:highlight w:val="none"/>
              </w:rPr>
              <w:t>2021年1月1日至今</w:t>
            </w: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w:t>
            </w:r>
            <w:r>
              <w:rPr>
                <w:rFonts w:hint="eastAsia" w:ascii="宋体" w:hAnsi="宋体" w:eastAsia="宋体" w:cs="宋体"/>
                <w:snapToGrid w:val="0"/>
                <w:color w:val="auto"/>
                <w:kern w:val="0"/>
                <w:sz w:val="24"/>
                <w:szCs w:val="24"/>
                <w:highlight w:val="none"/>
              </w:rPr>
              <w:t>承接过的工程项目业绩获得奖项情况：</w:t>
            </w:r>
          </w:p>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1.获得国家级奖项的，每个得</w:t>
            </w:r>
            <w:r>
              <w:rPr>
                <w:rFonts w:hint="eastAsia" w:hAnsi="宋体" w:eastAsia="宋体" w:cs="宋体"/>
                <w:color w:val="auto"/>
                <w:sz w:val="24"/>
                <w:szCs w:val="24"/>
                <w:highlight w:val="none"/>
                <w:lang w:val="en-US" w:eastAsia="zh-CN"/>
              </w:rPr>
              <w:t>2.5</w:t>
            </w:r>
            <w:r>
              <w:rPr>
                <w:rFonts w:hint="eastAsia" w:ascii="宋体" w:hAnsi="宋体" w:eastAsia="宋体" w:cs="宋体"/>
                <w:color w:val="auto"/>
                <w:sz w:val="24"/>
                <w:szCs w:val="24"/>
                <w:highlight w:val="none"/>
              </w:rPr>
              <w:t>分；</w:t>
            </w:r>
          </w:p>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2.获得省级奖项的，每个得</w:t>
            </w:r>
            <w:r>
              <w:rPr>
                <w:rFonts w:hint="eastAsia"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分；</w:t>
            </w:r>
          </w:p>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3.获得地市级奖项，每个得</w:t>
            </w:r>
            <w:r>
              <w:rPr>
                <w:rFonts w:hint="eastAsia"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rPr>
              <w:t>分；</w:t>
            </w:r>
          </w:p>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4.以上奖项均未获得的，不予计分；</w:t>
            </w:r>
          </w:p>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auto"/>
                <w:sz w:val="24"/>
                <w:szCs w:val="24"/>
                <w:highlight w:val="none"/>
              </w:rPr>
              <w:t>本项最高得</w:t>
            </w:r>
            <w:r>
              <w:rPr>
                <w:rFonts w:hint="eastAsia"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3951" w:type="dxa"/>
            <w:gridSpan w:val="2"/>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1.投标人可以提交多个等级奖项供评审，但同一项目只按最高获奖等级计分，不同项目的国家级、省级、市级奖项可累加计分。</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snapToGrid w:val="0"/>
                <w:color w:val="auto"/>
                <w:kern w:val="0"/>
                <w:sz w:val="24"/>
                <w:szCs w:val="24"/>
                <w:highlight w:val="none"/>
              </w:rPr>
              <w:t>须</w:t>
            </w:r>
            <w:r>
              <w:rPr>
                <w:rFonts w:hint="eastAsia" w:ascii="宋体" w:hAnsi="宋体" w:eastAsia="宋体" w:cs="宋体"/>
                <w:color w:val="auto"/>
                <w:sz w:val="24"/>
                <w:szCs w:val="24"/>
                <w:highlight w:val="none"/>
              </w:rPr>
              <w:t>附有关奖项证明彩色扫描件（或彩色打印件）</w:t>
            </w:r>
            <w:r>
              <w:rPr>
                <w:rFonts w:hint="eastAsia" w:ascii="宋体" w:hAnsi="宋体" w:eastAsia="宋体" w:cs="宋体"/>
                <w:snapToGrid w:val="0"/>
                <w:color w:val="auto"/>
                <w:kern w:val="0"/>
                <w:sz w:val="24"/>
                <w:szCs w:val="24"/>
                <w:highlight w:val="none"/>
                <w:lang w:val="en-US" w:eastAsia="zh-CN"/>
              </w:rPr>
              <w:t>并加盖单位公章</w:t>
            </w:r>
            <w:r>
              <w:rPr>
                <w:rFonts w:hint="eastAsia" w:ascii="宋体" w:hAnsi="宋体" w:eastAsia="宋体" w:cs="宋体"/>
                <w:color w:val="auto"/>
                <w:sz w:val="24"/>
                <w:szCs w:val="24"/>
                <w:highlight w:val="none"/>
              </w:rPr>
              <w:t>。</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3.颁发机构限定以下范围：</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①国家级奖项：国务院、住建部、国家级行业协会（学会）；（相关协会/学会需经民政部门备案）</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②省级奖项：省级人民政府、省级住建部门、省级行业协会（学会）；（相关协会/学会需经民政部门备案）</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③地市级奖项：地市级人民政府、地市级住建部门、地市级行业协会（学会）。（相关协会/学会需经民政部门备案）</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4.获奖时间以奖项证明的落款日期为准。</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auto"/>
                <w:sz w:val="24"/>
                <w:szCs w:val="24"/>
                <w:highlight w:val="none"/>
              </w:rPr>
              <w:t>5.不符合评分标准和备注规定的，不予计分。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shd w:val="clear" w:color="auto" w:fill="auto"/>
            <w:noWrap w:val="0"/>
            <w:vAlign w:val="center"/>
          </w:tcPr>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lang w:val="en-US" w:eastAsia="zh-CN"/>
              </w:rPr>
              <w:t>企业</w:t>
            </w:r>
            <w:r>
              <w:rPr>
                <w:rFonts w:hint="eastAsia" w:ascii="宋体" w:hAnsi="宋体" w:eastAsia="宋体" w:cs="宋体"/>
                <w:snapToGrid w:val="0"/>
                <w:color w:val="auto"/>
                <w:kern w:val="0"/>
                <w:sz w:val="24"/>
                <w:szCs w:val="24"/>
                <w:highlight w:val="none"/>
              </w:rPr>
              <w:t>体系</w:t>
            </w:r>
          </w:p>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认证</w:t>
            </w:r>
          </w:p>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w:t>
            </w:r>
            <w:r>
              <w:rPr>
                <w:rFonts w:hint="eastAsia"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分）</w:t>
            </w:r>
          </w:p>
        </w:tc>
        <w:tc>
          <w:tcPr>
            <w:tcW w:w="3063" w:type="dxa"/>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具有质量管理体系认证证书、职业健康安全管理体系认证证书、环境管理体系认证证书的，且在有效期内的，每项得</w:t>
            </w:r>
            <w:r>
              <w:rPr>
                <w:rFonts w:hint="eastAsia"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分。</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auto"/>
                <w:kern w:val="0"/>
                <w:sz w:val="24"/>
                <w:szCs w:val="24"/>
                <w:highlight w:val="none"/>
              </w:rPr>
              <w:t>本项最高得</w:t>
            </w:r>
            <w:r>
              <w:rPr>
                <w:rFonts w:hint="eastAsia"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分。</w:t>
            </w:r>
          </w:p>
        </w:tc>
        <w:tc>
          <w:tcPr>
            <w:tcW w:w="3951" w:type="dxa"/>
            <w:gridSpan w:val="2"/>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1.须提供相关证书彩色扫描件（或彩色打印件）</w:t>
            </w:r>
            <w:r>
              <w:rPr>
                <w:rFonts w:hint="eastAsia" w:ascii="宋体" w:hAnsi="宋体" w:eastAsia="宋体" w:cs="宋体"/>
                <w:snapToGrid w:val="0"/>
                <w:color w:val="auto"/>
                <w:kern w:val="0"/>
                <w:sz w:val="24"/>
                <w:szCs w:val="24"/>
                <w:highlight w:val="none"/>
                <w:lang w:val="en-US" w:eastAsia="zh-CN"/>
              </w:rPr>
              <w:t>并加盖单位公章</w:t>
            </w:r>
            <w:r>
              <w:rPr>
                <w:rFonts w:hint="eastAsia" w:ascii="宋体" w:hAnsi="宋体" w:eastAsia="宋体" w:cs="宋体"/>
                <w:snapToGrid w:val="0"/>
                <w:color w:val="auto"/>
                <w:kern w:val="0"/>
                <w:sz w:val="24"/>
                <w:szCs w:val="24"/>
                <w:highlight w:val="none"/>
              </w:rPr>
              <w:t>。</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auto"/>
                <w:kern w:val="0"/>
                <w:sz w:val="24"/>
                <w:szCs w:val="24"/>
                <w:highlight w:val="none"/>
              </w:rPr>
              <w:t>2.不符合评分标准和备注规定的，不予计分。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shd w:val="clear" w:color="auto" w:fill="auto"/>
            <w:noWrap w:val="0"/>
            <w:vAlign w:val="center"/>
          </w:tcPr>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auto"/>
                <w:spacing w:val="9"/>
                <w:sz w:val="24"/>
                <w:szCs w:val="24"/>
                <w:highlight w:val="none"/>
                <w:lang w:val="en-US" w:eastAsia="zh-CN"/>
              </w:rPr>
              <w:t>项目负责人（设计负责人）</w:t>
            </w:r>
            <w:r>
              <w:rPr>
                <w:rFonts w:hint="eastAsia" w:ascii="宋体" w:hAnsi="宋体" w:eastAsia="宋体" w:cs="宋体"/>
                <w:color w:val="auto"/>
                <w:sz w:val="24"/>
                <w:szCs w:val="24"/>
                <w:highlight w:val="none"/>
                <w:lang w:val="en-US" w:eastAsia="zh-CN"/>
              </w:rPr>
              <w:t>综合素质</w:t>
            </w:r>
            <w:r>
              <w:rPr>
                <w:rFonts w:hint="eastAsia" w:ascii="宋体" w:hAnsi="宋体" w:eastAsia="宋体" w:cs="宋体"/>
                <w:color w:val="auto"/>
                <w:sz w:val="24"/>
                <w:szCs w:val="24"/>
                <w:highlight w:val="none"/>
              </w:rPr>
              <w:t>（</w:t>
            </w:r>
            <w:r>
              <w:rPr>
                <w:rFonts w:hint="eastAsia"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c>
          <w:tcPr>
            <w:tcW w:w="3063" w:type="dxa"/>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auto"/>
                <w:kern w:val="0"/>
                <w:sz w:val="24"/>
                <w:szCs w:val="24"/>
                <w:highlight w:val="none"/>
              </w:rPr>
              <w:t>拟委派担任本项目的项目负责人（设计负责人）具</w:t>
            </w:r>
            <w:r>
              <w:rPr>
                <w:rFonts w:hint="eastAsia" w:ascii="宋体" w:hAnsi="宋体" w:eastAsia="宋体" w:cs="宋体"/>
                <w:snapToGrid w:val="0"/>
                <w:color w:val="auto"/>
                <w:kern w:val="0"/>
                <w:sz w:val="24"/>
                <w:szCs w:val="24"/>
                <w:highlight w:val="none"/>
                <w:lang w:val="en-US" w:eastAsia="zh-CN"/>
              </w:rPr>
              <w:t>有</w:t>
            </w:r>
            <w:r>
              <w:rPr>
                <w:rFonts w:hint="eastAsia" w:ascii="宋体" w:hAnsi="宋体" w:eastAsia="宋体" w:cs="宋体"/>
                <w:color w:val="auto"/>
                <w:sz w:val="24"/>
                <w:szCs w:val="24"/>
                <w:highlight w:val="none"/>
                <w:lang w:val="en-US" w:eastAsia="zh-CN"/>
              </w:rPr>
              <w:t>工程类相关专业工程师或以上职称的</w:t>
            </w:r>
            <w:r>
              <w:rPr>
                <w:rFonts w:hint="eastAsia" w:ascii="宋体" w:hAnsi="宋体" w:eastAsia="宋体" w:cs="宋体"/>
                <w:snapToGrid w:val="0"/>
                <w:color w:val="auto"/>
                <w:kern w:val="0"/>
                <w:sz w:val="24"/>
                <w:szCs w:val="24"/>
                <w:highlight w:val="none"/>
                <w:lang w:val="en-US" w:eastAsia="zh-CN"/>
              </w:rPr>
              <w:t>，得</w:t>
            </w:r>
            <w:r>
              <w:rPr>
                <w:rFonts w:hint="eastAsia"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lang w:val="en-US" w:eastAsia="zh-CN"/>
              </w:rPr>
              <w:t>分，本项最高得</w:t>
            </w:r>
            <w:r>
              <w:rPr>
                <w:rFonts w:hint="eastAsia"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lang w:val="en-US" w:eastAsia="zh-CN"/>
              </w:rPr>
              <w:t>分。</w:t>
            </w:r>
          </w:p>
        </w:tc>
        <w:tc>
          <w:tcPr>
            <w:tcW w:w="3951" w:type="dxa"/>
            <w:gridSpan w:val="2"/>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须</w:t>
            </w:r>
            <w:r>
              <w:rPr>
                <w:rFonts w:hint="eastAsia" w:ascii="宋体" w:hAnsi="宋体" w:eastAsia="宋体" w:cs="宋体"/>
                <w:snapToGrid w:val="0"/>
                <w:color w:val="auto"/>
                <w:kern w:val="0"/>
                <w:sz w:val="24"/>
                <w:szCs w:val="24"/>
                <w:highlight w:val="none"/>
              </w:rPr>
              <w:t>提供相关证书彩色扫描件（或彩色打印件）</w:t>
            </w:r>
            <w:r>
              <w:rPr>
                <w:rFonts w:hint="eastAsia" w:ascii="宋体" w:hAnsi="宋体" w:eastAsia="宋体" w:cs="宋体"/>
                <w:snapToGrid w:val="0"/>
                <w:color w:val="auto"/>
                <w:kern w:val="0"/>
                <w:sz w:val="24"/>
                <w:szCs w:val="24"/>
                <w:highlight w:val="none"/>
                <w:lang w:val="en-US" w:eastAsia="zh-CN"/>
              </w:rPr>
              <w:t>并加盖单位公章</w:t>
            </w:r>
            <w:r>
              <w:rPr>
                <w:rFonts w:hint="eastAsia" w:ascii="宋体" w:hAnsi="宋体" w:eastAsia="宋体" w:cs="宋体"/>
                <w:snapToGrid w:val="0"/>
                <w:color w:val="auto"/>
                <w:kern w:val="0"/>
                <w:sz w:val="24"/>
                <w:szCs w:val="24"/>
                <w:highlight w:val="none"/>
              </w:rPr>
              <w:t>。</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lang w:val="en-US" w:eastAsia="zh-CN"/>
              </w:rPr>
              <w:t>.须提供拟派人员</w:t>
            </w:r>
            <w:r>
              <w:rPr>
                <w:rFonts w:hint="eastAsia" w:hAnsi="宋体" w:eastAsia="宋体" w:cs="宋体"/>
                <w:snapToGrid w:val="0"/>
                <w:color w:val="auto"/>
                <w:kern w:val="0"/>
                <w:sz w:val="24"/>
                <w:szCs w:val="24"/>
                <w:highlight w:val="none"/>
                <w:lang w:val="en-US" w:eastAsia="zh-CN"/>
              </w:rPr>
              <w:t>近一个月</w:t>
            </w:r>
            <w:r>
              <w:rPr>
                <w:rFonts w:hint="eastAsia" w:ascii="宋体" w:hAnsi="宋体" w:eastAsia="宋体" w:cs="宋体"/>
                <w:snapToGrid w:val="0"/>
                <w:color w:val="auto"/>
                <w:kern w:val="0"/>
                <w:sz w:val="24"/>
                <w:szCs w:val="24"/>
                <w:highlight w:val="none"/>
                <w:lang w:val="en-US" w:eastAsia="zh-CN"/>
              </w:rPr>
              <w:t>（其中必须有2026年08月）社保证明彩色扫描件</w:t>
            </w:r>
            <w:r>
              <w:rPr>
                <w:rFonts w:hint="eastAsia" w:ascii="宋体" w:hAnsi="宋体" w:eastAsia="宋体" w:cs="宋体"/>
                <w:snapToGrid w:val="0"/>
                <w:color w:val="auto"/>
                <w:kern w:val="0"/>
                <w:sz w:val="24"/>
                <w:szCs w:val="24"/>
                <w:highlight w:val="none"/>
              </w:rPr>
              <w:t>（或彩色打印件）</w:t>
            </w:r>
            <w:r>
              <w:rPr>
                <w:rFonts w:hint="eastAsia" w:ascii="宋体" w:hAnsi="宋体" w:eastAsia="宋体" w:cs="宋体"/>
                <w:snapToGrid w:val="0"/>
                <w:color w:val="auto"/>
                <w:kern w:val="0"/>
                <w:sz w:val="24"/>
                <w:szCs w:val="24"/>
                <w:highlight w:val="none"/>
                <w:lang w:val="en-US" w:eastAsia="zh-CN"/>
              </w:rPr>
              <w:t>并加盖单位公章，拟派人员为退休返聘人员无法提供社保证明的，须提供退休证和劳动合同彩色扫描件</w:t>
            </w:r>
            <w:r>
              <w:rPr>
                <w:rFonts w:hint="eastAsia" w:ascii="宋体" w:hAnsi="宋体" w:eastAsia="宋体" w:cs="宋体"/>
                <w:snapToGrid w:val="0"/>
                <w:color w:val="auto"/>
                <w:kern w:val="0"/>
                <w:sz w:val="24"/>
                <w:szCs w:val="24"/>
                <w:highlight w:val="none"/>
              </w:rPr>
              <w:t>（或彩色打印件）</w:t>
            </w:r>
            <w:r>
              <w:rPr>
                <w:rFonts w:hint="eastAsia" w:ascii="宋体" w:hAnsi="宋体" w:eastAsia="宋体" w:cs="宋体"/>
                <w:snapToGrid w:val="0"/>
                <w:color w:val="auto"/>
                <w:kern w:val="0"/>
                <w:sz w:val="24"/>
                <w:szCs w:val="24"/>
                <w:highlight w:val="none"/>
                <w:lang w:val="en-US" w:eastAsia="zh-CN"/>
              </w:rPr>
              <w:t>并加盖单位公章，</w:t>
            </w:r>
            <w:r>
              <w:rPr>
                <w:rFonts w:hint="eastAsia" w:ascii="宋体" w:hAnsi="宋体" w:eastAsia="宋体" w:cs="宋体"/>
                <w:snapToGrid w:val="0"/>
                <w:color w:val="auto"/>
                <w:kern w:val="0"/>
                <w:sz w:val="24"/>
                <w:szCs w:val="24"/>
                <w:highlight w:val="none"/>
              </w:rPr>
              <w:t>否则不得分。</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不符合评分标准和备注规定的，不予计分。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shd w:val="clear" w:color="auto" w:fill="auto"/>
            <w:noWrap w:val="0"/>
            <w:vAlign w:val="center"/>
          </w:tcPr>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项目团队成员资历</w:t>
            </w:r>
          </w:p>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auto"/>
                <w:sz w:val="24"/>
                <w:szCs w:val="24"/>
                <w:highlight w:val="none"/>
              </w:rPr>
              <w:t>（</w:t>
            </w:r>
            <w:r>
              <w:rPr>
                <w:rFonts w:hint="eastAsia"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tc>
        <w:tc>
          <w:tcPr>
            <w:tcW w:w="3063" w:type="dxa"/>
            <w:shd w:val="clear" w:color="auto" w:fill="auto"/>
            <w:noWrap w:val="0"/>
            <w:vAlign w:val="center"/>
          </w:tcPr>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投标人拟委派其他主要人员配备情况（除设计负责人外）：</w:t>
            </w:r>
          </w:p>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1.拟派相关专业 (道路) 负责人：</w:t>
            </w:r>
            <w:r>
              <w:rPr>
                <w:rFonts w:hint="eastAsia" w:ascii="宋体" w:hAnsi="宋体" w:eastAsia="宋体" w:cs="宋体"/>
                <w:color w:val="auto"/>
                <w:sz w:val="24"/>
                <w:szCs w:val="24"/>
                <w:highlight w:val="none"/>
                <w:lang w:val="en-US" w:eastAsia="zh-CN"/>
              </w:rPr>
              <w:t>（1）具有注册土木工程师（道路工程）注册证书的，得</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（2）具有注册土木工程师（岩土）注册证书的，得</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（3）具有道路类相关专业高级工程师或以上职称的，得</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本项最高得</w:t>
            </w:r>
            <w:r>
              <w:rPr>
                <w:rFonts w:hint="eastAsia"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w:t>
            </w:r>
          </w:p>
          <w:p>
            <w:pPr>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2.拟派相关专业（造价）负责人：</w:t>
            </w:r>
          </w:p>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（1）具有一级造价工程师注册证书的，得</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（2）①同时具有注册城乡规划师注册证书、咨询工程师（投资）证书、一级注册建造师注册证书、注册监理工程师证书的，得</w:t>
            </w:r>
            <w:r>
              <w:rPr>
                <w:rFonts w:hint="eastAsia"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分；②具有注册城乡规划师注册证书、咨询工程师（投资）证书、一级注册建造师注册证书、注册监理工程师证书任意一项证书的，每项得0.</w:t>
            </w:r>
            <w:r>
              <w:rPr>
                <w:rFonts w:hint="eastAsia"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分；本小项最高得</w:t>
            </w:r>
            <w:r>
              <w:rPr>
                <w:rFonts w:hint="eastAsia"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w:t>
            </w:r>
          </w:p>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（3）具有建筑类相关专业高级工程师或以上职称的，得</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分；具有建筑类相关专业工程师职称的，得</w:t>
            </w:r>
            <w:r>
              <w:rPr>
                <w:rFonts w:hint="eastAsia"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lang w:val="en-US" w:eastAsia="zh-CN"/>
              </w:rPr>
              <w:t>分；本小项最高得</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本项最高得</w:t>
            </w:r>
            <w:r>
              <w:rPr>
                <w:rFonts w:hint="eastAsia"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分。</w:t>
            </w:r>
          </w:p>
          <w:p>
            <w:pPr>
              <w:jc w:val="left"/>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auto"/>
                <w:sz w:val="24"/>
                <w:szCs w:val="24"/>
                <w:highlight w:val="none"/>
                <w:lang w:val="en-US" w:eastAsia="zh-CN"/>
              </w:rPr>
              <w:t>合计</w:t>
            </w:r>
            <w:r>
              <w:rPr>
                <w:rFonts w:hint="eastAsia" w:ascii="宋体" w:hAnsi="宋体" w:eastAsia="宋体" w:cs="宋体"/>
                <w:color w:val="auto"/>
                <w:sz w:val="24"/>
                <w:szCs w:val="24"/>
                <w:highlight w:val="none"/>
              </w:rPr>
              <w:t>最高得</w:t>
            </w:r>
            <w:r>
              <w:rPr>
                <w:rFonts w:hint="eastAsia"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tc>
        <w:tc>
          <w:tcPr>
            <w:tcW w:w="3951" w:type="dxa"/>
            <w:gridSpan w:val="2"/>
            <w:shd w:val="clear" w:color="auto" w:fill="auto"/>
            <w:noWrap w:val="0"/>
            <w:vAlign w:val="center"/>
          </w:tcPr>
          <w:p>
            <w:pPr>
              <w:keepNext w:val="0"/>
              <w:keepLines w:val="0"/>
              <w:pageBreakBefore w:val="0"/>
              <w:widowControl w:val="0"/>
              <w:kinsoku/>
              <w:overflowPunct/>
              <w:topLinePunct w:val="0"/>
              <w:autoSpaceDN/>
              <w:bidi w:val="0"/>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须</w:t>
            </w:r>
            <w:r>
              <w:rPr>
                <w:rFonts w:hint="eastAsia" w:ascii="宋体" w:hAnsi="宋体" w:eastAsia="宋体" w:cs="宋体"/>
                <w:color w:val="auto"/>
                <w:sz w:val="24"/>
                <w:szCs w:val="24"/>
                <w:highlight w:val="none"/>
              </w:rPr>
              <w:t>提供相关证书彩色扫描件</w:t>
            </w:r>
            <w:r>
              <w:rPr>
                <w:rFonts w:hint="eastAsia" w:ascii="宋体" w:hAnsi="宋体" w:eastAsia="宋体" w:cs="宋体"/>
                <w:snapToGrid w:val="0"/>
                <w:color w:val="auto"/>
                <w:kern w:val="0"/>
                <w:sz w:val="24"/>
                <w:szCs w:val="24"/>
                <w:highlight w:val="none"/>
              </w:rPr>
              <w:t>（或彩色打印件）</w:t>
            </w:r>
            <w:r>
              <w:rPr>
                <w:rFonts w:hint="eastAsia" w:ascii="宋体" w:hAnsi="宋体" w:eastAsia="宋体" w:cs="宋体"/>
                <w:snapToGrid w:val="0"/>
                <w:color w:val="auto"/>
                <w:kern w:val="0"/>
                <w:sz w:val="24"/>
                <w:szCs w:val="24"/>
                <w:highlight w:val="none"/>
                <w:lang w:val="en-US" w:eastAsia="zh-CN"/>
              </w:rPr>
              <w:t>并加盖单位公章</w:t>
            </w:r>
            <w:r>
              <w:rPr>
                <w:rFonts w:hint="eastAsia" w:ascii="宋体" w:hAnsi="宋体" w:eastAsia="宋体" w:cs="宋体"/>
                <w:color w:val="auto"/>
                <w:sz w:val="24"/>
                <w:szCs w:val="24"/>
                <w:highlight w:val="none"/>
              </w:rPr>
              <w:t>，</w:t>
            </w:r>
            <w:r>
              <w:rPr>
                <w:rFonts w:hint="eastAsia" w:ascii="宋体" w:hAnsi="宋体" w:eastAsia="宋体" w:cs="宋体"/>
                <w:b w:val="0"/>
                <w:bCs w:val="0"/>
                <w:color w:val="auto"/>
                <w:sz w:val="24"/>
                <w:szCs w:val="24"/>
                <w:highlight w:val="none"/>
                <w:lang w:val="en-US" w:eastAsia="zh-CN"/>
              </w:rPr>
              <w:t>以上人员不能重复，</w:t>
            </w:r>
            <w:r>
              <w:rPr>
                <w:rFonts w:hint="eastAsia" w:ascii="宋体" w:hAnsi="宋体" w:eastAsia="宋体" w:cs="宋体"/>
                <w:color w:val="auto"/>
                <w:sz w:val="24"/>
                <w:szCs w:val="24"/>
                <w:highlight w:val="none"/>
              </w:rPr>
              <w:t>否则不得分。</w:t>
            </w:r>
          </w:p>
          <w:p>
            <w:pPr>
              <w:pStyle w:val="19"/>
              <w:keepNext w:val="0"/>
              <w:keepLines w:val="0"/>
              <w:pageBreakBefore w:val="0"/>
              <w:widowControl w:val="0"/>
              <w:numPr>
                <w:ilvl w:val="0"/>
                <w:numId w:val="0"/>
              </w:numPr>
              <w:kinsoku/>
              <w:overflowPunct/>
              <w:topLinePunct w:val="0"/>
              <w:autoSpaceDE/>
              <w:autoSpaceDN/>
              <w:bidi w:val="0"/>
              <w:spacing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须</w:t>
            </w:r>
            <w:r>
              <w:rPr>
                <w:rFonts w:hint="eastAsia" w:ascii="宋体" w:hAnsi="宋体" w:eastAsia="宋体" w:cs="宋体"/>
                <w:color w:val="auto"/>
                <w:sz w:val="24"/>
                <w:szCs w:val="24"/>
                <w:highlight w:val="none"/>
              </w:rPr>
              <w:t>提供拟派人员</w:t>
            </w:r>
            <w:r>
              <w:rPr>
                <w:rFonts w:hint="eastAsia" w:hAnsi="宋体" w:eastAsia="宋体" w:cs="宋体"/>
                <w:color w:val="auto"/>
                <w:sz w:val="24"/>
                <w:szCs w:val="24"/>
                <w:highlight w:val="none"/>
                <w:lang w:eastAsia="zh-CN"/>
              </w:rPr>
              <w:t>近一个月</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其中</w:t>
            </w:r>
            <w:r>
              <w:rPr>
                <w:rFonts w:hint="eastAsia" w:ascii="宋体" w:hAnsi="宋体" w:eastAsia="宋体" w:cs="宋体"/>
                <w:color w:val="auto"/>
                <w:sz w:val="24"/>
                <w:szCs w:val="24"/>
                <w:highlight w:val="none"/>
              </w:rPr>
              <w:t>必须有202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08</w:t>
            </w:r>
            <w:r>
              <w:rPr>
                <w:rFonts w:hint="eastAsia" w:ascii="宋体" w:hAnsi="宋体" w:eastAsia="宋体" w:cs="宋体"/>
                <w:color w:val="auto"/>
                <w:sz w:val="24"/>
                <w:szCs w:val="24"/>
                <w:highlight w:val="none"/>
              </w:rPr>
              <w:t>月）社保证明彩色扫描件</w:t>
            </w:r>
            <w:r>
              <w:rPr>
                <w:rFonts w:hint="eastAsia" w:ascii="宋体" w:hAnsi="宋体" w:eastAsia="宋体" w:cs="宋体"/>
                <w:snapToGrid w:val="0"/>
                <w:color w:val="auto"/>
                <w:kern w:val="0"/>
                <w:sz w:val="24"/>
                <w:szCs w:val="24"/>
                <w:highlight w:val="none"/>
              </w:rPr>
              <w:t>（或彩色打印件）</w:t>
            </w:r>
            <w:r>
              <w:rPr>
                <w:rFonts w:hint="eastAsia" w:ascii="宋体" w:hAnsi="宋体" w:eastAsia="宋体" w:cs="宋体"/>
                <w:color w:val="auto"/>
                <w:sz w:val="24"/>
                <w:szCs w:val="24"/>
                <w:highlight w:val="none"/>
                <w:lang w:val="en-US" w:eastAsia="zh-CN"/>
              </w:rPr>
              <w:t>并加盖单位公章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拟派人员为退</w:t>
            </w:r>
            <w:r>
              <w:rPr>
                <w:rFonts w:hint="eastAsia" w:ascii="宋体" w:hAnsi="宋体" w:eastAsia="宋体" w:cs="宋体"/>
                <w:b w:val="0"/>
                <w:bCs w:val="0"/>
                <w:color w:val="auto"/>
                <w:sz w:val="24"/>
                <w:szCs w:val="24"/>
                <w:highlight w:val="none"/>
                <w:lang w:val="en-US" w:eastAsia="zh-CN"/>
              </w:rPr>
              <w:t>休返聘人员无法提供社保证明的，须提供退休证和劳动合同（返聘协议）彩色扫描件</w:t>
            </w:r>
            <w:r>
              <w:rPr>
                <w:rFonts w:hint="eastAsia" w:ascii="宋体" w:hAnsi="宋体" w:eastAsia="宋体" w:cs="宋体"/>
                <w:snapToGrid w:val="0"/>
                <w:color w:val="auto"/>
                <w:kern w:val="0"/>
                <w:sz w:val="24"/>
                <w:szCs w:val="24"/>
                <w:highlight w:val="none"/>
              </w:rPr>
              <w:t>（或彩色打印件）</w:t>
            </w:r>
            <w:r>
              <w:rPr>
                <w:rFonts w:hint="eastAsia" w:ascii="宋体" w:hAnsi="宋体" w:eastAsia="宋体" w:cs="宋体"/>
                <w:b w:val="0"/>
                <w:bCs w:val="0"/>
                <w:color w:val="auto"/>
                <w:sz w:val="24"/>
                <w:szCs w:val="24"/>
                <w:highlight w:val="none"/>
                <w:lang w:val="en-US" w:eastAsia="zh-CN"/>
              </w:rPr>
              <w:t>并加盖单位公章，</w:t>
            </w:r>
            <w:r>
              <w:rPr>
                <w:rFonts w:hint="eastAsia" w:ascii="宋体" w:hAnsi="宋体" w:eastAsia="宋体" w:cs="宋体"/>
                <w:color w:val="auto"/>
                <w:sz w:val="24"/>
                <w:szCs w:val="24"/>
                <w:highlight w:val="none"/>
              </w:rPr>
              <w:t>否则不得分。</w:t>
            </w:r>
          </w:p>
          <w:p>
            <w:pPr>
              <w:pStyle w:val="19"/>
              <w:keepNext w:val="0"/>
              <w:keepLines w:val="0"/>
              <w:pageBreakBefore w:val="0"/>
              <w:widowControl w:val="0"/>
              <w:numPr>
                <w:ilvl w:val="0"/>
                <w:numId w:val="0"/>
              </w:numPr>
              <w:kinsoku/>
              <w:overflowPunct/>
              <w:topLinePunct w:val="0"/>
              <w:autoSpaceDE/>
              <w:autoSpaceDN/>
              <w:bidi w:val="0"/>
              <w:spacing w:line="42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不符合评分标准和备注规定的，不予计分。</w:t>
            </w:r>
          </w:p>
          <w:p>
            <w:pPr>
              <w:keepNext w:val="0"/>
              <w:keepLines w:val="0"/>
              <w:pageBreakBefore w:val="0"/>
              <w:widowControl w:val="0"/>
              <w:kinsoku/>
              <w:overflowPunct/>
              <w:topLinePunct w:val="0"/>
              <w:autoSpaceDN/>
              <w:bidi w:val="0"/>
              <w:spacing w:line="460" w:lineRule="exact"/>
              <w:jc w:val="both"/>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vMerge w:val="restart"/>
            <w:shd w:val="clear" w:color="auto" w:fill="auto"/>
            <w:noWrap w:val="0"/>
            <w:vAlign w:val="center"/>
          </w:tcPr>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企业荣誉</w:t>
            </w:r>
          </w:p>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分）</w:t>
            </w:r>
          </w:p>
        </w:tc>
        <w:tc>
          <w:tcPr>
            <w:tcW w:w="3063" w:type="dxa"/>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企业获得省级或以上相关行业协会颁发的</w:t>
            </w:r>
            <w:r>
              <w:rPr>
                <w:rFonts w:hint="eastAsia" w:ascii="宋体" w:hAnsi="宋体" w:eastAsia="宋体" w:cs="宋体"/>
                <w:snapToGrid w:val="0"/>
                <w:color w:val="auto"/>
                <w:kern w:val="0"/>
                <w:sz w:val="24"/>
                <w:szCs w:val="24"/>
                <w:highlight w:val="none"/>
                <w:lang w:val="en-US" w:eastAsia="zh-CN"/>
              </w:rPr>
              <w:t>“优秀企业”</w:t>
            </w:r>
            <w:r>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t>称号</w:t>
            </w:r>
            <w:r>
              <w:rPr>
                <w:rFonts w:hint="eastAsia" w:ascii="宋体" w:hAnsi="宋体" w:eastAsia="宋体" w:cs="宋体"/>
                <w:snapToGrid w:val="0"/>
                <w:color w:val="auto"/>
                <w:kern w:val="0"/>
                <w:sz w:val="24"/>
                <w:szCs w:val="24"/>
                <w:highlight w:val="none"/>
              </w:rPr>
              <w:t>的，得</w:t>
            </w:r>
            <w:r>
              <w:rPr>
                <w:rFonts w:hint="eastAsia" w:hAnsi="宋体" w:eastAsia="宋体" w:cs="宋体"/>
                <w:snapToGrid w:val="0"/>
                <w:color w:val="auto"/>
                <w:kern w:val="0"/>
                <w:sz w:val="24"/>
                <w:szCs w:val="24"/>
                <w:highlight w:val="none"/>
                <w:lang w:val="en-US" w:eastAsia="zh-CN"/>
              </w:rPr>
              <w:t>2.5</w:t>
            </w:r>
            <w:r>
              <w:rPr>
                <w:rFonts w:hint="eastAsia" w:ascii="宋体" w:hAnsi="宋体" w:eastAsia="宋体" w:cs="宋体"/>
                <w:snapToGrid w:val="0"/>
                <w:color w:val="auto"/>
                <w:kern w:val="0"/>
                <w:sz w:val="24"/>
                <w:szCs w:val="24"/>
                <w:highlight w:val="none"/>
              </w:rPr>
              <w:t>分</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本项最高得</w:t>
            </w:r>
            <w:r>
              <w:rPr>
                <w:rFonts w:hint="eastAsia" w:hAnsi="宋体" w:eastAsia="宋体" w:cs="宋体"/>
                <w:snapToGrid w:val="0"/>
                <w:color w:val="auto"/>
                <w:kern w:val="0"/>
                <w:sz w:val="24"/>
                <w:szCs w:val="24"/>
                <w:highlight w:val="none"/>
                <w:lang w:val="en-US" w:eastAsia="zh-CN"/>
              </w:rPr>
              <w:t>2.5</w:t>
            </w:r>
            <w:r>
              <w:rPr>
                <w:rFonts w:hint="eastAsia" w:ascii="宋体" w:hAnsi="宋体" w:eastAsia="宋体" w:cs="宋体"/>
                <w:snapToGrid w:val="0"/>
                <w:color w:val="auto"/>
                <w:kern w:val="0"/>
                <w:sz w:val="24"/>
                <w:szCs w:val="24"/>
                <w:highlight w:val="none"/>
              </w:rPr>
              <w:t>分。</w:t>
            </w:r>
          </w:p>
        </w:tc>
        <w:tc>
          <w:tcPr>
            <w:tcW w:w="3951" w:type="dxa"/>
            <w:gridSpan w:val="2"/>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.证书称号须</w:t>
            </w:r>
            <w:r>
              <w:rPr>
                <w:rFonts w:hint="eastAsia" w:ascii="宋体" w:hAnsi="宋体" w:eastAsia="宋体" w:cs="宋体"/>
                <w:snapToGrid w:val="0"/>
                <w:color w:val="auto"/>
                <w:kern w:val="0"/>
                <w:sz w:val="24"/>
                <w:szCs w:val="24"/>
                <w:highlight w:val="none"/>
              </w:rPr>
              <w:t>由省级或以上行业协会颁发，须提供有关</w:t>
            </w:r>
            <w:r>
              <w:rPr>
                <w:rFonts w:hint="eastAsia" w:ascii="宋体" w:hAnsi="宋体" w:eastAsia="宋体" w:cs="宋体"/>
                <w:snapToGrid w:val="0"/>
                <w:color w:val="auto"/>
                <w:kern w:val="0"/>
                <w:sz w:val="24"/>
                <w:szCs w:val="24"/>
                <w:highlight w:val="none"/>
                <w:lang w:val="en-US" w:eastAsia="zh-CN"/>
              </w:rPr>
              <w:t>证明</w:t>
            </w:r>
            <w:r>
              <w:rPr>
                <w:rFonts w:hint="eastAsia" w:ascii="宋体" w:hAnsi="宋体" w:eastAsia="宋体" w:cs="宋体"/>
                <w:snapToGrid w:val="0"/>
                <w:color w:val="auto"/>
                <w:kern w:val="0"/>
                <w:sz w:val="24"/>
                <w:szCs w:val="24"/>
                <w:highlight w:val="none"/>
              </w:rPr>
              <w:t>彩色扫描件（或彩色打印件）</w:t>
            </w:r>
            <w:r>
              <w:rPr>
                <w:rFonts w:hint="eastAsia" w:ascii="宋体" w:hAnsi="宋体" w:eastAsia="宋体" w:cs="宋体"/>
                <w:snapToGrid w:val="0"/>
                <w:color w:val="auto"/>
                <w:kern w:val="0"/>
                <w:sz w:val="24"/>
                <w:szCs w:val="24"/>
                <w:highlight w:val="none"/>
                <w:lang w:val="en-US" w:eastAsia="zh-CN"/>
              </w:rPr>
              <w:t>并加盖单位公章</w:t>
            </w:r>
            <w:r>
              <w:rPr>
                <w:rFonts w:hint="eastAsia" w:ascii="宋体" w:hAnsi="宋体" w:eastAsia="宋体" w:cs="宋体"/>
                <w:snapToGrid w:val="0"/>
                <w:color w:val="auto"/>
                <w:kern w:val="0"/>
                <w:sz w:val="24"/>
                <w:szCs w:val="24"/>
                <w:highlight w:val="none"/>
              </w:rPr>
              <w:t>。</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颁发机构不符合要求的，不予得分。</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3</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行业协会需经民政部门备案。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vMerge w:val="continue"/>
            <w:shd w:val="clear" w:color="auto" w:fill="auto"/>
            <w:noWrap w:val="0"/>
            <w:vAlign w:val="center"/>
          </w:tcPr>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p>
        </w:tc>
        <w:tc>
          <w:tcPr>
            <w:tcW w:w="3063" w:type="dxa"/>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企业获得过“中国质量奖”称号证书的，得</w:t>
            </w:r>
            <w:r>
              <w:rPr>
                <w:rFonts w:hint="eastAsia" w:hAnsi="宋体" w:eastAsia="宋体" w:cs="宋体"/>
                <w:snapToGrid w:val="0"/>
                <w:color w:val="auto"/>
                <w:kern w:val="0"/>
                <w:sz w:val="24"/>
                <w:szCs w:val="24"/>
                <w:highlight w:val="none"/>
                <w:lang w:val="en-US" w:eastAsia="zh-CN"/>
              </w:rPr>
              <w:t>2.5</w:t>
            </w:r>
            <w:r>
              <w:rPr>
                <w:rFonts w:hint="eastAsia" w:ascii="宋体" w:hAnsi="宋体" w:eastAsia="宋体" w:cs="宋体"/>
                <w:snapToGrid w:val="0"/>
                <w:color w:val="auto"/>
                <w:kern w:val="0"/>
                <w:sz w:val="24"/>
                <w:szCs w:val="24"/>
                <w:highlight w:val="none"/>
              </w:rPr>
              <w:t>分，本项最高得</w:t>
            </w:r>
            <w:r>
              <w:rPr>
                <w:rFonts w:hint="eastAsia" w:hAnsi="宋体" w:eastAsia="宋体" w:cs="宋体"/>
                <w:snapToGrid w:val="0"/>
                <w:color w:val="auto"/>
                <w:kern w:val="0"/>
                <w:sz w:val="24"/>
                <w:szCs w:val="24"/>
                <w:highlight w:val="none"/>
                <w:lang w:val="en-US" w:eastAsia="zh-CN"/>
              </w:rPr>
              <w:t>2.5</w:t>
            </w:r>
            <w:r>
              <w:rPr>
                <w:rFonts w:hint="eastAsia" w:ascii="宋体" w:hAnsi="宋体" w:eastAsia="宋体" w:cs="宋体"/>
                <w:snapToGrid w:val="0"/>
                <w:color w:val="auto"/>
                <w:kern w:val="0"/>
                <w:sz w:val="24"/>
                <w:szCs w:val="24"/>
                <w:highlight w:val="none"/>
              </w:rPr>
              <w:t>分。</w:t>
            </w:r>
          </w:p>
        </w:tc>
        <w:tc>
          <w:tcPr>
            <w:tcW w:w="3951" w:type="dxa"/>
            <w:gridSpan w:val="2"/>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1.需提供相关证书彩色扫描件，否则不得分。</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lang w:val="en-US" w:eastAsia="zh-CN"/>
              </w:rPr>
              <w:t>2.不符合评分标准和备注规定的，不予计分。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0" w:type="dxa"/>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auto"/>
                <w:kern w:val="2"/>
                <w:sz w:val="24"/>
                <w:szCs w:val="24"/>
                <w:highlight w:val="none"/>
                <w:lang w:val="en-US" w:eastAsia="zh-CN" w:bidi="ar-SA"/>
              </w:rPr>
            </w:pPr>
            <w:r>
              <w:rPr>
                <w:rFonts w:hint="eastAsia" w:hAnsi="宋体" w:eastAsia="宋体" w:cs="宋体"/>
                <w:color w:val="auto"/>
                <w:sz w:val="24"/>
                <w:szCs w:val="24"/>
                <w:highlight w:val="none"/>
                <w:lang w:val="en-US" w:eastAsia="zh-CN"/>
              </w:rPr>
              <w:t>技术部分（10分）</w:t>
            </w:r>
          </w:p>
        </w:tc>
        <w:tc>
          <w:tcPr>
            <w:tcW w:w="595" w:type="dxa"/>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技术建议书</w:t>
            </w:r>
            <w:r>
              <w:rPr>
                <w:rFonts w:hint="eastAsia" w:hAnsi="宋体" w:eastAsia="宋体" w:cs="宋体"/>
                <w:color w:val="auto"/>
                <w:sz w:val="24"/>
                <w:szCs w:val="24"/>
                <w:highlight w:val="none"/>
                <w:lang w:val="en-US" w:eastAsia="zh-CN"/>
              </w:rPr>
              <w:t>（10分）</w:t>
            </w:r>
          </w:p>
        </w:tc>
        <w:tc>
          <w:tcPr>
            <w:tcW w:w="4284" w:type="dxa"/>
            <w:gridSpan w:val="2"/>
            <w:shd w:val="clear" w:color="auto" w:fill="auto"/>
            <w:noWrap w:val="0"/>
            <w:vAlign w:val="center"/>
          </w:tcPr>
          <w:p>
            <w:pPr>
              <w:autoSpaceDE w:val="0"/>
              <w:autoSpaceDN w:val="0"/>
              <w:spacing w:line="360" w:lineRule="exact"/>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1.对项目基本情况的了解程度，包括对项目建设背景、项目建设的必要性及紧迫性等（2分）；</w:t>
            </w:r>
          </w:p>
          <w:p>
            <w:pPr>
              <w:autoSpaceDE w:val="0"/>
              <w:autoSpaceDN w:val="0"/>
              <w:spacing w:line="360" w:lineRule="exact"/>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2.总体设计方案是否合理可行（2分）；</w:t>
            </w:r>
          </w:p>
          <w:p>
            <w:pPr>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3.质量保证措施是否合理可行（2分）；</w:t>
            </w:r>
          </w:p>
          <w:p>
            <w:pPr>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4.进度保证措施是否合理可行（2分）；</w:t>
            </w:r>
          </w:p>
          <w:p>
            <w:pPr>
              <w:rPr>
                <w:rFonts w:hint="eastAsia" w:ascii="宋体" w:hAnsi="宋体" w:eastAsia="宋体" w:cs="宋体"/>
                <w:color w:val="auto"/>
                <w:kern w:val="2"/>
                <w:sz w:val="24"/>
                <w:szCs w:val="24"/>
                <w:highlight w:val="none"/>
                <w:lang w:val="en-US" w:eastAsia="zh-CN" w:bidi="ar-SA"/>
              </w:rPr>
            </w:pPr>
            <w:r>
              <w:rPr>
                <w:rFonts w:hint="eastAsia" w:ascii="宋体" w:hAnsi="宋体" w:eastAsia="宋体" w:cs="Times New Roman"/>
                <w:color w:val="auto"/>
                <w:szCs w:val="21"/>
                <w:highlight w:val="none"/>
                <w:lang w:val="en-US" w:eastAsia="zh-CN"/>
              </w:rPr>
              <w:t>5.安全保证措施是否合理可行（2分）。</w:t>
            </w:r>
          </w:p>
        </w:tc>
        <w:tc>
          <w:tcPr>
            <w:tcW w:w="3951" w:type="dxa"/>
            <w:gridSpan w:val="2"/>
            <w:shd w:val="clear" w:color="auto" w:fill="auto"/>
            <w:noWrap w:val="0"/>
            <w:vAlign w:val="center"/>
          </w:tcPr>
          <w:p>
            <w:pPr>
              <w:pStyle w:val="81"/>
              <w:keepNext w:val="0"/>
              <w:keepLines w:val="0"/>
              <w:pageBreakBefore w:val="0"/>
              <w:widowControl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【优】得该项评分因素分值的90%～100%（含90%）。</w:t>
            </w:r>
          </w:p>
          <w:p>
            <w:pPr>
              <w:pStyle w:val="81"/>
              <w:keepNext w:val="0"/>
              <w:keepLines w:val="0"/>
              <w:pageBreakBefore w:val="0"/>
              <w:widowControl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【良】得该项评分因素分值的80%～90%（含80%）。</w:t>
            </w:r>
          </w:p>
          <w:p>
            <w:pPr>
              <w:pStyle w:val="81"/>
              <w:keepNext w:val="0"/>
              <w:keepLines w:val="0"/>
              <w:pageBreakBefore w:val="0"/>
              <w:widowControl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【中】得该项评分因素分值的70%～80%（含70%）。</w:t>
            </w:r>
          </w:p>
          <w:p>
            <w:pPr>
              <w:rPr>
                <w:rFonts w:hint="eastAsia" w:ascii="宋体" w:hAnsi="宋体" w:eastAsia="宋体" w:cs="Times New Roman"/>
                <w:color w:val="auto"/>
                <w:kern w:val="2"/>
                <w:sz w:val="24"/>
                <w:szCs w:val="21"/>
                <w:highlight w:val="none"/>
                <w:lang w:val="en-US" w:eastAsia="zh-CN" w:bidi="ar-SA"/>
              </w:rPr>
            </w:pPr>
            <w:r>
              <w:rPr>
                <w:rFonts w:hint="eastAsia" w:ascii="宋体" w:hAnsi="宋体" w:eastAsia="宋体" w:cs="宋体"/>
                <w:snapToGrid w:val="0"/>
                <w:color w:val="auto"/>
                <w:kern w:val="0"/>
                <w:sz w:val="24"/>
                <w:szCs w:val="24"/>
                <w:highlight w:val="none"/>
              </w:rPr>
              <w:t>【差】得该项评分因素分值的60～70%（含60%）。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0" w:type="dxa"/>
            <w:vMerge w:val="restart"/>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投标报价得分</w:t>
            </w:r>
          </w:p>
          <w:p>
            <w:pPr>
              <w:keepNext/>
              <w:keepLines w:val="0"/>
              <w:pageBreakBefore w:val="0"/>
              <w:widowControl/>
              <w:kinsoku/>
              <w:wordWrap w:val="0"/>
              <w:overflowPunct/>
              <w:topLinePunct w:val="0"/>
              <w:autoSpaceDE/>
              <w:autoSpaceDN/>
              <w:bidi w:val="0"/>
              <w:snapToGrid w:val="0"/>
              <w:spacing w:line="36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0分）</w:t>
            </w:r>
          </w:p>
        </w:tc>
        <w:tc>
          <w:tcPr>
            <w:tcW w:w="595" w:type="dxa"/>
            <w:noWrap w:val="0"/>
            <w:vAlign w:val="center"/>
          </w:tcPr>
          <w:p>
            <w:pPr>
              <w:keepNext/>
              <w:keepLines w:val="0"/>
              <w:pageBreakBefore w:val="0"/>
              <w:widowControl/>
              <w:kinsoku/>
              <w:wordWrap w:val="0"/>
              <w:overflowPunct/>
              <w:topLinePunct w:val="0"/>
              <w:autoSpaceDE/>
              <w:autoSpaceDN/>
              <w:bidi w:val="0"/>
              <w:spacing w:line="360" w:lineRule="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bookmarkStart w:id="262" w:name="_Toc5338"/>
            <w:r>
              <w:rPr>
                <w:rFonts w:hint="eastAsia" w:ascii="宋体" w:hAnsi="宋体" w:eastAsia="宋体" w:cs="宋体"/>
                <w:color w:val="000000" w:themeColor="text1"/>
                <w:sz w:val="24"/>
                <w:szCs w:val="24"/>
                <w:highlight w:val="none"/>
                <w14:textFill>
                  <w14:solidFill>
                    <w14:schemeClr w14:val="tx1"/>
                  </w14:solidFill>
                </w14:textFill>
              </w:rPr>
              <w:t>评标基准价D</w:t>
            </w:r>
            <w:bookmarkEnd w:id="262"/>
          </w:p>
        </w:tc>
        <w:tc>
          <w:tcPr>
            <w:tcW w:w="8235" w:type="dxa"/>
            <w:gridSpan w:val="4"/>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确定招标控制价下浮系数n：用1～21号球分别代表一个下浮系数，由评委代表从这21个号码中随机抽取3次，每次抽取1个号码，抽出的号球不参与下次抽取。所抽取的3个号码对应下浮系数的算术平均值作为招标控制价下浮系数n。具体号码对应的下浮系数可参考下表。</w:t>
            </w:r>
          </w:p>
          <w:tbl>
            <w:tblPr>
              <w:tblStyle w:val="22"/>
              <w:tblW w:w="7360" w:type="dxa"/>
              <w:tblInd w:w="113" w:type="dxa"/>
              <w:shd w:val="clear" w:color="auto" w:fill="FFFFFF"/>
              <w:tblLayout w:type="fixed"/>
              <w:tblCellMar>
                <w:top w:w="0" w:type="dxa"/>
                <w:left w:w="108" w:type="dxa"/>
                <w:bottom w:w="0" w:type="dxa"/>
                <w:right w:w="108" w:type="dxa"/>
              </w:tblCellMar>
            </w:tblPr>
            <w:tblGrid>
              <w:gridCol w:w="1408"/>
              <w:gridCol w:w="846"/>
              <w:gridCol w:w="760"/>
              <w:gridCol w:w="880"/>
              <w:gridCol w:w="831"/>
              <w:gridCol w:w="969"/>
              <w:gridCol w:w="913"/>
              <w:gridCol w:w="753"/>
            </w:tblGrid>
            <w:tr>
              <w:tblPrEx>
                <w:shd w:val="clear" w:color="auto" w:fill="FFFFFF"/>
                <w:tblCellMar>
                  <w:top w:w="0" w:type="dxa"/>
                  <w:left w:w="108" w:type="dxa"/>
                  <w:bottom w:w="0" w:type="dxa"/>
                  <w:right w:w="108" w:type="dxa"/>
                </w:tblCellMar>
              </w:tblPrEx>
              <w:trPr>
                <w:trHeight w:val="396"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号球</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r>
            <w:tr>
              <w:tblPrEx>
                <w:shd w:val="clear" w:color="auto" w:fill="FFFFFF"/>
                <w:tblCellMar>
                  <w:top w:w="0" w:type="dxa"/>
                  <w:left w:w="108" w:type="dxa"/>
                  <w:bottom w:w="0" w:type="dxa"/>
                  <w:right w:w="108" w:type="dxa"/>
                </w:tblCellMar>
              </w:tblPrEx>
              <w:trPr>
                <w:trHeight w:val="408"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下浮系数（%）</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.0</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.1</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.2</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.3</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.4</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.5</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.6</w:t>
                  </w:r>
                </w:p>
              </w:tc>
            </w:tr>
            <w:tr>
              <w:tblPrEx>
                <w:shd w:val="clear" w:color="auto" w:fill="FFFFFF"/>
                <w:tblCellMar>
                  <w:top w:w="0" w:type="dxa"/>
                  <w:left w:w="108" w:type="dxa"/>
                  <w:bottom w:w="0" w:type="dxa"/>
                  <w:right w:w="108" w:type="dxa"/>
                </w:tblCellMar>
              </w:tblPrEx>
              <w:trPr>
                <w:trHeight w:val="413"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号球</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w:t>
                  </w:r>
                </w:p>
              </w:tc>
            </w:tr>
            <w:tr>
              <w:tblPrEx>
                <w:tblCellMar>
                  <w:top w:w="0" w:type="dxa"/>
                  <w:left w:w="108" w:type="dxa"/>
                  <w:bottom w:w="0" w:type="dxa"/>
                  <w:right w:w="108" w:type="dxa"/>
                </w:tblCellMar>
              </w:tblPrEx>
              <w:trPr>
                <w:trHeight w:val="408"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下浮系数（%）</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.8</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.9</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.0</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.1</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.2</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.3</w:t>
                  </w:r>
                </w:p>
              </w:tc>
            </w:tr>
            <w:tr>
              <w:tblPrEx>
                <w:shd w:val="clear" w:color="auto" w:fill="FFFFFF"/>
                <w:tblCellMar>
                  <w:top w:w="0" w:type="dxa"/>
                  <w:left w:w="108" w:type="dxa"/>
                  <w:bottom w:w="0" w:type="dxa"/>
                  <w:right w:w="108" w:type="dxa"/>
                </w:tblCellMar>
              </w:tblPrEx>
              <w:trPr>
                <w:trHeight w:val="396"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号球</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16</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18</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19</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20</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w:t>
                  </w:r>
                </w:p>
              </w:tc>
            </w:tr>
            <w:tr>
              <w:tblPrEx>
                <w:shd w:val="clear" w:color="auto" w:fill="FFFFFF"/>
                <w:tblCellMar>
                  <w:top w:w="0" w:type="dxa"/>
                  <w:left w:w="108" w:type="dxa"/>
                  <w:bottom w:w="0" w:type="dxa"/>
                  <w:right w:w="108" w:type="dxa"/>
                </w:tblCellMar>
              </w:tblPrEx>
              <w:trPr>
                <w:trHeight w:val="417"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下浮系数（%）</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.4</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.5</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.6</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.7</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.8</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.9</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360" w:lineRule="auto"/>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.0</w:t>
                  </w:r>
                </w:p>
              </w:tc>
            </w:tr>
          </w:tbl>
          <w:p>
            <w:pPr>
              <w:spacing w:line="360" w:lineRule="auto"/>
              <w:outlineLvl w:val="9"/>
              <w:rPr>
                <w:rFonts w:hint="eastAsia" w:ascii="宋体" w:hAnsi="宋体" w:eastAsia="宋体" w:cs="Times New Roman"/>
                <w:kern w:val="2"/>
                <w:sz w:val="24"/>
                <w:szCs w:val="21"/>
                <w:highlight w:val="none"/>
                <w:lang w:val="en-US" w:eastAsia="zh-CN" w:bidi="ar-SA"/>
              </w:rPr>
            </w:pPr>
            <w:r>
              <w:rPr>
                <w:rFonts w:hint="eastAsia" w:ascii="宋体" w:hAnsi="宋体" w:eastAsia="宋体" w:cs="宋体"/>
                <w:color w:val="000000" w:themeColor="text1"/>
                <w:sz w:val="24"/>
                <w:szCs w:val="24"/>
                <w:highlight w:val="none"/>
                <w14:textFill>
                  <w14:solidFill>
                    <w14:schemeClr w14:val="tx1"/>
                  </w14:solidFill>
                </w14:textFill>
              </w:rPr>
              <w:t>（2）评标基准价D＝招标控制价×（1－n）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投标报价得分N</w:t>
            </w:r>
          </w:p>
        </w:tc>
        <w:tc>
          <w:tcPr>
            <w:tcW w:w="8235" w:type="dxa"/>
            <w:gridSpan w:val="4"/>
            <w:noWrap w:val="0"/>
            <w:vAlign w:val="center"/>
          </w:tcPr>
          <w:p>
            <w:pPr>
              <w:keepNext/>
              <w:keepLines w:val="0"/>
              <w:pageBreakBefore w:val="0"/>
              <w:widowControl/>
              <w:kinsoku/>
              <w:wordWrap w:val="0"/>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采用内插法计算某投标人的投标报价得分N，即当投标人的投标总价等于评标基准价时得</w:t>
            </w:r>
            <w:r>
              <w:rPr>
                <w:rFonts w:hint="eastAsia"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0分，每高于评标基准价一个百分点扣</w:t>
            </w:r>
            <w:r>
              <w:rPr>
                <w:rFonts w:hint="eastAsia" w:hAnsi="宋体" w:eastAsia="宋体" w:cs="宋体"/>
                <w:color w:val="000000" w:themeColor="text1"/>
                <w:sz w:val="24"/>
                <w:szCs w:val="24"/>
                <w:highlight w:val="none"/>
                <w:lang w:val="en-US" w:eastAsia="zh-CN"/>
                <w14:textFill>
                  <w14:solidFill>
                    <w14:schemeClr w14:val="tx1"/>
                  </w14:solidFill>
                </w14:textFill>
              </w:rPr>
              <w:t>0.2</w:t>
            </w:r>
            <w:r>
              <w:rPr>
                <w:rFonts w:hint="eastAsia" w:ascii="宋体" w:hAnsi="宋体" w:eastAsia="宋体" w:cs="宋体"/>
                <w:color w:val="000000" w:themeColor="text1"/>
                <w:sz w:val="24"/>
                <w:szCs w:val="24"/>
                <w:highlight w:val="none"/>
                <w14:textFill>
                  <w14:solidFill>
                    <w14:schemeClr w14:val="tx1"/>
                  </w14:solidFill>
                </w14:textFill>
              </w:rPr>
              <w:t>分,每低于评标基准价一个百分点扣</w:t>
            </w:r>
            <w:r>
              <w:rPr>
                <w:rFonts w:hint="eastAsia" w:hAnsi="宋体" w:eastAsia="宋体" w:cs="宋体"/>
                <w:color w:val="000000" w:themeColor="text1"/>
                <w:sz w:val="24"/>
                <w:szCs w:val="24"/>
                <w:highlight w:val="none"/>
                <w:lang w:val="en-US" w:eastAsia="zh-CN"/>
                <w14:textFill>
                  <w14:solidFill>
                    <w14:schemeClr w14:val="tx1"/>
                  </w14:solidFill>
                </w14:textFill>
              </w:rPr>
              <w:t>0.1</w:t>
            </w:r>
            <w:r>
              <w:rPr>
                <w:rFonts w:hint="eastAsia" w:ascii="宋体" w:hAnsi="宋体" w:eastAsia="宋体" w:cs="宋体"/>
                <w:color w:val="000000" w:themeColor="text1"/>
                <w:sz w:val="24"/>
                <w:szCs w:val="24"/>
                <w:highlight w:val="none"/>
                <w14:textFill>
                  <w14:solidFill>
                    <w14:schemeClr w14:val="tx1"/>
                  </w14:solidFill>
                </w14:textFill>
              </w:rPr>
              <w:t>分，扣完为止。公式如下：</w:t>
            </w:r>
          </w:p>
          <w:p>
            <w:pPr>
              <w:keepNext/>
              <w:keepLines w:val="0"/>
              <w:pageBreakBefore w:val="0"/>
              <w:widowControl/>
              <w:kinsoku/>
              <w:wordWrap w:val="0"/>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N＝</w:t>
            </w:r>
            <w:r>
              <w:rPr>
                <w:rFonts w:hint="eastAsia"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0－（|Di－D|÷D）×100×E</w:t>
            </w:r>
          </w:p>
          <w:p>
            <w:pPr>
              <w:keepNext/>
              <w:keepLines w:val="0"/>
              <w:pageBreakBefore w:val="0"/>
              <w:widowControl/>
              <w:kinsoku/>
              <w:wordWrap w:val="0"/>
              <w:overflowPunct/>
              <w:topLinePunct w:val="0"/>
              <w:autoSpaceDE/>
              <w:autoSpaceDN/>
              <w:bidi w:val="0"/>
              <w:adjustRightInd/>
              <w:snapToGrid/>
              <w:spacing w:before="0" w:beforeLines="0" w:after="0" w:afterLines="0" w:line="360" w:lineRule="auto"/>
              <w:textAlignment w:val="auto"/>
              <w:outlineLvl w:val="9"/>
              <w:rPr>
                <w:rFonts w:hint="eastAsia" w:ascii="宋体" w:hAnsi="宋体" w:eastAsia="宋体" w:cs="Times New Roman"/>
                <w:kern w:val="2"/>
                <w:sz w:val="24"/>
                <w:szCs w:val="21"/>
                <w:highlight w:val="none"/>
                <w:lang w:val="en-US" w:eastAsia="zh-CN" w:bidi="ar-SA"/>
              </w:rPr>
            </w:pPr>
            <w:bookmarkStart w:id="263" w:name="_Toc29477"/>
            <w:r>
              <w:rPr>
                <w:rFonts w:hint="eastAsia" w:ascii="宋体" w:hAnsi="宋体" w:eastAsia="宋体" w:cs="宋体"/>
                <w:color w:val="000000" w:themeColor="text1"/>
                <w:sz w:val="24"/>
                <w:szCs w:val="24"/>
                <w:highlight w:val="none"/>
                <w14:textFill>
                  <w14:solidFill>
                    <w14:schemeClr w14:val="tx1"/>
                  </w14:solidFill>
                </w14:textFill>
              </w:rPr>
              <w:t>式中：D为评标基准价；Di为某投标人的投标总价；E为扣分因子，当Di＞D时，E＝</w:t>
            </w:r>
            <w:r>
              <w:rPr>
                <w:rFonts w:hint="eastAsia" w:hAnsi="宋体" w:eastAsia="宋体" w:cs="宋体"/>
                <w:color w:val="000000" w:themeColor="text1"/>
                <w:sz w:val="24"/>
                <w:szCs w:val="24"/>
                <w:highlight w:val="none"/>
                <w:lang w:val="en-US" w:eastAsia="zh-CN"/>
                <w14:textFill>
                  <w14:solidFill>
                    <w14:schemeClr w14:val="tx1"/>
                  </w14:solidFill>
                </w14:textFill>
              </w:rPr>
              <w:t>0.2</w:t>
            </w:r>
            <w:r>
              <w:rPr>
                <w:rFonts w:hint="eastAsia" w:ascii="宋体" w:hAnsi="宋体" w:eastAsia="宋体" w:cs="宋体"/>
                <w:color w:val="000000" w:themeColor="text1"/>
                <w:sz w:val="24"/>
                <w:szCs w:val="24"/>
                <w:highlight w:val="none"/>
                <w14:textFill>
                  <w14:solidFill>
                    <w14:schemeClr w14:val="tx1"/>
                  </w14:solidFill>
                </w14:textFill>
              </w:rPr>
              <w:t>；当Di＜D时，E＝</w:t>
            </w:r>
            <w:r>
              <w:rPr>
                <w:rFonts w:hint="eastAsia" w:hAnsi="宋体" w:eastAsia="宋体" w:cs="宋体"/>
                <w:color w:val="000000" w:themeColor="text1"/>
                <w:sz w:val="24"/>
                <w:szCs w:val="24"/>
                <w:highlight w:val="none"/>
                <w:lang w:val="en-US" w:eastAsia="zh-CN"/>
                <w14:textFill>
                  <w14:solidFill>
                    <w14:schemeClr w14:val="tx1"/>
                  </w14:solidFill>
                </w14:textFill>
              </w:rPr>
              <w:t>0.1</w:t>
            </w:r>
            <w:r>
              <w:rPr>
                <w:rFonts w:hint="eastAsia" w:ascii="宋体" w:hAnsi="宋体" w:eastAsia="宋体" w:cs="宋体"/>
                <w:color w:val="000000" w:themeColor="text1"/>
                <w:sz w:val="24"/>
                <w:szCs w:val="24"/>
                <w:highlight w:val="none"/>
                <w14:textFill>
                  <w14:solidFill>
                    <w14:schemeClr w14:val="tx1"/>
                  </w14:solidFill>
                </w14:textFill>
              </w:rPr>
              <w:t>。</w:t>
            </w:r>
            <w:bookmarkEnd w:id="26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10" w:type="dxa"/>
            <w:gridSpan w:val="6"/>
            <w:noWrap w:val="0"/>
            <w:vAlign w:val="center"/>
          </w:tcPr>
          <w:p>
            <w:pPr>
              <w:keepNext/>
              <w:keepLines w:val="0"/>
              <w:pageBreakBefore w:val="0"/>
              <w:widowControl/>
              <w:kinsoku/>
              <w:wordWrap w:val="0"/>
              <w:overflowPunct/>
              <w:topLinePunct w:val="0"/>
              <w:autoSpaceDE/>
              <w:autoSpaceDN/>
              <w:bidi w:val="0"/>
              <w:snapToGrid w:val="0"/>
              <w:spacing w:line="360" w:lineRule="auto"/>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商务技术得分+技术部分得分+投标报价得分=总得分</w:t>
            </w:r>
          </w:p>
        </w:tc>
      </w:tr>
    </w:tbl>
    <w:p>
      <w:pPr>
        <w:pageBreakBefore w:val="0"/>
        <w:kinsoku/>
        <w:wordWrap w:val="0"/>
        <w:overflowPunct/>
        <w:bidi w:val="0"/>
        <w:rPr>
          <w:rFonts w:hint="eastAsia"/>
          <w:color w:val="000000" w:themeColor="text1"/>
          <w:highlight w:val="none"/>
          <w14:textFill>
            <w14:solidFill>
              <w14:schemeClr w14:val="tx1"/>
            </w14:solidFill>
          </w14:textFill>
        </w:rPr>
      </w:pPr>
    </w:p>
    <w:p>
      <w:pPr>
        <w:pageBreakBefore w:val="0"/>
        <w:kinsoku/>
        <w:wordWrap w:val="0"/>
        <w:overflowPunct/>
        <w:bidi w:val="0"/>
        <w:spacing w:line="440" w:lineRule="exact"/>
        <w:rPr>
          <w:rFonts w:hint="eastAsia" w:asciiTheme="minorEastAsia" w:hAnsiTheme="minorEastAsia" w:eastAsiaTheme="minorEastAsia" w:cstheme="minorEastAsia"/>
          <w:color w:val="000000" w:themeColor="text1"/>
          <w:spacing w:val="10"/>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0"/>
          <w:kern w:val="0"/>
          <w:szCs w:val="24"/>
          <w:highlight w:val="none"/>
          <w14:textFill>
            <w14:solidFill>
              <w14:schemeClr w14:val="tx1"/>
            </w14:solidFill>
          </w14:textFill>
        </w:rPr>
        <w:t>备注：</w:t>
      </w:r>
    </w:p>
    <w:p>
      <w:pPr>
        <w:pageBreakBefore w:val="0"/>
        <w:kinsoku/>
        <w:wordWrap w:val="0"/>
        <w:overflowPunct/>
        <w:bidi w:val="0"/>
        <w:spacing w:line="440" w:lineRule="exact"/>
        <w:ind w:firstLine="482" w:firstLineChars="200"/>
        <w:rPr>
          <w:rFonts w:hint="eastAsia" w:asciiTheme="minorEastAsia" w:hAnsiTheme="minorEastAsia" w:eastAsiaTheme="minorEastAsia" w:cstheme="minorEastAsia"/>
          <w:b/>
          <w:bCs/>
          <w:color w:val="000000" w:themeColor="text1"/>
          <w:szCs w:val="24"/>
          <w:highlight w:val="none"/>
          <w:u w:val="doubl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w:t>
      </w:r>
      <w:r>
        <w:rPr>
          <w:rFonts w:hint="eastAsia" w:asciiTheme="minorEastAsia" w:hAnsiTheme="minorEastAsia" w:eastAsiaTheme="minorEastAsia" w:cstheme="minorEastAsia"/>
          <w:b/>
          <w:bCs/>
          <w:color w:val="000000" w:themeColor="text1"/>
          <w:szCs w:val="24"/>
          <w:highlight w:val="none"/>
          <w:u w:val="double"/>
          <w14:textFill>
            <w14:solidFill>
              <w14:schemeClr w14:val="tx1"/>
            </w14:solidFill>
          </w14:textFill>
        </w:rPr>
        <w:t>评分如出现小数点，则保留小数点后两位，第三位四舍五入。</w:t>
      </w:r>
    </w:p>
    <w:p>
      <w:pPr>
        <w:pageBreakBefore w:val="0"/>
        <w:kinsoku/>
        <w:wordWrap w:val="0"/>
        <w:overflowPunct/>
        <w:bidi w:val="0"/>
        <w:spacing w:line="440" w:lineRule="exact"/>
        <w:ind w:firstLine="482" w:firstLineChars="200"/>
        <w:rPr>
          <w:rFonts w:hint="eastAsia" w:asciiTheme="minorEastAsia" w:hAnsiTheme="minorEastAsia" w:eastAsiaTheme="minorEastAsia" w:cstheme="minorEastAsia"/>
          <w:b/>
          <w:color w:val="000000" w:themeColor="text1"/>
          <w:kern w:val="1"/>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u w:val="double"/>
          <w14:textFill>
            <w14:solidFill>
              <w14:schemeClr w14:val="tx1"/>
            </w14:solidFill>
          </w14:textFill>
        </w:rPr>
        <w:t>如果某投标人的建安工程费下浮率高于15%时，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pPr>
        <w:pageBreakBefore w:val="0"/>
        <w:kinsoku/>
        <w:wordWrap w:val="0"/>
        <w:overflowPunct/>
        <w:bidi w:val="0"/>
        <w:adjustRightInd w:val="0"/>
        <w:snapToGrid w:val="0"/>
        <w:spacing w:line="440" w:lineRule="exact"/>
        <w:ind w:firstLine="520" w:firstLineChars="200"/>
        <w:rPr>
          <w:rFonts w:hint="eastAsia" w:asciiTheme="minorEastAsia" w:hAnsiTheme="minorEastAsia" w:eastAsiaTheme="minorEastAsia" w:cstheme="minorEastAsia"/>
          <w:bCs/>
          <w:color w:val="000000" w:themeColor="text1"/>
          <w:spacing w:val="10"/>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52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pacing w:val="10"/>
          <w:kern w:val="0"/>
          <w:szCs w:val="24"/>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spacing w:val="10"/>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spacing w:val="10"/>
          <w:kern w:val="0"/>
          <w:szCs w:val="24"/>
          <w:highlight w:val="none"/>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否决投标说明</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详细评审阶段否决投标的全部条件，在本章第四节“否决投标条件”第1条至第4条中集中列示。投标人有其中所列任何一种情形的，由评标委员会否决其投标。经详细评审后，有效投标人数量不足3个时，招标人应依法重新组织招标。</w:t>
      </w:r>
    </w:p>
    <w:p>
      <w:pPr>
        <w:pStyle w:val="37"/>
        <w:pageBreakBefore w:val="0"/>
        <w:kinsoku/>
        <w:wordWrap w:val="0"/>
        <w:overflowPunct/>
        <w:bidi w:val="0"/>
        <w:spacing w:line="400" w:lineRule="exac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注：投标人在详细评审阶段根据评分方法提供的佐证材料，其合法性、有效性和准确性不符合要求的，有关量化因素（或评分因素）的折算、调整（或评分）按相应量化标准（或评分标准）处理，但不否决投标。</w:t>
      </w:r>
    </w:p>
    <w:p>
      <w:pPr>
        <w:pStyle w:val="39"/>
        <w:keepNext/>
        <w:keepLines/>
        <w:pageBreakBefore w:val="0"/>
        <w:kinsoku/>
        <w:wordWrap w:val="0"/>
        <w:overflowPunct/>
        <w:bidi w:val="0"/>
        <w:ind w:firstLine="480"/>
        <w:jc w:val="both"/>
        <w:rPr>
          <w:rStyle w:val="52"/>
          <w:rFonts w:hint="eastAsia" w:ascii="宋体" w:hAnsi="宋体" w:eastAsia="宋体" w:cs="宋体"/>
          <w:b/>
          <w:bCs/>
          <w:color w:val="auto"/>
          <w:highlight w:val="none"/>
        </w:rPr>
      </w:pPr>
      <w:bookmarkStart w:id="264" w:name="_Toc6341"/>
      <w:r>
        <w:rPr>
          <w:rFonts w:hint="eastAsia" w:ascii="宋体" w:hAnsi="宋体" w:eastAsia="宋体" w:cs="宋体"/>
          <w:b/>
          <w:color w:val="000000" w:themeColor="text1"/>
          <w:highlight w:val="none"/>
          <w:lang w:val="en-US" w:eastAsia="zh-CN"/>
          <w14:textFill>
            <w14:solidFill>
              <w14:schemeClr w14:val="tx1"/>
            </w14:solidFill>
          </w14:textFill>
        </w:rPr>
        <w:t>15、</w:t>
      </w:r>
      <w:r>
        <w:rPr>
          <w:rStyle w:val="52"/>
          <w:rFonts w:hint="eastAsia" w:ascii="宋体" w:hAnsi="宋体" w:eastAsia="宋体" w:cs="宋体"/>
          <w:b/>
          <w:bCs/>
          <w:color w:val="auto"/>
          <w:highlight w:val="none"/>
          <w:lang w:val="en-US" w:eastAsia="zh-CN"/>
        </w:rPr>
        <w:t>评</w:t>
      </w:r>
      <w:r>
        <w:rPr>
          <w:rStyle w:val="52"/>
          <w:rFonts w:hint="eastAsia" w:ascii="宋体" w:hAnsi="宋体" w:eastAsia="宋体" w:cs="宋体"/>
          <w:b/>
          <w:bCs/>
          <w:color w:val="auto"/>
          <w:highlight w:val="none"/>
        </w:rPr>
        <w:t>标</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结果</w:t>
      </w:r>
      <w:r>
        <w:rPr>
          <w:rStyle w:val="52"/>
          <w:rFonts w:hint="eastAsia" w:ascii="宋体" w:hAnsi="宋体" w:eastAsia="宋体" w:cs="宋体"/>
          <w:b/>
          <w:bCs/>
          <w:color w:val="auto"/>
          <w:highlight w:val="none"/>
        </w:rPr>
        <w:t>公示</w:t>
      </w:r>
      <w:bookmarkEnd w:id="264"/>
    </w:p>
    <w:p>
      <w:pPr>
        <w:snapToGrid w:val="0"/>
        <w:spacing w:line="360" w:lineRule="auto"/>
        <w:ind w:firstLine="480" w:firstLineChars="200"/>
        <w:rPr>
          <w:rStyle w:val="52"/>
          <w:rFonts w:hint="eastAsia" w:ascii="宋体" w:hAnsi="宋体" w:eastAsia="宋体" w:cs="宋体"/>
          <w:b w:val="0"/>
          <w:bCs w:val="0"/>
          <w:color w:val="auto"/>
          <w:highlight w:val="none"/>
        </w:rPr>
      </w:pPr>
      <w:r>
        <w:rPr>
          <w:rStyle w:val="52"/>
          <w:rFonts w:hint="eastAsia" w:ascii="宋体" w:hAnsi="宋体" w:eastAsia="宋体" w:cs="宋体"/>
          <w:b w:val="0"/>
          <w:bCs w:val="0"/>
          <w:color w:val="auto"/>
          <w:highlight w:val="none"/>
        </w:rPr>
        <w:t>1</w:t>
      </w:r>
      <w:r>
        <w:rPr>
          <w:rStyle w:val="52"/>
          <w:rFonts w:hint="eastAsia" w:ascii="宋体" w:hAnsi="宋体" w:eastAsia="宋体" w:cs="宋体"/>
          <w:b w:val="0"/>
          <w:bCs w:val="0"/>
          <w:color w:val="auto"/>
          <w:highlight w:val="none"/>
          <w:lang w:val="en-US"/>
        </w:rPr>
        <w:t>5</w:t>
      </w:r>
      <w:r>
        <w:rPr>
          <w:rStyle w:val="52"/>
          <w:rFonts w:hint="eastAsia" w:ascii="宋体" w:hAnsi="宋体" w:eastAsia="宋体" w:cs="宋体"/>
          <w:b w:val="0"/>
          <w:bCs w:val="0"/>
          <w:color w:val="auto"/>
          <w:highlight w:val="none"/>
        </w:rPr>
        <w:t>.1 评标委员会按照投标人评审综合总得分由高到低的原则,向招标人推荐已明确的定标候选人数量（不标明排序）。评标委员会推荐定标候选人后，招标人应于评标会结束后3日内将定标候选人和评标情况在广东省招标投标监管网和韶关市公共资源交易中心建设工程交易系统上公示，公示时间不少于3日。公示主要内容包括：（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pPr>
        <w:pStyle w:val="39"/>
        <w:keepNext/>
        <w:keepLines/>
        <w:pageBreakBefore w:val="0"/>
        <w:kinsoku/>
        <w:wordWrap w:val="0"/>
        <w:overflowPunct/>
        <w:bidi w:val="0"/>
        <w:ind w:firstLine="480"/>
        <w:jc w:val="both"/>
        <w:rPr>
          <w:rFonts w:hint="eastAsia" w:ascii="宋体" w:hAnsi="宋体" w:eastAsia="宋体" w:cs="宋体"/>
          <w:color w:val="auto"/>
          <w:spacing w:val="0"/>
          <w:sz w:val="24"/>
          <w:szCs w:val="24"/>
          <w:highlight w:val="none"/>
          <w:lang w:eastAsia="zh-CN"/>
        </w:rPr>
      </w:pPr>
      <w:bookmarkStart w:id="265" w:name="_Toc6322"/>
      <w:bookmarkStart w:id="266" w:name="_Toc1221"/>
      <w:bookmarkStart w:id="267" w:name="_Toc1813"/>
      <w:bookmarkStart w:id="268" w:name="_Toc16384"/>
      <w:r>
        <w:rPr>
          <w:rFonts w:hint="eastAsia" w:ascii="宋体" w:hAnsi="宋体" w:eastAsia="宋体" w:cs="宋体"/>
          <w:b/>
          <w:bCs/>
          <w:color w:val="auto"/>
          <w:spacing w:val="0"/>
          <w:sz w:val="24"/>
          <w:szCs w:val="24"/>
          <w:highlight w:val="none"/>
        </w:rPr>
        <w:t>16</w:t>
      </w:r>
      <w:r>
        <w:rPr>
          <w:rFonts w:hint="eastAsia" w:ascii="宋体" w:hAnsi="宋体" w:eastAsia="宋体" w:cs="宋体"/>
          <w:b/>
          <w:bCs/>
          <w:color w:val="auto"/>
          <w:spacing w:val="0"/>
          <w:sz w:val="24"/>
          <w:szCs w:val="24"/>
          <w:highlight w:val="none"/>
          <w:lang w:eastAsia="zh-CN"/>
        </w:rPr>
        <w:t>、</w:t>
      </w:r>
      <w:r>
        <w:rPr>
          <w:rFonts w:hint="eastAsia" w:asciiTheme="minorEastAsia" w:hAnsiTheme="minorEastAsia" w:eastAsiaTheme="minorEastAsia" w:cstheme="minorEastAsia"/>
          <w:b/>
          <w:color w:val="000000" w:themeColor="text1"/>
          <w:kern w:val="2"/>
          <w:highlight w:val="none"/>
          <w:lang w:val="en-US" w:eastAsia="zh-CN"/>
          <w14:textFill>
            <w14:solidFill>
              <w14:schemeClr w14:val="tx1"/>
            </w14:solidFill>
          </w14:textFill>
        </w:rPr>
        <w:t>定</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标</w:t>
      </w:r>
      <w:bookmarkEnd w:id="265"/>
      <w:bookmarkEnd w:id="266"/>
      <w:bookmarkEnd w:id="267"/>
      <w:bookmarkEnd w:id="268"/>
    </w:p>
    <w:p>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16.</w:t>
      </w:r>
      <w:r>
        <w:rPr>
          <w:rFonts w:hint="eastAsia" w:ascii="宋体" w:hAnsi="宋体" w:eastAsia="宋体" w:cs="宋体"/>
          <w:b/>
          <w:bCs/>
          <w:color w:val="auto"/>
          <w:spacing w:val="0"/>
          <w:sz w:val="24"/>
          <w:szCs w:val="24"/>
          <w:highlight w:val="none"/>
          <w:lang w:val="en-US" w:eastAsia="zh-CN"/>
        </w:rPr>
        <w:t>1</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定标办法</w:t>
      </w:r>
    </w:p>
    <w:p>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bidi="ar-SA"/>
        </w:rPr>
      </w:pPr>
      <w:r>
        <w:rPr>
          <w:rFonts w:hint="eastAsia" w:ascii="宋体" w:hAnsi="宋体" w:eastAsia="宋体" w:cs="宋体"/>
          <w:strike w:val="0"/>
          <w:dstrike w:val="0"/>
          <w:color w:val="auto"/>
          <w:kern w:val="2"/>
          <w:sz w:val="24"/>
          <w:szCs w:val="24"/>
          <w:highlight w:val="none"/>
          <w:u w:val="none"/>
          <w:lang w:val="en-US" w:eastAsia="zh-CN" w:bidi="ar-SA"/>
        </w:rPr>
        <w:t>本项目定标办法由招标人按投标人须知前附表的规定确定。</w:t>
      </w:r>
    </w:p>
    <w:p>
      <w:pPr>
        <w:snapToGrid w:val="0"/>
        <w:spacing w:line="360" w:lineRule="auto"/>
        <w:ind w:firstLine="482" w:firstLineChars="200"/>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2</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定标依据</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（1）现行的法律、法规、规章、规范性文件及国家、省、市各级政府部门工作文件规定；</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（2）招标文件及其他补充通知和补充资料；</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（3）评标报告以及定标候选人推荐名单；</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（4）定标候选人的</w:t>
      </w:r>
      <w:r>
        <w:rPr>
          <w:rStyle w:val="52"/>
          <w:rFonts w:hint="eastAsia" w:hAnsi="宋体" w:eastAsia="宋体" w:cs="宋体"/>
          <w:b w:val="0"/>
          <w:bCs w:val="0"/>
          <w:color w:val="auto"/>
          <w:szCs w:val="20"/>
          <w:highlight w:val="none"/>
          <w:lang w:val="en-US" w:eastAsia="zh-CN"/>
        </w:rPr>
        <w:t>定标</w:t>
      </w:r>
      <w:r>
        <w:rPr>
          <w:rStyle w:val="52"/>
          <w:rFonts w:hint="eastAsia" w:ascii="宋体" w:hAnsi="宋体" w:eastAsia="宋体" w:cs="宋体"/>
          <w:b w:val="0"/>
          <w:bCs w:val="0"/>
          <w:color w:val="auto"/>
          <w:szCs w:val="20"/>
          <w:highlight w:val="none"/>
          <w:lang w:val="en-US" w:eastAsia="zh-CN"/>
        </w:rPr>
        <w:t>文件；</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（5）开、评标全过程资料；</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（6）对定标候选人的考察评价资料（如有）；</w:t>
      </w:r>
    </w:p>
    <w:p>
      <w:pPr>
        <w:snapToGrid w:val="0"/>
        <w:spacing w:line="360" w:lineRule="auto"/>
        <w:ind w:firstLine="480" w:firstLineChars="200"/>
        <w:rPr>
          <w:rFonts w:hint="eastAsia" w:ascii="宋体" w:hAnsi="宋体" w:eastAsia="宋体" w:cs="宋体"/>
          <w:b/>
          <w:color w:val="auto"/>
          <w:highlight w:val="none"/>
        </w:rPr>
      </w:pPr>
      <w:r>
        <w:rPr>
          <w:rStyle w:val="52"/>
          <w:rFonts w:hint="eastAsia" w:ascii="宋体" w:hAnsi="宋体" w:eastAsia="宋体" w:cs="宋体"/>
          <w:b w:val="0"/>
          <w:bCs w:val="0"/>
          <w:color w:val="auto"/>
          <w:szCs w:val="20"/>
          <w:highlight w:val="none"/>
          <w:lang w:val="en-US" w:eastAsia="zh-CN"/>
        </w:rPr>
        <w:t>（7）关于本工程的其他相关资料。</w:t>
      </w:r>
      <w:r>
        <w:rPr>
          <w:rStyle w:val="52"/>
          <w:rFonts w:hint="eastAsia" w:ascii="宋体" w:hAnsi="宋体" w:eastAsia="宋体" w:cs="宋体"/>
          <w:b w:val="0"/>
          <w:bCs w:val="0"/>
          <w:color w:val="auto"/>
          <w:szCs w:val="20"/>
          <w:highlight w:val="none"/>
          <w:lang w:val="en-US" w:eastAsia="zh-CN"/>
        </w:rPr>
        <w:br w:type="textWrapping"/>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2</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定标监督小组</w:t>
      </w:r>
      <w:r>
        <w:rPr>
          <w:rFonts w:hint="eastAsia" w:ascii="宋体" w:hAnsi="宋体" w:eastAsia="宋体" w:cs="宋体"/>
          <w:b/>
          <w:bCs/>
          <w:color w:val="auto"/>
          <w:spacing w:val="0"/>
          <w:sz w:val="24"/>
          <w:szCs w:val="24"/>
          <w:highlight w:val="none"/>
          <w:lang w:val="en-US" w:eastAsia="zh-CN"/>
        </w:rPr>
        <w:br w:type="textWrapping"/>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strike w:val="0"/>
          <w:dstrike w:val="0"/>
          <w:color w:val="auto"/>
          <w:kern w:val="2"/>
          <w:sz w:val="24"/>
          <w:szCs w:val="24"/>
          <w:highlight w:val="none"/>
          <w:u w:val="none"/>
          <w:lang w:val="en-US" w:eastAsia="zh-CN"/>
        </w:rPr>
        <w:t>招标人应组建招标监督小组，招标</w:t>
      </w:r>
      <w:r>
        <w:rPr>
          <w:rFonts w:hint="eastAsia" w:hAnsi="宋体" w:eastAsia="宋体" w:cs="宋体"/>
          <w:b w:val="0"/>
          <w:bCs w:val="0"/>
          <w:color w:val="auto"/>
          <w:sz w:val="24"/>
          <w:szCs w:val="24"/>
          <w:highlight w:val="none"/>
          <w:u w:val="none"/>
          <w:lang w:val="en-US" w:eastAsia="zh-CN"/>
        </w:rPr>
        <w:t>监督小组应当推荐一名组长，</w:t>
      </w:r>
      <w:r>
        <w:rPr>
          <w:rFonts w:hint="eastAsia" w:ascii="宋体" w:hAnsi="宋体" w:eastAsia="宋体" w:cs="宋体"/>
          <w:strike w:val="0"/>
          <w:dstrike w:val="0"/>
          <w:color w:val="auto"/>
          <w:kern w:val="2"/>
          <w:sz w:val="24"/>
          <w:szCs w:val="24"/>
          <w:highlight w:val="none"/>
          <w:u w:val="none"/>
          <w:lang w:val="en-US" w:eastAsia="zh-CN"/>
        </w:rPr>
        <w:t>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ind w:left="0" w:leftChars="0" w:firstLine="480" w:firstLineChars="200"/>
        <w:jc w:val="both"/>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3</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定标委员会</w:t>
      </w:r>
      <w:r>
        <w:rPr>
          <w:rFonts w:hint="eastAsia" w:ascii="宋体" w:hAnsi="宋体" w:eastAsia="宋体" w:cs="宋体"/>
          <w:b/>
          <w:bCs/>
          <w:color w:val="auto"/>
          <w:spacing w:val="0"/>
          <w:sz w:val="24"/>
          <w:szCs w:val="24"/>
          <w:highlight w:val="none"/>
          <w:lang w:val="en-US" w:eastAsia="zh-CN"/>
        </w:rPr>
        <w:br w:type="textWrapping"/>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val="0"/>
          <w:bCs w:val="0"/>
          <w:color w:val="auto"/>
          <w:sz w:val="24"/>
          <w:szCs w:val="24"/>
          <w:highlight w:val="none"/>
          <w:u w:val="none"/>
          <w:lang w:val="en-US" w:eastAsia="zh-CN"/>
        </w:rPr>
        <w:t>招标人负责组建定标委员会，</w:t>
      </w:r>
      <w:r>
        <w:rPr>
          <w:rFonts w:hint="eastAsia" w:hAnsi="宋体" w:eastAsia="宋体" w:cs="宋体"/>
          <w:b w:val="0"/>
          <w:bCs w:val="0"/>
          <w:color w:val="auto"/>
          <w:sz w:val="24"/>
          <w:szCs w:val="24"/>
          <w:highlight w:val="none"/>
          <w:u w:val="none"/>
          <w:lang w:val="en-US" w:eastAsia="zh-CN"/>
        </w:rPr>
        <w:t>定标委员会应当推荐一名组长（若</w:t>
      </w:r>
      <w:r>
        <w:rPr>
          <w:rFonts w:hint="eastAsia" w:ascii="宋体" w:hAnsi="宋体" w:eastAsia="宋体" w:cs="宋体"/>
          <w:b w:val="0"/>
          <w:bCs w:val="0"/>
          <w:color w:val="auto"/>
          <w:sz w:val="24"/>
          <w:szCs w:val="24"/>
          <w:highlight w:val="none"/>
          <w:u w:val="none"/>
          <w:lang w:val="en-US" w:eastAsia="zh-CN"/>
        </w:rPr>
        <w:t>招标人的法定代表人或者主要负责人</w:t>
      </w:r>
      <w:r>
        <w:rPr>
          <w:rFonts w:hint="eastAsia" w:hAnsi="宋体" w:eastAsia="宋体" w:cs="宋体"/>
          <w:b w:val="0"/>
          <w:bCs w:val="0"/>
          <w:color w:val="auto"/>
          <w:sz w:val="24"/>
          <w:szCs w:val="24"/>
          <w:highlight w:val="none"/>
          <w:u w:val="none"/>
          <w:lang w:val="en-US" w:eastAsia="zh-CN"/>
        </w:rPr>
        <w:t>参加定标的由其直接</w:t>
      </w:r>
      <w:r>
        <w:rPr>
          <w:rFonts w:hint="eastAsia" w:ascii="宋体" w:hAnsi="宋体" w:eastAsia="宋体" w:cs="宋体"/>
          <w:b w:val="0"/>
          <w:bCs w:val="0"/>
          <w:color w:val="auto"/>
          <w:sz w:val="24"/>
          <w:szCs w:val="24"/>
          <w:highlight w:val="none"/>
          <w:u w:val="none"/>
          <w:lang w:val="en-US" w:eastAsia="zh-CN"/>
        </w:rPr>
        <w:t>担任定标委员会组长</w:t>
      </w:r>
      <w:r>
        <w:rPr>
          <w:rFonts w:hint="eastAsia" w:hAnsi="宋体" w:eastAsia="宋体" w:cs="宋体"/>
          <w:b w:val="0"/>
          <w:bCs w:val="0"/>
          <w:color w:val="auto"/>
          <w:sz w:val="24"/>
          <w:szCs w:val="24"/>
          <w:highlight w:val="none"/>
          <w:u w:val="none"/>
          <w:lang w:val="en-US" w:eastAsia="zh-CN"/>
        </w:rPr>
        <w:t>）</w:t>
      </w:r>
      <w:r>
        <w:rPr>
          <w:rFonts w:hint="eastAsia" w:ascii="宋体" w:hAnsi="宋体" w:eastAsia="宋体" w:cs="宋体"/>
          <w:b w:val="0"/>
          <w:bCs w:val="0"/>
          <w:color w:val="auto"/>
          <w:sz w:val="24"/>
          <w:szCs w:val="24"/>
          <w:highlight w:val="none"/>
          <w:u w:val="none"/>
          <w:lang w:val="en-US" w:eastAsia="zh-CN"/>
        </w:rPr>
        <w:t>。定标委员会的组成方式和人员由招标人按相关规定自行确定。招标项目对技术、商务等有特别要求的可从广东省综合评标评审专家库抽取专家(外部人员）补足，成员数量为7人及以上单数，成员数量应在招标文件中明确。专家人数原则上不超过2人。定标委员会成员数量在本投标人须知前附表中约定。</w:t>
      </w:r>
    </w:p>
    <w:p>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ind w:left="0" w:leftChars="0" w:firstLine="482" w:firstLineChars="200"/>
        <w:jc w:val="both"/>
        <w:textAlignment w:val="auto"/>
        <w:outlineLvl w:val="9"/>
        <w:rPr>
          <w:rFonts w:hint="default" w:ascii="宋体" w:hAnsi="宋体" w:eastAsia="宋体" w:cs="宋体"/>
          <w:color w:val="auto"/>
          <w:spacing w:val="0"/>
          <w:sz w:val="24"/>
          <w:szCs w:val="24"/>
          <w:highlight w:val="none"/>
          <w:lang w:val="en-US"/>
        </w:rPr>
      </w:pPr>
      <w:r>
        <w:rPr>
          <w:rFonts w:hint="eastAsia" w:ascii="宋体" w:hAnsi="宋体" w:eastAsia="宋体" w:cs="宋体"/>
          <w:b/>
          <w:bCs/>
          <w:color w:val="auto"/>
          <w:spacing w:val="0"/>
          <w:sz w:val="24"/>
          <w:szCs w:val="24"/>
          <w:highlight w:val="none"/>
          <w:lang w:val="en-US" w:eastAsia="zh-CN"/>
        </w:rPr>
        <w:t>16.4</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w:t>
      </w:r>
      <w:r>
        <w:rPr>
          <w:rFonts w:hint="eastAsia" w:ascii="宋体" w:hAnsi="宋体" w:eastAsia="宋体" w:cs="宋体"/>
          <w:b/>
          <w:bCs/>
          <w:color w:val="auto"/>
          <w:spacing w:val="0"/>
          <w:sz w:val="24"/>
          <w:szCs w:val="24"/>
          <w:highlight w:val="none"/>
          <w:lang w:val="en-US" w:eastAsia="zh-CN"/>
        </w:rPr>
        <w:t>细则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本项目采用票决数量法定标。</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ascii="宋体" w:hAnsi="宋体" w:eastAsia="宋体" w:cs="宋体"/>
          <w:b/>
          <w:bCs/>
          <w:color w:val="auto"/>
          <w:spacing w:val="0"/>
          <w:position w:val="0"/>
          <w:sz w:val="24"/>
          <w:szCs w:val="24"/>
          <w:highlight w:val="none"/>
          <w:u w:val="none" w:color="auto"/>
          <w:lang w:val="en-US" w:eastAsia="zh-CN"/>
        </w:rPr>
        <w:t>16.4.1票决数量法程序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i w:val="0"/>
          <w:snapToGrid/>
          <w:color w:val="auto"/>
          <w:sz w:val="24"/>
          <w:szCs w:val="24"/>
          <w:highlight w:val="none"/>
          <w:u w:val="none"/>
          <w:shd w:val="clear" w:color="auto" w:fill="FFFFFF"/>
          <w:lang w:eastAsia="zh-CN"/>
        </w:rPr>
        <w:t>定标委员会根据定标因素对定标候选人</w:t>
      </w:r>
      <w:r>
        <w:rPr>
          <w:rFonts w:hint="eastAsia" w:hAnsi="宋体" w:eastAsia="宋体" w:cs="宋体"/>
          <w:b w:val="0"/>
          <w:i w:val="0"/>
          <w:snapToGrid/>
          <w:color w:val="auto"/>
          <w:sz w:val="24"/>
          <w:szCs w:val="24"/>
          <w:highlight w:val="none"/>
          <w:u w:val="none"/>
          <w:shd w:val="clear" w:color="auto" w:fill="FFFFFF"/>
          <w:lang w:val="en-US" w:eastAsia="zh-CN"/>
        </w:rPr>
        <w:t>的定标文件</w:t>
      </w:r>
      <w:r>
        <w:rPr>
          <w:rFonts w:hint="eastAsia" w:ascii="宋体" w:hAnsi="宋体" w:eastAsia="宋体" w:cs="宋体"/>
          <w:b w:val="0"/>
          <w:i w:val="0"/>
          <w:snapToGrid/>
          <w:color w:val="auto"/>
          <w:sz w:val="24"/>
          <w:szCs w:val="24"/>
          <w:highlight w:val="none"/>
          <w:u w:val="none"/>
          <w:shd w:val="clear" w:color="auto" w:fill="FFFFFF"/>
          <w:lang w:eastAsia="zh-CN"/>
        </w:rPr>
        <w:t>进行评审比较后，每名定标委员会成员</w:t>
      </w:r>
      <w:r>
        <w:rPr>
          <w:rFonts w:hint="eastAsia" w:ascii="宋体" w:hAnsi="宋体" w:eastAsia="宋体" w:cs="宋体"/>
          <w:color w:val="auto"/>
          <w:sz w:val="24"/>
          <w:szCs w:val="24"/>
          <w:highlight w:val="none"/>
          <w:u w:val="none"/>
          <w:lang w:val="en-US" w:eastAsia="zh-CN"/>
        </w:rPr>
        <w:t>有且仅有投出1票的权利，1票只能投1名定标候选人，</w:t>
      </w:r>
      <w:r>
        <w:rPr>
          <w:rFonts w:hint="eastAsia" w:ascii="宋体" w:hAnsi="宋体" w:eastAsia="宋体" w:cs="宋体"/>
          <w:b w:val="0"/>
          <w:i w:val="0"/>
          <w:snapToGrid/>
          <w:color w:val="auto"/>
          <w:sz w:val="24"/>
          <w:szCs w:val="24"/>
          <w:highlight w:val="none"/>
          <w:u w:val="none"/>
          <w:shd w:val="clear" w:color="auto" w:fill="FFFFFF"/>
          <w:lang w:eastAsia="zh-CN"/>
        </w:rPr>
        <w:t>进行票决排名确定排序的中标候选人。即各定标委员会成员对定标候选人进行投票，按得票高低推荐排序的前三名中标候选人。</w:t>
      </w:r>
      <w:r>
        <w:rPr>
          <w:rFonts w:hint="eastAsia" w:ascii="宋体" w:hAnsi="宋体" w:eastAsia="宋体" w:cs="宋体"/>
          <w:color w:val="auto"/>
          <w:sz w:val="24"/>
          <w:szCs w:val="24"/>
          <w:highlight w:val="none"/>
          <w:u w:val="none"/>
          <w:lang w:val="en-US" w:eastAsia="zh-CN"/>
        </w:rPr>
        <w:t>若第一轮投票中前三名中标候选人有</w:t>
      </w:r>
      <w:r>
        <w:rPr>
          <w:rFonts w:hint="eastAsia" w:ascii="宋体" w:hAnsi="宋体" w:eastAsia="宋体" w:cs="宋体"/>
          <w:color w:val="auto"/>
          <w:sz w:val="24"/>
          <w:szCs w:val="24"/>
          <w:highlight w:val="none"/>
          <w:u w:val="none"/>
          <w:shd w:val="clear" w:color="auto" w:fill="FFFFFF"/>
          <w:lang w:val="en-US" w:eastAsia="zh-CN"/>
        </w:rPr>
        <w:t>得票相同且影响中标候选人排序确定的，由定标委员会对总票数相同的单位进行再次票决确定排序,</w:t>
      </w:r>
      <w:r>
        <w:rPr>
          <w:rFonts w:hint="eastAsia" w:ascii="宋体" w:hAnsi="宋体" w:eastAsia="宋体" w:cs="宋体"/>
          <w:color w:val="auto"/>
          <w:sz w:val="24"/>
          <w:szCs w:val="24"/>
          <w:highlight w:val="none"/>
          <w:u w:val="none"/>
          <w:lang w:val="en-US" w:eastAsia="zh-CN"/>
        </w:rPr>
        <w:t>直至决出排序的前三名中标候选人。若定标候选人中没有符合评审要求的三名中标候选人，则宣告本次招标失败。</w:t>
      </w:r>
      <w:r>
        <w:rPr>
          <w:rFonts w:hint="eastAsia" w:ascii="宋体" w:hAnsi="宋体" w:eastAsia="宋体" w:cs="宋体"/>
          <w:b w:val="0"/>
          <w:i w:val="0"/>
          <w:snapToGrid/>
          <w:color w:val="auto"/>
          <w:sz w:val="24"/>
          <w:szCs w:val="24"/>
          <w:highlight w:val="none"/>
          <w:u w:val="none"/>
          <w:shd w:val="clear" w:color="auto" w:fill="FFFFFF"/>
          <w:lang w:eastAsia="zh-CN"/>
        </w:rPr>
        <w:t>票决采用记名方式并注明投票理由。</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16.4.2</w:t>
      </w:r>
      <w:r>
        <w:rPr>
          <w:rFonts w:hint="eastAsia" w:ascii="宋体" w:hAnsi="宋体" w:eastAsia="宋体" w:cs="宋体"/>
          <w:b/>
          <w:bCs/>
          <w:color w:val="auto"/>
          <w:sz w:val="24"/>
          <w:szCs w:val="24"/>
          <w:highlight w:val="none"/>
          <w:u w:val="none"/>
          <w:shd w:val="clear" w:color="auto" w:fill="FFFFFF"/>
        </w:rPr>
        <w:t>项目情况介绍</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w:t>
      </w:r>
      <w:r>
        <w:rPr>
          <w:rFonts w:hint="eastAsia" w:hAnsi="宋体" w:eastAsia="宋体" w:cs="宋体"/>
          <w:b w:val="0"/>
          <w:bCs w:val="0"/>
          <w:color w:val="auto"/>
          <w:spacing w:val="0"/>
          <w:position w:val="0"/>
          <w:sz w:val="24"/>
          <w:szCs w:val="24"/>
          <w:highlight w:val="none"/>
          <w:u w:val="none" w:color="auto"/>
          <w:lang w:eastAsia="zh-CN"/>
        </w:rPr>
        <w:t>（</w:t>
      </w:r>
      <w:r>
        <w:rPr>
          <w:rFonts w:hint="eastAsia" w:hAnsi="宋体" w:eastAsia="宋体" w:cs="宋体"/>
          <w:b w:val="0"/>
          <w:bCs w:val="0"/>
          <w:color w:val="auto"/>
          <w:spacing w:val="0"/>
          <w:position w:val="0"/>
          <w:sz w:val="24"/>
          <w:szCs w:val="24"/>
          <w:highlight w:val="none"/>
          <w:u w:val="none" w:color="auto"/>
          <w:lang w:val="en-US" w:eastAsia="zh-CN"/>
        </w:rPr>
        <w:t>招标代理机构</w:t>
      </w:r>
      <w:r>
        <w:rPr>
          <w:rFonts w:hint="eastAsia" w:hAnsi="宋体" w:eastAsia="宋体" w:cs="宋体"/>
          <w:b w:val="0"/>
          <w:bCs w:val="0"/>
          <w:color w:val="auto"/>
          <w:spacing w:val="0"/>
          <w:position w:val="0"/>
          <w:sz w:val="24"/>
          <w:szCs w:val="24"/>
          <w:highlight w:val="none"/>
          <w:u w:val="none" w:color="auto"/>
          <w:lang w:eastAsia="zh-CN"/>
        </w:rPr>
        <w:t>）</w:t>
      </w:r>
      <w:r>
        <w:rPr>
          <w:rFonts w:hint="eastAsia" w:ascii="宋体" w:hAnsi="宋体" w:eastAsia="宋体" w:cs="宋体"/>
          <w:b w:val="0"/>
          <w:bCs w:val="0"/>
          <w:color w:val="auto"/>
          <w:spacing w:val="0"/>
          <w:position w:val="0"/>
          <w:sz w:val="24"/>
          <w:szCs w:val="24"/>
          <w:highlight w:val="none"/>
          <w:u w:val="none" w:color="auto"/>
          <w:lang w:eastAsia="zh-CN"/>
        </w:rPr>
        <w:t>代表介绍项目的概况及招标要求，以及定标方法与定标工作规则，不得发表具有倾向性的言论。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16.4.3</w:t>
      </w:r>
      <w:r>
        <w:rPr>
          <w:rFonts w:hint="eastAsia" w:ascii="宋体" w:hAnsi="宋体" w:eastAsia="宋体" w:cs="宋体"/>
          <w:b/>
          <w:bCs/>
          <w:color w:val="auto"/>
          <w:sz w:val="24"/>
          <w:szCs w:val="24"/>
          <w:highlight w:val="none"/>
          <w:u w:val="none"/>
          <w:shd w:val="clear" w:color="auto" w:fill="FFFFFF"/>
        </w:rPr>
        <w:t>审阅定标资料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w:t>
      </w:r>
      <w:r>
        <w:rPr>
          <w:rFonts w:hint="eastAsia" w:ascii="宋体" w:hAnsi="宋体" w:eastAsia="宋体" w:cs="宋体"/>
          <w:b w:val="0"/>
          <w:bCs w:val="0"/>
          <w:color w:val="auto"/>
          <w:spacing w:val="0"/>
          <w:position w:val="0"/>
          <w:sz w:val="24"/>
          <w:szCs w:val="24"/>
          <w:highlight w:val="none"/>
          <w:u w:val="none" w:color="auto"/>
          <w:lang w:val="en-US" w:eastAsia="zh-CN"/>
        </w:rPr>
        <w:t>定标</w:t>
      </w:r>
      <w:r>
        <w:rPr>
          <w:rFonts w:hint="eastAsia" w:ascii="宋体" w:hAnsi="宋体" w:eastAsia="宋体" w:cs="宋体"/>
          <w:b w:val="0"/>
          <w:bCs w:val="0"/>
          <w:color w:val="auto"/>
          <w:spacing w:val="0"/>
          <w:position w:val="0"/>
          <w:sz w:val="24"/>
          <w:szCs w:val="24"/>
          <w:highlight w:val="none"/>
          <w:u w:val="none" w:color="auto"/>
          <w:lang w:eastAsia="zh-CN"/>
        </w:rPr>
        <w:t>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pPr>
        <w:pStyle w:val="20"/>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Chars="228"/>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16.4.4</w:t>
      </w:r>
      <w:r>
        <w:rPr>
          <w:rFonts w:hint="eastAsia" w:ascii="宋体" w:hAnsi="宋体" w:eastAsia="宋体" w:cs="宋体"/>
          <w:b/>
          <w:bCs/>
          <w:color w:val="auto"/>
          <w:sz w:val="24"/>
          <w:szCs w:val="24"/>
          <w:highlight w:val="none"/>
          <w:u w:val="none"/>
          <w:shd w:val="clear" w:color="auto" w:fill="FFFFFF"/>
        </w:rPr>
        <w:t>疑问澄清</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rPr>
        <w:t>讨论过程中，若成员对投标文件内容或项目细节存在疑问，可向招标人代表提出。招标人应现场作出答复，答复内容不得改变招标投标的实质性内容，不得明示或暗示中标人。问答过程需形成书面记录，并由提问人与答复人签字确认。</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16.4.5投票，收票，点票和汇总</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bCs/>
          <w:color w:val="auto"/>
          <w:kern w:val="0"/>
          <w:sz w:val="24"/>
          <w:szCs w:val="24"/>
          <w:highlight w:val="none"/>
          <w:u w:val="none"/>
          <w:shd w:val="clear" w:color="auto" w:fill="FFFFFF"/>
          <w:lang w:val="en-US" w:eastAsia="zh-CN" w:bidi="ar-SA"/>
        </w:rPr>
        <w:t>16.4.6公布结果和出具定标报告</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pPr>
        <w:pStyle w:val="20"/>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16.4.7</w:t>
      </w:r>
      <w:r>
        <w:rPr>
          <w:rFonts w:hint="eastAsia" w:ascii="宋体" w:hAnsi="宋体" w:eastAsia="宋体" w:cs="宋体"/>
          <w:b/>
          <w:bCs/>
          <w:color w:val="auto"/>
          <w:sz w:val="24"/>
          <w:szCs w:val="24"/>
          <w:highlight w:val="none"/>
          <w:u w:val="none"/>
          <w:shd w:val="clear" w:color="auto" w:fill="FFFFFF"/>
        </w:rPr>
        <w:t>全程监督</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16.5定标因素</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在同等条件下，择优的定标因素和相对标准有以下几个方面：</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16.5.1</w:t>
      </w:r>
      <w:r>
        <w:rPr>
          <w:rFonts w:hint="eastAsia" w:ascii="宋体" w:hAnsi="宋体" w:eastAsia="宋体" w:cs="宋体"/>
          <w:b w:val="0"/>
          <w:bCs w:val="0"/>
          <w:color w:val="auto"/>
          <w:spacing w:val="0"/>
          <w:position w:val="0"/>
          <w:sz w:val="24"/>
          <w:szCs w:val="24"/>
          <w:highlight w:val="none"/>
          <w:u w:val="none" w:color="auto"/>
          <w:lang w:val="en-US" w:eastAsia="zh-CN"/>
        </w:rPr>
        <w:t>拟派团队管理能力与水平（履约能力）</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相对标准：拟派团队管理能力与水平（履约能力）强的定标候选人优于拟派团队管理能力与水平（履约能力）一般的定标候选人。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16.5.2</w:t>
      </w:r>
      <w:r>
        <w:rPr>
          <w:rFonts w:hint="eastAsia" w:ascii="宋体" w:hAnsi="宋体" w:eastAsia="宋体" w:cs="宋体"/>
          <w:b w:val="0"/>
          <w:bCs w:val="0"/>
          <w:color w:val="auto"/>
          <w:spacing w:val="0"/>
          <w:position w:val="0"/>
          <w:sz w:val="24"/>
          <w:szCs w:val="24"/>
          <w:highlight w:val="none"/>
          <w:u w:val="none" w:color="auto"/>
          <w:lang w:val="en-US" w:eastAsia="zh-CN"/>
        </w:rPr>
        <w:t>企业信誉</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相对标准：企业信誉评价好的定标候选人优于企业信誉评价一般的定标候选人。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16.5.3</w:t>
      </w:r>
      <w:r>
        <w:rPr>
          <w:rFonts w:hint="eastAsia" w:ascii="宋体" w:hAnsi="宋体" w:eastAsia="宋体" w:cs="宋体"/>
          <w:b w:val="0"/>
          <w:bCs w:val="0"/>
          <w:color w:val="auto"/>
          <w:spacing w:val="0"/>
          <w:position w:val="0"/>
          <w:sz w:val="24"/>
          <w:szCs w:val="24"/>
          <w:highlight w:val="none"/>
          <w:u w:val="none" w:color="auto"/>
          <w:lang w:val="en-US" w:eastAsia="zh-CN"/>
        </w:rPr>
        <w:t>农民工工资保障情况</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default"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相对标准：农民工工资保障情况好的定标候选人优于农民工工资保障情况差的定标候选人（结合定标候选人提交的证明材料和招标人查询的材料进行评审）。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w:t>
      </w:r>
      <w:r>
        <w:rPr>
          <w:rFonts w:hint="eastAsia" w:hAnsi="宋体" w:eastAsia="宋体" w:cs="宋体"/>
          <w:b/>
          <w:bCs/>
          <w:color w:val="auto"/>
          <w:spacing w:val="0"/>
          <w:position w:val="0"/>
          <w:sz w:val="24"/>
          <w:szCs w:val="24"/>
          <w:highlight w:val="none"/>
          <w:u w:val="none" w:color="auto"/>
          <w:lang w:val="en-US" w:eastAsia="zh-CN"/>
        </w:rPr>
        <w:t>4</w:t>
      </w:r>
      <w:r>
        <w:rPr>
          <w:rFonts w:hint="eastAsia" w:ascii="宋体" w:hAnsi="宋体" w:eastAsia="宋体" w:cs="宋体"/>
          <w:b w:val="0"/>
          <w:bCs w:val="0"/>
          <w:color w:val="auto"/>
          <w:spacing w:val="0"/>
          <w:position w:val="0"/>
          <w:sz w:val="24"/>
          <w:szCs w:val="24"/>
          <w:highlight w:val="none"/>
          <w:u w:val="none" w:color="auto"/>
          <w:lang w:val="en-US" w:eastAsia="zh-CN"/>
        </w:rPr>
        <w:t>评标报告</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color w:val="auto"/>
          <w:highlight w:val="none"/>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相对标准：评标委员会评审意见为具有优势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低</w:t>
      </w:r>
      <w:r>
        <w:rPr>
          <w:rFonts w:hint="eastAsia" w:ascii="宋体" w:hAnsi="宋体" w:eastAsia="宋体" w:cs="宋体"/>
          <w:b w:val="0"/>
          <w:bCs w:val="0"/>
          <w:color w:val="auto"/>
          <w:spacing w:val="0"/>
          <w:position w:val="0"/>
          <w:sz w:val="24"/>
          <w:szCs w:val="24"/>
          <w:highlight w:val="none"/>
          <w:u w:val="none" w:color="auto"/>
          <w:lang w:val="en-US" w:eastAsia="zh-CN"/>
        </w:rPr>
        <w:t>的定标候选人优于评标委员会评审意见为没有优势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高</w:t>
      </w:r>
      <w:r>
        <w:rPr>
          <w:rFonts w:hint="eastAsia" w:ascii="宋体" w:hAnsi="宋体" w:eastAsia="宋体" w:cs="宋体"/>
          <w:b w:val="0"/>
          <w:bCs w:val="0"/>
          <w:color w:val="auto"/>
          <w:spacing w:val="0"/>
          <w:position w:val="0"/>
          <w:sz w:val="24"/>
          <w:szCs w:val="24"/>
          <w:highlight w:val="none"/>
          <w:u w:val="none" w:color="auto"/>
          <w:lang w:val="en-US" w:eastAsia="zh-CN"/>
        </w:rPr>
        <w:t>的</w:t>
      </w:r>
      <w:r>
        <w:rPr>
          <w:rFonts w:hint="eastAsia" w:ascii="宋体" w:hAnsi="宋体" w:eastAsia="宋体" w:cs="宋体"/>
          <w:color w:val="auto"/>
          <w:sz w:val="24"/>
          <w:szCs w:val="24"/>
          <w:highlight w:val="none"/>
        </w:rPr>
        <w:t>定标候选人</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综合考虑评标委员会的评审意见，对各定标候选人</w:t>
      </w:r>
      <w:r>
        <w:rPr>
          <w:rFonts w:hint="eastAsia" w:ascii="宋体" w:hAnsi="宋体" w:eastAsia="宋体" w:cs="宋体"/>
          <w:color w:val="auto"/>
          <w:sz w:val="24"/>
          <w:szCs w:val="24"/>
          <w:highlight w:val="none"/>
        </w:rPr>
        <w:t>的优势、风险等评审情况</w:t>
      </w:r>
      <w:r>
        <w:rPr>
          <w:rFonts w:hint="eastAsia" w:ascii="宋体" w:hAnsi="宋体" w:eastAsia="宋体" w:cs="宋体"/>
          <w:b w:val="0"/>
          <w:bCs w:val="0"/>
          <w:color w:val="auto"/>
          <w:spacing w:val="0"/>
          <w:position w:val="0"/>
          <w:sz w:val="24"/>
          <w:szCs w:val="24"/>
          <w:highlight w:val="none"/>
          <w:u w:val="none" w:color="auto"/>
          <w:lang w:val="en-US" w:eastAsia="zh-CN"/>
        </w:rPr>
        <w:t>进行评审比较</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w:t>
      </w:r>
    </w:p>
    <w:p>
      <w:pPr>
        <w:pStyle w:val="39"/>
        <w:keepNext/>
        <w:keepLines/>
        <w:pageBreakBefore w:val="0"/>
        <w:kinsoku/>
        <w:wordWrap w:val="0"/>
        <w:overflowPunct/>
        <w:bidi w:val="0"/>
        <w:ind w:firstLine="480"/>
        <w:jc w:val="both"/>
        <w:rPr>
          <w:rFonts w:hint="eastAsia" w:ascii="宋体" w:hAnsi="宋体" w:eastAsia="宋体" w:cs="宋体"/>
          <w:b/>
          <w:bCs/>
          <w:color w:val="auto"/>
          <w:spacing w:val="0"/>
          <w:sz w:val="24"/>
          <w:szCs w:val="24"/>
          <w:highlight w:val="none"/>
        </w:rPr>
      </w:pPr>
      <w:bookmarkStart w:id="269" w:name="_Toc14218"/>
      <w:bookmarkStart w:id="270" w:name="_Toc6260"/>
      <w:r>
        <w:rPr>
          <w:rFonts w:hint="eastAsia" w:ascii="宋体" w:hAnsi="宋体" w:eastAsia="宋体" w:cs="宋体"/>
          <w:b/>
          <w:bCs/>
          <w:color w:val="auto"/>
          <w:spacing w:val="0"/>
          <w:sz w:val="24"/>
          <w:szCs w:val="24"/>
          <w:highlight w:val="none"/>
          <w:lang w:val="en-US" w:eastAsia="zh-CN"/>
        </w:rPr>
        <w:t>17</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w:t>
      </w:r>
      <w:r>
        <w:rPr>
          <w:rFonts w:hint="eastAsia" w:asciiTheme="minorEastAsia" w:hAnsiTheme="minorEastAsia" w:eastAsiaTheme="minorEastAsia" w:cstheme="minorEastAsia"/>
          <w:b/>
          <w:color w:val="auto"/>
          <w:kern w:val="2"/>
          <w:highlight w:val="none"/>
          <w:lang w:val="en-US" w:eastAsia="zh-CN"/>
        </w:rPr>
        <w:t>结果</w:t>
      </w:r>
      <w:r>
        <w:rPr>
          <w:rFonts w:hint="eastAsia" w:ascii="宋体" w:hAnsi="宋体" w:eastAsia="宋体" w:cs="宋体"/>
          <w:b/>
          <w:bCs/>
          <w:color w:val="auto"/>
          <w:spacing w:val="0"/>
          <w:sz w:val="24"/>
          <w:szCs w:val="24"/>
          <w:highlight w:val="none"/>
        </w:rPr>
        <w:t>公示</w:t>
      </w:r>
      <w:bookmarkEnd w:id="269"/>
      <w:bookmarkEnd w:id="270"/>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pacing w:val="0"/>
          <w:sz w:val="24"/>
          <w:szCs w:val="24"/>
          <w:highlight w:val="none"/>
        </w:rPr>
      </w:pPr>
      <w:r>
        <w:rPr>
          <w:rFonts w:hint="eastAsia" w:ascii="宋体" w:hAnsi="宋体" w:eastAsia="宋体" w:cs="宋体"/>
          <w:strike w:val="0"/>
          <w:dstrike w:val="0"/>
          <w:color w:val="auto"/>
          <w:kern w:val="2"/>
          <w:sz w:val="24"/>
          <w:szCs w:val="24"/>
          <w:highlight w:val="none"/>
          <w:u w:val="none"/>
          <w:lang w:val="en-US" w:eastAsia="zh-CN" w:bidi="ar-SA"/>
        </w:rPr>
        <w:t>定标</w:t>
      </w:r>
      <w:r>
        <w:rPr>
          <w:rFonts w:hint="eastAsia" w:ascii="宋体" w:hAnsi="宋体" w:eastAsia="宋体" w:cs="宋体"/>
          <w:b w:val="0"/>
          <w:bCs w:val="0"/>
          <w:color w:val="auto"/>
          <w:spacing w:val="0"/>
          <w:position w:val="0"/>
          <w:sz w:val="24"/>
          <w:szCs w:val="24"/>
          <w:highlight w:val="none"/>
          <w:u w:val="none" w:color="auto"/>
          <w:lang w:val="en-US" w:eastAsia="zh-CN"/>
        </w:rPr>
        <w:t>委员会</w:t>
      </w:r>
      <w:r>
        <w:rPr>
          <w:rFonts w:hint="eastAsia" w:ascii="宋体" w:hAnsi="宋体" w:eastAsia="宋体" w:cs="宋体"/>
          <w:strike w:val="0"/>
          <w:dstrike w:val="0"/>
          <w:color w:val="auto"/>
          <w:kern w:val="2"/>
          <w:sz w:val="24"/>
          <w:szCs w:val="24"/>
          <w:highlight w:val="none"/>
          <w:u w:val="none"/>
          <w:lang w:val="en-US" w:eastAsia="zh-CN" w:bidi="ar-SA"/>
        </w:rPr>
        <w:t>完成定标后，招标人应于定标会结束后3日内将中标候选人和定标情况在</w:t>
      </w:r>
      <w:r>
        <w:rPr>
          <w:rFonts w:hint="eastAsia" w:ascii="宋体" w:hAnsi="宋体" w:eastAsia="宋体" w:cs="宋体"/>
          <w:color w:val="auto"/>
          <w:spacing w:val="0"/>
          <w:sz w:val="24"/>
          <w:szCs w:val="24"/>
          <w:highlight w:val="none"/>
        </w:rPr>
        <w:t>广东省招标投标监管网（http://zbtb.gd.gov.cn）、全国公共资源交易平台（广东省 ·韶关市）（https://ygp.gdzwfw.gov.cn/ggzy-portal/#/440200/index）进行公示。</w:t>
      </w:r>
    </w:p>
    <w:p>
      <w:pPr>
        <w:pStyle w:val="37"/>
        <w:pageBreakBefore w:val="0"/>
        <w:kinsoku/>
        <w:wordWrap w:val="0"/>
        <w:overflowPunct/>
        <w:bidi w:val="0"/>
        <w:spacing w:line="400" w:lineRule="exact"/>
        <w:ind w:firstLine="480" w:firstLineChars="200"/>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pPr>
    </w:p>
    <w:p>
      <w:pPr>
        <w:pStyle w:val="37"/>
        <w:pageBreakBefore w:val="0"/>
        <w:kinsoku/>
        <w:wordWrap w:val="0"/>
        <w:overflowPunct/>
        <w:bidi w:val="0"/>
        <w:spacing w:line="400" w:lineRule="exact"/>
        <w:ind w:firstLine="480" w:firstLineChars="200"/>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pPr>
    </w:p>
    <w:p>
      <w:pP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bookmarkStart w:id="271" w:name="_Hlt112206772"/>
      <w:bookmarkEnd w:id="271"/>
      <w:bookmarkStart w:id="272" w:name="_Hlt69669771"/>
      <w:bookmarkEnd w:id="272"/>
      <w:bookmarkStart w:id="273" w:name="_Toc16649"/>
      <w:bookmarkStart w:id="274" w:name="_Toc9083"/>
      <w:bookmarkStart w:id="275" w:name="_Toc11519"/>
      <w:bookmarkStart w:id="276" w:name="_Toc16203"/>
      <w:bookmarkStart w:id="277" w:name="_Toc16300"/>
      <w:bookmarkStart w:id="278" w:name="_Toc24184"/>
      <w:bookmarkStart w:id="279" w:name="_Toc13416"/>
      <w:bookmarkStart w:id="280" w:name="_Toc21045"/>
      <w:bookmarkStart w:id="281" w:name="_Hlt69698713"/>
      <w:bookmarkStart w:id="282" w:name="_Hlt69698765"/>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br w:type="page"/>
      </w:r>
    </w:p>
    <w:p>
      <w:pPr>
        <w:pageBreakBefore w:val="0"/>
        <w:kinsoku/>
        <w:wordWrap w:val="0"/>
        <w:overflowPunct/>
        <w:bidi w:val="0"/>
        <w:adjustRightInd w:val="0"/>
        <w:snapToGrid w:val="0"/>
        <w:spacing w:line="440" w:lineRule="exact"/>
        <w:outlineLvl w:val="1"/>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第四节 否决投标条件</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本节所集中列示的否决投标条件，是本章第三节“投标人须知正文”的组成部分，是对本章第三节所规定的否决投标条件的总结和补充。投标人未有列入本节情形的，评标时一律不得否决其投标。本节所称“规定”均指招标文件的规定。</w:t>
      </w:r>
    </w:p>
    <w:p>
      <w:pPr>
        <w:pageBreakBefore w:val="0"/>
        <w:kinsoku/>
        <w:wordWrap w:val="0"/>
        <w:overflowPunct/>
        <w:bidi w:val="0"/>
        <w:adjustRightInd w:val="0"/>
        <w:snapToGrid w:val="0"/>
        <w:spacing w:line="440" w:lineRule="exact"/>
        <w:outlineLvl w:val="1"/>
        <w:rPr>
          <w:rFonts w:hint="eastAsia" w:asciiTheme="minorEastAsia" w:hAnsiTheme="minorEastAsia" w:eastAsiaTheme="minorEastAsia" w:cstheme="minorEastAsia"/>
          <w:b/>
          <w:bCs/>
          <w:snapToGrid w:val="0"/>
          <w:color w:val="auto"/>
          <w:kern w:val="0"/>
          <w:szCs w:val="24"/>
          <w:highlight w:val="none"/>
        </w:rPr>
      </w:pPr>
      <w:bookmarkStart w:id="283" w:name="_Toc25868"/>
      <w:r>
        <w:rPr>
          <w:rFonts w:hint="eastAsia" w:asciiTheme="minorEastAsia" w:hAnsiTheme="minorEastAsia" w:eastAsiaTheme="minorEastAsia" w:cstheme="minorEastAsia"/>
          <w:b/>
          <w:bCs/>
          <w:snapToGrid w:val="0"/>
          <w:color w:val="auto"/>
          <w:kern w:val="0"/>
          <w:szCs w:val="24"/>
          <w:highlight w:val="none"/>
        </w:rPr>
        <w:t>1．资格评审环节</w:t>
      </w:r>
      <w:bookmarkEnd w:id="283"/>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投标人有下列情形之一的，评标委员会应否决其投标。被否决的投标人，不进入形式评审环节。</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（1）有本章第三节第4.4条“禁止投标条款”规定的任何一种情形；</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（2）投标人资质不符合规定的；</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投标人名称与营业执照、资质证书、安全生产许可证上的企业名称相互不一致的；其资质证书、安全生产许可证不是由住房城乡建设主管部门颁发的；营业执照、资质证书、安全生产许可证被吊销、暂扣或不在有效期内的；</w:t>
      </w:r>
    </w:p>
    <w:p>
      <w:pPr>
        <w:pageBreakBefore w:val="0"/>
        <w:kinsoku/>
        <w:wordWrap w:val="0"/>
        <w:overflowPunct/>
        <w:bidi w:val="0"/>
        <w:adjustRightInd w:val="0"/>
        <w:snapToGrid w:val="0"/>
        <w:spacing w:line="440" w:lineRule="exact"/>
        <w:ind w:firstLine="723" w:firstLineChars="30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pPr>
        <w:pageBreakBefore w:val="0"/>
        <w:kinsoku/>
        <w:wordWrap w:val="0"/>
        <w:overflowPunct/>
        <w:bidi w:val="0"/>
        <w:adjustRightInd w:val="0"/>
        <w:snapToGrid w:val="0"/>
        <w:spacing w:line="440" w:lineRule="exact"/>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根据有关文件精神，投标人的企业相关证书到期的，均按该证书的发证机构相关行政主管部门最新文件执行（如自动顺延或推迟办理延期业务的通知等）投标人须提供相关证明材料附在该证书后面，证明在开标日继续有效的。</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（4）拟派项目经理、项目技术负责人、专职安全员、设计负责人的条件不符合规定的；拟派专职安全员数量不符合规定的；</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（5）《项目经理简历表》中拟派项目经理与《开标一览表》不一致的；建造师的注册证书不是</w:t>
      </w:r>
      <w:r>
        <w:rPr>
          <w:rFonts w:hint="eastAsia" w:asciiTheme="minorEastAsia" w:hAnsiTheme="minorEastAsia" w:eastAsiaTheme="minorEastAsia" w:cstheme="minorEastAsia"/>
          <w:snapToGrid w:val="0"/>
          <w:color w:val="auto"/>
          <w:kern w:val="0"/>
          <w:szCs w:val="24"/>
          <w:highlight w:val="none"/>
          <w:lang w:eastAsia="zh-CN"/>
        </w:rPr>
        <w:t>住房和城乡建设部</w:t>
      </w:r>
      <w:r>
        <w:rPr>
          <w:rFonts w:hint="eastAsia" w:asciiTheme="minorEastAsia" w:hAnsiTheme="minorEastAsia" w:eastAsiaTheme="minorEastAsia" w:cstheme="minorEastAsia"/>
          <w:snapToGrid w:val="0"/>
          <w:color w:val="auto"/>
          <w:kern w:val="0"/>
          <w:szCs w:val="24"/>
          <w:highlight w:val="none"/>
        </w:rPr>
        <w:t>门颁发的；建造师</w:t>
      </w:r>
      <w:r>
        <w:rPr>
          <w:rFonts w:hint="eastAsia" w:asciiTheme="minorEastAsia" w:hAnsiTheme="minorEastAsia" w:eastAsiaTheme="minorEastAsia" w:cstheme="minorEastAsia"/>
          <w:snapToGrid w:val="0"/>
          <w:color w:val="auto"/>
          <w:kern w:val="0"/>
          <w:szCs w:val="24"/>
          <w:highlight w:val="none"/>
          <w:lang w:eastAsia="zh-CN"/>
        </w:rPr>
        <w:t>、</w:t>
      </w:r>
      <w:r>
        <w:rPr>
          <w:rFonts w:hint="eastAsia" w:asciiTheme="minorEastAsia" w:hAnsiTheme="minorEastAsia" w:eastAsiaTheme="minorEastAsia" w:cstheme="minorEastAsia"/>
          <w:snapToGrid w:val="0"/>
          <w:color w:val="auto"/>
          <w:kern w:val="0"/>
          <w:szCs w:val="24"/>
          <w:highlight w:val="none"/>
          <w:lang w:val="en-US" w:eastAsia="zh-CN"/>
        </w:rPr>
        <w:t>设计负责人</w:t>
      </w:r>
      <w:r>
        <w:rPr>
          <w:rFonts w:hint="eastAsia" w:asciiTheme="minorEastAsia" w:hAnsiTheme="minorEastAsia" w:eastAsiaTheme="minorEastAsia" w:cstheme="minorEastAsia"/>
          <w:snapToGrid w:val="0"/>
          <w:color w:val="auto"/>
          <w:kern w:val="0"/>
          <w:szCs w:val="24"/>
          <w:highlight w:val="none"/>
        </w:rPr>
        <w:t>的注册单位与投标人不一致的；项目管理班子组成人员的各类证书、证件、证明不在有效期内的（建造师注册证书不在使用有效期内的）；擅自修改、遗漏《项目经理任职声明》实质性内容的；</w:t>
      </w:r>
    </w:p>
    <w:p>
      <w:pPr>
        <w:pageBreakBefore w:val="0"/>
        <w:kinsoku/>
        <w:wordWrap w:val="0"/>
        <w:overflowPunct/>
        <w:bidi w:val="0"/>
        <w:adjustRightInd w:val="0"/>
        <w:snapToGrid w:val="0"/>
        <w:spacing w:line="440" w:lineRule="exact"/>
        <w:ind w:firstLine="723" w:firstLineChars="30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注：投标人已经工商变更，但其员工执业资格注册证书的注册单位名称未完成变更的，不得否决其投标。</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（6）联合体投标，未提交《联合体协议书》的；擅自修改、遗漏《联合体协议书》实质性内容的；联合体成员的数量、资质不符合规定的；联合体成员同时以自己名义单独投标或者参加其他联合体投标的；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（7）投标人为外省建筑企业，但未提供“进粤企业和人员诚信信息登记平台”企业和拟派人员信息情况打印页或网页截图的。</w:t>
      </w:r>
    </w:p>
    <w:p>
      <w:pPr>
        <w:pageBreakBefore w:val="0"/>
        <w:kinsoku/>
        <w:wordWrap w:val="0"/>
        <w:overflowPunct/>
        <w:bidi w:val="0"/>
        <w:adjustRightInd w:val="0"/>
        <w:snapToGrid w:val="0"/>
        <w:spacing w:line="440" w:lineRule="exact"/>
        <w:outlineLvl w:val="1"/>
        <w:rPr>
          <w:rFonts w:hint="eastAsia" w:asciiTheme="minorEastAsia" w:hAnsiTheme="minorEastAsia" w:eastAsiaTheme="minorEastAsia" w:cstheme="minorEastAsia"/>
          <w:b/>
          <w:bCs/>
          <w:snapToGrid w:val="0"/>
          <w:color w:val="auto"/>
          <w:kern w:val="0"/>
          <w:szCs w:val="24"/>
          <w:highlight w:val="none"/>
        </w:rPr>
      </w:pPr>
      <w:bookmarkStart w:id="284" w:name="_Toc16862"/>
      <w:r>
        <w:rPr>
          <w:rFonts w:hint="eastAsia" w:asciiTheme="minorEastAsia" w:hAnsiTheme="minorEastAsia" w:eastAsiaTheme="minorEastAsia" w:cstheme="minorEastAsia"/>
          <w:b/>
          <w:bCs/>
          <w:snapToGrid w:val="0"/>
          <w:color w:val="auto"/>
          <w:kern w:val="0"/>
          <w:szCs w:val="24"/>
          <w:highlight w:val="none"/>
        </w:rPr>
        <w:t>2．形式评审环节</w:t>
      </w:r>
      <w:bookmarkEnd w:id="284"/>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投标人有下列情形之一的，评标委员会应否决其投标。被否决的投标人，不进入响应性评审环节。</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1</w:t>
      </w:r>
      <w:r>
        <w:rPr>
          <w:rFonts w:hint="eastAsia" w:asciiTheme="minorEastAsia" w:hAnsiTheme="minorEastAsia" w:eastAsiaTheme="minorEastAsia" w:cstheme="minorEastAsia"/>
          <w:snapToGrid w:val="0"/>
          <w:color w:val="auto"/>
          <w:kern w:val="0"/>
          <w:szCs w:val="24"/>
          <w:highlight w:val="none"/>
        </w:rPr>
        <w:t>）本章第三节第11.2.2目中规定的“所有投标人均应提供”的组成内容（包括该组成内容的所附资料）中，任何一项有缺漏的；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2</w:t>
      </w:r>
      <w:r>
        <w:rPr>
          <w:rFonts w:hint="eastAsia" w:asciiTheme="minorEastAsia" w:hAnsiTheme="minorEastAsia" w:eastAsiaTheme="minorEastAsia" w:cstheme="minorEastAsia"/>
          <w:snapToGrid w:val="0"/>
          <w:color w:val="auto"/>
          <w:kern w:val="0"/>
          <w:szCs w:val="24"/>
          <w:highlight w:val="none"/>
        </w:rPr>
        <w:t>）关键字迹模糊、无法辨认，且该种过错将导致评标委员会无法判断投标文件是否响应招标文件实质性要求的；出现手工涂改、行间插字或删除，但未加盖单位章或由投标人的法定代表人或其委托代理人签字确认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3</w:t>
      </w:r>
      <w:r>
        <w:rPr>
          <w:rFonts w:hint="eastAsia" w:asciiTheme="minorEastAsia" w:hAnsiTheme="minorEastAsia" w:eastAsiaTheme="minorEastAsia" w:cstheme="minorEastAsia"/>
          <w:snapToGrid w:val="0"/>
          <w:color w:val="auto"/>
          <w:kern w:val="0"/>
          <w:szCs w:val="24"/>
          <w:highlight w:val="none"/>
        </w:rPr>
        <w:t>）投标文件未按规定签字、盖章的；</w:t>
      </w:r>
    </w:p>
    <w:p>
      <w:pPr>
        <w:pageBreakBefore w:val="0"/>
        <w:kinsoku/>
        <w:wordWrap w:val="0"/>
        <w:overflowPunct/>
        <w:bidi w:val="0"/>
        <w:adjustRightInd w:val="0"/>
        <w:snapToGrid w:val="0"/>
        <w:spacing w:line="440" w:lineRule="exact"/>
        <w:outlineLvl w:val="1"/>
        <w:rPr>
          <w:rFonts w:hint="eastAsia" w:asciiTheme="minorEastAsia" w:hAnsiTheme="minorEastAsia" w:eastAsiaTheme="minorEastAsia" w:cstheme="minorEastAsia"/>
          <w:b/>
          <w:bCs/>
          <w:snapToGrid w:val="0"/>
          <w:color w:val="auto"/>
          <w:kern w:val="0"/>
          <w:szCs w:val="24"/>
          <w:highlight w:val="none"/>
        </w:rPr>
      </w:pPr>
      <w:bookmarkStart w:id="285" w:name="_Toc11607"/>
      <w:r>
        <w:rPr>
          <w:rFonts w:hint="eastAsia" w:asciiTheme="minorEastAsia" w:hAnsiTheme="minorEastAsia" w:eastAsiaTheme="minorEastAsia" w:cstheme="minorEastAsia"/>
          <w:b/>
          <w:bCs/>
          <w:snapToGrid w:val="0"/>
          <w:color w:val="auto"/>
          <w:kern w:val="0"/>
          <w:szCs w:val="24"/>
          <w:highlight w:val="none"/>
        </w:rPr>
        <w:t>3．响应性评审环节</w:t>
      </w:r>
      <w:bookmarkEnd w:id="285"/>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投标人有下列情形之一的，评标委员会应否决其投标。被否决的投标人，不进入详细评审阶段。</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（1）承诺的投标有效期短于规定的；工期超出规定的；擅自修改、遗漏《投标函》《各项承诺一览表》实质性内容的；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2</w:t>
      </w:r>
      <w:r>
        <w:rPr>
          <w:rFonts w:hint="eastAsia" w:asciiTheme="minorEastAsia" w:hAnsiTheme="minorEastAsia" w:eastAsiaTheme="minorEastAsia" w:cstheme="minorEastAsia"/>
          <w:snapToGrid w:val="0"/>
          <w:color w:val="auto"/>
          <w:kern w:val="0"/>
          <w:szCs w:val="24"/>
          <w:highlight w:val="none"/>
        </w:rPr>
        <w:t>）两个或两个以上投标总价的（同一个投标总价大、小写不一致的除外）；投标总价超出最高投标限价的；投标总价下浮率超过15%，又未提供相应书面说明和佐证材料或提供的书面说明和佐证材料不能令人信服，被评标委员会认定以低于成本报价竞标的；</w:t>
      </w:r>
    </w:p>
    <w:p>
      <w:pPr>
        <w:pageBreakBefore w:val="0"/>
        <w:kinsoku/>
        <w:wordWrap w:val="0"/>
        <w:overflowPunct/>
        <w:bidi w:val="0"/>
        <w:adjustRightInd w:val="0"/>
        <w:snapToGrid w:val="0"/>
        <w:spacing w:line="440" w:lineRule="exact"/>
        <w:outlineLvl w:val="1"/>
        <w:rPr>
          <w:rFonts w:hint="eastAsia" w:asciiTheme="minorEastAsia" w:hAnsiTheme="minorEastAsia" w:eastAsiaTheme="minorEastAsia" w:cstheme="minorEastAsia"/>
          <w:b/>
          <w:bCs/>
          <w:snapToGrid w:val="0"/>
          <w:color w:val="auto"/>
          <w:kern w:val="0"/>
          <w:szCs w:val="24"/>
          <w:highlight w:val="none"/>
        </w:rPr>
      </w:pPr>
      <w:bookmarkStart w:id="286" w:name="_Toc29578"/>
      <w:r>
        <w:rPr>
          <w:rFonts w:hint="eastAsia" w:asciiTheme="minorEastAsia" w:hAnsiTheme="minorEastAsia" w:eastAsiaTheme="minorEastAsia" w:cstheme="minorEastAsia"/>
          <w:b/>
          <w:bCs/>
          <w:snapToGrid w:val="0"/>
          <w:color w:val="auto"/>
          <w:kern w:val="0"/>
          <w:szCs w:val="24"/>
          <w:highlight w:val="none"/>
        </w:rPr>
        <w:t>4．其他</w:t>
      </w:r>
      <w:bookmarkEnd w:id="286"/>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在任何评标环节（或阶段），投标人有下列情形之一的，评标委员会应否决其投标。被否决的投标人，不进入下一环节（或阶段）。</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1</w:t>
      </w:r>
      <w:r>
        <w:rPr>
          <w:rFonts w:hint="eastAsia" w:asciiTheme="minorEastAsia" w:hAnsiTheme="minorEastAsia" w:eastAsiaTheme="minorEastAsia" w:cstheme="minorEastAsia"/>
          <w:snapToGrid w:val="0"/>
          <w:color w:val="auto"/>
          <w:kern w:val="0"/>
          <w:szCs w:val="24"/>
          <w:highlight w:val="none"/>
        </w:rPr>
        <w:t>）不按评标委员会要求澄清、说明或补正的；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2</w:t>
      </w:r>
      <w:r>
        <w:rPr>
          <w:rFonts w:hint="eastAsia" w:asciiTheme="minorEastAsia" w:hAnsiTheme="minorEastAsia" w:eastAsiaTheme="minorEastAsia" w:cstheme="minorEastAsia"/>
          <w:snapToGrid w:val="0"/>
          <w:color w:val="auto"/>
          <w:kern w:val="0"/>
          <w:szCs w:val="24"/>
          <w:highlight w:val="none"/>
        </w:rPr>
        <w:t>）有下列情形之一，被评标委员会认定属于串通投标的：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①不同投标人的投标文件两处以上（含两处）错、漏一致；</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②不同投标人的投标总价相近且各分项报价、综合单价分析表内容混乱不能相互对应、乱调乱压或乱抬的，而在询标时没有合理的解释或者不能提供计算依据和报价依据；</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③不同投标人的投标各项报价存在异常一致或者呈规律性变化；</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④不同投标人的投标文件由同一单位或者同一个人编制；</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⑤不同投标人的投标文件中投标资料（包括电子资料）相互混装或项目班子成员出现同一人；</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⑥不同投标人的投标文件由同一电脑编制或同一台附属设备打印，或投标报价用同一个预算编制软件密码锁制作或出自同一电子文档；</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⑦不同投标人的投标保证由同一企业或同一账户资金缴纳；</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⑧不同投标人委托同一个人或注册在同一家企业的注册人员或同一家企业为其投标提供投标咨询、商务报价、技术咨询（招标工程本身要求采用专有技术的除外）等服务。</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auto"/>
          <w:kern w:val="0"/>
          <w:szCs w:val="24"/>
          <w:highlight w:val="none"/>
        </w:rPr>
        <w:sectPr>
          <w:footerReference r:id="rId5" w:type="default"/>
          <w:endnotePr>
            <w:numFmt w:val="decimal"/>
          </w:endnotePr>
          <w:pgSz w:w="11906" w:h="16838"/>
          <w:pgMar w:top="1701" w:right="1531" w:bottom="1417" w:left="1531" w:header="850" w:footer="992" w:gutter="0"/>
          <w:pgNumType w:fmt="decimal" w:start="1"/>
          <w:cols w:space="720" w:num="1"/>
          <w:docGrid w:linePitch="327" w:charSpace="0"/>
        </w:sectPr>
      </w:pPr>
    </w:p>
    <w:p>
      <w:pPr>
        <w:pStyle w:val="38"/>
        <w:keepNext/>
        <w:keepLines/>
        <w:pageBreakBefore w:val="0"/>
        <w:tabs>
          <w:tab w:val="left" w:pos="885"/>
        </w:tabs>
        <w:kinsoku/>
        <w:wordWrap w:val="0"/>
        <w:overflowPunct/>
        <w:bidi w:val="0"/>
        <w:spacing w:line="400" w:lineRule="exact"/>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bookmarkStart w:id="287" w:name="_Toc22123"/>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第二章</w:t>
      </w:r>
      <w:bookmarkStart w:id="288" w:name="_Hlt87793831"/>
      <w:bookmarkEnd w:id="288"/>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 xml:space="preserve"> 拟签订合同的主要条款</w:t>
      </w:r>
      <w:bookmarkEnd w:id="273"/>
      <w:bookmarkEnd w:id="274"/>
      <w:bookmarkEnd w:id="275"/>
      <w:bookmarkEnd w:id="276"/>
      <w:bookmarkEnd w:id="277"/>
      <w:bookmarkEnd w:id="278"/>
      <w:bookmarkEnd w:id="279"/>
      <w:bookmarkEnd w:id="280"/>
      <w:bookmarkEnd w:id="287"/>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281"/>
    <w:bookmarkEnd w:id="282"/>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89" w:name="_Toc326916629"/>
      <w:bookmarkStart w:id="290" w:name="_Toc28378"/>
      <w:bookmarkStart w:id="291" w:name="_Toc12651"/>
      <w:bookmarkStart w:id="292" w:name="_Toc19931"/>
      <w:bookmarkStart w:id="293" w:name="_Toc8407"/>
      <w:bookmarkStart w:id="294" w:name="_Toc21667"/>
      <w:bookmarkStart w:id="295" w:name="_Toc322793288"/>
      <w:bookmarkStart w:id="296" w:name="_Toc26552"/>
      <w:bookmarkStart w:id="297" w:name="_Toc7347"/>
      <w:bookmarkStart w:id="298" w:name="_Toc16827"/>
      <w:bookmarkStart w:id="299" w:name="_Toc18454"/>
      <w:bookmarkStart w:id="300" w:name="_Toc22879"/>
      <w:bookmarkStart w:id="301" w:name="_Hlt69698722"/>
      <w:bookmarkStart w:id="302" w:name="_Hlt69698769"/>
      <w:bookmarkStart w:id="303" w:name="_Hlt69698741"/>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w:t>
      </w:r>
      <w:r>
        <w:rPr>
          <w:rFonts w:hint="eastAsia" w:asciiTheme="minorEastAsia" w:hAnsiTheme="minorEastAsia" w:eastAsiaTheme="minorEastAsia" w:cstheme="minorEastAsia"/>
          <w:b/>
          <w:color w:val="000000" w:themeColor="text1"/>
          <w:kern w:val="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工程承包方式</w:t>
      </w:r>
      <w:bookmarkEnd w:id="289"/>
      <w:bookmarkEnd w:id="290"/>
      <w:bookmarkEnd w:id="291"/>
      <w:bookmarkEnd w:id="292"/>
      <w:bookmarkEnd w:id="293"/>
      <w:bookmarkEnd w:id="294"/>
      <w:bookmarkEnd w:id="295"/>
      <w:bookmarkEnd w:id="296"/>
      <w:bookmarkEnd w:id="297"/>
      <w:bookmarkEnd w:id="298"/>
      <w:bookmarkEnd w:id="299"/>
      <w:bookmarkEnd w:id="300"/>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1.1承包人按中标价以总承包方式在规定的期限内对</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设计、施工</w:t>
      </w:r>
      <w:r>
        <w:rPr>
          <w:rFonts w:hint="eastAsia" w:asciiTheme="minorEastAsia" w:hAnsiTheme="minorEastAsia" w:eastAsiaTheme="minorEastAsia" w:cstheme="minorEastAsia"/>
          <w:color w:val="000000" w:themeColor="text1"/>
          <w:highlight w:val="none"/>
          <w14:textFill>
            <w14:solidFill>
              <w14:schemeClr w14:val="tx1"/>
            </w14:solidFill>
          </w14:textFill>
        </w:rPr>
        <w:t>（包工</w:t>
      </w:r>
      <w:bookmarkStart w:id="304" w:name="_Hlt87948212"/>
      <w:bookmarkEnd w:id="304"/>
      <w:r>
        <w:rPr>
          <w:rFonts w:hint="eastAsia" w:asciiTheme="minorEastAsia" w:hAnsiTheme="minorEastAsia" w:eastAsiaTheme="minorEastAsia" w:cstheme="minorEastAsia"/>
          <w:color w:val="000000" w:themeColor="text1"/>
          <w:highlight w:val="none"/>
          <w14:textFill>
            <w14:solidFill>
              <w14:schemeClr w14:val="tx1"/>
            </w14:solidFill>
          </w14:textFill>
        </w:rPr>
        <w:t>包料、包质量、包机械、包绿色安全文明施工、包工期等）进行总承包，不允许转包和违法分包，如承包人无相应专业资质，确需分包须与发包人协商并得到发包人和监理人同意并报工程主管部门备案。</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1.1.1 包工包料：材料符合招标文件要求</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及合同的相关约定</w:t>
      </w:r>
      <w:r>
        <w:rPr>
          <w:rFonts w:hint="eastAsia" w:asciiTheme="minorEastAsia" w:hAnsiTheme="minorEastAsia" w:eastAsiaTheme="minorEastAsia" w:cstheme="minorEastAsia"/>
          <w:color w:val="000000" w:themeColor="text1"/>
          <w:highlight w:val="none"/>
          <w14:textFill>
            <w14:solidFill>
              <w14:schemeClr w14:val="tx1"/>
            </w14:solidFill>
          </w14:textFill>
        </w:rPr>
        <w:t>，报验使用；办理用工保险。</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1.1.2 包质量：符合招标文件要求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及合同有关质量的相关约定</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1.1.3 包安全包文明施工：符合国家及省、市的相关规定及招标文件、合同的相关约定要求。</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1.1.4 包工期：</w:t>
      </w:r>
      <w:r>
        <w:rPr>
          <w:rFonts w:hint="eastAsia"/>
          <w:snapToGrid w:val="0"/>
          <w:color w:val="000000" w:themeColor="text1"/>
          <w:kern w:val="0"/>
          <w:szCs w:val="21"/>
          <w:highlight w:val="none"/>
          <w14:textFill>
            <w14:solidFill>
              <w14:schemeClr w14:val="tx1"/>
            </w14:solidFill>
          </w14:textFill>
        </w:rPr>
        <w:t>本招标工程</w:t>
      </w:r>
      <w:r>
        <w:rPr>
          <w:rFonts w:hint="eastAsia" w:hAnsi="宋体" w:cs="宋体"/>
          <w:bCs/>
          <w:color w:val="000000" w:themeColor="text1"/>
          <w:szCs w:val="21"/>
          <w:highlight w:val="none"/>
          <w:lang w:eastAsia="zh-CN"/>
          <w14:textFill>
            <w14:solidFill>
              <w14:schemeClr w14:val="tx1"/>
            </w14:solidFill>
          </w14:textFill>
        </w:rPr>
        <w:t>设计、施工</w:t>
      </w:r>
      <w:r>
        <w:rPr>
          <w:rFonts w:hint="eastAsia"/>
          <w:snapToGrid w:val="0"/>
          <w:color w:val="000000" w:themeColor="text1"/>
          <w:kern w:val="0"/>
          <w:szCs w:val="21"/>
          <w:highlight w:val="none"/>
          <w14:textFill>
            <w14:solidFill>
              <w14:schemeClr w14:val="tx1"/>
            </w14:solidFill>
          </w14:textFill>
        </w:rPr>
        <w:t>必须在招标</w:t>
      </w:r>
      <w:r>
        <w:rPr>
          <w:rFonts w:hint="eastAsia"/>
          <w:snapToGrid w:val="0"/>
          <w:color w:val="000000" w:themeColor="text1"/>
          <w:kern w:val="0"/>
          <w:szCs w:val="21"/>
          <w:highlight w:val="none"/>
          <w:lang w:val="en-US" w:eastAsia="zh-CN"/>
          <w14:textFill>
            <w14:solidFill>
              <w14:schemeClr w14:val="tx1"/>
            </w14:solidFill>
          </w14:textFill>
        </w:rPr>
        <w:t>文件</w:t>
      </w:r>
      <w:r>
        <w:rPr>
          <w:rFonts w:hint="eastAsia" w:ascii="宋体" w:hAnsi="宋体" w:eastAsia="宋体" w:cs="宋体"/>
          <w:color w:val="000000" w:themeColor="text1"/>
          <w:highlight w:val="none"/>
          <w14:textFill>
            <w14:solidFill>
              <w14:schemeClr w14:val="tx1"/>
            </w14:solidFill>
          </w14:textFill>
        </w:rPr>
        <w:t>规定</w:t>
      </w:r>
      <w:r>
        <w:rPr>
          <w:rFonts w:hint="eastAsia" w:ascii="宋体" w:hAnsi="宋体" w:eastAsia="宋体" w:cs="宋体"/>
          <w:color w:val="000000" w:themeColor="text1"/>
          <w:highlight w:val="none"/>
          <w:lang w:val="en-US" w:eastAsia="zh-CN"/>
          <w14:textFill>
            <w14:solidFill>
              <w14:schemeClr w14:val="tx1"/>
            </w14:solidFill>
          </w14:textFill>
        </w:rPr>
        <w:t>的</w:t>
      </w:r>
      <w:r>
        <w:rPr>
          <w:rFonts w:hint="eastAsia"/>
          <w:snapToGrid w:val="0"/>
          <w:color w:val="000000" w:themeColor="text1"/>
          <w:kern w:val="0"/>
          <w:szCs w:val="21"/>
          <w:highlight w:val="none"/>
          <w14:textFill>
            <w14:solidFill>
              <w14:schemeClr w14:val="tx1"/>
            </w14:solidFill>
          </w14:textFill>
        </w:rPr>
        <w:t>工期内完成</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 xml:space="preserve">1.2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限额设计要求：</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1.2.1若造价咨询单位按施工图编制或审核的建安工程费高于</w:t>
      </w:r>
      <w:r>
        <w:rPr>
          <w:rFonts w:hint="eastAsia" w:ascii="宋体" w:hAnsi="宋体" w:eastAsia="宋体" w:cs="宋体"/>
          <w:color w:val="000000" w:themeColor="text1"/>
          <w:sz w:val="24"/>
          <w:szCs w:val="24"/>
          <w:highlight w:val="none"/>
          <w14:textFill>
            <w14:solidFill>
              <w14:schemeClr w14:val="tx1"/>
            </w14:solidFill>
          </w14:textFill>
        </w:rPr>
        <w:t>建安工程费的中标价</w:t>
      </w:r>
      <w:r>
        <w:rPr>
          <w:rFonts w:hint="eastAsia" w:ascii="宋体" w:hAnsi="宋体" w:eastAsia="宋体" w:cs="宋体"/>
          <w:snapToGrid w:val="0"/>
          <w:color w:val="000000" w:themeColor="text1"/>
          <w:kern w:val="0"/>
          <w:sz w:val="24"/>
          <w:szCs w:val="24"/>
          <w:highlight w:val="none"/>
          <w14:textFill>
            <w14:solidFill>
              <w14:schemeClr w14:val="tx1"/>
            </w14:solidFill>
          </w14:textFill>
        </w:rPr>
        <w:t>时</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，承包人必须无条件对施工图进行修改，直至满足限额设计要求，不另行增加设计费，且由此造成发包人委托的造价咨询单位重复编制或审核施工图预算的费用由承包人承担，结算时在设计费中扣除。</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1.2.2</w:t>
      </w:r>
      <w:r>
        <w:rPr>
          <w:rFonts w:hint="eastAsia" w:ascii="宋体" w:hAnsi="宋体" w:eastAsia="宋体" w:cs="宋体"/>
          <w:color w:val="000000" w:themeColor="text1"/>
          <w:sz w:val="24"/>
          <w:szCs w:val="24"/>
          <w:highlight w:val="none"/>
          <w14:textFill>
            <w14:solidFill>
              <w14:schemeClr w14:val="tx1"/>
            </w14:solidFill>
          </w14:textFill>
        </w:rPr>
        <w:t>中标人在施工图设计前，要充分进行市场调查，主要材料、设备在满足设计规范及建设标准的情况下，尽量采用造价管理机构发布的信息价中有相应型号、规格的标准材料，若必须采用非标准材料的，必须经招标人同意，否则参照信息价中相近且低于其标准的材料信息价作为该项材料的结算价。</w:t>
      </w:r>
    </w:p>
    <w:p>
      <w:pPr>
        <w:pStyle w:val="4"/>
        <w:keepNext/>
        <w:keepLines/>
        <w:pageBreakBefore w:val="0"/>
        <w:kinsoku/>
        <w:wordWrap w:val="0"/>
        <w:overflowPunct/>
        <w:bidi w:val="0"/>
        <w:spacing w:line="360" w:lineRule="auto"/>
        <w:ind w:firstLine="480"/>
        <w:jc w:val="both"/>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pPr>
      <w:bookmarkStart w:id="305" w:name="_Toc30405"/>
      <w:bookmarkStart w:id="306" w:name="_Toc466640604"/>
      <w:bookmarkStart w:id="307" w:name="_Toc13437"/>
      <w:bookmarkStart w:id="308" w:name="_Toc24029"/>
      <w:bookmarkStart w:id="309" w:name="_Toc11307"/>
      <w:bookmarkStart w:id="310" w:name="_Toc28537"/>
      <w:bookmarkStart w:id="311" w:name="_Toc3958"/>
      <w:bookmarkStart w:id="312" w:name="_Toc6675"/>
      <w:bookmarkStart w:id="313" w:name="_Toc2286"/>
      <w:bookmarkStart w:id="314" w:name="_Toc25565"/>
      <w:bookmarkStart w:id="315" w:name="_Toc755"/>
      <w:bookmarkStart w:id="316" w:name="_Hlt87948447"/>
      <w:bookmarkStart w:id="317" w:name="_Hlt87948449"/>
      <w:r>
        <w:rPr>
          <w:rFonts w:hint="eastAsia" w:asciiTheme="minorEastAsia" w:hAnsiTheme="minorEastAsia" w:eastAsiaTheme="minorEastAsia" w:cstheme="minorEastAsia"/>
          <w:b/>
          <w:color w:val="000000" w:themeColor="text1"/>
          <w:kern w:val="2"/>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b/>
          <w:color w:val="000000" w:themeColor="text1"/>
          <w:kern w:val="2"/>
          <w:szCs w:val="24"/>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工程结算原则</w:t>
      </w:r>
      <w:bookmarkEnd w:id="305"/>
      <w:bookmarkEnd w:id="306"/>
      <w:bookmarkEnd w:id="307"/>
      <w:bookmarkEnd w:id="308"/>
      <w:bookmarkEnd w:id="309"/>
      <w:bookmarkEnd w:id="310"/>
      <w:bookmarkEnd w:id="311"/>
      <w:bookmarkEnd w:id="312"/>
      <w:bookmarkEnd w:id="313"/>
      <w:bookmarkEnd w:id="314"/>
      <w:bookmarkEnd w:id="315"/>
    </w:p>
    <w:p>
      <w:pPr>
        <w:pageBreakBefore w:val="0"/>
        <w:kinsoku/>
        <w:wordWrap w:val="0"/>
        <w:overflowPunct/>
        <w:bidi w:val="0"/>
        <w:spacing w:line="360" w:lineRule="auto"/>
        <w:ind w:firstLine="480" w:firstLineChars="200"/>
        <w:jc w:val="left"/>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设计</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费结算原则</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中标价即结算价，设计费总价包干结算时不做调整</w:t>
      </w:r>
      <w:r>
        <w:rPr>
          <w:rFonts w:hint="eastAsia" w:asciiTheme="minorEastAsia" w:hAnsiTheme="minorEastAsia" w:eastAsiaTheme="minorEastAsia" w:cstheme="minorEastAsia"/>
          <w:color w:val="000000" w:themeColor="text1"/>
          <w:kern w:val="1"/>
          <w:szCs w:val="24"/>
          <w:highlight w:val="none"/>
          <w14:textFill>
            <w14:solidFill>
              <w14:schemeClr w14:val="tx1"/>
            </w14:solidFill>
          </w14:textFill>
        </w:rPr>
        <w:t>。</w:t>
      </w:r>
    </w:p>
    <w:p>
      <w:pPr>
        <w:pageBreakBefore w:val="0"/>
        <w:kinsoku/>
        <w:wordWrap w:val="0"/>
        <w:overflowPunct/>
        <w:bidi w:val="0"/>
        <w:spacing w:line="360" w:lineRule="auto"/>
        <w:ind w:firstLine="480" w:firstLineChars="200"/>
        <w:jc w:val="left"/>
        <w:rPr>
          <w:rFonts w:hint="eastAsia" w:asciiTheme="minorEastAsia" w:hAnsiTheme="minorEastAsia" w:eastAsiaTheme="minorEastAsia" w:cstheme="minorEastAsia"/>
          <w:strike/>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建安</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工程费用结算基准价的确定：以经审核后的预算价乘以（1－承包人中标下浮率）作为此工程项目的建安工程结算基准价（不含预备费），其分部分项工程量清单对应的综合单价即为结算基准单价。</w:t>
      </w:r>
    </w:p>
    <w:p>
      <w:pPr>
        <w:pageBreakBefore w:val="0"/>
        <w:kinsoku/>
        <w:wordWrap w:val="0"/>
        <w:overflowPunct/>
        <w:bidi w:val="0"/>
        <w:spacing w:line="360" w:lineRule="auto"/>
        <w:ind w:firstLine="480" w:firstLineChars="200"/>
        <w:jc w:val="left"/>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工程</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费用结算原则：发包人在不增减建设规模的情况下，结算价即为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结算基准价</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，但下列情形除外：</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.3.1 国家政策性人工价差调整：</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调整方式按省、市有关规定调整。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 当后继相关法律、法规、规章和政策引起安全文明施工费发生变化时，应当按照省建设行政主管部门或省、韶关市、</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工程造价管理机构据此发布的规定调整；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.3.3 当后继相关法律、法规、规章和政策引起规费、税金等发生变化时，应当按照省政府或省、韶关市、</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有关主管部门据此发布的规定调整；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.3.4 当施工期间市场物价发生涨落，引起工程所在地工程造价管理机构发布的价格信息中材料价格变化，主要建筑材料价格浮动超过±5%（指钢材、商品砼、商品砂浆、水泥、砂、石等主要材料），则双方同意调整5％以外部分价差；</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人工费</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根据国家政策按实调整；机械费浮动超过±10%，双方同意调整10％以外部分价差。其工、料、机消耗量以发包人确认的</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施工图工程量清单预算</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及进度中的消耗量为准。</w:t>
      </w:r>
    </w:p>
    <w:p>
      <w:pPr>
        <w:pageBreakBefore w:val="0"/>
        <w:kinsoku/>
        <w:wordWrap w:val="0"/>
        <w:overflowPunct/>
        <w:bidi w:val="0"/>
        <w:spacing w:line="440" w:lineRule="exact"/>
        <w:ind w:firstLine="482" w:firstLineChars="200"/>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注：人工费、材料单价、机械台班的价差调整基数是以施工当季《</w:t>
      </w:r>
      <w:r>
        <w:rPr>
          <w:rFonts w:hint="eastAsia" w:asciiTheme="minorEastAsia" w:hAnsiTheme="minorEastAsia" w:eastAsiaTheme="minorEastAsia" w:cstheme="minorEastAsia"/>
          <w:b/>
          <w:bCs/>
          <w:color w:val="000000" w:themeColor="text1"/>
          <w:kern w:val="0"/>
          <w:szCs w:val="24"/>
          <w:highlight w:val="none"/>
          <w:u w:val="single"/>
          <w:lang w:val="en-US" w:eastAsia="zh-CN"/>
          <w14:textFill>
            <w14:solidFill>
              <w14:schemeClr w14:val="tx1"/>
            </w14:solidFill>
          </w14:textFill>
        </w:rPr>
        <w:t>南雄市</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建筑工程造价信息》</w:t>
      </w:r>
      <w:r>
        <w:rPr>
          <w:rFonts w:hint="eastAsia" w:asciiTheme="minorEastAsia" w:hAnsiTheme="minorEastAsia" w:eastAsiaTheme="minorEastAsia" w:cstheme="minorEastAsia"/>
          <w:b/>
          <w:bCs/>
          <w:color w:val="000000" w:themeColor="text1"/>
          <w:szCs w:val="24"/>
          <w:highlight w:val="none"/>
          <w:u w:val="single"/>
          <w14:textFill>
            <w14:solidFill>
              <w14:schemeClr w14:val="tx1"/>
            </w14:solidFill>
          </w14:textFill>
        </w:rPr>
        <w:t>（如信息价没有时参考施工当月&lt;韶关建筑工程造价信息&gt;）</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公布的信息价（包括人工费、材料单价、机械台班）为F1与编制施工图工程量清单预算当季</w:t>
      </w:r>
      <w:r>
        <w:rPr>
          <w:rFonts w:hint="eastAsia" w:asciiTheme="minorEastAsia" w:hAnsiTheme="minorEastAsia" w:eastAsiaTheme="minorEastAsia" w:cstheme="minorEastAsia"/>
          <w:b/>
          <w:color w:val="000000" w:themeColor="text1"/>
          <w:kern w:val="0"/>
          <w:szCs w:val="24"/>
          <w:highlight w:val="none"/>
          <w:u w:val="single"/>
          <w14:textFill>
            <w14:solidFill>
              <w14:schemeClr w14:val="tx1"/>
            </w14:solidFill>
          </w14:textFill>
        </w:rPr>
        <w:t>（招标文件所规定的设计预算编制工期内）</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w:t>
      </w:r>
      <w:r>
        <w:rPr>
          <w:rFonts w:hint="eastAsia" w:asciiTheme="minorEastAsia" w:hAnsiTheme="minorEastAsia" w:eastAsiaTheme="minorEastAsia" w:cstheme="minorEastAsia"/>
          <w:b/>
          <w:bCs/>
          <w:color w:val="000000" w:themeColor="text1"/>
          <w:kern w:val="0"/>
          <w:szCs w:val="24"/>
          <w:highlight w:val="none"/>
          <w:u w:val="single"/>
          <w:lang w:val="en-US" w:eastAsia="zh-CN"/>
          <w14:textFill>
            <w14:solidFill>
              <w14:schemeClr w14:val="tx1"/>
            </w14:solidFill>
          </w14:textFill>
        </w:rPr>
        <w:t>南雄市</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建筑工程造价信息》</w:t>
      </w:r>
      <w:r>
        <w:rPr>
          <w:rFonts w:hint="eastAsia" w:asciiTheme="minorEastAsia" w:hAnsiTheme="minorEastAsia" w:eastAsiaTheme="minorEastAsia" w:cstheme="minorEastAsia"/>
          <w:b/>
          <w:bCs/>
          <w:color w:val="000000" w:themeColor="text1"/>
          <w:szCs w:val="24"/>
          <w:highlight w:val="none"/>
          <w:u w:val="single"/>
          <w14:textFill>
            <w14:solidFill>
              <w14:schemeClr w14:val="tx1"/>
            </w14:solidFill>
          </w14:textFill>
        </w:rPr>
        <w:t>（如信息价没有时参考预算编制当月</w:t>
      </w:r>
      <w:r>
        <w:rPr>
          <w:rFonts w:hint="eastAsia" w:asciiTheme="minorEastAsia" w:hAnsiTheme="minorEastAsia" w:eastAsiaTheme="minorEastAsia" w:cstheme="minorEastAsia"/>
          <w:b/>
          <w:color w:val="000000" w:themeColor="text1"/>
          <w:kern w:val="0"/>
          <w:szCs w:val="24"/>
          <w:highlight w:val="none"/>
          <w:u w:val="single"/>
          <w14:textFill>
            <w14:solidFill>
              <w14:schemeClr w14:val="tx1"/>
            </w14:solidFill>
          </w14:textFill>
        </w:rPr>
        <w:t>（招标文件所规定的设计预算编制工期内）</w:t>
      </w:r>
      <w:r>
        <w:rPr>
          <w:rFonts w:hint="eastAsia" w:asciiTheme="minorEastAsia" w:hAnsiTheme="minorEastAsia" w:eastAsiaTheme="minorEastAsia" w:cstheme="minorEastAsia"/>
          <w:b/>
          <w:bCs/>
          <w:color w:val="000000" w:themeColor="text1"/>
          <w:szCs w:val="24"/>
          <w:highlight w:val="none"/>
          <w:u w:val="single"/>
          <w14:textFill>
            <w14:solidFill>
              <w14:schemeClr w14:val="tx1"/>
            </w14:solidFill>
          </w14:textFill>
        </w:rPr>
        <w:t>&lt;韶关建筑工程造价信息&gt;）</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公布的信息价（包括人工费、材料单价、机械台班）F0比较。</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1）人工费调整方式：按省、市有关规定调整。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2）材料补差方式：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调价系数A=（F1-F0）÷F0×100%</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当材料涨价时，材料补差= F0×（A-5%），当材料跌价时，材料补差= F0×（A+5%），材料补差只计算相应的规费和税金。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3）施工机械使用费补差方式：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调价系数A=（F1-F0）÷F0×100%</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当施工机械台班费涨价时，机械台班补差= F0×（A-10%），当施工机械台班费跌价时，机械台班补差= F0×（A+10%）， 施工机械使用费补差只计算相应的规费和税金。</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4）若项目规模、建设标准等发生变化，因变化而发生的措施项目费结算时进行相应增减。</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5）施工合同履行期间，由于非承包人原因导致工程变更的，发、承包双方应当按照GB50500-2013年《建设工程工程量清单计价规范》和省的有关规定，依据实际变更项目调整工程价款。工程变更引起工程量发生变化，出现本合同价款调整方式第3.3.5款情形的，应当按照其规定调整；其他情形的，按照以下规定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①结算基准价中有适用于变更工程项目的，按照该项目的单价或合价调整；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②结算基准价中没有适用、只有类似于变更工程项目的，可在合理范围内参照类似项目的单价或合价调整；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③结算基准价中没有适用也没有类似于变更工程项目的，根据变更工程资料、计量规则和计价办法、施工期间工程造价管理机构发布的价格信息，按本结算原则第3.3.5款重新确定综合单价后，相应调整工程价款；</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④结算基准价中没有适用也没有类似于变更工程项目，且施工期间工程造价管理机构发布的价格信息缺项的，根据变更工程资料、计量规则、计价办法和通过市场调查等的有合法依据的市场价格，按本原则第3.3.5条提出变更工程项目的单价或合价，经发、承包双方确认后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⑤如发包人只调整材料的等级、规格或品牌，则其综合单价按结算基准价中单价＋该项材料的价差（经发包人审定后的材料单价-结算基准价中的材料单价）进行调整，规费、税金按有关规定调整。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6）建设工程完工后，发、承包双方和受其委托具有相应资质的工程造价咨询企业必须按照GB50500-2013年《建设工程工程量清单计价规范》和省的有关规定办理竣工结算。</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.3.5 工程造价调整项目若是结算基准价中没有的项目，其造价调整如下：</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按（1）GB50500-2013年《建设工程工程量清单计价规范》、（2）2018年广东省建设工程计价依据（包括2018年《广东省市政工程综合定额》、2018年《广东省房屋建筑与装饰工程综合定额》、2018年《广东省通用安装工程综合定额》、2018年《广东省园林绿化工程综合定额》、2018年《广东省建设工程施工机具台班费用编制规则》），工程量按发、承包双方签证确认的、应予计量的实际完成的工程量计算，主要材料价格按施工同期工程所在地工程造价管理机构发布的价格信息中的综合单价计算，工程所在地工程造价管理机构发布的价格信息中参考价没有的材料价由发、承包双方市场询价确定，规费、税金等其它费用则按有关规定计算（费率有上、下限的以下限计算），预算包干费及赶工措施费不予计算。经发包人或其指定的有关单位审核，经审核后的造价按承包人的建安工程费中标下浮率下浮后作为工程结算价。</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清单项目如只单独调整人工、材料、机械台班价差的，其人工、材料、机械台班消耗量均以审定施工图预算中的该清单项目的人工、材料、机械台班消耗量为准。</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承包人不得以不完全了解现场情况为理由，提出额外付款或延长工期等要求。对此类要求，发包人不作任何考虑及答复。</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合同履行期间，由于承包人原因导致发生设计变更或现场签证的，由此增加的工程造价费用，由承包人自行承担，发包人不予以考虑和补偿，同时按相关违约条款处罚。</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.4 如发包人减少建设规模，则</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根据</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经发包人确认的预算书</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扣减减少</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部分工程造价。</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最终结算价由</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财政局投资评审中心审定为准</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 xml:space="preserve">。 </w:t>
      </w:r>
    </w:p>
    <w:p>
      <w:pPr>
        <w:pageBreakBefore w:val="0"/>
        <w:kinsoku/>
        <w:wordWrap w:val="0"/>
        <w:overflowPunct/>
        <w:bidi w:val="0"/>
        <w:spacing w:line="360" w:lineRule="auto"/>
        <w:rPr>
          <w:rFonts w:hint="eastAsia" w:asciiTheme="minorEastAsia" w:hAnsiTheme="minorEastAsia" w:eastAsiaTheme="minorEastAsia" w:cstheme="minorEastAsia"/>
          <w:strike/>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.5 预备费：</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由发包人掌握使用，不发生时不计入结算总价。使用范围用于以下情形：</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（1）由于发包人的要求导致发生设计变更或合同约定调整因素出现时的工程价款调整以及发生的索赔、现场签证等，其工程量按实调整，结算时按实际施工工作量及招标文件、合同约定进行结算，</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不发生时不计入结算总价</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（2）国家政策变化导致的调整。</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（3）施工期间市场物价涨落，引起工程所在地工程造价管理机构发布的价格信息中材料价格变化，主要建筑材料（具体参照第3.3.4条款）价格浮动超过+5%的。</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（4）施工合同签订时尚未确定或者不可预见的所需材料、设备、服务的采购。结算时按实际发生根据本招标文件的工程结算原则第3.3.5款进行结算。</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（5）因不可预见的原因施工局部调整或施工技术工艺调整或应急工作需要发生的工程量。</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（6）土石方工程等相应的投资概算范围之外的及因地质情况引起的基础变更的工程价款调整：其工程量按实调整，结算时按实际施工工作量及招标文件、合同约定进行结算。</w:t>
      </w:r>
    </w:p>
    <w:p>
      <w:pPr>
        <w:pageBreakBefore w:val="0"/>
        <w:kinsoku/>
        <w:wordWrap w:val="0"/>
        <w:overflowPunct/>
        <w:bidi w:val="0"/>
        <w:spacing w:line="500" w:lineRule="exact"/>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本工程结算不另行计取高温补贴费用、专业分包总包服务及配合费、设计优化及修改增加的费用。</w:t>
      </w:r>
    </w:p>
    <w:p>
      <w:pPr>
        <w:pageBreakBefore w:val="0"/>
        <w:kinsoku/>
        <w:wordWrap w:val="0"/>
        <w:overflowPunct/>
        <w:bidi w:val="0"/>
        <w:spacing w:line="500" w:lineRule="exact"/>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2.7</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本工程暂估价（若有）为发包人用于支付必然发生但暂时不能确定价格的材料、工程设备的单价以及专业工程的金额，其结算原则按本章“2～3 工程结算原则”有关条款进行结算，结算时不得超过预算中所列相应的暂估价。</w:t>
      </w:r>
    </w:p>
    <w:p>
      <w:pPr>
        <w:pageBreakBefore w:val="0"/>
        <w:kinsoku/>
        <w:wordWrap w:val="0"/>
        <w:overflowPunct/>
        <w:bidi w:val="0"/>
        <w:spacing w:line="500" w:lineRule="exact"/>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2.8</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因本项目为设计、施工总承包，如果施工图由于设计深度原因导致的设计变更，不另行增加费用。</w:t>
      </w:r>
    </w:p>
    <w:p>
      <w:pPr>
        <w:pageBreakBefore w:val="0"/>
        <w:kinsoku/>
        <w:wordWrap w:val="0"/>
        <w:overflowPunct/>
        <w:bidi w:val="0"/>
        <w:spacing w:line="500" w:lineRule="exact"/>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2.9</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项目工程费用最终结算价以</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财政局投资评审中心的审定意见为准：若最终结算价超过中标价，则按中标价结算；若最终结算价未超过中标价，则按</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财政局投资评审中心审定的结算价进行结算。</w:t>
      </w:r>
    </w:p>
    <w:bookmarkEnd w:id="316"/>
    <w:bookmarkEnd w:id="317"/>
    <w:p>
      <w:pPr>
        <w:pStyle w:val="39"/>
        <w:keepNext/>
        <w:keepLines/>
        <w:pageBreakBefore w:val="0"/>
        <w:kinsoku/>
        <w:wordWrap w:val="0"/>
        <w:overflowPunct/>
        <w:bidi w:val="0"/>
        <w:spacing w:line="500" w:lineRule="exact"/>
        <w:ind w:firstLine="480"/>
        <w:jc w:val="both"/>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pPr>
      <w:bookmarkStart w:id="318" w:name="_Hlt112206782"/>
      <w:bookmarkEnd w:id="318"/>
      <w:bookmarkStart w:id="319" w:name="_Toc11208"/>
      <w:bookmarkStart w:id="320" w:name="_Toc2973"/>
      <w:bookmarkStart w:id="321" w:name="_Toc24211"/>
      <w:bookmarkStart w:id="322" w:name="_Toc20983"/>
      <w:bookmarkStart w:id="323" w:name="_Toc16793"/>
      <w:bookmarkStart w:id="324" w:name="_Toc30894"/>
      <w:bookmarkStart w:id="325" w:name="_Toc326916631"/>
      <w:bookmarkStart w:id="326" w:name="_Toc322793290"/>
      <w:bookmarkStart w:id="327" w:name="_Toc15300"/>
      <w:bookmarkStart w:id="328" w:name="_Toc3442"/>
      <w:bookmarkStart w:id="329" w:name="_Toc29998"/>
      <w:bookmarkStart w:id="330" w:name="_Toc23408"/>
      <w:bookmarkStart w:id="331" w:name="_Hlt87951777"/>
      <w:r>
        <w:rPr>
          <w:rFonts w:hint="eastAsia" w:asciiTheme="minorEastAsia" w:hAnsiTheme="minorEastAsia" w:eastAsiaTheme="minorEastAsia" w:cstheme="minorEastAsia"/>
          <w:b/>
          <w:color w:val="000000" w:themeColor="text1"/>
          <w:kern w:val="2"/>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b/>
          <w:color w:val="000000" w:themeColor="text1"/>
          <w:kern w:val="2"/>
          <w:szCs w:val="24"/>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工程付款办法</w:t>
      </w:r>
      <w:bookmarkEnd w:id="319"/>
      <w:bookmarkEnd w:id="320"/>
      <w:bookmarkEnd w:id="321"/>
      <w:bookmarkEnd w:id="322"/>
      <w:bookmarkEnd w:id="323"/>
      <w:bookmarkEnd w:id="324"/>
      <w:bookmarkEnd w:id="325"/>
      <w:bookmarkEnd w:id="326"/>
      <w:bookmarkEnd w:id="327"/>
      <w:bookmarkEnd w:id="328"/>
      <w:bookmarkEnd w:id="329"/>
      <w:bookmarkEnd w:id="330"/>
    </w:p>
    <w:bookmarkEnd w:id="331"/>
    <w:p>
      <w:pPr>
        <w:pStyle w:val="37"/>
        <w:pageBreakBefore w:val="0"/>
        <w:kinsoku/>
        <w:wordWrap w:val="0"/>
        <w:overflowPunct/>
        <w:bidi w:val="0"/>
        <w:spacing w:line="500" w:lineRule="exact"/>
        <w:ind w:firstLine="480"/>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bookmarkStart w:id="332" w:name="_Hlt69114106"/>
      <w:bookmarkEnd w:id="332"/>
      <w:bookmarkStart w:id="333" w:name="_Hlt66608388"/>
      <w:bookmarkEnd w:id="333"/>
      <w:bookmarkStart w:id="334" w:name="_Hlt69700007"/>
      <w:bookmarkEnd w:id="334"/>
      <w:bookmarkStart w:id="335" w:name="_Hlt66593437"/>
      <w:bookmarkEnd w:id="335"/>
      <w:bookmarkStart w:id="336" w:name="_Hlt66591689"/>
      <w:bookmarkEnd w:id="336"/>
      <w:bookmarkStart w:id="337" w:name="_Hlt70150985"/>
      <w:bookmarkEnd w:id="337"/>
      <w:bookmarkStart w:id="338" w:name="_Hlt69669774"/>
      <w:bookmarkEnd w:id="338"/>
      <w:bookmarkStart w:id="339" w:name="_Hlt88976467"/>
      <w:bookmarkEnd w:id="339"/>
      <w:r>
        <w:rPr>
          <w:rFonts w:hint="eastAsia" w:asciiTheme="minorEastAsia" w:hAnsiTheme="minorEastAsia" w:eastAsiaTheme="minorEastAsia" w:cstheme="minorEastAsia"/>
          <w:b/>
          <w:bCs/>
          <w:color w:val="000000" w:themeColor="text1"/>
          <w:szCs w:val="22"/>
          <w:highlight w:val="none"/>
          <w:lang w:val="en-US" w:eastAsia="zh-CN"/>
          <w14:textFill>
            <w14:solidFill>
              <w14:schemeClr w14:val="tx1"/>
            </w14:solidFill>
          </w14:textFill>
        </w:rPr>
        <w:t>3</w:t>
      </w:r>
      <w: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t>.1</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设计费的支付</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w:t>
      </w:r>
    </w:p>
    <w:p>
      <w:pPr>
        <w:pStyle w:val="37"/>
        <w:pageBreakBefore w:val="0"/>
        <w:kinsoku/>
        <w:wordWrap w:val="0"/>
        <w:overflowPunct/>
        <w:bidi w:val="0"/>
        <w:spacing w:line="500" w:lineRule="exact"/>
        <w:ind w:firstLine="480" w:firstLineChars="200"/>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3.1.1完成施工图设计及交付施工图设计成果文件并经审查合格后1个月内发包人支付设计费的80%；</w:t>
      </w:r>
    </w:p>
    <w:p>
      <w:pPr>
        <w:pStyle w:val="37"/>
        <w:pageBreakBefore w:val="0"/>
        <w:kinsoku/>
        <w:wordWrap w:val="0"/>
        <w:overflowPunct/>
        <w:bidi w:val="0"/>
        <w:spacing w:line="500" w:lineRule="exact"/>
        <w:ind w:firstLine="480" w:firstLineChars="200"/>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3.1.2 工程竣工验收合格后，发包人支付余下20%的设计费。</w:t>
      </w:r>
    </w:p>
    <w:p>
      <w:pPr>
        <w:pStyle w:val="37"/>
        <w:pageBreakBefore w:val="0"/>
        <w:kinsoku/>
        <w:wordWrap w:val="0"/>
        <w:overflowPunct/>
        <w:bidi w:val="0"/>
        <w:spacing w:line="500" w:lineRule="exact"/>
        <w:ind w:firstLine="482"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b/>
          <w:bCs/>
          <w:color w:val="000000" w:themeColor="text1"/>
          <w:highlight w:val="none"/>
          <w14:textFill>
            <w14:solidFill>
              <w14:schemeClr w14:val="tx1"/>
            </w14:solidFill>
          </w14:textFill>
        </w:rPr>
        <w:t xml:space="preserve">.2 </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建安工程款的支付</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w:t>
      </w:r>
    </w:p>
    <w:p>
      <w:pPr>
        <w:pStyle w:val="37"/>
        <w:pageBreakBefore w:val="0"/>
        <w:kinsoku/>
        <w:wordWrap w:val="0"/>
        <w:overflowPunct/>
        <w:bidi w:val="0"/>
        <w:spacing w:line="50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.2.1 本工程</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支付</w:t>
      </w:r>
      <w:r>
        <w:rPr>
          <w:rFonts w:hint="eastAsia" w:asciiTheme="minorEastAsia" w:hAnsiTheme="minorEastAsia" w:eastAsiaTheme="minorEastAsia" w:cstheme="minorEastAsia"/>
          <w:color w:val="000000" w:themeColor="text1"/>
          <w:highlight w:val="none"/>
          <w14:textFill>
            <w14:solidFill>
              <w14:schemeClr w14:val="tx1"/>
            </w14:solidFill>
          </w14:textFill>
        </w:rPr>
        <w:t>施工预付款。</w:t>
      </w:r>
    </w:p>
    <w:p>
      <w:pPr>
        <w:pStyle w:val="37"/>
        <w:pageBreakBefore w:val="0"/>
        <w:kinsoku/>
        <w:wordWrap w:val="0"/>
        <w:overflowPunct/>
        <w:bidi w:val="0"/>
        <w:spacing w:line="500" w:lineRule="exact"/>
        <w:ind w:firstLine="480"/>
        <w:rPr>
          <w:rFonts w:hint="eastAsia" w:asciiTheme="minorEastAsia" w:hAnsiTheme="minorEastAsia" w:eastAsiaTheme="minorEastAsia" w:cstheme="minorEastAsia"/>
          <w:i/>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.2.2 </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施工预付款必须专用于合同工程，并按以下原则支付和抵扣：</w:t>
      </w:r>
    </w:p>
    <w:p>
      <w:pPr>
        <w:pageBreakBefore w:val="0"/>
        <w:kinsoku/>
        <w:wordWrap w:val="0"/>
        <w:overflowPunct/>
        <w:bidi w:val="0"/>
        <w:adjustRightInd w:val="0"/>
        <w:snapToGrid w:val="0"/>
        <w:spacing w:line="500" w:lineRule="exact"/>
        <w:ind w:firstLine="56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 施工预付款支付比例为：按施工合同价（预备费除外）的</w:t>
      </w:r>
      <w:r>
        <w:rPr>
          <w:rFonts w:hint="eastAsia" w:asciiTheme="minorEastAsia" w:hAnsiTheme="minorEastAsia" w:eastAsiaTheme="minorEastAsia" w:cstheme="minorEastAsia"/>
          <w:snapToGrid w:val="0"/>
          <w:color w:val="auto"/>
          <w:kern w:val="0"/>
          <w:szCs w:val="24"/>
          <w:highlight w:val="none"/>
          <w:u w:val="single"/>
        </w:rPr>
        <w:t xml:space="preserve">30% </w:t>
      </w:r>
      <w:r>
        <w:rPr>
          <w:rFonts w:hint="eastAsia" w:asciiTheme="minorEastAsia" w:hAnsiTheme="minorEastAsia" w:eastAsiaTheme="minorEastAsia" w:cstheme="minorEastAsia"/>
          <w:snapToGrid w:val="0"/>
          <w:color w:val="auto"/>
          <w:kern w:val="0"/>
          <w:szCs w:val="24"/>
          <w:highlight w:val="none"/>
        </w:rPr>
        <w:t>支付（视资金到位情况为准）。</w:t>
      </w:r>
    </w:p>
    <w:p>
      <w:pPr>
        <w:pageBreakBefore w:val="0"/>
        <w:kinsoku/>
        <w:wordWrap w:val="0"/>
        <w:overflowPunct/>
        <w:bidi w:val="0"/>
        <w:adjustRightInd w:val="0"/>
        <w:snapToGrid w:val="0"/>
        <w:spacing w:line="500" w:lineRule="exact"/>
        <w:ind w:firstLine="560"/>
        <w:rPr>
          <w:rFonts w:hint="eastAsia" w:asciiTheme="minorEastAsia" w:hAnsiTheme="minorEastAsia" w:eastAsiaTheme="minorEastAsia" w:cstheme="minorEastAsia"/>
          <w:b/>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（2）本工程</w:t>
      </w:r>
      <w:r>
        <w:rPr>
          <w:rFonts w:hint="eastAsia" w:asciiTheme="minorEastAsia" w:hAnsiTheme="minorEastAsia" w:eastAsiaTheme="minorEastAsia" w:cstheme="minorEastAsia"/>
          <w:b/>
          <w:bCs/>
          <w:snapToGrid w:val="0"/>
          <w:color w:val="auto"/>
          <w:kern w:val="0"/>
          <w:szCs w:val="24"/>
          <w:highlight w:val="none"/>
          <w:u w:val="single"/>
          <w:lang w:val="en-US" w:eastAsia="zh-CN"/>
        </w:rPr>
        <w:t>不</w:t>
      </w:r>
      <w:r>
        <w:rPr>
          <w:rFonts w:hint="eastAsia" w:asciiTheme="minorEastAsia" w:hAnsiTheme="minorEastAsia" w:eastAsiaTheme="minorEastAsia" w:cstheme="minorEastAsia"/>
          <w:b/>
          <w:bCs/>
          <w:snapToGrid w:val="0"/>
          <w:color w:val="auto"/>
          <w:kern w:val="0"/>
          <w:szCs w:val="24"/>
          <w:highlight w:val="none"/>
          <w:u w:val="single"/>
        </w:rPr>
        <w:t>要求</w:t>
      </w:r>
      <w:r>
        <w:rPr>
          <w:rFonts w:hint="eastAsia" w:asciiTheme="minorEastAsia" w:hAnsiTheme="minorEastAsia" w:eastAsiaTheme="minorEastAsia" w:cstheme="minorEastAsia"/>
          <w:snapToGrid w:val="0"/>
          <w:color w:val="auto"/>
          <w:kern w:val="0"/>
          <w:szCs w:val="24"/>
          <w:highlight w:val="none"/>
        </w:rPr>
        <w:t>承包人提供与预付款等额的预付款银行保函</w:t>
      </w:r>
      <w:r>
        <w:rPr>
          <w:rFonts w:hint="eastAsia" w:asciiTheme="minorEastAsia" w:hAnsiTheme="minorEastAsia" w:eastAsiaTheme="minorEastAsia" w:cstheme="minorEastAsia"/>
          <w:b/>
          <w:snapToGrid w:val="0"/>
          <w:color w:val="auto"/>
          <w:kern w:val="0"/>
          <w:szCs w:val="24"/>
          <w:highlight w:val="none"/>
        </w:rPr>
        <w:t>。</w:t>
      </w:r>
    </w:p>
    <w:p>
      <w:pPr>
        <w:pageBreakBefore w:val="0"/>
        <w:kinsoku/>
        <w:wordWrap w:val="0"/>
        <w:overflowPunct/>
        <w:bidi w:val="0"/>
        <w:adjustRightInd w:val="0"/>
        <w:snapToGrid w:val="0"/>
        <w:spacing w:line="500" w:lineRule="exact"/>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auto"/>
          <w:kern w:val="0"/>
          <w:szCs w:val="24"/>
          <w:highlight w:val="none"/>
        </w:rPr>
        <w:t>（3）承包人应在签订施工合同后，在提供等额的预付款保函及具备施工条件的前</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提下（如承包人主要人员及主要机械进场到位），向发包人提交预付款支付申请。</w:t>
      </w:r>
    </w:p>
    <w:p>
      <w:pPr>
        <w:pageBreakBefore w:val="0"/>
        <w:kinsoku/>
        <w:wordWrap w:val="0"/>
        <w:overflowPunct/>
        <w:bidi w:val="0"/>
        <w:adjustRightInd w:val="0"/>
        <w:snapToGrid w:val="0"/>
        <w:spacing w:line="500" w:lineRule="exact"/>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发包人在</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收到</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支付申请的7天内进行核实后，按程序向财政部门申请一次性支付预付款（工人工资预付款单独支付至工人工资专用账户）。</w:t>
      </w:r>
      <w:r>
        <w:rPr>
          <w:rFonts w:hint="eastAsia" w:asciiTheme="minorEastAsia" w:hAnsiTheme="minorEastAsia" w:eastAsiaTheme="minorEastAsia" w:cstheme="minorEastAsia"/>
          <w:b/>
          <w:snapToGrid w:val="0"/>
          <w:color w:val="000000" w:themeColor="text1"/>
          <w:kern w:val="0"/>
          <w:highlight w:val="none"/>
          <w14:textFill>
            <w14:solidFill>
              <w14:schemeClr w14:val="tx1"/>
            </w14:solidFill>
          </w14:textFill>
        </w:rPr>
        <w:t>凡未签订合同、未提供预付款保函或不具备施工条件的工程，发包人不预付工程款。</w:t>
      </w:r>
    </w:p>
    <w:p>
      <w:pPr>
        <w:pageBreakBefore w:val="0"/>
        <w:kinsoku/>
        <w:wordWrap w:val="0"/>
        <w:overflowPunct/>
        <w:bidi w:val="0"/>
        <w:adjustRightInd w:val="0"/>
        <w:snapToGrid w:val="0"/>
        <w:spacing w:line="500" w:lineRule="exact"/>
        <w:ind w:firstLine="560"/>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预付款</w:t>
      </w:r>
      <w:r>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t>应从每支付期应支付给承包人的工程进度款中扣回，扣回比例为每支付期的工程进度款的50%，直到扣回的金额达到合同约定的预付款金额为止。</w:t>
      </w:r>
    </w:p>
    <w:p>
      <w:pPr>
        <w:pStyle w:val="37"/>
        <w:pageBreakBefore w:val="0"/>
        <w:kinsoku/>
        <w:wordWrap w:val="0"/>
        <w:overflowPunct/>
        <w:bidi w:val="0"/>
        <w:ind w:firstLine="480" w:firstLineChars="200"/>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.2.3</w:t>
      </w:r>
      <w:r>
        <w:rPr>
          <w:rFonts w:hint="eastAsia" w:hAnsi="宋体" w:cs="宋体"/>
          <w:color w:val="000000" w:themeColor="text1"/>
          <w:kern w:val="0"/>
          <w:szCs w:val="24"/>
          <w:highlight w:val="none"/>
          <w:lang w:bidi="ar"/>
          <w14:textFill>
            <w14:solidFill>
              <w14:schemeClr w14:val="tx1"/>
            </w14:solidFill>
          </w14:textFill>
        </w:rPr>
        <w:t>施工过程中按</w:t>
      </w:r>
      <w:r>
        <w:rPr>
          <w:rFonts w:hint="eastAsia" w:hAnsi="宋体" w:cs="宋体"/>
          <w:strike w:val="0"/>
          <w:dstrike w:val="0"/>
          <w:color w:val="000000" w:themeColor="text1"/>
          <w:kern w:val="0"/>
          <w:szCs w:val="24"/>
          <w:highlight w:val="none"/>
          <w:lang w:val="en-US" w:eastAsia="zh-CN" w:bidi="ar"/>
          <w14:textFill>
            <w14:solidFill>
              <w14:schemeClr w14:val="tx1"/>
            </w14:solidFill>
          </w14:textFill>
        </w:rPr>
        <w:t>工程进度</w:t>
      </w:r>
      <w:r>
        <w:rPr>
          <w:rFonts w:hint="eastAsia" w:hAnsi="宋体" w:cs="宋体"/>
          <w:color w:val="000000" w:themeColor="text1"/>
          <w:kern w:val="0"/>
          <w:szCs w:val="24"/>
          <w:highlight w:val="none"/>
          <w:lang w:bidi="ar"/>
          <w14:textFill>
            <w14:solidFill>
              <w14:schemeClr w14:val="tx1"/>
            </w14:solidFill>
          </w14:textFill>
        </w:rPr>
        <w:t>支付工程进度款：承包人按工程实际完成工程量（含变更及增加工程）申报，承包人必须将《已完成工程量报表》和《工程付款申请书》报监理单位核实。经监理单位审核、发包人审定后的工程进度款（指已经按照合同约定，扣除该支付期内因承包人违约而应扣除的管理费），</w:t>
      </w:r>
      <w:r>
        <w:rPr>
          <w:rFonts w:hint="eastAsia" w:hAnsi="宋体" w:cs="宋体"/>
          <w:color w:val="000000" w:themeColor="text1"/>
          <w:kern w:val="0"/>
          <w:szCs w:val="24"/>
          <w:highlight w:val="none"/>
          <w:lang w:val="en-US" w:eastAsia="zh-CN" w:bidi="ar"/>
          <w14:textFill>
            <w14:solidFill>
              <w14:schemeClr w14:val="tx1"/>
            </w14:solidFill>
          </w14:textFill>
        </w:rPr>
        <w:t>方可</w:t>
      </w:r>
      <w:r>
        <w:rPr>
          <w:rFonts w:hint="eastAsia" w:hAnsi="宋体" w:cs="宋体"/>
          <w:color w:val="000000" w:themeColor="text1"/>
          <w:kern w:val="0"/>
          <w:szCs w:val="24"/>
          <w:highlight w:val="none"/>
          <w:lang w:bidi="ar"/>
          <w14:textFill>
            <w14:solidFill>
              <w14:schemeClr w14:val="tx1"/>
            </w14:solidFill>
          </w14:textFill>
        </w:rPr>
        <w:t>支付工程进度款</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pPr>
        <w:pStyle w:val="37"/>
        <w:pageBreakBefore w:val="0"/>
        <w:kinsoku/>
        <w:wordWrap w:val="0"/>
        <w:overflowPunct/>
        <w:bidi w:val="0"/>
        <w:ind w:firstLine="480" w:firstLineChars="200"/>
        <w:rPr>
          <w:rFonts w:hint="eastAsia" w:asciiTheme="minorEastAsia" w:hAnsiTheme="minorEastAsia" w:eastAsiaTheme="minorEastAsia" w:cstheme="minorEastAsia"/>
          <w:strike/>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.2.4</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施工过程中按月支付工程进度款：承包人每月按</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工程形象进度申</w:t>
      </w:r>
      <w:r>
        <w:rPr>
          <w:rFonts w:hint="eastAsia" w:asciiTheme="minorEastAsia" w:hAnsiTheme="minorEastAsia" w:eastAsiaTheme="minorEastAsia" w:cstheme="minorEastAsia"/>
          <w:color w:val="000000" w:themeColor="text1"/>
          <w:highlight w:val="none"/>
          <w14:textFill>
            <w14:solidFill>
              <w14:schemeClr w14:val="tx1"/>
            </w14:solidFill>
          </w14:textFill>
        </w:rPr>
        <w:t>报，截止日为当月26日，形象进度和</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《工程付款申请书》</w:t>
      </w:r>
      <w:r>
        <w:rPr>
          <w:rFonts w:hint="eastAsia" w:asciiTheme="minorEastAsia" w:hAnsiTheme="minorEastAsia" w:eastAsiaTheme="minorEastAsia" w:cstheme="minorEastAsia"/>
          <w:color w:val="000000" w:themeColor="text1"/>
          <w:highlight w:val="none"/>
          <w14:textFill>
            <w14:solidFill>
              <w14:schemeClr w14:val="tx1"/>
            </w14:solidFill>
          </w14:textFill>
        </w:rPr>
        <w:t>由监理单位核实确认，经</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造价咨询单位（如有造价单位）审核，</w:t>
      </w:r>
      <w:r>
        <w:rPr>
          <w:rFonts w:hint="eastAsia" w:asciiTheme="minorEastAsia" w:hAnsiTheme="minorEastAsia" w:eastAsiaTheme="minorEastAsia" w:cstheme="minorEastAsia"/>
          <w:color w:val="000000" w:themeColor="text1"/>
          <w:highlight w:val="none"/>
          <w14:textFill>
            <w14:solidFill>
              <w14:schemeClr w14:val="tx1"/>
            </w14:solidFill>
          </w14:textFill>
        </w:rPr>
        <w:t>再经发包人审核确认后于申报工程进度款的次月支付。</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.2.5</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每月的工程进度款按应付金额的 80 ％支付，工程进度款中的作业工人工资款项暂为该月工程进度款的 30 ％，具体工人工资拨付金额以该月实际审核确认的为准，由发包人将该月审核确认后的作业工人工资款项单独足额拨付到承包人的工资专户。</w:t>
      </w:r>
    </w:p>
    <w:p>
      <w:pPr>
        <w:pStyle w:val="37"/>
        <w:pageBreakBefore w:val="0"/>
        <w:kinsoku/>
        <w:wordWrap w:val="0"/>
        <w:overflowPunct/>
        <w:bidi w:val="0"/>
        <w:ind w:firstLine="480" w:firstLineChars="200"/>
        <w:rPr>
          <w:rFonts w:hint="eastAsia" w:asciiTheme="minorEastAsia" w:hAnsiTheme="minorEastAsia" w:eastAsiaTheme="minorEastAsia" w:cstheme="minorEastAsia"/>
          <w:strike/>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.3</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措施项目费中的“绿色施工安全防护措施费”拨付按照《广东省建设工程计价依据（2018）》执行，按照</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韶关市住房和城乡建设管理局《关于明确建筑工程安全防护、文明施工措施费用具体管理办法的通知》韶市建字〔2015〕26号文的</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有关规定支付。发生一般事故及以上等级重大安全事故的，发包人可扣除承包人金额相当于所有“绿色施工安全防护措施费”的工程管理费。</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trike/>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变更工程造价必须经监理单位核实及造价咨询单位（如有造价单位）审核，并经发包人核定后方可支付。</w:t>
      </w:r>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.5 工程完工后可支付至80％（但不局限于80％）</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结算审核完成后，于次月支付至审定总造价的97%。</w:t>
      </w:r>
    </w:p>
    <w:p>
      <w:pPr>
        <w:pStyle w:val="37"/>
        <w:pageBreakBefore w:val="0"/>
        <w:kinsoku/>
        <w:wordWrap w:val="0"/>
        <w:overflowPunct/>
        <w:bidi w:val="0"/>
        <w:rPr>
          <w:rFonts w:hint="eastAsia" w:asciiTheme="minorEastAsia" w:hAnsiTheme="minorEastAsia" w:eastAsiaTheme="minorEastAsia" w:cstheme="minorEastAsia"/>
          <w:strike/>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.6 剩余3%为工程质量保证金，从工程竣工验收合格之日起满</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若未发现质量问题，</w:t>
      </w:r>
      <w:r>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t>承包人向发包人申请退还质量保证（或保证金），发包人按照《建设工程质量保证金管理办法》及合同的有关规定和约定将质量保证（或保证金）</w:t>
      </w:r>
      <w:r>
        <w:rPr>
          <w:rFonts w:hint="eastAsia" w:asciiTheme="minorEastAsia" w:hAnsiTheme="minorEastAsia" w:eastAsiaTheme="minorEastAsia" w:cstheme="minorEastAsia"/>
          <w:bCs/>
          <w:color w:val="000000" w:themeColor="text1"/>
          <w:kern w:val="0"/>
          <w:highlight w:val="none"/>
          <w14:textFill>
            <w14:solidFill>
              <w14:schemeClr w14:val="tx1"/>
            </w14:solidFill>
          </w14:textFill>
        </w:rPr>
        <w:t>于次月</w:t>
      </w:r>
      <w:r>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t>退还给承包人</w:t>
      </w:r>
      <w:r>
        <w:rPr>
          <w:rFonts w:hint="eastAsia" w:asciiTheme="minorEastAsia" w:hAnsiTheme="minorEastAsia" w:eastAsiaTheme="minorEastAsia" w:cstheme="minorEastAsia"/>
          <w:bCs/>
          <w:color w:val="000000" w:themeColor="text1"/>
          <w:kern w:val="0"/>
          <w:highlight w:val="none"/>
          <w14:textFill>
            <w14:solidFill>
              <w14:schemeClr w14:val="tx1"/>
            </w14:solidFill>
          </w14:textFill>
        </w:rPr>
        <w:t>（不计息）。</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.7承包人提供的工程款发票必须按照发包人要求提供相应增值税发票给发包人，发包人收到符合要求的发票后方可支付工程款。</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如果承包人无法提供符合要求的发票，由此造成的相应损失由承包人承担。</w:t>
      </w:r>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.8本项目为政府全额投资，所有支付手续经发包人审批后，还须报政府财政部门审批完毕方可支付，如经发包人审批后已及时履行了向财政部门申报审批手续，则发包人不支付延期付</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款的利息，承包人也不得因政府财政部门履行审批程序所造成的延期付款而暂停施工和相关服务。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pPr>
      <w:r>
        <w:rPr>
          <w:rFonts w:hint="eastAsia" w:asciiTheme="minorEastAsia" w:hAnsiTheme="minorEastAsia" w:eastAsiaTheme="minorEastAsia" w:cstheme="minorEastAsia"/>
          <w:b w:val="0"/>
          <w:bCs w:val="0"/>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14:textFill>
            <w14:solidFill>
              <w14:schemeClr w14:val="tx1"/>
            </w14:solidFill>
          </w14:textFill>
        </w:rPr>
        <w:t>预备费支付方式：与每个月的工程进度款一并报送（若发生符合使用范围的情形需使用预备费时），在预备费的范围内由监理单位进行签认，造价咨询单位审核，发包人确认，进度款中需要列明涉及预备费的部分。在预备费的范围内由监理单位进行签证，造价咨询单位审核后，经发包人确认后按该进度款项的50％支付，其余部分待结算完成审核后支付。预备费如有余额归发包人，不发生时不计入结算总价。</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b w:val="0"/>
          <w:bCs/>
          <w:color w:val="000000" w:themeColor="text1"/>
          <w:szCs w:val="24"/>
          <w:highlight w:val="none"/>
          <w14:textFill>
            <w14:solidFill>
              <w14:schemeClr w14:val="tx1"/>
            </w14:solidFill>
          </w14:textFill>
        </w:rPr>
        <w:t>.10</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本工程按政府有关要求或资金安排情况、合同有关约定，经双方协商可调整建安费支付办法。</w:t>
      </w:r>
    </w:p>
    <w:p>
      <w:pPr>
        <w:pStyle w:val="37"/>
        <w:pageBreakBefore w:val="0"/>
        <w:kinsoku/>
        <w:wordWrap w:val="0"/>
        <w:overflowPunct/>
        <w:bidi w:val="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补充条款：</w:t>
      </w:r>
    </w:p>
    <w:p>
      <w:pPr>
        <w:pStyle w:val="37"/>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施工部分</w:t>
      </w:r>
    </w:p>
    <w:p>
      <w:pPr>
        <w:pStyle w:val="55"/>
        <w:pageBreakBefore w:val="0"/>
        <w:widowControl/>
        <w:kinsoku/>
        <w:wordWrap w:val="0"/>
        <w:overflowPunct/>
        <w:bidi w:val="0"/>
        <w:spacing w:line="360" w:lineRule="auto"/>
        <w:ind w:firstLine="482" w:firstLineChars="200"/>
        <w:jc w:val="left"/>
        <w:rPr>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b/>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highlight w:val="none"/>
          <w14:textFill>
            <w14:solidFill>
              <w14:schemeClr w14:val="tx1"/>
            </w14:solidFill>
          </w14:textFill>
        </w:rPr>
        <w:t>.1</w:t>
      </w:r>
      <w:r>
        <w:rPr>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t>项目管理</w:t>
      </w:r>
    </w:p>
    <w:p>
      <w:pPr>
        <w:pStyle w:val="55"/>
        <w:pageBreakBefore w:val="0"/>
        <w:widowControl/>
        <w:kinsoku/>
        <w:wordWrap w:val="0"/>
        <w:overflowPunct/>
        <w:bidi w:val="0"/>
        <w:spacing w:line="360" w:lineRule="auto"/>
        <w:ind w:firstLine="480" w:firstLineChars="20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highlight w:val="none"/>
          <w14:textFill>
            <w14:solidFill>
              <w14:schemeClr w14:val="tx1"/>
            </w14:solidFill>
          </w14:textFill>
        </w:rPr>
        <w:t>.1.1项目经理要求：</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项目经理与投标文件承诺不一致或未及时到位，发包人将按照下列方式对承包人进行处罚：</w:t>
      </w:r>
    </w:p>
    <w:p>
      <w:pPr>
        <w:pStyle w:val="55"/>
        <w:pageBreakBefore w:val="0"/>
        <w:widowControl/>
        <w:numPr>
          <w:ilvl w:val="0"/>
          <w:numId w:val="3"/>
        </w:numPr>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担任项目经理的注册建造师与投标书承诺不一致，将视为承包人严重违约。除符合广东省住房和城乡建设厅《关于建设工程项目招标中标后监督检查的办法》〔2009〕8号文第九条规定的情形外，项目经理一律不得更换。承包人未经监理工程师和发包人书面同意，擅自更换投标书中确认的本工程项目经理的，监理工程师或发包人有权责令承包人三天内整改，且发包人有权提请建设行政主管部门对其作不良行为记录，有权给予承包人履约评价为不合格，同时发包人有权拒绝承包人3年内参加发包人其它工程的投标。</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擅自更换本工程项目经理的，</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即使发包人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事后</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批准同意更换，承包人仍需支付每换一次15万元的违约金（仅被羁押或判处刑罚、身亡可免责）。</w:t>
      </w:r>
    </w:p>
    <w:p>
      <w:pPr>
        <w:pStyle w:val="55"/>
        <w:pageBreakBefore w:val="0"/>
        <w:widowControl/>
        <w:numPr>
          <w:ilvl w:val="0"/>
          <w:numId w:val="3"/>
        </w:numPr>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项目经理每延迟到位一天承包人应向发包人支付违约金5万元/天，超过10天（含10天）发包人有权单方解除合同，并要求承包人承担由此造成的一切损失。</w:t>
      </w:r>
    </w:p>
    <w:p>
      <w:pPr>
        <w:pStyle w:val="55"/>
        <w:pageBreakBefore w:val="0"/>
        <w:widowControl/>
        <w:numPr>
          <w:ilvl w:val="0"/>
          <w:numId w:val="3"/>
        </w:numPr>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项目经理必须按时参加工程例会、图纸会审和技术交底、现场协调会、方案论证会、专项工作碰头会，以及发包人要求其参加的会议。未经发包人同意不到会者，承包人每次向发包人支付1万元违约金，并承担一般违约责任1次。</w:t>
      </w:r>
    </w:p>
    <w:p>
      <w:pPr>
        <w:pStyle w:val="55"/>
        <w:pageBreakBefore w:val="0"/>
        <w:widowControl/>
        <w:numPr>
          <w:ilvl w:val="0"/>
          <w:numId w:val="3"/>
        </w:numPr>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项目经理若需离开施工现场1日以上（含1日）需经发包人批准。在其请假离开的时间段内应委托项目副经理或项目总工全权代表其行使职权，否则每违约一次，承包人应当承担一般违约责任1次。项目经理每月的出勤天数不得少于22天，如少于22天的，按每缺勤一天向发包人支付违约金人民币3仟元，并承担一般违约责任1次。</w:t>
      </w:r>
    </w:p>
    <w:p>
      <w:pPr>
        <w:pStyle w:val="55"/>
        <w:pageBreakBefore w:val="0"/>
        <w:widowControl/>
        <w:kinsoku/>
        <w:wordWrap w:val="0"/>
        <w:overflowPunct/>
        <w:bidi w:val="0"/>
        <w:spacing w:line="360" w:lineRule="auto"/>
        <w:ind w:firstLine="480" w:firstLineChars="20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5）对于难以胜任工作项目经理，发包人有权要求承包人进行更换，直至发包人满意为止，且更换人员应在接到书面通知后的3天内到位。更换项目经理期间延误的工期不予顺延，所有费用由承包人承担，给发包人造成的损失由承包人承担。</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上述违约金由承包人直接向发包人支付，未付清之前，发包人有权暂停支付工程款。</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highlight w:val="none"/>
          <w14:textFill>
            <w14:solidFill>
              <w14:schemeClr w14:val="tx1"/>
            </w14:solidFill>
          </w14:textFill>
        </w:rPr>
        <w:t>.1.2承包人必须遵守国家相关法律法规、政府相关规定及</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南雄市主田镇人民政府</w:t>
      </w:r>
      <w:r>
        <w:rPr>
          <w:rFonts w:hint="eastAsia" w:asciiTheme="minorEastAsia" w:hAnsiTheme="minorEastAsia" w:eastAsiaTheme="minorEastAsia" w:cstheme="minorEastAsia"/>
          <w:color w:val="000000" w:themeColor="text1"/>
          <w:highlight w:val="none"/>
          <w14:textFill>
            <w14:solidFill>
              <w14:schemeClr w14:val="tx1"/>
            </w14:solidFill>
          </w14:textFill>
        </w:rPr>
        <w:t>的工程管理制度。</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.1.3承包人应根据工程实际需要，配备满足进度要求的施工机械，自备发电机保证供电稳定，所有费用已包含在合同价中。</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如果承包人未能按照规定的工期完成合同工程（含材料、设备采购等），或者未能在相应的工期内完成某区段或某单项工程，经发包人书面发出通知要求承包人在规定时间内完成前述工程后，承包人仍未完成，则发包人有权直接雇用他人执行该项指令，并向其支付有关费用，所发生的费用从承包人合同总价中扣除，同时，在工程结算时发包人有权扣除承包人向发包人支付所发生费用10%的违约金，并由承包人承担影响工期的一切责任。</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.1.5在合同履行中如发包人、承包人双方发生争议，应协商、调解解决。协商、</w:t>
      </w:r>
    </w:p>
    <w:p>
      <w:pPr>
        <w:pStyle w:val="55"/>
        <w:pageBreakBefore w:val="0"/>
        <w:widowControl/>
        <w:kinsoku/>
        <w:wordWrap w:val="0"/>
        <w:overflowPunct/>
        <w:bidi w:val="0"/>
        <w:spacing w:line="360" w:lineRule="auto"/>
        <w:ind w:left="0" w:leftChars="0" w:firstLine="0" w:firstLineChars="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调解不成的，双方均可向工程所在地的人民法院提起诉讼，承包人不得以争议未解决为由擅自停工，否则将视为违约，由此产生工期的延误不予顺延。</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1.6对于隐蔽工程，若发现承包人在验收合格后到隐蔽施工前，对合格部分做任何改动，应重新进行验收；若承包人同一分项工程验收两次仍不合格，则以后每增加一次验收，承包人向发包人支付违约金5000元。如出现未经验收就进行隐蔽施工，承包人向发包人支付10万元/次的违约金，并且发包人有权暂停支付该部分进度款，直至发包人确认该部分工程合格为止，并通报相关部门，由此产生质量、工期延误等等均由承包人负责。</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经承包人的自检确认隐蔽工程和工程的隐蔽部位具备覆盖条件后的24小时内，承包人应通知监理人进行检查，通知应按规定的格式说明检查地点、内容和检查时间，并附有承包人自检记录和必要的检查资料。监理人应按通知约定的时间派员到场进行检查，在监理人员确认质量符合要求，并在检查记录上签字后，承包人才能进行覆盖。</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承包人未及时通知监理人到场检查，私自将隐蔽部位覆盖，监理人有权指示承包人采用钻孔探测揭开进行检查，由此增加的费用和工期延误责任由承包人承担。</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.1.7承包人必须编制合理的交通维护方案并负责实施，保证施工期间的交通组织符合</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公安交通管理的有关规定，确保施工安全，其费用包含在合同价中。</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.1.8发生伤亡事故，承包人应在第一时间通知发包人，并按规定立即上报有关部门，同时按法律、法规及相关规定的要求及时处理，否则记承包人严重违约责任一次。</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因承包人原因，承包人施工现场发生工伤或其他责任事故的，除按相关法律法规依法接受处理和赔偿所造成的损失外，承包人还须按下列标准向发包人支付惩罚性违约金：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（1）一次事故或全年累计死亡3人及以上：安全第一责任人在韶关市地区建设范围内公开检查；承包人必须撤换项目经理、安全主管，同时支付合同价款15％的惩罚性违约金。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（2）一次事故或全年累计死亡2人：安全第一责任人在韶关市地区建设范围内公开检查；承包人必须撤换项目经理、安全主管，同时支付合同价款10％的惩罚性违约金。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（3）全年死亡1人：安全第一责任人在韶关市地区建设范围内公开检查，并报其上级单位；承包人必须撤换项目经理、安全主管；同时支付合同价款5％的惩罚性违约金。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（4）重伤事故、造成10人及以上集体中毒住院、经济损失重大的火灾、设备及交通事故，依法由承包人承担责任，并支付惩罚性违约金3万元。</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（5）因施工造成的道路交通中断、通讯中断、管线漏水漏气等全部责任事故，依法由承包人承担责任，并支付惩罚性违约金2万元。</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.1.9 承包人必须遵守有关环境保护的法律法规，并采取有效措施控制施工现场的各种粉尘、废气、废弃物、噪声、振动等对身体健康和周边环境造成的危害和污染，有关费用已包含在合同价中。 </w:t>
      </w:r>
    </w:p>
    <w:p>
      <w:pPr>
        <w:pageBreakBefore w:val="0"/>
        <w:kinsoku/>
        <w:wordWrap w:val="0"/>
        <w:overflowPunct/>
        <w:autoSpaceDE w:val="0"/>
        <w:autoSpaceDN w:val="0"/>
        <w:bidi w:val="0"/>
        <w:adjustRightInd w:val="0"/>
        <w:snapToGrid w:val="0"/>
        <w:spacing w:beforeLines="50"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.1.10 工程竣工验收合格后30天内，承包人必须及时</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按</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韶关市城市建设档案要求及发包人要求提交真实完整的竣工图纸等竣工资料，并由承包人负责汇总后，移交相关管理部门，且办理完成相关移交手续，否则每延迟１天，承包人向发包人支付2000元/天的违约金。同时，承包人向发包人提供完整的竣工图纸等竣工资料各8套（包括声像及电子文件），档案的制作费用由承包人承担。 </w:t>
      </w:r>
    </w:p>
    <w:p>
      <w:pPr>
        <w:pageBreakBefore w:val="0"/>
        <w:kinsoku/>
        <w:wordWrap w:val="0"/>
        <w:overflowPunct/>
        <w:autoSpaceDE w:val="0"/>
        <w:autoSpaceDN w:val="0"/>
        <w:bidi w:val="0"/>
        <w:adjustRightInd w:val="0"/>
        <w:snapToGrid w:val="0"/>
        <w:spacing w:beforeLines="50"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.1.11 如承包人不按合同内容及条款施工，或违反正常施工程序、施工工艺进行施工，或施工质量、安全、环保等达不到有关要求，或施工用材料设备不符合规定，发包人有权勒令承包人暂停施工，承包人必须停工整改，一切责任由承包人负责。</w:t>
      </w:r>
    </w:p>
    <w:p>
      <w:pPr>
        <w:pageBreakBefore w:val="0"/>
        <w:kinsoku/>
        <w:wordWrap w:val="0"/>
        <w:overflowPunct/>
        <w:autoSpaceDE w:val="0"/>
        <w:autoSpaceDN w:val="0"/>
        <w:bidi w:val="0"/>
        <w:adjustRightInd w:val="0"/>
        <w:snapToGrid w:val="0"/>
        <w:spacing w:beforeLines="50"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.1.12 承包人全体现场施工人员佩戴安全帽，全部施工人员佩戴工作牌。</w:t>
      </w:r>
    </w:p>
    <w:p>
      <w:pPr>
        <w:pageBreakBefore w:val="0"/>
        <w:kinsoku/>
        <w:wordWrap w:val="0"/>
        <w:overflowPunct/>
        <w:autoSpaceDE w:val="0"/>
        <w:autoSpaceDN w:val="0"/>
        <w:bidi w:val="0"/>
        <w:adjustRightInd w:val="0"/>
        <w:snapToGrid w:val="0"/>
        <w:spacing w:beforeLines="50"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.1.13 未经发包人书面许可，承包人不得在施工现场布置任何与本项目工程无关的商业广告，否则发包人有权要求承包人予以拆除，承包人并向发包人每次支付违约金10000元。</w:t>
      </w:r>
    </w:p>
    <w:p>
      <w:pPr>
        <w:pageBreakBefore w:val="0"/>
        <w:kinsoku/>
        <w:wordWrap w:val="0"/>
        <w:overflowPunct/>
        <w:autoSpaceDE w:val="0"/>
        <w:autoSpaceDN w:val="0"/>
        <w:bidi w:val="0"/>
        <w:adjustRightInd w:val="0"/>
        <w:snapToGrid w:val="0"/>
        <w:spacing w:beforeLines="50"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.1.14 承包人下列人员有以下情形的，承包人必须在24小时内将其调离，并应在3天内补充经发包人批准的相关合格人员。若承包人不及时履行，发包人则有权要求承包人按每人每次支付违约金1000元/天，具体情形如下：</w:t>
      </w:r>
    </w:p>
    <w:p>
      <w:pPr>
        <w:pageBreakBefore w:val="0"/>
        <w:kinsoku/>
        <w:wordWrap w:val="0"/>
        <w:overflowPunct/>
        <w:autoSpaceDE w:val="0"/>
        <w:autoSpaceDN w:val="0"/>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（1）发包人确认无法胜任工作者，包括：对分部分项工程施工进度及施工质量达不到合同要求负有责任的施工人员、不熟悉本专业的施工人员、工作责任心不强的施工人员等；</w:t>
      </w:r>
    </w:p>
    <w:p>
      <w:pPr>
        <w:pageBreakBefore w:val="0"/>
        <w:kinsoku/>
        <w:wordWrap w:val="0"/>
        <w:overflowPunct/>
        <w:autoSpaceDE w:val="0"/>
        <w:autoSpaceDN w:val="0"/>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（2）不积极配合发包人、监理工程师正常工作人员；</w:t>
      </w:r>
    </w:p>
    <w:p>
      <w:pPr>
        <w:pageBreakBefore w:val="0"/>
        <w:kinsoku/>
        <w:wordWrap w:val="0"/>
        <w:overflowPunct/>
        <w:autoSpaceDE w:val="0"/>
        <w:autoSpaceDN w:val="0"/>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（3）违反承包人或发包人工地现场管理规定的人员；</w:t>
      </w:r>
    </w:p>
    <w:p>
      <w:pPr>
        <w:pageBreakBefore w:val="0"/>
        <w:kinsoku/>
        <w:wordWrap w:val="0"/>
        <w:overflowPunct/>
        <w:autoSpaceDE w:val="0"/>
        <w:autoSpaceDN w:val="0"/>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（4）无证上岗人员（适用于按规定必须有上岗证的）；</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（5）与本工程施工无关的人员。</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.1.15 本工程禁止转包，若发包人和监理人认为承包人有转包行为，且经行政主管部门落实认定。发包人有权勒令承包人停工、驱逐其出现场，并提请建设行政主管部门对承包人按相关法律法规进行行政处罚；发包人还有权给予承包人履约评价为不合格，及有权拒绝承包人3年内参加发包人其它工程的投标；同时发包人有权单方面解除本合同。由此造成的损失均由承包人承担。 </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.2 用工和劳务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.2.1承包人不得从为发包人或工程师服务的人员中招雇任何人员。</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2.2承包人不得以任何理由延期支付雇员的工资和劳务分包人的劳务费用。对发包人支付的工程款，承包人须优先用于支付工人劳动报酬，确保不发生因拖欠工人工资、劳务费而停工、上访，或因此在媒体曝光等事件。如果发生因拖欠工人工资、劳务费而停工上访，或因此在媒体曝光等事件，视为承包人违约，发包人有权要求承包人支付违约金20万元/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2.3承包人应避免发包人因施工工人追索劳务费或工程款而将发包人诉至法庭或仲裁庭，否则一切责任由承包人承担，所发生的所有费用（包括但不限于诉讼费、调查费、律师费、赔偿费、违约金等）全部由承包人承担，发包人有权将此等费用从任何应支付的工程款中扣除或没收履约保函中的相应金额。</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2.4如果现场工程师需要了解承包人在现场的管理人员和各种劳务工种操作人员情况，以及工程师要求的有关承包人机械设备、主要施工机具、周转材料等的详细资料。承包人则应向工程师提交一份详细的统计表，其格式和提交的间隔时间应符合工程师的规定。</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.3施工准备工作</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.3.1承包人应充分认识到本工程的特殊性和复杂性，施工前应切实做好各项准备工作，包括但不限于以下（1）、（2）、（3）的内容：</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（1）必须按要求完成临时设施建设和现场指挥部建设。</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（2）按照相关规定及发包人要求做好现场申报、宣传、走访、排查和解释工作。</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（3）根据现场实际环境，做好防火、防盗、防坠落等各项措施，排除安全隐患，确保施工期间施工的安全。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.3.2存在设计图纸疑问，必须在施工前30日提出，不得在施工时临时提出，也不得以此手段要求任何索赔，由此造成的一切损失由承包人承担。</w:t>
      </w:r>
    </w:p>
    <w:p>
      <w:pPr>
        <w:pageBreakBefore w:val="0"/>
        <w:kinsoku/>
        <w:wordWrap w:val="0"/>
        <w:overflowPunct/>
        <w:bidi w:val="0"/>
        <w:spacing w:line="360" w:lineRule="auto"/>
        <w:ind w:left="480" w:leftChars="200"/>
        <w:rPr>
          <w:rFonts w:hint="eastAsia" w:asciiTheme="minorEastAsia" w:hAnsiTheme="minorEastAsia" w:eastAsiaTheme="minorEastAsia" w:cstheme="minorEastAsia"/>
          <w:strike/>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.4工程变更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4.1承包人报送的变更价款，应实事求是，不得虚报数量，增加或变更的工程内容按招标文件中约定计价办法进行计量。若其报送金额超出建设工程造价管理部门或政府审核部门审定金额15%以上的，每次承包人向发包人支付人民币伍仟（￥5000）元的违约金，并在结算中予以扣除。</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4.2承包人应充分考虑工程设计变更带来的风险。工程变更须按政府及发包人的有关规定、审批权限和审批程序进行审批，凡未经发包人审批同意，承包人擅自实施的，一律视为无效变更，结算时发包人不予承认。</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.4.3承包人应按</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人民政府办公室《关于加强市本级政府投资项目财政投资评审监督管理的实施意见》雄府办函[2023]5号的规定及时申报办理工程变更审批手续，并于申请当期工程款之前或一并申报完整的工程变更资料予以备案；凡不符合实施意见要求的变更均为无效变更。</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.5工程量计量的约定：</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①承包人不得自行取消施工图或清单中的任何项目，发包人根据需要取消的未施工项目，经监理工程师核实后予以扣减，相应的措施费用予以扣减。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②承包人自身原因造成的返工工程量，不予计量。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③凡超出图纸范围又未经变更审批的工程量，不予计量。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④不符合工程质量标准的工程量，不予计量。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⑤发包人书面通知承包人取消的工程量，不予计量。</w:t>
      </w:r>
    </w:p>
    <w:p>
      <w:pPr>
        <w:pStyle w:val="32"/>
        <w:pageBreakBefore w:val="0"/>
        <w:kinsoku/>
        <w:wordWrap w:val="0"/>
        <w:overflowPunct/>
        <w:bidi w:val="0"/>
        <w:spacing w:line="360" w:lineRule="auto"/>
        <w:jc w:val="left"/>
        <w:rPr>
          <w:rFonts w:hint="eastAsia" w:asciiTheme="minorEastAsia" w:hAnsiTheme="minorEastAsia" w:eastAsiaTheme="minorEastAsia" w:cstheme="minorEastAsia"/>
          <w:b w:val="0"/>
          <w:bCs/>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snapToGrid w:val="0"/>
          <w:color w:val="000000" w:themeColor="text1"/>
          <w:kern w:val="0"/>
          <w:sz w:val="24"/>
          <w:highlight w:val="none"/>
          <w14:textFill>
            <w14:solidFill>
              <w14:schemeClr w14:val="tx1"/>
            </w14:solidFill>
          </w14:textFill>
        </w:rPr>
        <w:t>承包人编制的工程量预算清单中的综合单价为按技术规范与技术要求完成一个规定计量单位的工程所需的人工费、材料费、机械使用费、管理费、利润并考虑风险因素。按技术规范、招标文件、设计图纸、国标《建设工程工程量清单计价规范》、省市现行计价规程等要求为完成一个规定计量单位的工程量所需的其他一切费用，承包人不得以综合单价和措施费所含工作内容缺漏项为由，向发包人提出任何变更工程价款的要求。</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.6承包人对专业分包的总要求</w:t>
      </w:r>
    </w:p>
    <w:p>
      <w:pPr>
        <w:pageBreakBefore w:val="0"/>
        <w:kinsoku/>
        <w:wordWrap w:val="0"/>
        <w:overflowPunct/>
        <w:bidi w:val="0"/>
        <w:adjustRightInd w:val="0"/>
        <w:snapToGrid w:val="0"/>
        <w:spacing w:beforeLines="50"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.6.1承包人对本工程所有分包人的管理费和相互间的配合费用由承包人与分包人自行商定，已含在承包人的投标报价中，发包人不予任何补偿。承包人承担全部管理、组织、协调和配合工作。</w:t>
      </w:r>
    </w:p>
    <w:p>
      <w:pPr>
        <w:pageBreakBefore w:val="0"/>
        <w:kinsoku/>
        <w:wordWrap w:val="0"/>
        <w:overflowPunct/>
        <w:bidi w:val="0"/>
        <w:spacing w:line="360" w:lineRule="auto"/>
        <w:ind w:firstLine="49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6.2若承包人的施工承包资质缺少本工程的专业承包资质，应按照有关规定事先报发包人和监理工程师审查并取得发包人批准后分包给具有相应资质的专业承包人（如果分包工程按规定需要进行招标的，由承包人在建设交易中心自行组织），由此产生的一切分包费用、配合费、招标费用以及其他可能存在风险所产生的费用都含在合同价中。承包人因上述情况提出的任何索赔或工期延长申请将不获批准。若承包人在施工过程中由于自身缺少本工程要求的专业承包资质，而又不能按规定时间发包给具有资质的专业承包企业或者分包企业不能按照设计要求实施专业工程的，由此造成工期延误，每延误1天承包人向发包人支付违约金3万元；给发包人造成质量损失的，承包人负责赔偿，同时发包人有权从合同价中按分包工程的审定预算价扣除，并委托其他施工单位实施，承包人须无条件与分包人签订合同。</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6.3若同一分包工程的分包申请被否定二次，发包人有权就该分包工程采用单独招标形式确定分包人或直接指定分包人，承包人须无条件与分包人签订合同，并不得收取任何费用。同时发包人有权从合同价中按分包工程的审定预算价扣除，并委托其他施工单位实施，承包人须无条件与分包人签订合同。同时由此造成工期延误，每延误1天承包人向发包人支付违约金3万元；给发包人造成质量损失的，承包人负责赔偿。</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6.4经工程师、发包人认可，承包人与分包人签订分包合同后的5天内，承包人必须将分包合同等相关资料按规定送建设行政主管部门及其他相关管理部门备案，分包合同与本施工合同发生抵触，以本施工合同为准。承包人对分包合同承担连带责任。分包合同不解除承包人任何义务与责任，承包人在分包现场应派驻监督管理人员，保证合同的履行。分包人的任何违约或疏忽，均视为承包人违约或疏忽。</w:t>
      </w:r>
    </w:p>
    <w:p>
      <w:pPr>
        <w:pageBreakBefore w:val="0"/>
        <w:kinsoku/>
        <w:wordWrap w:val="0"/>
        <w:overflowPunct/>
        <w:bidi w:val="0"/>
        <w:adjustRightInd w:val="0"/>
        <w:snapToGrid w:val="0"/>
        <w:spacing w:line="360" w:lineRule="auto"/>
        <w:ind w:firstLine="600" w:firstLineChars="2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6.5若发包人和监理均认定承包人有未经发包人同意的分包行为（无须承包人认可，除非承包人在发包人发出通知后3天内提出有效举证），发包人有权勒令其停工、驱逐出现场等，由此造成的损失均由承包人承担，同时承包人向发包人支付违约金30万元/每次。发包人有权提请建设行政主管部门对其作不良行为记录，有权给予承包人履约评价为不合格，同时发包人有权拒绝承包人3年内参加发包人其它工程的投标。 </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.7 措施项目</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.7.1现场安全文明设计必须满足国家、省市相关的要求，除此之外，尚应满足如下要求：</w:t>
      </w:r>
    </w:p>
    <w:p>
      <w:pPr>
        <w:pageBreakBefore w:val="0"/>
        <w:numPr>
          <w:ilvl w:val="0"/>
          <w:numId w:val="4"/>
        </w:numPr>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安全、文明、临时设施要求：①主要管理人员与投标文件内填写的应一致；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②施工现场应封闭施工。进出口要设大门、门卫和门卫制度。主进出口门头设企业标志，两侧要挂“七牌一图”，标牌应规范、整齐；</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③施工场地及生活区的所有临时道路，无污水、积水，地面要平整，路面满足施工及生活需要；排水要通畅，要有防止泥浆、污物堵塞排水管道的措施；按要求张挂各种安全标志牌和标语，设宣传栏，读报栏和黑板报并设有吸烟处；有绿化布置；</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④施工期间，承包人应随时根据现场情况对围挡进行维修和保护，确保施工界面达到韶关市、</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和建设部有关规定的标准。为确保施工安全，防止无关人员进入现场，承包人必须对施工范围（特殊情况除外）进行全封闭围挡，并设置车辆进出口，若确因条件限制或环境要求无法实施封闭围挡，承包人应切实做好安全防护及安全通道，设置合理科学的安全警示标志。如果承包人开工后经监理工程师下达整改通知后3天内仍未按规定实施，发包人有权安排其他施工队伍进场作好封闭围挡，相应费用从本合同总价中的现场安全文明措施费中扣除。承包人承诺按发包人制定的此条款执行，不得有任何异议；</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⑤施工场内，建筑材料、构件和料具要按施工现场平面图的布置要求堆放整齐，并挂物料名称，品种，规格等标牌，施工现场渣土和垃圾清运应当采取喷淋压尘装载；</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⑥承包人必须按照粤建安字〔2009〕20号文件要求，在开工前按有关规定要求，编制施工组织设计和施工现场消防设施平面布置图，按规定配备合格的消防器材等，满足施工现场所需的消防措施、制度和灭火器材，灭火器材配置、消防水源所有器材和设备应合理、合格，使用明火应有动火审批手续和动火监护，所发生的费用已含合同中；</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⑦施工现场的施工区、 办公区、生活区应当分开设置，实行区划管理，临时办公和生活用房应采用轻钢板房，并要具有抗强台风的措施，确保安全；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⑧工地内要配备经培训的急救人员、保健医药箱、安全急救措施和急救器材，要开展卫生、防病自救、互救宣传教育；</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⑨要建立治安保卫制度，责任要分解到人。承包人在施工过程中的施工人员应配备必要的劳动、安全保护用品并佩戴工作证，以及满足招标文件中其他相关规定。</w:t>
      </w:r>
    </w:p>
    <w:p>
      <w:pPr>
        <w:pageBreakBefore w:val="0"/>
        <w:numPr>
          <w:ilvl w:val="0"/>
          <w:numId w:val="4"/>
        </w:numPr>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环保要求：承包人在施工过程中必须根据环保部门和城管部门的要求采取一切可能的措施做好环境保护和水土保持工作，有效控制施工现场的各种粉尘、废气、废弃物、噪音、振动、雨污水等对周边环境造成的污染和危害，避免对周围的管线、道路、构筑物、建筑物造成损坏，环境保护所采用的措施包括但不局限于：</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①环境污染防治措施：禁止向周边和雨水口、河道倾倒一切废物，包括生产和生活污水、生产和生活垃圾等；生活废水要自建生活污水处理装置；生活垃圾要收集在有防雨棚和防地表径流冲刷的临时垃圾池内，及时集中、清运；堆土区表面进行覆盖；</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②大气污染防治措施：采用洒水湿法抑尘；重点时段防护如：对</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工地进出运输</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车辆进行冲洗；运送散装物料的机动车、存放散装物料的堆放场地必须用棚布遮盖，拌和设备尽量封闭；</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③施工噪音防护措施：施工噪音执行《建筑施工噪音标准限值》（GB12523-90）规定的有关标准，未经环保部门批准中午和夜间不得施工作业；对高噪音的施工机械或加工环节尽量安排在远离民居的地方；</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instrText xml:space="preserve"> = 4 \* GB3 </w:instrTex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④</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针对固体废物可能产生的多种环境影响，须采取必要的措施分类收集，运至指定地点和按规定进行处理；</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instrText xml:space="preserve"> = 5 \* GB3 </w:instrTex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⑤</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制定建筑废弃物管理计划，达到绿色安全文明施工的要求；</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instrText xml:space="preserve"> = 6 \* GB3 </w:instrTex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⑥</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红线范围内必须落实雨污分流，生活污水须经过化粪池处理后接入市政管网排放。</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由于承包人原因导致的投诉、索赔、指控，由承包人承担全部责任，同时造成工期延误的，发包人将按照合同条款相关约定进行索赔。</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以上须采取的所有措施费用及相关的费用已含在合同价中。</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第三、承包人须按建设主管部门的相关规定，在工地安装视频监控系统，覆盖全场，保证正常使用。采取相应保卫措施防止出现财、物被盗行为，相关费用已包括在安全文明施工措施费中，发包人不再另行支付此类费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.7.2已完工程及设备保护费</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①承包人应充分考虑本工程的</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已完工程及设备保护，其费用已包含在合同价内，结算不再调整；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②承包人应充分考虑施工影响范围内的地上、地下设施，建筑物的临时保护等措施，</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以及</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对周围建筑物、周围道路管线的沉降和位移按照施工规范进行质量、安全性检查，对于现场及周边临近的可能发生的危险情况及时向监理工程师或主管部门报告，在施工现场根据相关要求准备应急物资并及时采取有效措施，保护费用已包含在合同价中，结算时不再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.7.3施工降排水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应按照地质报告、设计图纸要求、降水水位要求、现场实际和工程经验等对降排水进行深化设计、维护和加固，其深化应经过设计单位的审批、监理工程师和发包人的同意，施工降排水应包括设计、施工、加固、维护直至竣工的全部施工和抽排水工作，同时</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保证护栏的安全性。</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 xml:space="preserve">本工程施工期间地表及地下水采用有组织的排放，尤其是主体结构工程施工期间，应确保满足低于设计抗浮水位要求并满足防水工程需要，采取的施工排水、降水应确保周边建（构）筑物的安全等有效措施。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承包人应综合考虑施工期间除不可抗力原因外的气候条件造成的现场工程量的增加及其它风险（如发包人提供的地质报告等相关资料可能存在与实际不符）。</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雨季施工随时与气象部门保持联系，在大雨、台风到来之前按有关主管部门规定的防洪防汛应急措施等。</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以上有关费用已含在合同价中，结算不作调整。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.7.4水土保持</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必须按照水土保持方案以及监理和检测单位的要求，采取设置排水沟、排洪沟、沉砂池、砂袋、植草等水土保持和防洪排涝措施，优化挖方填方，对土石方合理利用；对已完工土石方工程裸露表面，及时采取防护措施、严格控制水土流失，实现水土流失防治目标；及时做好排水导流工作，使地表径流和工程用水经沉砂池沉降后方可排放，沉砂池要定期清理，减轻水流对裸露地表的冲刷，防止泥砂流出对周边区域造成危害；临时堆土要全面覆盖，减少粉尘及雨水冲刷，堆土清理后或其他裸露地要采取恢复植被或其他防止水土流失措施。</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.7.5施工用水、用电等</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（1）承包人根据现场条件和工程情况，接通生活和生产区场内外的给水、排水、施工用电、通讯等工作，</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同时承包人应自备充足的发电机，确保施工过程中的水、电安全稳定供应，结算费用不作调整。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（2）所有施工范围内涉及的清理、外运全部拆除物与垃圾，以及场地平整。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（3）为建设单位、监理单位提供施工现场临时办公用房和办公必须品，并开通通讯线路。</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（4）合同工期和顺延工期内临时用地（含占道）、房屋租赁的手续费和租金。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承包人在投标报价时应充分考虑施工场地现状与地形图不符的风险，谨慎报价，该部分报价为包干费用，承包人不得以任何理由提出增加费用。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.7.6与其他工程的衔接、管理与配合费</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由承包人负责工程衔接各专业工程进度安排、施工现场管理协调等工作。对安全、文明、施工、运输、仓储、住宿统筹管理；确定合理的工序和进度计划、安排作业面与通道、提供场地；工程完工后的整体调试、验收和竣工资料整理；按专业设计图纸要求配合做好埋件、预留洞、预埋管等工作；提供脚手架供专业承包人使用；提供照明、临时水电等设施。其费用在对其他工程的衔接、管理和配合费用中报价，结算不做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.7.7因承包人原因而引起的罚款、索赔和指控等责任由承包人自行承担。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.7.8工程完工后需要恢复的建筑物、构筑物，承包人必须及时恢复，并使监理工程师和发包人满意，满足政府管理部门的规定和要求。</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7.9承包人必须按有关法规、标准、规定或发包人的合理要求实施有关措施项目，若以上设施或措施达不到要求，工程师发出指令后，承包人应按照要求予以整改，其费用由承包人承担。承包人拒绝整改的，发包人有权要求承包人支付违约金50万元，并将其列入履约考评不良记录，同时发包人有权委托第三方实施，所有费用由承包人承担。由于承包人原因导致的投诉、索赔、指控，由承包人承担全部责任，同时造成工期延误的，发包人将按照合同条款相关约定进行索赔。</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7.10承包人必须按照《建设工程安全生产管理条例》和《危险性较大的分部分项工程安全管理办法》进行施工，应按有关规定提供相应的防护措施且在施工前编制危险性较大分部分项工程的专项施工方案，有关费用已含在合同价中。因承包人原因，导致的安全事故，由承包人承担相应责任及发生的费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7.11承包人必须严格按照相关规定和安全规范等，以及设计图纸，结合实际情况对施工作业面进行处理，以保证各施工机械有效支撑，确保其施工安全和正常使用。任何对支护的修改必须经设计单位、发包人和监理工程师同意，方可实施，同时承包人必须对周边建筑物、周边道路管线的沉降和位移进行巡查和跟踪，如因承包人的措施无法满足施工安全、正常施工的要求，有关的责任、损失、补救费用全部由承包人自行承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.7.12根据广东省、韶关市、</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建设主管部门的相关文件规定，承包人须在工程施工现场安装使用视频监控系统、工人实名制系统并接入至</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住建主管部门建筑工地视频监控专网及发包人视频监控系统。</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以上措施项目有关费用已含在合同价中，结算不作调整。</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.8 解除合同后续工程的补充约定</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8.1发包人向承包人发出解除或部分解除合同通知到达后，本合同即解除或部分解除，承包人必须在3日内停止施工，5日内将现场施工材料设备、工程用机具设备和人员等撤出施工场地，完成现场和有关资料的移交，并于完成交接工作当日内离场。承包人应保护好已完工程、已购设备材料，保证所移交的资料齐全完整。承包人无特殊原因未在规定期限内移交、离场或移交完整资料，发包人有权处理其留在现场的材料、设备和其他物件，处理费用由承包人承担。</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对于部分解除合同的情形，承包人拒不履行配合，发包人有权全部解除合同，如果引致发包人工期延误和其他方面的损失，发包人将要求承包人赔偿有关损失。发包人在发出解除合同的通知后，发包人即可清理现场、委托重新招标或委托新的承包人承接该工程。同时，承包人不得影响或阻碍新的承包人办理进场手续和相关工作。</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8.2由于承包人原因导致的合同解除或部分合同解除，承包人已经订货的材料、设备，以及已进场尚未安装的材料设备均由承包人负责退货或解除订货合同，不能退还的货款、定金、订金，因退货和解除订货合同发生的费用以及因无法退货造成的损失均由承包人承担，发包人不予补偿。</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承包人没有正当合理的理由中途退场，除扣除合同价款20％作为履约违约金外，承包人还须承当因其无故中途退场所造成的全部损失责任。</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8.3非承包人原因导致的合同解除或部分合同解除，承包人已经签订订货合同，但尚未进场的材料、设备；或虽已进场但发包人或监理工程师验货不合格的，解除订货合同或退货发生的费用以及因无法退货造成的损失均由承包人承担，发包人不予补偿。</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经发包人或监理工程验货、签收，且已进场的材料设备但尚未安装的材料设备，费用由发包人承担。数量按发包人、监理工程师审核确认的数量；原投标设备材料表中已列明单价，单价按投标报价计算，原投标设备材料表中未列明单价的，按预算审定价中的材料设备价*（1－下浮率）计算。</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.8.4承包人的已完工程结算时间由发包人确定。按本合同结算条款约定办理结算，同时必须按合同约定扣除违约金、赔偿金。</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.8.5因承包人原因导致解除合同，发包人所遭受的一切损失，由承包人承担全部赔偿责任。</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.9承包人违约责任追究补充细则</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.9.1工程质量达不到合同约定的质量标准承包人违约责任：如未达到合格标准，除则按合同价款的</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1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%向发包人返纳质量违约金外，发包人有权利选择以下方式返工或修复，承包人不得异议：</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（1）发包人要求承包人在监理工程师和发包人要求的合理时间内，完成质量不合格工程的返工或修复工作，直至合同约定的质量标准，由此造成的工期延误和所有费用，全部由承包人承担；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（2）发包人直接委托其它承包人完成质量不合格部分工程的返工或修复工作，由此造成的工期延误和所有费用，全部由承包人承担。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（3）无论采取以上何种方式返工或修复，发包人均有权提请建设行政主管部门对其作不良行为记录，有权给予承包人履约评价为不合格，同时发包人有权拒绝承包人3年内参加发包人其它工程的投标。</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.9.2承包人违反本合同的约定，应当按约定向发包人承担相应的违约责任。本合同违约责任形式按以下情况分类：</w:t>
      </w:r>
    </w:p>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（1） 限期改正。承包人未履行或未按时履行或未按质履行义务时，发包人有权提出书面警告，承包人必须在发包人限定的时间内履行义务。每一次书面警告扣除违约金人民币壹仟元（￥1000）。</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（2）一般违约责任。承包人按本合同约定应当承担一般违约责任时，在发包人提出书面警告或通知后扣除违约金人民币伍仟元（￥5000）/次。合同另有约定的除外。</w:t>
      </w:r>
    </w:p>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（3）严重违约责任。承包人按本合同约定应当承担严重违约责任时，在发包人提出书面警告或通知后扣除违约金伍万元（￥50000）/次。合同另有约定的除外。</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（4）部分解除合同。三次受到发包人书面警告，发包人有权直接解除合同或部分解除合同，按承包人违约解除合同的条款执行。</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9.3三次限期改正责任相当于一次一般违约责任，三次一般违约责任相当于一次严重违约责任；累计三次严重违约责任，发包人有权单方部分解除合同；累计五次严重违约责任，发包人有权全部解除合同。合同另有约定的除外。</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.9.4承包人未按合同要求建立组织架构、派驻项目管理人员和投入设备，承包人必须按发包人要求限期整改，并承担相应违约责任。具体约定为：</w:t>
      </w:r>
    </w:p>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1）在中标通知书发出后3日内，承包人承诺的项目技术负责人（总工）不到位，或到位后又离开，造成该岗位空缺。发包人一旦发现，将要求承包人做出书面解释并保证限期到位，同时将承担一般违约责任1次；若承包人拒不配合，未在发包人提出限期改正的期限内进行整改的，应承担严重违约责任1次，发包人有权单方提出解除合同，并要求承包人承担由此造成的一切损失。</w:t>
      </w:r>
    </w:p>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2）在规定的时间内施工人员和设备进场后3日内，承包人在投标文件中承诺的其他主要管理人员未能足额到位，或到位后又离开，造成该岗位空缺，以及未按承诺依时、足额投入有关设备，发包人一旦发现将要求承包人做出书面解释并保证人员、设备限期到位。上述情况每发生1次，承包人应承担限期改正责任1次。如果承包人拒不配合，未在发包人提出限期改正的期限内进行整改的，承包人应承担一般违约责任1次，连续二次书面通知整改拒不配合的，承包人应承担严重违约责任1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9.5承包人如需要调换除项目经理外的其他主要管理人员，必须事先征得发包人书面同意。如承包人未经发包人书面同意，擅自调换项目主要管理人员，除必须限期改正外，承包人必须承担严重违约责任，发包人有权暂停支付工程款，并保留索赔的权利。</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9.6除项目经理外的其他主要管理人员需离开施工现场3日以上（含3日）需报发包人批准。在其请假离开的时间段内应书面委托其他驻场管理人员全权代表其行使相应职权。否则，每违约一次，承包人应当承担限期整改责任1次。在国家法定节假日期间，承包人应做好管理人员的轮休，并保证现场管理人员不少于3名。在工程实施期间，承包人应对现场主要管理人员进行考勤，并在每月1日前将前一月考勤表报送甲方审核。现场主要管理人员出勤天数均不得少于22天，若少于22天将按每缺勤一天扣减工程费用叁仟元（￥3000）/每人次处理。</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.9.7承包人项目经理和主要管理人员的考勤实行实名制打卡，承包人项目经理和主要管理人员的考勤若发现有弄虚作假行为，发现一次，承包人应承担一般违约责任1次。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.9.8对于难以胜任工作的承包人管理人员和主要操作技术人员，发包人有权要求承包人进行更换，直至发包人满意为止，且更换人员应在接到书面通知后的3天内到位。</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9.9承包人未按招标文件及合同要求按期提交发包人工程指挥部所需要的各项设施，应承担限期整改责任1次，若限期整改仍不提交，应承担一般违约责任1次，发包人有权自行安排临时设施的建设，所有费用由承包人工程费用中扣减。</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.9.10承包人未按合同及投标书所作的承诺投入机械、设备、材料等，被监理工程师或发包人发现后，承包人除必须限期改正外，应承担限期改正责任1次。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9.11工程承包人每次的进场材料，若出现不合格材料使用于工程上并造成质量缺陷，承包人必须承担一般违约责任1次。若出现质量事故或经济损失一次人民币壹拾万元（￥100,000）以上的，必须承担严重违约责任1次。造成重大质量安全事故（按国家安监部门规定界定），发包人视情况部分或全部解除合同。同时，发包人有权追究当事人和承包人的法律责任。</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9.12承包人的工程质量，经监理工程师、发包人或工程质量监督机构抽查，发现质量有不合格、或未按设计要求和有关规范进行施工的，每发现一处承包人应承担一般违约责任1次；出现大面积质量不合格（占比达30％及以上），每发现一处承包人应承担严重违约责任1次，发包人将情况通报纪检监察和建设行政主管部门，必要时申请调查责任相关人员，且承包人应赔偿发包人的经济损失。</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9.13承包人没有按投标承诺和有关规定做好文明施工措施及安全生产，当发生包括但不限于以下情况：工人不统一着装、施工临时材料如脚手架、泥网等过于陈旧、现场垃圾未安排专人清理、现场排水不畅污水横流、交通组织不力现场交通严重拥挤、材料设备堆放混乱、安全防护不符合要求、既有管线被破坏、野蛮施工造成周边环境破坏及警示安全标志不齐等，被监理工程师、发包人发现后，承包人除必须限期改正外， 每发生一次（或一处），承包人必须承担限期改正责任1次。由此而被上级主管部门通报批评、被新闻媒体曝光的，承包人应承担一般违约责任1次；若由此发生安全生产事故，承包人应承担严重违约责任1次；造成严重安全事故等情节严重的，发包人有权部分或全部解除合同。</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.9.14因承包人原因造成工程投资增加的，承包人应赔偿发包人由此遭受的实际损失，情况严重时发包人有权单方解除本施工合同。</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若因承包人未按设计规定和施工技术规程要求认真做好施工现场的临时降水、排水（尤其是雨季施工期间）工作导致需要进行地基处理、边坡加固等情况时，每发生一处承包人应负严重违约责任1次，由此造成的工程投资增加由承包人承担。</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（2）若承包人未严格按施工进度计划要求组织施工造成工期拖延，导致一些工程项目被迫进入雨季施工而引起投资增加的，承包人应承担严重违约责任1次，由此造成的投资增加由承包人负责。</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（3）承包人未经监理工程师、发包人同意擅自改变施工技术方案和工艺，造成投资增加的，应承担严重违约责任1次，由此造成的投资增加由承包人负责。</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承包人未拟定临时设施方案并经监理工程师、发包人审批同意擅自实施临时设施建设，若此临时设施建设经核实无法达到合同规定的要求，承包人应承担限期整改责任1次，若承包人拒绝限期整改应当承担一般违约责任1次，同时发包人有权按实际发生重新核定安全文明施工措施费。</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（5）承包人提供虚假情况或制造现场假象造成设计变更及投资增加时，经监理公司、发包人发现，承包人应承担严重违约责任1次，造成的投资增加由承包人承担。 </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.10、</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发包人将根据承包人的投标文件，严格考核施工项目管理人员的日常到位情况，并定期按照发包人的合同履约评价管理办法、质量安全评估管理办法对承包人的合同履行情况进行评价和评估，评价和评估内容包含人员到位情况、服务配合程度、工程质量、安全、项目后期服务及信用评价结果、评估结果的运用等。履约评价为不合格的，发包人有权拒绝承包人3年内参加发包人任何其它工程的投标，有权报请建设行政主管部门对其作不良行为记录。</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.11 承包人提供竣工资料的约定：</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本工程具备竣工验收条件后14天内，承包人按国家建设部、广东省及</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的有关规定和发包人的要求编制工程竣工资料（包括施工原始记录、照片等资料），向工程师提供完整竣工验收资料8套、竣工验收报告和相应的声像、电子文件，并由承包人及时向主管部门和监督部门备案。工程师收到竣工验收资料后，应在10天内审核，若不符合要求，工程师可提出整改意见。承包人按要求整改合格后报工程师，工程师在整改验收合格后10天内应组织有关单位进行初步验收，并在10天内对工程质量予以认可或提出再次整改意见。承包人按要求再次整改，并承担由其自身原因造成的整改费用。编制竣工图、竣工资料的费用已含在合同价中。</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竣工验收资料包括全部工程（包括项目单位发包项目及其他分包工程）的竣工图纸和竣工资料，以及经确认的深化设计图纸和技术资料。各类分包工程的竣工资料均由承包人负责编制、指导、审阅、汇总、整理、归档，费用由本合同承包人自行承担。    </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.12工程移交及档案管理</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.12.1工程完工后，承包人必须及时按城建相关档案管理规定整理及移交竣工档案，承包人办理工程结算需提交相关工程档案移交签字单，否则结算不予办理。</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.12.2工程竣工验收合格后承包人必须将成品移交给发包人指定的接管单位。在移交工作完成前，现场所有安全及成品保护责任和费用由承包人承担。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.12.3在向发包人指定的接管单位移交钥匙的同时提供下列清单：</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①办理钥匙移交清单（如有）；</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②双方抄好水表电表底数；</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③列出详细的设备、物件移交清单，标明名称、数量、外观、状态等基本资料</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.12.4按国家、省市和建设主管部门的相关规定应当移交的其他资料。</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13在质量缺陷保修期内，承包人必须在接到保修通知之日起7天内无条件派人先行保修，发生涉及结构安全、严重影响使用功能的质量缺陷或给排水、供电、燃气、通信及路灯等特殊工程的紧急抢修事故的，承包人接到保修通知后，必须立即到达现场实施保修。质量保修完成后，由发包人组织承包人和监理人，配合项目使用（管养）单位验收。涉及结构安全的，发包人将报当地相关行政主管部门备案，同时承包人应将其产生的原因、补救措施、完成保修情况以书面形式提交发包人。</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.14在工程质量缺陷保修期内，承包人的违约责任。</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14.1在保修期内发生质量缺陷或紧急抢修事故的时，如发包人无法联系到承包人，或联系到承包人但承包人不能及时履行保修义务时，无论缺陷责任是否属于承包人，承包人必须承担由此产生的一切保修费用、相关损失及违约责任。</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14.2若承包人未及时到达现场实施保修，发包人有权直接委托其他单位或管养单位代承包人组织实施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14.3若承包人及时到达现场，但认为自行无法按时完成保修义务，可与发包人协商，直接委托管养单位或发包人确认的其他单位实施保修。若承包人未及时与发包人完成协商事宜，又未能在规定时限内完成保修的，发包人有权通知管养单位或其他单位进行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14.4若承包人及时到达现场，并与发包人完成协商，同意直接委托管养单位或发包人确认的其他单位实施保修。承包人在收到支付工程保修费用的通知7天内，应将保修费用支付给代其实施保修的单位。如在规定时间内未支付有关费用的，发包人可直接从工程质量缺陷保修金中扣除该保修费用，并支付给保修单位，并处承包人保修费用30%的违约金，如缺陷质量保修金余额不足，发包人将向承包人索赔。发包人还将承包人不履行保修义务的不良行为报送相关行政主管部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.14.5若承包人按照发包人的要求及时履行了保修义务，并能提供证据说明质量缺陷非承包人的责任，保修费用及相关损失由缺陷责任方承担。</w:t>
      </w:r>
    </w:p>
    <w:p>
      <w:pPr>
        <w:pStyle w:val="57"/>
        <w:pageBreakBefore w:val="0"/>
        <w:kinsoku/>
        <w:wordWrap w:val="0"/>
        <w:overflowPunct/>
        <w:bidi w:val="0"/>
        <w:adjustRightInd w:val="0"/>
        <w:snapToGrid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highlight w:val="none"/>
          <w14:textFill>
            <w14:solidFill>
              <w14:schemeClr w14:val="tx1"/>
            </w14:solidFill>
          </w14:textFill>
        </w:rPr>
        <w:t>.14.6对于涉及结构安全的工程质量问题，无论何时，在所有人、使用人或者第三方向当地建设行政主管部门报告并通知承包人后，承包人应立即采取安全防范措施，同时发包人将委托原设计单位或者具有相应资质等级的设计单位提出保修方案后，承包人应立即实施保修。承包人立即实施了有效的防范措施和保修的，保修费用、人身和财产损害赔偿，由经过法定程序确认的缺陷责任方承担。承包人拖延安全防范措施或者拖延保修，所造成的一切人身、财产损害责任和赔偿均由承包人承担，同时发包人将提请相关行政主管部门按相关法律、法规对承包人予以处罚。</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.15发包人有权根据有关管理制度对承包人的履约情况纳入履约信用评价和</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第三方质量安全评估</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体系进行履约信用评价和</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质量安全</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评估，并将评价结果和评估结果报送给有关监管部门。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履约信用评价</w:t>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和</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第三方质量安全评估按发包人履约信用评价</w:t>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质量安全</w:t>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评估</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管理规定执行，评价内容包含人员到位情况、服务配合程度、工程质量、安全、项目后期服务及信用评价结果、评估结果的运用等。</w:t>
      </w:r>
    </w:p>
    <w:p>
      <w:pPr>
        <w:pageBreakBefore w:val="0"/>
        <w:tabs>
          <w:tab w:val="left" w:pos="1260"/>
        </w:tabs>
        <w:kinsoku/>
        <w:wordWrap w:val="0"/>
        <w:overflowPunct/>
        <w:bidi w:val="0"/>
        <w:snapToGrid w:val="0"/>
        <w:spacing w:line="360" w:lineRule="auto"/>
        <w:ind w:firstLine="442" w:firstLineChars="200"/>
        <w:rPr>
          <w:rFonts w:hint="eastAsia" w:asciiTheme="minorEastAsia" w:hAnsiTheme="minorEastAsia" w:eastAsiaTheme="minorEastAsia" w:cstheme="minorEastAsia"/>
          <w:b/>
          <w:bCs/>
          <w:color w:val="000000" w:themeColor="text1"/>
          <w:spacing w:val="-10"/>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pacing w:val="-10"/>
          <w:szCs w:val="24"/>
          <w:highlight w:val="none"/>
          <w14:textFill>
            <w14:solidFill>
              <w14:schemeClr w14:val="tx1"/>
            </w14:solidFill>
          </w14:textFill>
        </w:rPr>
        <w:t>.设计部分：</w:t>
      </w:r>
    </w:p>
    <w:p>
      <w:pPr>
        <w:pageBreakBefore w:val="0"/>
        <w:tabs>
          <w:tab w:val="left" w:pos="1260"/>
        </w:tabs>
        <w:kinsoku/>
        <w:wordWrap w:val="0"/>
        <w:overflowPunct/>
        <w:bidi w:val="0"/>
        <w:snapToGrid w:val="0"/>
        <w:spacing w:line="360" w:lineRule="auto"/>
        <w:ind w:firstLine="440" w:firstLineChars="200"/>
        <w:rPr>
          <w:rFonts w:hint="eastAsia" w:asciiTheme="minorEastAsia" w:hAnsiTheme="minorEastAsia" w:eastAsiaTheme="minorEastAsia" w:cstheme="minorEastAsia"/>
          <w:color w:val="000000" w:themeColor="text1"/>
          <w:spacing w:val="-1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pacing w:val="-10"/>
          <w:szCs w:val="24"/>
          <w:highlight w:val="none"/>
          <w14:textFill>
            <w14:solidFill>
              <w14:schemeClr w14:val="tx1"/>
            </w14:solidFill>
          </w14:textFill>
        </w:rPr>
        <w:t>.1 本合同设计总价包括所有设计事务工作收费、技术工作收费、税金和完成合同约定的所有与工程设计有关的全部费用。</w:t>
      </w:r>
    </w:p>
    <w:p>
      <w:pPr>
        <w:pageBreakBefore w:val="0"/>
        <w:tabs>
          <w:tab w:val="left" w:pos="1260"/>
        </w:tabs>
        <w:kinsoku/>
        <w:wordWrap w:val="0"/>
        <w:overflowPunct/>
        <w:bidi w:val="0"/>
        <w:snapToGrid w:val="0"/>
        <w:spacing w:line="360" w:lineRule="auto"/>
        <w:ind w:firstLine="44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pacing w:val="-10"/>
          <w:szCs w:val="24"/>
          <w:highlight w:val="none"/>
          <w14:textFill>
            <w14:solidFill>
              <w14:schemeClr w14:val="tx1"/>
            </w14:solidFill>
          </w14:textFill>
        </w:rPr>
        <w:t>.2 承包人必须严格按有关设计规范设</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计图纸，承包人必须秉承合理、经济、环保、适用等原则进行施工图设计，发包人有权委托第三方对承包人每阶段的设计成果（含节能、结构计算模型等）进行精细化审图、各专业优化工作，承包人需无条件根据经发包人确认的精细化审图、结构优化报告进行设计文件修改，费用不另计。</w:t>
      </w:r>
    </w:p>
    <w:p>
      <w:pPr>
        <w:pageBreakBefore w:val="0"/>
        <w:tabs>
          <w:tab w:val="left" w:pos="1260"/>
        </w:tabs>
        <w:kinsoku/>
        <w:wordWrap w:val="0"/>
        <w:overflowPunct/>
        <w:bidi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 xml:space="preserve">.3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承包人未经发包人同意擅自对工程设计进行分包的，发包人有权收回未经发包人同意的设计分包内容，已支付该部分分包内容设计费用的在下次支付设计费时扣除，未支付的将不予支付该部分分包内容设计费 。如需其他专业分包，需提前向发包人报备，并提供相应专业资质文件，发包人同意后方可进行分包。</w:t>
      </w:r>
    </w:p>
    <w:p>
      <w:pPr>
        <w:pageBreakBefore w:val="0"/>
        <w:tabs>
          <w:tab w:val="left" w:pos="1260"/>
        </w:tabs>
        <w:kinsoku/>
        <w:wordWrap w:val="0"/>
        <w:overflowPunct/>
        <w:bidi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bookmarkStart w:id="340" w:name="_Toc390613831"/>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.4.知识产权和专利权</w:t>
      </w:r>
      <w:bookmarkEnd w:id="340"/>
    </w:p>
    <w:p>
      <w:pPr>
        <w:pageBreakBefore w:val="0"/>
        <w:tabs>
          <w:tab w:val="left" w:pos="1260"/>
        </w:tabs>
        <w:kinsoku/>
        <w:wordWrap w:val="0"/>
        <w:overflowPunct/>
        <w:bidi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4.1承包人保证投标文件及资料均未侵犯他人的知识产权，否则必须承担全部责任。若承包人使用了他人的专利、专有技术，涉及的费用由承包人负责。合同价包括所有应支付的对专利权和版权、设计和其他知识产权而需要向其他方支付的版税。</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4.2承包人应保护发包人的知识产权，不得向第三人泄露、转让发包人提交的产品图纸等技术经济资料。未经发包人同意，承包人不得将设计成果转让给第三方。如发生以上情况并给发包人造成经济损失，发包人有权向承包人索赔。</w:t>
      </w:r>
    </w:p>
    <w:p>
      <w:pPr>
        <w:pageBreakBefore w:val="0"/>
        <w:kinsoku/>
        <w:wordWrap w:val="0"/>
        <w:overflowPunct/>
        <w:bidi w:val="0"/>
        <w:spacing w:beforeLines="50" w:line="360" w:lineRule="auto"/>
        <w:ind w:firstLine="472" w:firstLineChars="19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.4.3承包人应保证发包人在本项目建设过程中使用其设计文件和设计文件的任何一部分时，发包人免受第三方提出侵犯其专利权、商标权或其他知识产权的起诉。</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承包人保证发包人使用承包人设计成果将不会对任何第三方构成侵权，如因此引起任何第三方向发包人提出侵权之诉讼或索赔，均由承包人承担处理、应诉和赔偿责任。</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.4.4承包人提交给发包人的设计文件，其著作权、版权、专利权和使用权归发包人所有（署名权除外）。   </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承包人在合同有效期内，应当履行合同约定的义务，如因承包人的原因产生设计质量事故、工期延误或设计缺陷，造成损失的应承担赔偿责任。</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（1）因设计错误而造成一般质量事故的，承包人除应免收受损失部分的设计费外，还应无偿修改和完善设计，并承担给发包人造成的直接损失。</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（2）因设计错误而造成重大质量事故的，承包人承担给发包人造成的直接损失，发包人有权解除设计合同，并报请有关主管部门视事故造成的损失情况给予其他处罚。</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.6.</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若因承包人原因导致提交的设计成果文件无法通过发包人组织的设计审查，发包人有权发出如下任何指令，承包人必须遵照执行。</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对不合格部分进行重新设计或修改，由此引起的费用增加和工期延误由承包人负全部责任，发包人还可视造成的时间延误和费用损失，承包人按合同价的5%～10%向甲方支付违约金；同时发包人有权解除设计合同。</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如果重新设计或修改后的设计成果仍不能通过设计审查，或承包人没有能力完成该部分设计，发包人解除该不合格部分的合同，发包人将该不合格部分指定分包给其他设计单位，并扣除设计单位合同总价中此部分的设计费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（3）承包人须在发包人书面同意后，将该部分内容另行委托给其他具有相应资质等级的单位设计，直至通过设计审查，该部分设计费用已包含在合同价中，不另行计算，造成损失的依法承担赔偿责任。</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.7.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承包人应赔偿因设计质量或设计图纸不完善带来的设计变更所引发的工程费增加、施工返工费、误工费等，处理原则如下：</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（1）由于设计质量或设计图纸不完善引起的施工返工，承包人应及时处理，并每次扣减设计合同价的2%作为违约金。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由于设计质量或设计图纸不完善引起的施工返工、停工，承包人未能及时处理，每次扣减设计合同价的2%作为违约金，对施工工期造成较大影响，还须按设计合同价的15%赔偿，经监理单位和发包人确认后，承包人在申请当期设计费之前支付给发包人。</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由于设计质量或设计图纸不完善导致的设计变更引起工程造价增加，以至超出审批的概算投资额，如设计变更未对施工工期造成影响，承包人按超额部分的5%赔偿发包人；如设计变更对施工工期造成影响，承包人按超额部分的10%赔偿发包人。承包人还应对设计进行修改或调整，以保证工程总费用控制在总投资计划内或限额设计指标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由于设计质量设计图纸不完善所引起的工程费增加，超出审批的概算投资额，承包人无法调整到限额内，发包人有权不支付设计费，已支付的设计费承包人应返还发包人，发包人有权拒绝承包人参加发包人的任何设计项目的投标，并将承包人的不良行为上报行业主管部门。</w:t>
      </w:r>
    </w:p>
    <w:p>
      <w:pPr>
        <w:pStyle w:val="70"/>
        <w:pageBreakBefore w:val="0"/>
        <w:kinsoku/>
        <w:wordWrap w:val="0"/>
        <w:overflowPunct/>
        <w:bidi w:val="0"/>
        <w:ind w:firstLine="602" w:firstLineChars="2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.7.1</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工程变更的程序和管理按</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项目所在地的</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政府投资项目财政投资评审</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相关文件</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执行。如因设计人的责任引起变更造成投资规模增加，按如下规定追究设计人的违约责任：</w:t>
      </w:r>
    </w:p>
    <w:p>
      <w:pPr>
        <w:pStyle w:val="70"/>
        <w:pageBreakBefore w:val="0"/>
        <w:kinsoku/>
        <w:wordWrap w:val="0"/>
        <w:overflowPunct/>
        <w:bidi w:val="0"/>
        <w:ind w:firstLine="600" w:firstLineChars="2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（1）因设计人责任引起变更造成投资规模增加10%以上的，扣减设计人设计合同价20%的违约金；</w:t>
      </w:r>
    </w:p>
    <w:p>
      <w:pPr>
        <w:pStyle w:val="70"/>
        <w:pageBreakBefore w:val="0"/>
        <w:kinsoku/>
        <w:wordWrap w:val="0"/>
        <w:overflowPunct/>
        <w:bidi w:val="0"/>
        <w:ind w:firstLine="600" w:firstLineChars="2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（2）因设计人责任引起变更造成投资规模增加15%以上的，扣减设计人设计合同价30%的违约金；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（3）因设计人责任引起变更造成投资规模增加20%以上的，扣减设计人设计合同价40%的违约金。</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.8</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承包人未按照国家及建设部现行的强制性技术标准、规范和规程进行设计，或承包人在设计成果中未经发包人认可擅自指定或变相指定材料或设备生产厂商、供应商的，承包人按合同价的5%～10%向发包人支付违约金。</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.9</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承包人保证，未经发包人书面同意，不得将本合同项下的任何工作任务委托第三人履行，对于工程设计内容中超出承包人资质条件的分部、分项工程，承包人不得超越自身资质条件进行设计或自行将设计任务转包、分包，否则，发包人可以立即解除本合同，并且不需要向承包人支付任何费用。发包人将有权终止合同，承包人按合同价的5%～10%向发包人支付违约金。</w:t>
      </w:r>
    </w:p>
    <w:p>
      <w:pPr>
        <w:pStyle w:val="8"/>
        <w:pageBreakBefore w:val="0"/>
        <w:kinsoku/>
        <w:wordWrap w:val="0"/>
        <w:overflowPunct/>
        <w:bidi w:val="0"/>
        <w:snapToGrid w:val="0"/>
        <w:spacing w:line="360" w:lineRule="auto"/>
        <w:ind w:left="63" w:right="63" w:firstLine="482" w:firstLineChars="200"/>
        <w:jc w:val="left"/>
        <w:rPr>
          <w:rFonts w:hint="eastAsia" w:asciiTheme="minorEastAsia" w:hAnsiTheme="minorEastAsia" w:eastAsiaTheme="minorEastAsia" w:cstheme="minorEastAsia"/>
          <w:b/>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color w:val="000000" w:themeColor="text1"/>
          <w:kern w:val="0"/>
          <w:szCs w:val="24"/>
          <w:highlight w:val="none"/>
          <w14:textFill>
            <w14:solidFill>
              <w14:schemeClr w14:val="tx1"/>
            </w14:solidFill>
          </w14:textFill>
        </w:rPr>
        <w:t>.10 除招标文件规定的服务内容外，承包人还须完成以下各阶段服务内容：</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.10.1 施工图设计阶段</w:t>
      </w:r>
    </w:p>
    <w:p>
      <w:pPr>
        <w:pStyle w:val="37"/>
        <w:pageBreakBefore w:val="0"/>
        <w:kinsoku/>
        <w:wordWrap w:val="0"/>
        <w:overflowPunct/>
        <w:bidi w:val="0"/>
        <w:ind w:firstLine="240" w:firstLineChars="100"/>
        <w:jc w:val="left"/>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（1）负责完成并制作</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所有专项设计及红线范围内的所有工程及相关配套工程、设施等本项目涉及的全部专业的施工图设计文件；</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（2）对发包人的审核修改意见进行修改、完善，保证其设计意图的最终实现；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（3）根据项目开发进度要求及时提供各阶段报审图纸，协助发包人进行报审工作，根据审查结果在本合同约定的范围内进行修改调整，直至审查通过，并最终向发包人提交正式的施工图设计文件；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（4）协助发包人进行工程招标答疑。</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.10.2 施工配合阶段</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（1）负责工程设计交底，解答施工过程中施工承包人有关施工图的问题，项目负责人及各专业设计负责人，及时对施工中与设计有关的问题做出回应，保证设计满足施工要求；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（2）根据发包人要求，及时参加与设计有关的专题会，现场解决技术问题；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（3）协助发包人处理工程洽商和设计变更，负责有关设计修改，及时办理相关手续；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（4）参与与承包人相关的必要的验收以及项目竣工验收工作，并及时办理相关手续；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（5）提供产品选型、设备加工订货、建筑材料选择以及分包商考察等技术咨询工作；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（6）应发包人要求协助审核各分包商的设计文件是否满足接口条件并签署意见，以保证其与总体设计协调一致，并满足工程要求。</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.11 </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承包人义务及违约责任</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.11.1 承包人义务</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（1）中标通知书发出后30天内第一中标候选人不按招标文件约定条款签订设计合同的，视为自动放弃中标资格，没收投标保证金，并确定第二中标候选人为承包人，以此类推。并上报建设行政主管部门。</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（2）合同生效后，承包人要求终止或解除合同视为承包人违约，扣除履约保证金。</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承包人负责按照合同规定承包范围、内容和方式，在规定时间内提交满足规定质量要求的设计成果，并完成约定的服务内容。承包人交付设计文件后，按规定参加有关的设计审查，并根据审查结论负责不超出原定范围的内容做必要调整补充。承包人按合同规定时限交付设计文件，负责向发包人及施工单位进行设计交底、处理有关设计问题和参加竣工验收。施工过程中负责有关工程变更的变更设计和变更预算编制。</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（4）承包人应对发包人提供的文件、资料进行认真研究，对本项目的特点和不确定因素进行认真考虑，并提出合理建议和评价，对影响设计稳定的重大问题要进行多方案比较选择。</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（5）设计应尽可能减少施工难度，为施工创造方便合理的施工条件；应尽量减少施工对城市交通、市民生活以及水利、通航的干扰，并尽可能减少对施工期的影响。</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（6）未经发包人书面同意，承包人不得对已批准的设计和勘探点布置方案作重大修改、增减或删除。</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（7）承包人提交的全部设计文件应考虑地质因素、正常施工中可能出现的各种因素，对设计文件出现的遗漏或错误负责修改或补充。</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（8）承包人承诺在交付项目的部分或全部设计文件后，如有更好的新工艺、新技术、新材料、新设备等适用于本项目，应及时向发包人推荐并提供科学的评估和来源证明。</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（9）承包人驻</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南雄市</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办公的项目负责人（即投标文件所拟派的项目负责人）必须负责本项目设计全过程（包括施工图设计审查、施工图设计修编、图纸会审和技术交底）。</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10）承包人应委派1名参与并熟悉本项目设计任务，有现场处理经验的设计代表常驻项目现场。承包人应为派驻现场的设计工作人员提供工作、生活及交通等方面的便利条件及准备必要的劳动保护装备。在正常施工阶段，每月应保证最少20天在现场。</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（11）承包人要按照批准的设计任务书，按照批准的总概算控制施工图设计，即限额设计。承包人要无条件对设计文件出现的遗漏或错误负责修改或补充，直到满足要求。</w:t>
      </w:r>
    </w:p>
    <w:p>
      <w:pPr>
        <w:pageBreakBefore w:val="0"/>
        <w:kinsoku/>
        <w:wordWrap w:val="0"/>
        <w:overflowPunct/>
        <w:bidi w:val="0"/>
        <w:adjustRightInd w:val="0"/>
        <w:snapToGrid w:val="0"/>
        <w:spacing w:line="360" w:lineRule="auto"/>
        <w:ind w:firstLine="244"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Cs w:val="24"/>
          <w:highlight w:val="none"/>
          <w14:textFill>
            <w14:solidFill>
              <w14:schemeClr w14:val="tx1"/>
            </w14:solidFill>
          </w14:textFill>
        </w:rPr>
        <w:t xml:space="preserve"> （12）发包人及咨询</w:t>
      </w:r>
      <w:r>
        <w:rPr>
          <w:rFonts w:hint="eastAsia" w:asciiTheme="minorEastAsia" w:hAnsiTheme="minorEastAsia" w:eastAsiaTheme="minorEastAsia" w:cstheme="minorEastAsia"/>
          <w:color w:val="000000" w:themeColor="text1"/>
          <w:spacing w:val="1"/>
          <w:szCs w:val="24"/>
          <w:highlight w:val="none"/>
          <w14:textFill>
            <w14:solidFill>
              <w14:schemeClr w14:val="tx1"/>
            </w14:solidFill>
          </w14:textFill>
        </w:rPr>
        <w:t>单</w:t>
      </w:r>
      <w:r>
        <w:rPr>
          <w:rFonts w:hint="eastAsia" w:asciiTheme="minorEastAsia" w:hAnsiTheme="minorEastAsia" w:eastAsiaTheme="minorEastAsia" w:cstheme="minorEastAsia"/>
          <w:color w:val="000000" w:themeColor="text1"/>
          <w:spacing w:val="2"/>
          <w:szCs w:val="24"/>
          <w:highlight w:val="none"/>
          <w14:textFill>
            <w14:solidFill>
              <w14:schemeClr w14:val="tx1"/>
            </w14:solidFill>
          </w14:textFill>
        </w:rPr>
        <w:t>位、上级</w:t>
      </w:r>
      <w:r>
        <w:rPr>
          <w:rFonts w:hint="eastAsia" w:asciiTheme="minorEastAsia" w:hAnsiTheme="minorEastAsia" w:eastAsiaTheme="minorEastAsia" w:cstheme="minorEastAsia"/>
          <w:color w:val="000000" w:themeColor="text1"/>
          <w:spacing w:val="1"/>
          <w:szCs w:val="24"/>
          <w:highlight w:val="none"/>
          <w14:textFill>
            <w14:solidFill>
              <w14:schemeClr w14:val="tx1"/>
            </w14:solidFill>
          </w14:textFill>
        </w:rPr>
        <w:t>主</w:t>
      </w:r>
      <w:r>
        <w:rPr>
          <w:rFonts w:hint="eastAsia" w:asciiTheme="minorEastAsia" w:hAnsiTheme="minorEastAsia" w:eastAsiaTheme="minorEastAsia" w:cstheme="minorEastAsia"/>
          <w:color w:val="000000" w:themeColor="text1"/>
          <w:spacing w:val="2"/>
          <w:szCs w:val="24"/>
          <w:highlight w:val="none"/>
          <w14:textFill>
            <w14:solidFill>
              <w14:schemeClr w14:val="tx1"/>
            </w14:solidFill>
          </w14:textFill>
        </w:rPr>
        <w:t>管部门对设计</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文件的审查并不免除承包人的责任。</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（13）中标通知书发出后三天内，中标单位法定代表人及主要负责人、项目经理、设计负责人应积极主动与发包人接洽工作，迅速有效推动工程前期工作顺利开展，逾期未履行，作违约处理。</w:t>
      </w:r>
    </w:p>
    <w:p>
      <w:pPr>
        <w:pageBreakBefore w:val="0"/>
        <w:kinsoku/>
        <w:wordWrap w:val="0"/>
        <w:overflowPunct/>
        <w:bidi w:val="0"/>
        <w:adjustRightInd w:val="0"/>
        <w:snapToGrid w:val="0"/>
        <w:spacing w:line="360" w:lineRule="auto"/>
        <w:ind w:firstLine="120" w:firstLineChars="50"/>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.11.2 </w:t>
      </w: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承包人违约的处理</w:t>
      </w:r>
    </w:p>
    <w:p>
      <w:pPr>
        <w:pageBreakBefore w:val="0"/>
        <w:kinsoku/>
        <w:wordWrap w:val="0"/>
        <w:overflowPunct/>
        <w:bidi w:val="0"/>
        <w:spacing w:line="360" w:lineRule="auto"/>
        <w:ind w:firstLine="360" w:firstLineChars="1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（1）承包人发生合同约定的违约情况时，无论发包人是否解除合同，发包人均有权按相关规定</w:t>
      </w:r>
      <w:r>
        <w:rPr>
          <w:rFonts w:hint="eastAsia" w:asciiTheme="minorEastAsia" w:hAnsiTheme="minorEastAsia" w:eastAsiaTheme="minorEastAsia" w:cstheme="minorEastAsia"/>
          <w:color w:val="000000" w:themeColor="text1"/>
          <w:highlight w:val="none"/>
          <w14:textFill>
            <w14:solidFill>
              <w14:schemeClr w14:val="tx1"/>
            </w14:solidFill>
          </w14:textFill>
        </w:rPr>
        <w:t>扣除</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违约金，并由发包人将其违约行为记录在合同履约评价报告中，作为合同履约综合评价的依据。同时，发包人将</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的违约行为</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上报建设行政主管部门。</w:t>
      </w:r>
    </w:p>
    <w:p>
      <w:pPr>
        <w:pageBreakBefore w:val="0"/>
        <w:kinsoku/>
        <w:wordWrap w:val="0"/>
        <w:overflowPunct/>
        <w:bidi w:val="0"/>
        <w:spacing w:line="360" w:lineRule="auto"/>
        <w:ind w:firstLine="360" w:firstLineChars="1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（2）发包人按合同规定向</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开出的任何违约金，除合同另有规定外，均从发包人应向</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支付的</w:t>
      </w:r>
      <w:r>
        <w:rPr>
          <w:rFonts w:hint="eastAsia" w:asciiTheme="minorEastAsia" w:hAnsiTheme="minorEastAsia" w:eastAsiaTheme="minorEastAsia" w:cstheme="minorEastAsia"/>
          <w:color w:val="000000" w:themeColor="text1"/>
          <w:highlight w:val="none"/>
          <w14:textFill>
            <w14:solidFill>
              <w14:schemeClr w14:val="tx1"/>
            </w14:solidFill>
          </w14:textFill>
        </w:rPr>
        <w:t>服务费</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中直接扣除。除非合同另有规定，发包人向</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开出的任何违约金将导致承包人最终的应得结算价款相应地减少。</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必须完全接受上述条款。</w:t>
      </w:r>
    </w:p>
    <w:p>
      <w:pPr>
        <w:pageBreakBefore w:val="0"/>
        <w:kinsoku/>
        <w:wordWrap w:val="0"/>
        <w:overflowPunct/>
        <w:bidi w:val="0"/>
        <w:spacing w:line="360" w:lineRule="auto"/>
        <w:ind w:firstLine="360" w:firstLineChars="1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（3）发包人按合同规定向</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开出的任何违约金的扣除时间，可以在发包人认为合适的任何一个期中支付月份中扣除。发包人扣除违约金时间的延迟或滞后并不代表对</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当时各种行为的认可或默认。</w:t>
      </w:r>
    </w:p>
    <w:p>
      <w:pPr>
        <w:pageBreakBefore w:val="0"/>
        <w:kinsoku/>
        <w:wordWrap w:val="0"/>
        <w:overflowPunct/>
        <w:bidi w:val="0"/>
        <w:spacing w:line="360" w:lineRule="auto"/>
        <w:ind w:firstLine="360" w:firstLineChars="15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的违约金由发包人掌握使用。</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.12发包人有权根据有关管理制度对承包人的履约情况纳入履约信用评价体系进行履约信用评价，并将评价结果报送给有关监管部门。</w:t>
      </w:r>
    </w:p>
    <w:p>
      <w:pPr>
        <w:pStyle w:val="7"/>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履约信用评价按发包人履约信用评价管理规定执行，评价内容包含人员到位情况、服务配合程度、服务成果质量、项目后期服务及履约信用评价结果的运用等。</w:t>
      </w:r>
    </w:p>
    <w:p>
      <w:pPr>
        <w:pStyle w:val="38"/>
        <w:keepNext/>
        <w:keepLines/>
        <w:pageBreakBefore w:val="0"/>
        <w:tabs>
          <w:tab w:val="left" w:pos="885"/>
        </w:tabs>
        <w:kinsoku/>
        <w:wordWrap w:val="0"/>
        <w:overflowPunct/>
        <w:bidi w:val="0"/>
        <w:spacing w:line="400" w:lineRule="exact"/>
        <w:jc w:val="center"/>
        <w:rPr>
          <w:rFonts w:hint="eastAsia" w:asciiTheme="minorEastAsia" w:hAnsiTheme="minorEastAsia" w:eastAsiaTheme="minorEastAsia" w:cstheme="minorEastAsia"/>
          <w:b/>
          <w:color w:val="000000" w:themeColor="text1"/>
          <w:kern w:val="44"/>
          <w:sz w:val="24"/>
          <w:highlight w:val="none"/>
          <w14:textFill>
            <w14:solidFill>
              <w14:schemeClr w14:val="tx1"/>
            </w14:solidFill>
          </w14:textFill>
        </w:rPr>
      </w:pPr>
      <w:bookmarkStart w:id="341" w:name="_Toc11306"/>
      <w:r>
        <w:rPr>
          <w:rFonts w:hint="eastAsia" w:asciiTheme="minorEastAsia" w:hAnsiTheme="minorEastAsia" w:eastAsiaTheme="minorEastAsia" w:cstheme="minorEastAsia"/>
          <w:b/>
          <w:color w:val="000000" w:themeColor="text1"/>
          <w:kern w:val="44"/>
          <w:sz w:val="24"/>
          <w:highlight w:val="none"/>
          <w14:textFill>
            <w14:solidFill>
              <w14:schemeClr w14:val="tx1"/>
            </w14:solidFill>
          </w14:textFill>
        </w:rPr>
        <w:br w:type="page"/>
      </w:r>
      <w:bookmarkStart w:id="342" w:name="_Toc16036"/>
      <w:bookmarkStart w:id="343" w:name="_Toc31905"/>
      <w:bookmarkStart w:id="344" w:name="_Toc18208"/>
      <w:bookmarkStart w:id="345" w:name="_Toc15865"/>
      <w:bookmarkStart w:id="346" w:name="_Toc28950"/>
      <w:bookmarkStart w:id="347" w:name="_Toc5081"/>
      <w:bookmarkStart w:id="348" w:name="_Toc22581"/>
      <w:bookmarkStart w:id="349" w:name="_Toc10003"/>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第三</w:t>
      </w:r>
      <w:bookmarkStart w:id="350" w:name="_Hlt69669171"/>
      <w:bookmarkEnd w:id="350"/>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章</w:t>
      </w:r>
      <w:bookmarkStart w:id="351" w:name="_Hlt87793839"/>
      <w:bookmarkEnd w:id="351"/>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 xml:space="preserve"> 中标人须知</w:t>
      </w:r>
      <w:bookmarkEnd w:id="341"/>
      <w:bookmarkEnd w:id="342"/>
      <w:bookmarkEnd w:id="343"/>
      <w:bookmarkEnd w:id="344"/>
      <w:bookmarkEnd w:id="345"/>
      <w:bookmarkEnd w:id="346"/>
      <w:bookmarkEnd w:id="347"/>
      <w:bookmarkEnd w:id="348"/>
      <w:bookmarkEnd w:id="349"/>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301"/>
    <w:bookmarkEnd w:id="302"/>
    <w:bookmarkEnd w:id="303"/>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招标人向中标人发出的《中标通知书》对招标人和中标人均具有法律约束力。中标通知书发出后，招标人改变中标结果和中标人放弃中标的，应当承担法律责任。</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3.2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中标人不与招标人签订合同，招标人可以取消其中标人资格。给招标人造成经济损失的，招标人可以向中标人索赔。</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3.3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中标人在施工期间应严格遵守国家、省、市有关防火、爆破和施工安全以及文明施工、深夜施工、环卫城管等规定，建立规章制度和防护措施。否则，由此造成的经济损失和法律责任，均由中标人负责。</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中标人必须做好施工场地地下地上管线和邻近建筑物、构筑物（包括文物保护建筑）、名树名木（如有）的保护工作。</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3.4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中标人应按安全施工的要求，采取严格科学的安全措施，确保施工安全和第三者的安全，承担由于自身安全措施不力所造成的事故责任和发生的费用。</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bookmarkStart w:id="352" w:name="_Hlt93117969"/>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3.5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为保证施工现场的环境卫生，中标人在本项目施工过程中，所有的车辆必须按招标人规定的行车路线行驶。</w:t>
      </w:r>
    </w:p>
    <w:bookmarkEnd w:id="352"/>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3.6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中标人的投标书所报的项目管理班子人员（项目经理、技术负责人、施工员、质量员、安全员等）必须是</w:t>
      </w:r>
      <w:bookmarkStart w:id="353" w:name="_Hlt66261069"/>
      <w:bookmarkEnd w:id="353"/>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中标后实际的项目管理班子人员，否则招标人有权终止合同。</w:t>
      </w:r>
    </w:p>
    <w:p>
      <w:pPr>
        <w:pStyle w:val="7"/>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根据项目实施进度情况，招标人有权要求中标人增派项目管理人员，以满足项目的现场管理工作要求。</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3.7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项目竣工验收合格后三十个工作日内必须向招标人提供一式八份符合韶关市及</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城市建设档案馆要求的工程竣工档案（含纸质、声像及电子等形式的档案），声像及电子档案的制作费用由中标人承担。</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3.8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合同范围内的工程项目未经招标人同意一律不得分包，一经发现，取消中标人的承包资格，中标人承担由此引起的一切责任和经济损失。</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3.9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现场应自设检验实验室，用于对建筑材料、构件和建筑物进行一般性鉴定、检查等。</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3.10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中标人须服从工程监理单位对工程质量全方位的监理，施工中的年度计划、季度计划、月度计划、施工方案等应报送监理单位审批和招标人备案。施工中的质量保证等资料均应及时报送监理单位和招标人备案。</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3.11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招标文件、招标答疑书、投标文件和中标通知书是招标人与中标人双方签订的施工合同的主要组成部分，并与合同一样，具有相同的法律效力。</w:t>
      </w:r>
      <w:bookmarkStart w:id="354" w:name="_Hlt66508904"/>
      <w:bookmarkEnd w:id="354"/>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如中标通知书发出后，发现中标人的投标文件中有与招标文件所述内容及要求不符的，按招标文件执行。</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3.12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中标之后，若招标范围内有专业工程必须分包的，招标人不另行支付总包服务费；其分包合同由中标人与分包人双方签订，招标人不参与中标人与分包人之间的结算，该部分工程的造价仍按中标人与招标人签订的合同的有关结算条款进行结算。</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3.13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若设计超过了限额标准，中标人必须无条件优化，直至达到限额要求为止，设计及施工工期不予以顺延，招标人不再支付由此而增加的设计费。</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3.14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提交的施工图阶段的设计成果必须经招标人组织的专家委员会评审确认后，再送有资质的审图单位的进行审查，若由于专家委员会和审图单位在审查过程中提出的设计修改或变更，中标人必须无条件进行修改或优化设计，招标人不再支付由此而增加的设计费用。</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3.15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增加工程造价在施工14天前中标人必须提供详细的报价书（含工程项目名称、变更部位、理由、预计造价等）给监理单位核实并报招标人或有关审核部门核定后，方可施工。</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3.16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中标人中标后，必须按规定到韶关市公共资源交易中心办理相关手续方可领取中标通知书。</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3.17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中标人中标后必须按招标人的要求采购材料及设备。</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3.18 </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中标通知书发出后，中标方应在30个日历天内缴工人工资保证金、意外伤害险等。</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中标人必须在项目开工前，在项目所在地银行</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设立工人工资支付专用账户和安全文明施工措施费专用帐户</w:t>
      </w:r>
      <w:r>
        <w:rPr>
          <w:rFonts w:hint="eastAsia" w:asciiTheme="minorEastAsia" w:hAnsiTheme="minorEastAsia" w:eastAsiaTheme="minorEastAsia" w:cstheme="minorEastAsia"/>
          <w:b/>
          <w:bCs/>
          <w:snapToGrid w:val="0"/>
          <w:color w:val="000000" w:themeColor="text1"/>
          <w:kern w:val="0"/>
          <w:highlight w:val="none"/>
          <w14:textFill>
            <w14:solidFill>
              <w14:schemeClr w14:val="tx1"/>
            </w14:solidFill>
          </w14:textFill>
        </w:rPr>
        <w:t>，</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中标人应在工资专户开立后2个工作日内，将开户银行及其账号、开户协议等资料提交给招标人。</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中标人应建立劳动用工管理台账，并按月将工人工资支付明细表报招标人备案。若中标人拖延按工期延误处理，拖延一天，则计算工期延误一天。</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中标人必须按相关规定做好用工实名制管理，建立考勤机制，并实施实名信息化管理。</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3.19</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本项目各个阶段的设计成果必须经招标人及有关审批部门同意后方可进行下一工序的设计工作，若招标人或有关审批部门在审批过程中提出的设计修改或变更，中标人必须无条件进行修改或变更，招标人不再支付由此而增加的设计费用。</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3.20 </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若中标人自中标通知书发出之日起20个工作日内仍未提供履约担保的，视同中标单位自动放弃中标资格，招标人通报建设行政主管部门后有权另行选择中标人。</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3.21 </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若中标人自中标通知书发出之日起30天内仍未签订合同，视同中标人自动放弃中标权利，招标人通报建设行政主管部门后有权另行选择中标人。</w:t>
      </w:r>
    </w:p>
    <w:p>
      <w:pPr>
        <w:pStyle w:val="37"/>
        <w:pageBreakBefore w:val="0"/>
        <w:kinsoku/>
        <w:wordWrap w:val="0"/>
        <w:overflowPunct/>
        <w:bidi w:val="0"/>
        <w:ind w:firstLine="482" w:firstLineChars="200"/>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3.22 中标人应按招标人确认后的主要材料的规格、颜色要求采购。如变更规格或颜色，必须经招标人、业主同意，并报有关审核部门重新核定单价后方可采购，并相应调整工程造价。主要材料必须先提供样板或有关资料给招标人、业主确定其规格、颜色、等级等，然后方可使用。</w:t>
      </w:r>
    </w:p>
    <w:p>
      <w:pPr>
        <w:pageBreakBefore w:val="0"/>
        <w:kinsoku/>
        <w:wordWrap w:val="0"/>
        <w:overflowPunct/>
        <w:bidi w:val="0"/>
        <w:snapToGrid w:val="0"/>
        <w:spacing w:line="360" w:lineRule="auto"/>
        <w:ind w:firstLine="472" w:firstLineChars="196"/>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 xml:space="preserve"> 3.23 </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根据《</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印发〈广东省住房和城乡建设厅 广东省发展改革委关于房屋建筑和市政基础设施工程建设项目招标投标全过程信息公开的管理规定〉的通知</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》（粤建规范〔2018〕6号）文件精神，产生中标候选人后，招标人应将中标候选人投标文件商务部分除涉及商业秘密的其他资料在广东省招标投标监管网</w:t>
      </w:r>
      <w:r>
        <w:rPr>
          <w:rFonts w:hint="eastAsia" w:asciiTheme="minorEastAsia" w:hAnsiTheme="minorEastAsia" w:eastAsiaTheme="minorEastAsia" w:cstheme="minorEastAsia"/>
          <w:b/>
          <w:bCs/>
          <w:color w:val="000000" w:themeColor="text1"/>
          <w:kern w:val="0"/>
          <w:szCs w:val="24"/>
          <w:highlight w:val="none"/>
          <w14:textFill>
            <w14:solidFill>
              <w14:schemeClr w14:val="tx1"/>
            </w14:solidFill>
          </w14:textFill>
        </w:rPr>
        <w:t>、广东省公共资源交易平台（韶关市）</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公示，公示期不得少于3日。</w:t>
      </w:r>
    </w:p>
    <w:p>
      <w:pPr>
        <w:pageBreakBefore w:val="0"/>
        <w:kinsoku/>
        <w:wordWrap w:val="0"/>
        <w:overflowPunct/>
        <w:bidi w:val="0"/>
        <w:snapToGrid w:val="0"/>
        <w:spacing w:line="360" w:lineRule="auto"/>
        <w:ind w:firstLine="56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招标人应当在发出中标通知书15日内，将中标结果依法在广东省招标投标监管网、</w:t>
      </w:r>
      <w:r>
        <w:rPr>
          <w:rFonts w:hint="eastAsia" w:asciiTheme="minorEastAsia" w:hAnsiTheme="minorEastAsia" w:eastAsiaTheme="minorEastAsia" w:cstheme="minorEastAsia"/>
          <w:b/>
          <w:bCs/>
          <w:color w:val="000000" w:themeColor="text1"/>
          <w:kern w:val="0"/>
          <w:szCs w:val="24"/>
          <w:highlight w:val="none"/>
          <w14:textFill>
            <w14:solidFill>
              <w14:schemeClr w14:val="tx1"/>
            </w14:solidFill>
          </w14:textFill>
        </w:rPr>
        <w:t>广东省公共资源交易平台（韶关市）</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公示。</w:t>
      </w:r>
    </w:p>
    <w:p>
      <w:pPr>
        <w:pStyle w:val="37"/>
        <w:pageBreakBefore w:val="0"/>
        <w:kinsoku/>
        <w:wordWrap w:val="0"/>
        <w:overflowPunct/>
        <w:bidi w:val="0"/>
        <w:ind w:firstLine="590" w:firstLineChars="245"/>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如果其他投标人或其他利害关系人对公示内容有异议，一经查实有虚假内容等违法违规情况的，将取消其中标候选人资格，并由招投标监管部门按有关规定处理。 </w:t>
      </w:r>
    </w:p>
    <w:p>
      <w:pPr>
        <w:pageBreakBefore w:val="0"/>
        <w:kinsoku/>
        <w:wordWrap w:val="0"/>
        <w:overflowPunct/>
        <w:bidi w:val="0"/>
        <w:spacing w:line="360" w:lineRule="auto"/>
        <w:ind w:firstLine="352"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3.24中标人须按韶关市、</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关于建筑垃圾运输、建筑渣土管理和扬尘治理等有关规定执行。</w:t>
      </w:r>
    </w:p>
    <w:p>
      <w:pPr>
        <w:pageBreakBefore w:val="0"/>
        <w:kinsoku/>
        <w:wordWrap w:val="0"/>
        <w:overflowPunct/>
        <w:bidi w:val="0"/>
        <w:spacing w:line="360" w:lineRule="auto"/>
        <w:ind w:firstLine="352"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3.25中标人须按相关规定要求，设置本工程符合相关要求的永久性标牌及规划公示牌，投标人在投标报价时综合考虑在报价内，招标人不另行支付该部分费用。</w:t>
      </w:r>
    </w:p>
    <w:p>
      <w:pPr>
        <w:pageBreakBefore w:val="0"/>
        <w:kinsoku/>
        <w:wordWrap w:val="0"/>
        <w:overflowPunct/>
        <w:bidi w:val="0"/>
        <w:spacing w:line="360" w:lineRule="auto"/>
        <w:ind w:firstLine="352"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3.26中标人须服从招标人的项目管理方式；中标人须无条件组织施工班组按招标人提供的管理软件（如有）及管理流程进行施工管理。</w:t>
      </w:r>
    </w:p>
    <w:p>
      <w:pPr>
        <w:pStyle w:val="7"/>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中标</w:t>
      </w:r>
      <w:r>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t>人应根据施工任务做好工期分析工作，按工期节点要求进行人料机的安排，及时根据计划的实施情况调整人料机的投入。</w:t>
      </w: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中标</w:t>
      </w:r>
      <w:r>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t>人作为总承包单位，应合理安排施工工作，统筹各专业单位（如有）的工作界面，不得影响施工进度。</w:t>
      </w: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中标</w:t>
      </w:r>
      <w:r>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t>人应根据工作面的变化情况及工程进度要求，合理增配人员及施工机械设备。</w:t>
      </w:r>
    </w:p>
    <w:p>
      <w:pPr>
        <w:pageBreakBefore w:val="0"/>
        <w:kinsoku/>
        <w:wordWrap w:val="0"/>
        <w:overflowPunct/>
        <w:bidi w:val="0"/>
        <w:spacing w:line="360" w:lineRule="auto"/>
        <w:ind w:firstLine="352"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3.27施工视频监控系统必须符合韶市建字〔2014〕163号文件规定，并在投标报价中综合考虑，招标人及项目业主不再另行支付该部分费用。</w:t>
      </w:r>
    </w:p>
    <w:p>
      <w:pPr>
        <w:pageBreakBefore w:val="0"/>
        <w:kinsoku/>
        <w:wordWrap w:val="0"/>
        <w:overflowPunct/>
        <w:bidi w:val="0"/>
        <w:spacing w:line="360" w:lineRule="auto"/>
        <w:ind w:firstLine="420" w:firstLineChars="175"/>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开工一个月内必须按相关规定和要求安装视频监控系统，并接入相关部门监控系统，如未按时安装视频监控系统，发包人有权在措施费中扣除相关费用。</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3.28</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应已详细了解本项目的前期工作（包括征地拆迁），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包括征地拆迁）及现场情况为理由，提出因外界因素造成停工或工期延误的额外付款要求；对此类要求，招标人不作任何考虑及答复。</w:t>
      </w:r>
    </w:p>
    <w:p>
      <w:pPr>
        <w:pageBreakBefore w:val="0"/>
        <w:kinsoku/>
        <w:wordWrap w:val="0"/>
        <w:overflowPunct/>
        <w:bidi w:val="0"/>
        <w:spacing w:line="360" w:lineRule="auto"/>
        <w:ind w:firstLine="352"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如因招标人原因（自然灾害等不可抗力因素除外），工程不能按期开工，或开工后全部停滞，工期按相关规定予以顺延。停工发生后，若可复工时，中标人应在收到招标人发出的复工通知书后3日内开始复工。</w:t>
      </w:r>
    </w:p>
    <w:p>
      <w:pPr>
        <w:pageBreakBefore w:val="0"/>
        <w:kinsoku/>
        <w:wordWrap w:val="0"/>
        <w:overflowPunct/>
        <w:bidi w:val="0"/>
        <w:spacing w:line="360" w:lineRule="auto"/>
        <w:ind w:firstLine="560"/>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3.29</w:t>
      </w:r>
      <w:r>
        <w:rPr>
          <w:rFonts w:hint="eastAsia" w:asciiTheme="minorEastAsia" w:hAnsiTheme="minorEastAsia" w:eastAsiaTheme="minorEastAsia" w:cstheme="minorEastAsia"/>
          <w:b/>
          <w:color w:val="000000" w:themeColor="text1"/>
          <w:highlight w:val="none"/>
          <w14:textFill>
            <w14:solidFill>
              <w14:schemeClr w14:val="tx1"/>
            </w14:solidFill>
          </w14:textFill>
        </w:rPr>
        <w:t>中标人必须严格按有关设计规范设计图纸，中标人须秉承合理、经济、环保、适用等原则进行施工图设计，招标人有权委托第三方对中标人每阶段的设计成果文件进行精细化审图、各专业优化工作，招标人将根据第三方出具的有关报告及优化金额对中标人进行考核。若中标人成果的建安投资与优化金额（各分项工程进行对比）误差率在3%范围内则不作违约处理（含3%），否则以优化金额的10%从设计费用中扣取违约金（违约金总额以设计费为限，扣取的违约金作为第三方的咨询费），中标人需无条件根据经招标人确认的精细化审图、结构优化报告进行设计文件修改，费用不另计。</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3.30</w:t>
      </w:r>
      <w:r>
        <w:rPr>
          <w:rFonts w:hint="eastAsia" w:asciiTheme="minorEastAsia" w:hAnsiTheme="minorEastAsia" w:eastAsiaTheme="minorEastAsia" w:cstheme="minorEastAsia"/>
          <w:b/>
          <w:color w:val="000000" w:themeColor="text1"/>
          <w:highlight w:val="none"/>
          <w14:textFill>
            <w14:solidFill>
              <w14:schemeClr w14:val="tx1"/>
            </w14:solidFill>
          </w14:textFill>
        </w:rPr>
        <w:t>中标人须在收到初步设计文件之日起三天内无条件对初步设计文件进行审核，如发现遗漏或错误，须向招标人提出书面报告。</w:t>
      </w:r>
    </w:p>
    <w:p>
      <w:pPr>
        <w:pageBreakBefore w:val="0"/>
        <w:kinsoku/>
        <w:wordWrap w:val="0"/>
        <w:overflowPunct/>
        <w:bidi w:val="0"/>
        <w:spacing w:line="360" w:lineRule="auto"/>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3.31</w:t>
      </w:r>
      <w:r>
        <w:rPr>
          <w:rFonts w:hint="eastAsia" w:asciiTheme="minorEastAsia" w:hAnsiTheme="minorEastAsia" w:eastAsiaTheme="minorEastAsia" w:cstheme="minorEastAsia"/>
          <w:b/>
          <w:color w:val="000000" w:themeColor="text1"/>
          <w:highlight w:val="none"/>
          <w14:textFill>
            <w14:solidFill>
              <w14:schemeClr w14:val="tx1"/>
            </w14:solidFill>
          </w14:textFill>
        </w:rPr>
        <w:t>中标人须在收到中标通知书之日十天内向招标人提交各阶段详细的工期计划承诺书。</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3.32按照《广东省住房和城乡建设厅关于建设工程项目招标中标后监督检查的办法》（粤建市〔2009〕8号）和《韶关市住房和城乡建设局关于加强房屋建筑和市政基础设施工程项目招标中标后监督检查的通知》（韶市建字〔2014〕145号）等相关法律法规。中标人中标之后，工程施工项目负责人和项目管理班子其他成员必须是该工程中标时所承诺的项目管理班子成员。</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项目管理班子成员不得擅自变更，项目管理班子成员因有粤建市〔2009〕8号第九条所述情形之一确属不能履行职责需要变更的，中标单位应向建设行政主管部门填报《建设工程项目管理班子变更情况报告表》并附上有关证明文件，经建设行政主管部门审核同意方可变更。更换后的项目经理与中标单位的投标文件所确定的项目负责人或总监理工程师的主要条件一致。</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若中标单位有下列行为之一的，除依照有关法律、法规进行处罚外，将通过市建设与房地产信息网站予以及时曝光，并作为今后该单位参与投标的评分扣分依据直至取消投标资格。</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1.建设单位违反规定指定分包单位的；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2.施工单位转包、违法分包或违反投标承诺分包工程的；   </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3.非原参加投标中标的项目经理负责组织施工或在实施过程违反粤建市〔2009〕8号第九条规定更换项目经理的、项目的其他主要管理人员与中标文件确定的人员不相符的；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4.投标文件确定的大型机械设备没有进入施工现场的；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5.建设、监理、施工等单位串通，签认虚假工程量或工程造价的；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6.施工现场管理不到位的；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7.非本人资格证书登记所在的单位从事工程项目施工管理的；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8.项目经理同时承担超过一项工程项目的；</w:t>
      </w:r>
    </w:p>
    <w:p>
      <w:pPr>
        <w:pStyle w:val="55"/>
        <w:pageBreakBefore w:val="0"/>
        <w:widowControl/>
        <w:kinsoku/>
        <w:wordWrap w:val="0"/>
        <w:overflowPunct/>
        <w:bidi w:val="0"/>
        <w:spacing w:line="360" w:lineRule="auto"/>
        <w:ind w:firstLine="48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9.违反有关法律、法规、规章规定的其它行为。</w:t>
      </w:r>
    </w:p>
    <w:p>
      <w:pPr>
        <w:pStyle w:val="55"/>
        <w:pageBreakBefore w:val="0"/>
        <w:widowControl/>
        <w:kinsoku/>
        <w:wordWrap w:val="0"/>
        <w:overflowPunct/>
        <w:bidi w:val="0"/>
        <w:spacing w:line="360" w:lineRule="auto"/>
        <w:ind w:firstLine="480"/>
        <w:jc w:val="left"/>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8"/>
          <w:highlight w:val="none"/>
          <w14:textFill>
            <w14:solidFill>
              <w14:schemeClr w14:val="tx1"/>
            </w14:solidFill>
          </w14:textFill>
        </w:rPr>
        <w:t>3.33依据《关于印发&lt;广东省建筑工程领域工人工资支付专用账户管理办法&gt;的通知》（粤人社规[2018]14号）文件精神，中标人必须设立工人工资支付专用账户，专门用于发放作业工人工资。</w:t>
      </w:r>
      <w:bookmarkStart w:id="355" w:name="_Hlt69698776"/>
    </w:p>
    <w:p>
      <w:pPr>
        <w:pStyle w:val="37"/>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根据《韶关市建设领域施工企业工人工资支付保证金管理办法》（韶人社〔2017〕133号）文件规定，中标人中标后，应在30个日历天内按承包合同工程造价5%的比例（不超过300万元）一次性将工人工资保证金存入银行专用存款账户。逾期未交纳的，招标人将扣留与本项目工人工资保证金等额的工程款（工人工资除外），直至中标人按《韶关市建设领域施工企业工人工资支付保证金管理办法》相关文件要求缴纳工人工资保证金。在中标人未按要求缴纳工人工资保证金期间，招标人扣留的工程款将作为工人工资保证金的预备资金，招标人有权将该部分资金用于处理该项目工人工资拖欠等情况的问题。</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3.34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中标人在施工图设计前，要充分进行市场调查，主要材料、设备在满足设计规范及建设标准的情况下，尽量采用造价管理机构发布的信息价中有相应型号、规格的标准材料，若必须采用非标准材料的</w:t>
      </w: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必须经招标人同意，否则参照信息价中相近且低于其标准的材料信息价作为该项材料的结算价。</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3.35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中标人应按招标人提供的场地出平图先行进行场地平整。</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3.36</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中标人必须根据设计施工图及现场编制施工组织设计及专项施工方案报有关部门审批。</w:t>
      </w:r>
    </w:p>
    <w:p>
      <w:pPr>
        <w:pStyle w:val="57"/>
        <w:pageBreakBefore w:val="0"/>
        <w:kinsoku/>
        <w:wordWrap w:val="0"/>
        <w:overflowPunct/>
        <w:bidi w:val="0"/>
        <w:snapToGrid w:val="0"/>
        <w:ind w:firstLine="482" w:firstLineChars="200"/>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3.37危险性较大的分部分项工程安全管理约定</w:t>
      </w:r>
    </w:p>
    <w:p>
      <w:pPr>
        <w:pStyle w:val="57"/>
        <w:pageBreakBefore w:val="0"/>
        <w:kinsoku/>
        <w:wordWrap w:val="0"/>
        <w:overflowPunct/>
        <w:bidi w:val="0"/>
        <w:adjustRightInd w:val="0"/>
        <w:snapToGrid w:val="0"/>
        <w:ind w:firstLine="482" w:firstLineChars="200"/>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中标人对危险性较大的工程必须按《危险性较大的分部分项工程安全管理规定》（中华人民共和国住房和城乡建设部令第37号）的规定编制专项施工方案。同时，中标人必须按照《危险性较大的分部分项工程安全管理规定》的规定和经审批的专项施工方案履行安全职责，严格执行国家、地方政府有关施工安全管理方面的法律、法规及规章制度，同时严格执行招标人制订的本项目安全生产管理方面的规章制度、安全检查程序及施工安全管理要求，以及监理人有关安全工作的指令。</w:t>
      </w:r>
    </w:p>
    <w:p>
      <w:pPr>
        <w:pStyle w:val="37"/>
        <w:pageBreakBefore w:val="0"/>
        <w:kinsoku/>
        <w:wordWrap w:val="0"/>
        <w:overflowPunct/>
        <w:bidi w:val="0"/>
        <w:ind w:firstLine="482" w:firstLineChars="200"/>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中标人应根据《危险性较大的分部分项工程安全管理规定》（住房城乡建设部令第37号）、《住房城乡建设部办公厅关于实施&lt;危险性较大的分部分项工程安全管理规定&gt;有关问题的通知》（建办质〔2018〕31号）、《广东省住房和城乡建设厅关于房屋市政工程危险性较大的分部分项工程安全管理的实施细则的通知》（粤建规范〔2019〕2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pPr>
        <w:pStyle w:val="37"/>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3.38</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中标人项目经理和主要管理人员的考勤实行实名制打卡，中标人项目经理和主要管理人员的考勤若发现有弄虚作假行为，发现一次，中标人应承担一般违约责任1次。</w:t>
      </w:r>
    </w:p>
    <w:p>
      <w:pPr>
        <w:pStyle w:val="37"/>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3.</w:t>
      </w:r>
      <w:r>
        <w:rPr>
          <w:rFonts w:hint="eastAsia" w:asciiTheme="minorEastAsia" w:hAnsiTheme="minorEastAsia" w:eastAsiaTheme="minorEastAsia" w:cstheme="minorEastAsia"/>
          <w:b/>
          <w:color w:val="000000" w:themeColor="text1"/>
          <w:highlight w:val="none"/>
          <w:shd w:val="clear" w:color="auto" w:fill="FFFFFF"/>
          <w:lang w:val="en-US" w:eastAsia="zh-CN"/>
          <w14:textFill>
            <w14:solidFill>
              <w14:schemeClr w14:val="tx1"/>
            </w14:solidFill>
          </w14:textFill>
        </w:rPr>
        <w:t xml:space="preserve">39 </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本项目在建设过程中，中标人的设计及施工的质量安全等相关实施内容要按照业主单位、发包单位的相关管理规定和质量安全考核要求，随时接受业主单位、发包单位自行或委托的第三方的监督检查及考核，中标人必须无条件配合，如中标人不配合或未通过相关的监督检查及考核，中标人须接受业主单位、发包单位的相关管理规定和处罚，并承担相应的责任。</w:t>
      </w:r>
    </w:p>
    <w:p>
      <w:pPr>
        <w:pStyle w:val="37"/>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3.4</w:t>
      </w:r>
      <w:r>
        <w:rPr>
          <w:rFonts w:hint="eastAsia" w:asciiTheme="minorEastAsia" w:hAnsiTheme="minorEastAsia" w:eastAsiaTheme="minorEastAsia" w:cstheme="minorEastAsia"/>
          <w:b/>
          <w:color w:val="000000" w:themeColor="text1"/>
          <w:highlight w:val="none"/>
          <w:shd w:val="clear" w:color="auto" w:fill="FFFFFF"/>
          <w:lang w:val="en-US" w:eastAsia="zh-CN"/>
          <w14:textFill>
            <w14:solidFill>
              <w14:schemeClr w14:val="tx1"/>
            </w14:solidFill>
          </w14:textFill>
        </w:rPr>
        <w:t>0</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其他事项</w:t>
      </w:r>
    </w:p>
    <w:p>
      <w:pPr>
        <w:pageBreakBefore w:val="0"/>
        <w:kinsoku/>
        <w:wordWrap w:val="0"/>
        <w:overflowPunct/>
        <w:bidi w:val="0"/>
        <w:spacing w:line="360" w:lineRule="auto"/>
        <w:ind w:firstLine="542" w:firstLineChars="225"/>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3.4</w:t>
      </w:r>
      <w:r>
        <w:rPr>
          <w:rFonts w:hint="eastAsia" w:asciiTheme="minorEastAsia" w:hAnsiTheme="minorEastAsia" w:eastAsiaTheme="minorEastAsia" w:cstheme="minorEastAsia"/>
          <w:b/>
          <w:color w:val="000000" w:themeColor="text1"/>
          <w:highlight w:val="none"/>
          <w:shd w:val="clear" w:color="auto" w:fill="FFFFFF"/>
          <w:lang w:val="en-US" w:eastAsia="zh-CN"/>
          <w14:textFill>
            <w14:solidFill>
              <w14:schemeClr w14:val="tx1"/>
            </w14:solidFill>
          </w14:textFill>
        </w:rPr>
        <w:t>0</w:t>
      </w: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 xml:space="preserve">.1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招标文件中涉及的合同实质性内容以及拟签合同的主要条款内容、中标须知、相关附件、格式内容等为中标后拟签合同实质性内容，在订立合同时不得擅自进行更改。</w:t>
      </w:r>
    </w:p>
    <w:p>
      <w:pPr>
        <w:pStyle w:val="32"/>
        <w:pageBreakBefore w:val="0"/>
        <w:kinsoku/>
        <w:wordWrap w:val="0"/>
        <w:overflowPunct/>
        <w:bidi w:val="0"/>
        <w:spacing w:line="360" w:lineRule="auto"/>
        <w:ind w:firstLine="480"/>
        <w:jc w:val="left"/>
        <w:rPr>
          <w:rFonts w:hint="eastAsia" w:asciiTheme="minorEastAsia" w:hAnsiTheme="minorEastAsia" w:eastAsiaTheme="minorEastAsia" w:cstheme="minorEastAsia"/>
          <w:b w:val="0"/>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3.4</w:t>
      </w:r>
      <w:r>
        <w:rPr>
          <w:rFonts w:hint="eastAsia" w:asciiTheme="minorEastAsia" w:hAnsiTheme="minorEastAsia" w:eastAsiaTheme="minorEastAsia" w:cstheme="minorEastAsia"/>
          <w:color w:val="000000" w:themeColor="text1"/>
          <w:sz w:val="24"/>
          <w:highlight w:val="none"/>
          <w:shd w:val="clear" w:color="auto" w:fill="FFFFFF"/>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.2</w:t>
      </w:r>
      <w:r>
        <w:rPr>
          <w:rFonts w:hint="eastAsia" w:asciiTheme="minorEastAsia" w:hAnsiTheme="minorEastAsia" w:eastAsiaTheme="minorEastAsia" w:cstheme="minorEastAsia"/>
          <w:b w:val="0"/>
          <w:snapToGrid w:val="0"/>
          <w:color w:val="000000" w:themeColor="text1"/>
          <w:kern w:val="0"/>
          <w:sz w:val="24"/>
          <w:highlight w:val="none"/>
          <w14:textFill>
            <w14:solidFill>
              <w14:schemeClr w14:val="tx1"/>
            </w14:solidFill>
          </w14:textFill>
        </w:rPr>
        <w:t>中标人应按《关于印发&lt;</w:t>
      </w:r>
      <w:r>
        <w:rPr>
          <w:rFonts w:hint="eastAsia" w:asciiTheme="minorEastAsia" w:hAnsiTheme="minorEastAsia" w:eastAsiaTheme="minorEastAsia" w:cstheme="minorEastAsia"/>
          <w:b w:val="0"/>
          <w:snapToGrid w:val="0"/>
          <w:color w:val="000000" w:themeColor="text1"/>
          <w:kern w:val="0"/>
          <w:sz w:val="24"/>
          <w:highlight w:val="none"/>
          <w:lang w:eastAsia="zh-CN"/>
          <w14:textFill>
            <w14:solidFill>
              <w14:schemeClr w14:val="tx1"/>
            </w14:solidFill>
          </w14:textFill>
        </w:rPr>
        <w:t>南雄市</w:t>
      </w:r>
      <w:r>
        <w:rPr>
          <w:rFonts w:hint="eastAsia" w:asciiTheme="minorEastAsia" w:hAnsiTheme="minorEastAsia" w:eastAsiaTheme="minorEastAsia" w:cstheme="minorEastAsia"/>
          <w:b w:val="0"/>
          <w:snapToGrid w:val="0"/>
          <w:color w:val="000000" w:themeColor="text1"/>
          <w:kern w:val="0"/>
          <w:sz w:val="24"/>
          <w:highlight w:val="none"/>
          <w14:textFill>
            <w14:solidFill>
              <w14:schemeClr w14:val="tx1"/>
            </w14:solidFill>
          </w14:textFill>
        </w:rPr>
        <w:t>安全生产责任保险实施方案（2020-2021）年&gt;的通知》文件办理安全生产责任保险。</w:t>
      </w:r>
    </w:p>
    <w:p>
      <w:pPr>
        <w:pStyle w:val="32"/>
        <w:pageBreakBefore w:val="0"/>
        <w:kinsoku/>
        <w:wordWrap w:val="0"/>
        <w:overflowPunct/>
        <w:bidi w:val="0"/>
        <w:spacing w:line="360" w:lineRule="auto"/>
        <w:ind w:firstLine="480"/>
        <w:jc w:val="left"/>
        <w:rPr>
          <w:rFonts w:hint="default" w:eastAsiaTheme="minorEastAsia"/>
          <w:lang w:val="en-US" w:eastAsia="zh-CN"/>
        </w:rPr>
      </w:pPr>
      <w:r>
        <w:rPr>
          <w:rFonts w:hint="eastAsia" w:asciiTheme="minorEastAsia" w:hAnsiTheme="minorEastAsia" w:eastAsiaTheme="minorEastAsia" w:cstheme="minorEastAsia"/>
          <w:b/>
          <w:bCs/>
          <w:snapToGrid w:val="0"/>
          <w:color w:val="000000" w:themeColor="text1"/>
          <w:kern w:val="0"/>
          <w:sz w:val="24"/>
          <w:highlight w:val="none"/>
          <w:lang w:val="en-US" w:eastAsia="zh-CN"/>
          <w14:textFill>
            <w14:solidFill>
              <w14:schemeClr w14:val="tx1"/>
            </w14:solidFill>
          </w14:textFill>
        </w:rPr>
        <w:t>3.40.3</w:t>
      </w:r>
      <w:r>
        <w:rPr>
          <w:rFonts w:hint="eastAsia" w:asciiTheme="minorEastAsia" w:hAnsiTheme="minorEastAsia" w:eastAsiaTheme="minorEastAsia" w:cstheme="minorEastAsia"/>
          <w:b w:val="0"/>
          <w:snapToGrid w:val="0"/>
          <w:color w:val="000000" w:themeColor="text1"/>
          <w:kern w:val="0"/>
          <w:sz w:val="24"/>
          <w:highlight w:val="none"/>
          <w:lang w:val="en-US" w:eastAsia="zh-CN"/>
          <w14:textFill>
            <w14:solidFill>
              <w14:schemeClr w14:val="tx1"/>
            </w14:solidFill>
          </w14:textFill>
        </w:rPr>
        <w:t>本项目由中标人支付招标代理费及评标专家酬劳。招标代理服务费以中标金额为计价基数，参照《招标代理服务收费管理暂行办法》（计价格[2002]1980号）相关规定计算招标代理服务费；评标专家酬劳（包括食宿费用、交通费、专家评审劳务费等）由招标代理机构先垫付，中标人须在中标公告公示期结束后,向招标代理机构一次性付清评标专家酬劳（以当天评委签收为准）。</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pPr>
        <w:pStyle w:val="38"/>
        <w:keepNext/>
        <w:keepLines/>
        <w:pageBreakBefore w:val="0"/>
        <w:tabs>
          <w:tab w:val="left" w:pos="885"/>
        </w:tabs>
        <w:kinsoku/>
        <w:wordWrap w:val="0"/>
        <w:overflowPunct/>
        <w:bidi w:val="0"/>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44"/>
          <w:sz w:val="24"/>
          <w:highlight w:val="none"/>
          <w14:textFill>
            <w14:solidFill>
              <w14:schemeClr w14:val="tx1"/>
            </w14:solidFill>
          </w14:textFill>
        </w:rPr>
        <w:br w:type="page"/>
      </w:r>
      <w:bookmarkStart w:id="356" w:name="_Toc28287"/>
      <w:bookmarkStart w:id="357" w:name="_Toc25756"/>
      <w:bookmarkStart w:id="358" w:name="_Toc21424"/>
      <w:bookmarkStart w:id="359" w:name="_Toc29153"/>
      <w:bookmarkStart w:id="360" w:name="_Toc18638"/>
      <w:bookmarkStart w:id="361" w:name="_Toc20219"/>
      <w:bookmarkStart w:id="362" w:name="_Toc31514"/>
      <w:bookmarkStart w:id="363" w:name="_Toc27728"/>
      <w:bookmarkStart w:id="364" w:name="_Toc24187"/>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第四</w:t>
      </w:r>
      <w:bookmarkStart w:id="365" w:name="_Hlt69669176"/>
      <w:bookmarkEnd w:id="365"/>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章</w:t>
      </w:r>
      <w:bookmarkStart w:id="366" w:name="_Hlt87793847"/>
      <w:bookmarkEnd w:id="366"/>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 xml:space="preserve"> 投标人提交的其他材料</w:t>
      </w:r>
      <w:bookmarkEnd w:id="356"/>
      <w:bookmarkEnd w:id="357"/>
      <w:bookmarkEnd w:id="358"/>
      <w:bookmarkEnd w:id="359"/>
      <w:bookmarkEnd w:id="360"/>
      <w:bookmarkEnd w:id="361"/>
      <w:bookmarkEnd w:id="362"/>
      <w:bookmarkEnd w:id="363"/>
      <w:bookmarkEnd w:id="364"/>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355"/>
    <w:p>
      <w:pPr>
        <w:pStyle w:val="4"/>
        <w:pageBreakBefore w:val="0"/>
        <w:kinsoku/>
        <w:wordWrap w:val="0"/>
        <w:overflowPunct/>
        <w:bidi w:val="0"/>
        <w:spacing w:line="360" w:lineRule="auto"/>
        <w:ind w:firstLine="241" w:firstLineChars="100"/>
        <w:outlineLvl w:val="1"/>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367" w:name="_Hlt66531751"/>
      <w:bookmarkEnd w:id="367"/>
      <w:bookmarkStart w:id="368" w:name="_Hlt66104911"/>
      <w:bookmarkEnd w:id="368"/>
      <w:bookmarkStart w:id="369" w:name="_Toc1109"/>
      <w:bookmarkStart w:id="370" w:name="_Toc5733"/>
      <w:bookmarkStart w:id="371" w:name="_Toc21505"/>
      <w:bookmarkStart w:id="372" w:name="_Toc18673"/>
      <w:bookmarkStart w:id="373" w:name="_Toc31172"/>
      <w:bookmarkStart w:id="374" w:name="_Toc28975"/>
      <w:bookmarkStart w:id="375" w:name="_Toc5994"/>
      <w:bookmarkStart w:id="376" w:name="_Toc6606"/>
      <w:bookmarkStart w:id="377" w:name="_Toc19932"/>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w:t>
      </w:r>
      <w:bookmarkStart w:id="378" w:name="_Hlt69356768"/>
      <w:bookmarkEnd w:id="378"/>
      <w:bookmarkStart w:id="379" w:name="_Hlt66677316"/>
      <w:r>
        <w:rPr>
          <w:rFonts w:hint="eastAsia" w:asciiTheme="minorEastAsia" w:hAnsiTheme="minorEastAsia" w:eastAsiaTheme="minorEastAsia" w:cstheme="minorEastAsia"/>
          <w:b/>
          <w:bCs/>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投标保证</w:t>
      </w:r>
      <w:bookmarkEnd w:id="369"/>
      <w:bookmarkEnd w:id="370"/>
      <w:bookmarkEnd w:id="371"/>
      <w:bookmarkEnd w:id="372"/>
      <w:bookmarkEnd w:id="373"/>
      <w:bookmarkEnd w:id="374"/>
      <w:bookmarkEnd w:id="375"/>
      <w:bookmarkEnd w:id="376"/>
      <w:bookmarkEnd w:id="377"/>
      <w:bookmarkEnd w:id="379"/>
    </w:p>
    <w:p>
      <w:pPr>
        <w:pageBreakBefore w:val="0"/>
        <w:kinsoku/>
        <w:wordWrap w:val="0"/>
        <w:overflowPunct/>
        <w:bidi w:val="0"/>
        <w:snapToGrid w:val="0"/>
        <w:spacing w:beforeLines="50"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1.1</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投标保证的形式包括投标保证金、投标保证担保、投标保证保险三种，由投标人自主选择。</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采用投标保证金的，投标人在建设工程交易系统获取招标文件完毕后，即可在系统申请缴纳投标保证金，获取本次招标投标保证金缴纳账号。投标人必须于投标保证金到账截止时间（见招标文件“重要事项时间地点一览表”）前，从其基本账户将投标保证金转账到指定的缴纳账号。逾期到账的、从非投标人基本账户转出的，其投标无效。</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采用投标保证担保的，投标人应提交有效的银行保函，银行保函的有效期不得短于投标有效期。投标人必须在投标保证担保截止时间（见本招标文件“重要事项时间地点一览表”）前，使用工程建设交易系统完成网上办理电子保函。</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采用投标保证保险的，投标人须在投标保证保险投保截止时间（见本招标文件“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温馨提醒：投标人采用投标保证担保或投标保证保险的，为避免在评标过程中因有效期发生争议，建议投标人将银行保函或电子保单有效期设置为较招标文件规定的投标有效期延长不少于20个日历天。</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1.2</w:t>
      </w:r>
      <w:r>
        <w:rPr>
          <w:rFonts w:hint="eastAsia" w:asciiTheme="minorEastAsia" w:hAnsiTheme="minorEastAsia" w:eastAsiaTheme="minorEastAsia" w:cstheme="minorEastAsia"/>
          <w:color w:val="000000" w:themeColor="text1"/>
          <w:highlight w:val="none"/>
          <w14:textFill>
            <w14:solidFill>
              <w14:schemeClr w14:val="tx1"/>
            </w14:solidFill>
          </w14:textFill>
        </w:rPr>
        <w:t>投标人撤回已提交的投标文件，应当在投标截止时间前书面通知招标人。投标截止后投标人撤销投标文件的，招标人可以不退还投标保证。</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1.3</w:t>
      </w:r>
      <w:r>
        <w:rPr>
          <w:rFonts w:hint="eastAsia" w:asciiTheme="minorEastAsia" w:hAnsiTheme="minorEastAsia" w:eastAsiaTheme="minorEastAsia" w:cstheme="minorEastAsia"/>
          <w:color w:val="000000" w:themeColor="text1"/>
          <w:highlight w:val="none"/>
          <w14:textFill>
            <w14:solidFill>
              <w14:schemeClr w14:val="tx1"/>
            </w14:solidFill>
          </w14:textFill>
        </w:rPr>
        <w:t>投标保证的退还方式：</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中标候选人公示期满无异议（投诉）后，招标人确定第一中标候选人为中标人，并在中标人确定之日起7个工作日内向中标人发出中标通知书。在中标通知书发出后5个工作日内，韶关市公共资源交易中心将投标保证金（或银行保函）退还给中标候选人以外的投标人。</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投标人中标后不与招标人依据招标文件要求签订工程合同的，由建设行政主管部门按规定处理其投标保证。</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1.5</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组成联合体时由联合体牵头人缴纳投标保证。</w:t>
      </w:r>
    </w:p>
    <w:p>
      <w:pPr>
        <w:pStyle w:val="4"/>
        <w:pageBreakBefore w:val="0"/>
        <w:kinsoku/>
        <w:wordWrap w:val="0"/>
        <w:overflowPunct/>
        <w:bidi w:val="0"/>
        <w:spacing w:line="360" w:lineRule="auto"/>
        <w:ind w:firstLine="241" w:firstLineChars="100"/>
        <w:outlineLvl w:val="1"/>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380" w:name="_Hlt87793359"/>
      <w:bookmarkEnd w:id="380"/>
      <w:bookmarkStart w:id="381" w:name="_Hlt87792499"/>
      <w:bookmarkEnd w:id="381"/>
      <w:bookmarkStart w:id="382" w:name="_Toc985"/>
      <w:bookmarkStart w:id="383" w:name="_Toc13501"/>
      <w:bookmarkStart w:id="384" w:name="_Toc22441"/>
      <w:bookmarkStart w:id="385" w:name="_Toc10164"/>
      <w:bookmarkStart w:id="386" w:name="_Toc3284"/>
      <w:bookmarkStart w:id="387" w:name="_Toc3054"/>
      <w:bookmarkStart w:id="388" w:name="_Toc20998"/>
      <w:bookmarkStart w:id="389" w:name="_Toc23304"/>
      <w:bookmarkStart w:id="390" w:name="_Toc19536"/>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2</w:t>
      </w:r>
      <w:r>
        <w:rPr>
          <w:rFonts w:hint="eastAsia" w:asciiTheme="minorEastAsia" w:hAnsiTheme="minorEastAsia" w:eastAsiaTheme="minorEastAsia" w:cstheme="minorEastAsia"/>
          <w:b/>
          <w:bCs/>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履约保证金</w:t>
      </w:r>
      <w:bookmarkEnd w:id="382"/>
      <w:bookmarkEnd w:id="383"/>
      <w:bookmarkEnd w:id="384"/>
      <w:bookmarkEnd w:id="385"/>
      <w:bookmarkEnd w:id="386"/>
      <w:bookmarkEnd w:id="387"/>
      <w:bookmarkEnd w:id="388"/>
      <w:bookmarkEnd w:id="389"/>
      <w:bookmarkEnd w:id="390"/>
    </w:p>
    <w:bookmarkEnd w:id="1"/>
    <w:p>
      <w:pPr>
        <w:pageBreakBefore w:val="0"/>
        <w:widowControl/>
        <w:kinsoku/>
        <w:wordWrap w:val="0"/>
        <w:overflowPunct/>
        <w:bidi w:val="0"/>
        <w:adjustRightInd/>
        <w:snapToGrid/>
        <w:spacing w:line="360" w:lineRule="auto"/>
        <w:ind w:firstLine="482" w:firstLineChars="200"/>
        <w:jc w:val="left"/>
        <w:rPr>
          <w:rFonts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391" w:name="_Toc466640610"/>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中标人须在领取中标通知书之日起</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5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个工作日内、签订合同前向招标人提交金额为中标价</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lang w:val="en-US" w:eastAsia="zh-CN"/>
          <w14:textFill>
            <w14:solidFill>
              <w14:schemeClr w14:val="tx1"/>
            </w14:solidFill>
          </w14:textFill>
        </w:rPr>
        <w:t>3</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的履约保证。</w:t>
      </w:r>
      <w:r>
        <w:rPr>
          <w:rFonts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联合体中标的，由联合体牵头人提交。同时招标人向中标人提供合同价</w:t>
      </w:r>
      <w:r>
        <w:rPr>
          <w:rFonts w:hint="eastAsia" w:asciiTheme="minorEastAsia" w:hAnsiTheme="minorEastAsia" w:eastAsiaTheme="minorEastAsia" w:cstheme="minorEastAsia"/>
          <w:snapToGrid w:val="0"/>
          <w:color w:val="000000" w:themeColor="text1"/>
          <w:kern w:val="0"/>
          <w:szCs w:val="24"/>
          <w:highlight w:val="none"/>
          <w:u w:val="none"/>
          <w:lang w:val="en-US" w:eastAsia="zh-CN"/>
          <w14:textFill>
            <w14:solidFill>
              <w14:schemeClr w14:val="tx1"/>
            </w14:solidFill>
          </w14:textFill>
        </w:rPr>
        <w:t>3</w:t>
      </w:r>
      <w:r>
        <w:rPr>
          <w:rFonts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%的支付担保，并将工程款支付担保文书作为建设工程合同的组成部分(担保期限届至招标人支付除工程质量保修金以外的全部工程结算款项之日后</w:t>
      </w:r>
      <w:r>
        <w:rPr>
          <w:rFonts w:asciiTheme="minorEastAsia" w:hAnsiTheme="minorEastAsia" w:eastAsiaTheme="minorEastAsia" w:cstheme="minorEastAsia"/>
          <w:snapToGrid w:val="0"/>
          <w:color w:val="000000" w:themeColor="text1"/>
          <w:kern w:val="0"/>
          <w:szCs w:val="24"/>
          <w:highlight w:val="none"/>
          <w:u w:val="none"/>
          <w14:textFill>
            <w14:solidFill>
              <w14:schemeClr w14:val="tx1"/>
            </w14:solidFill>
          </w14:textFill>
        </w:rPr>
        <w:t>30</w:t>
      </w:r>
      <w:r>
        <w:rPr>
          <w:rFonts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天)。</w:t>
      </w:r>
    </w:p>
    <w:p>
      <w:pPr>
        <w:pageBreakBefore w:val="0"/>
        <w:widowControl/>
        <w:kinsoku/>
        <w:wordWrap w:val="0"/>
        <w:overflowPunct/>
        <w:bidi w:val="0"/>
        <w:adjustRightInd/>
        <w:snapToGrid/>
        <w:spacing w:line="360" w:lineRule="auto"/>
        <w:ind w:firstLine="480" w:firstLineChars="200"/>
        <w:jc w:val="lef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bidi="ar"/>
          <w14:textFill>
            <w14:solidFill>
              <w14:schemeClr w14:val="tx1"/>
            </w14:solidFill>
          </w14:textFill>
        </w:rPr>
        <w:t>注：</w:t>
      </w:r>
      <w:r>
        <w:rPr>
          <w:rFonts w:hint="eastAsia" w:asciiTheme="minorEastAsia" w:hAnsiTheme="minorEastAsia" w:eastAsiaTheme="minorEastAsia" w:cstheme="minorEastAsia"/>
          <w:i w:val="0"/>
          <w:iCs w:val="0"/>
          <w:snapToGrid w:val="0"/>
          <w:color w:val="000000" w:themeColor="text1"/>
          <w:kern w:val="0"/>
          <w:sz w:val="24"/>
          <w:szCs w:val="24"/>
          <w:highlight w:val="none"/>
          <w:lang w:val="en-US" w:eastAsia="zh-CN" w:bidi="ar"/>
          <w14:textFill>
            <w14:solidFill>
              <w14:schemeClr w14:val="tx1"/>
            </w14:solidFill>
          </w14:textFill>
        </w:rPr>
        <w:t>根据《保障农民工工资支付条例》，发包人必须落实工程款支付担保制度， 需有项目预付款。 2017 年 2 月，国务院出台《关于促进建筑业持续健康发展的意见》， 要求“严格执行工程预付款制度，及时按合同约定足额向承包单位支付预付款。通过工 程款支付担保等经济、法律手段约束建设单位履约行为，预防拖欠工程款。”</w:t>
      </w:r>
    </w:p>
    <w:p>
      <w:pPr>
        <w:pageBreakBefore w:val="0"/>
        <w:kinsoku/>
        <w:wordWrap w:val="0"/>
        <w:overflowPunct/>
        <w:bidi w:val="0"/>
        <w:adjustRightInd w:val="0"/>
        <w:snapToGrid w:val="0"/>
        <w:spacing w:line="360" w:lineRule="auto"/>
        <w:ind w:firstLine="562"/>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asciiTheme="minorEastAsia" w:hAnsiTheme="minorEastAsia" w:eastAsiaTheme="minorEastAsia" w:cstheme="minorEastAsia"/>
          <w:snapToGrid w:val="0"/>
          <w:color w:val="000000" w:themeColor="text1"/>
          <w:kern w:val="0"/>
          <w:szCs w:val="24"/>
          <w:highlight w:val="none"/>
          <w:lang w:bidi="ar"/>
          <w14:textFill>
            <w14:solidFill>
              <w14:schemeClr w14:val="tx1"/>
            </w14:solidFill>
          </w14:textFill>
        </w:rPr>
        <w:t>中标人根据《关于统一在市公共资源交易一体化服务平台缴退工程建设项目履约保证金的通知》办理相关手续，履约保证的形式包括履约保证金、履约保证担保、履约保证保险三种，由中标人自主选择。商业保函、银行保函或保险合同（或保险单）的有效期应当自合同生效之日起至项目通过竣工验收之日后</w:t>
      </w:r>
      <w:r>
        <w:rPr>
          <w:rFonts w:hint="eastAsia" w:asciiTheme="minorEastAsia" w:hAnsiTheme="minorEastAsia" w:eastAsiaTheme="minorEastAsia" w:cstheme="minorEastAsia"/>
          <w:snapToGrid w:val="0"/>
          <w:color w:val="000000" w:themeColor="text1"/>
          <w:kern w:val="0"/>
          <w:szCs w:val="24"/>
          <w:highlight w:val="none"/>
          <w:u w:val="none"/>
          <w:lang w:bidi="ar"/>
          <w14:textFill>
            <w14:solidFill>
              <w14:schemeClr w14:val="tx1"/>
            </w14:solidFill>
          </w14:textFill>
        </w:rPr>
        <w:t>28</w:t>
      </w:r>
      <w:r>
        <w:rPr>
          <w:rFonts w:asciiTheme="minorEastAsia" w:hAnsiTheme="minorEastAsia" w:eastAsiaTheme="minorEastAsia" w:cstheme="minorEastAsia"/>
          <w:snapToGrid w:val="0"/>
          <w:color w:val="000000" w:themeColor="text1"/>
          <w:kern w:val="0"/>
          <w:szCs w:val="24"/>
          <w:highlight w:val="none"/>
          <w:lang w:bidi="ar"/>
          <w14:textFill>
            <w14:solidFill>
              <w14:schemeClr w14:val="tx1"/>
            </w14:solidFill>
          </w14:textFill>
        </w:rPr>
        <w:t>天止。</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2.3</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在工程实施过程中，如果中标人（即招标阶段的中标人，下同）由于自身的资金、技术、质量、非不可抗力等原因给招标人（即招标阶段的招标人，下同）造成经济损失，扣除相应履约保证。</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项目通过竣工验收之日后28天内，招标人将履约保证</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或全部履约保证金（不计算利息）</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退还给中标人。</w:t>
      </w:r>
    </w:p>
    <w:p>
      <w:pPr>
        <w:pStyle w:val="4"/>
        <w:pageBreakBefore w:val="0"/>
        <w:kinsoku/>
        <w:wordWrap w:val="0"/>
        <w:overflowPunct/>
        <w:bidi w:val="0"/>
        <w:spacing w:line="360" w:lineRule="auto"/>
        <w:ind w:firstLine="241" w:firstLineChars="100"/>
        <w:outlineLvl w:val="1"/>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392" w:name="_Toc5950"/>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w:t>
      </w:r>
      <w:r>
        <w:rPr>
          <w:rFonts w:hint="eastAsia" w:asciiTheme="minorEastAsia" w:hAnsiTheme="minorEastAsia" w:eastAsiaTheme="minorEastAsia" w:cstheme="minorEastAsia"/>
          <w:b/>
          <w:bCs/>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质量保证</w:t>
      </w:r>
      <w:bookmarkEnd w:id="392"/>
    </w:p>
    <w:p>
      <w:pPr>
        <w:pageBreakBefore w:val="0"/>
        <w:kinsoku/>
        <w:wordWrap w:val="0"/>
        <w:overflowPunct/>
        <w:bidi w:val="0"/>
        <w:adjustRightInd w:val="0"/>
        <w:snapToGrid w:val="0"/>
        <w:spacing w:line="360" w:lineRule="auto"/>
        <w:ind w:firstLine="560"/>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3.1</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 xml:space="preserve"> 本工程缺陷责任期为</w:t>
      </w:r>
      <w:r>
        <w:rPr>
          <w:rFonts w:hint="eastAsia" w:asciiTheme="minorEastAsia" w:hAnsiTheme="minorEastAsia" w:eastAsiaTheme="minorEastAsia" w:cstheme="minorEastAsia"/>
          <w:bCs/>
          <w:snapToGrid w:val="0"/>
          <w:color w:val="000000" w:themeColor="text1"/>
          <w:kern w:val="0"/>
          <w:szCs w:val="24"/>
          <w:highlight w:val="none"/>
          <w:u w:val="single"/>
          <w:lang w:val="en-US" w:eastAsia="zh-CN"/>
          <w14:textFill>
            <w14:solidFill>
              <w14:schemeClr w14:val="tx1"/>
            </w14:solidFill>
          </w14:textFill>
        </w:rPr>
        <w:t xml:space="preserve"> 1 </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年（自通过竣工验收之日起计），在此期间预留金额为结算价</w:t>
      </w:r>
      <w:r>
        <w:rPr>
          <w:rFonts w:hint="eastAsia" w:asciiTheme="minorEastAsia" w:hAnsiTheme="minorEastAsia" w:eastAsiaTheme="minorEastAsia" w:cstheme="minorEastAsia"/>
          <w:bCs/>
          <w:snapToGrid w:val="0"/>
          <w:color w:val="000000" w:themeColor="text1"/>
          <w:kern w:val="0"/>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Cs/>
          <w:snapToGrid w:val="0"/>
          <w:color w:val="000000" w:themeColor="text1"/>
          <w:kern w:val="0"/>
          <w:szCs w:val="24"/>
          <w:highlight w:val="none"/>
          <w:u w:val="single"/>
          <w14:textFill>
            <w14:solidFill>
              <w14:schemeClr w14:val="tx1"/>
            </w14:solidFill>
          </w14:textFill>
        </w:rPr>
        <w:t>3%</w:t>
      </w:r>
      <w:r>
        <w:rPr>
          <w:rFonts w:hint="eastAsia" w:asciiTheme="minorEastAsia" w:hAnsiTheme="minorEastAsia" w:eastAsiaTheme="minorEastAsia" w:cstheme="minorEastAsia"/>
          <w:bCs/>
          <w:snapToGrid w:val="0"/>
          <w:color w:val="000000" w:themeColor="text1"/>
          <w:kern w:val="0"/>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的质量保证。</w:t>
      </w:r>
    </w:p>
    <w:p>
      <w:pPr>
        <w:pageBreakBefore w:val="0"/>
        <w:kinsoku/>
        <w:wordWrap w:val="0"/>
        <w:overflowPunct/>
        <w:bidi w:val="0"/>
        <w:adjustRightInd w:val="0"/>
        <w:snapToGrid w:val="0"/>
        <w:spacing w:line="360" w:lineRule="auto"/>
        <w:ind w:firstLine="560"/>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3.2</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 xml:space="preserve"> 质量保证的形式包括质量保证金、质量保证担保、质量保证保险三种，由中标人自主选择。</w:t>
      </w:r>
    </w:p>
    <w:p>
      <w:pPr>
        <w:pageBreakBefore w:val="0"/>
        <w:kinsoku/>
        <w:wordWrap w:val="0"/>
        <w:overflowPunct/>
        <w:bidi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（1）采用质量保证金形式的，在结清审定总造价时一次性扣留相应金额作为质量保证金。</w:t>
      </w:r>
    </w:p>
    <w:p>
      <w:pPr>
        <w:pageBreakBefore w:val="0"/>
        <w:kinsoku/>
        <w:wordWrap w:val="0"/>
        <w:overflowPunct/>
        <w:bidi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（2）采用质量保证担保或质量保证保险的，中标人应在竣工验收时向招标人提交有效的银行保函原件或保险合同原件（或保险单），银行保函或保险合同原件（或保险单）的有效期不得短于缺陷责任期。</w:t>
      </w:r>
    </w:p>
    <w:p>
      <w:pPr>
        <w:pageBreakBefore w:val="0"/>
        <w:kinsoku/>
        <w:wordWrap w:val="0"/>
        <w:overflowPunct/>
        <w:bidi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3.3</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 xml:space="preserve"> 缺陷责任期内，由中标人原因造成的缺陷，中标人应负责维修，并承担鉴定及维修费用。如果中标人不维修也不承担费用，招标人可按合同约定从质量保证中扣除，维修费用超出保证金额的，招标人可按合同约定向中标人进行索赔。中标人维修并承担相应费用后，不免除对工程的损失赔偿责任。</w:t>
      </w:r>
    </w:p>
    <w:p>
      <w:pPr>
        <w:pageBreakBefore w:val="0"/>
        <w:kinsoku/>
        <w:wordWrap w:val="0"/>
        <w:overflowPunct/>
        <w:bidi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由他人原因造成的缺陷，招标人负责组织维修，中标人不承担费用，且招标人不得从质量保证中扣除费用。</w:t>
      </w:r>
    </w:p>
    <w:p>
      <w:pPr>
        <w:pageBreakBefore w:val="0"/>
        <w:kinsoku/>
        <w:wordWrap w:val="0"/>
        <w:overflowPunct/>
        <w:bidi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3.4</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 xml:space="preserve"> 缺陷责任期内，中标人应认真履行合同约定的责任。缺陷责任期到期后，中标人向招标人申请退还质量保证，招标人应按照《建设工程质量保证金管理办法》有关规定将质量保证退还给中标人（不计息）。</w:t>
      </w:r>
    </w:p>
    <w:p>
      <w:pPr>
        <w:pageBreakBefore w:val="0"/>
        <w:kinsoku/>
        <w:wordWrap w:val="0"/>
        <w:overflowPunct/>
        <w:bidi w:val="0"/>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br w:type="page"/>
      </w:r>
    </w:p>
    <w:p>
      <w:pPr>
        <w:pStyle w:val="38"/>
        <w:keepNext/>
        <w:keepLines/>
        <w:pageBreakBefore w:val="0"/>
        <w:tabs>
          <w:tab w:val="left" w:pos="885"/>
        </w:tabs>
        <w:kinsoku/>
        <w:wordWrap w:val="0"/>
        <w:overflowPunct/>
        <w:bidi w:val="0"/>
        <w:spacing w:line="240" w:lineRule="auto"/>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bookmarkStart w:id="393" w:name="_Toc25046"/>
      <w:bookmarkStart w:id="394" w:name="_Toc4262"/>
      <w:bookmarkStart w:id="395" w:name="_Toc22105"/>
      <w:bookmarkStart w:id="396" w:name="_Toc26916"/>
      <w:bookmarkStart w:id="397" w:name="_Toc29236"/>
      <w:bookmarkStart w:id="398" w:name="_Toc17661"/>
      <w:bookmarkStart w:id="399" w:name="_Toc16873"/>
      <w:bookmarkStart w:id="400" w:name="_Toc19584"/>
      <w:bookmarkStart w:id="401" w:name="_Toc12936"/>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第五章 招标工程的技术要求</w:t>
      </w:r>
      <w:bookmarkEnd w:id="391"/>
      <w:bookmarkEnd w:id="393"/>
      <w:bookmarkEnd w:id="394"/>
      <w:bookmarkEnd w:id="395"/>
      <w:bookmarkEnd w:id="396"/>
      <w:bookmarkEnd w:id="397"/>
      <w:bookmarkEnd w:id="398"/>
      <w:bookmarkEnd w:id="399"/>
      <w:bookmarkEnd w:id="400"/>
      <w:bookmarkEnd w:id="401"/>
    </w:p>
    <w:p>
      <w:pPr>
        <w:pStyle w:val="4"/>
        <w:pageBreakBefore w:val="0"/>
        <w:kinsoku/>
        <w:wordWrap w:val="0"/>
        <w:overflowPunct/>
        <w:bidi w:val="0"/>
        <w:spacing w:line="360" w:lineRule="auto"/>
        <w:ind w:firstLine="241" w:firstLineChars="100"/>
        <w:outlineLvl w:val="1"/>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pPr>
      <w:bookmarkStart w:id="402" w:name="_Hlt69116854"/>
      <w:bookmarkEnd w:id="402"/>
      <w:bookmarkStart w:id="403" w:name="_Hlt69265216"/>
      <w:bookmarkEnd w:id="403"/>
      <w:bookmarkStart w:id="404" w:name="_Hlt87793346"/>
      <w:bookmarkEnd w:id="404"/>
      <w:bookmarkStart w:id="405" w:name="_Hlt66104926"/>
      <w:bookmarkEnd w:id="405"/>
      <w:bookmarkStart w:id="406" w:name="_Hlt75685840"/>
      <w:bookmarkEnd w:id="406"/>
      <w:bookmarkStart w:id="407" w:name="_Hlt80411122"/>
      <w:bookmarkEnd w:id="407"/>
      <w:bookmarkStart w:id="408" w:name="_Hlt69359335"/>
      <w:bookmarkEnd w:id="408"/>
      <w:bookmarkStart w:id="409" w:name="_Hlt69358207"/>
      <w:bookmarkEnd w:id="409"/>
      <w:bookmarkStart w:id="410" w:name="_Hlt87793370"/>
      <w:bookmarkEnd w:id="410"/>
      <w:bookmarkStart w:id="411" w:name="_Hlt68774758"/>
      <w:bookmarkEnd w:id="411"/>
      <w:bookmarkStart w:id="412" w:name="_Hlt69357851"/>
      <w:bookmarkEnd w:id="412"/>
      <w:bookmarkStart w:id="413" w:name="_Toc8935"/>
      <w:bookmarkStart w:id="414" w:name="_Toc466640611"/>
      <w:bookmarkStart w:id="415" w:name="_Toc1436"/>
      <w:bookmarkStart w:id="416" w:name="_Toc7837"/>
      <w:bookmarkStart w:id="417" w:name="_Toc31511"/>
      <w:bookmarkStart w:id="418" w:name="_Toc25463"/>
      <w:bookmarkStart w:id="419" w:name="_Toc5215"/>
      <w:bookmarkStart w:id="420" w:name="_Toc1173"/>
      <w:bookmarkStart w:id="421" w:name="_Toc21545"/>
    </w:p>
    <w:p>
      <w:pPr>
        <w:pStyle w:val="4"/>
        <w:pageBreakBefore w:val="0"/>
        <w:kinsoku/>
        <w:wordWrap w:val="0"/>
        <w:overflowPunct/>
        <w:bidi w:val="0"/>
        <w:spacing w:line="360" w:lineRule="auto"/>
        <w:ind w:firstLine="241" w:firstLineChars="100"/>
        <w:outlineLvl w:val="1"/>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bookmarkStart w:id="422" w:name="_Toc29273"/>
      <w:bookmarkStart w:id="423" w:name="_Toc2180"/>
      <w:r>
        <w:rPr>
          <w:rFonts w:hint="eastAsia" w:asciiTheme="minorEastAsia" w:hAnsiTheme="minorEastAsia" w:eastAsiaTheme="minorEastAsia" w:cstheme="minorEastAsia"/>
          <w:b/>
          <w:bCs/>
          <w:color w:val="000000" w:themeColor="text1"/>
          <w:szCs w:val="22"/>
          <w:highlight w:val="none"/>
          <w:lang w:val="en-US" w:eastAsia="zh-CN"/>
          <w14:textFill>
            <w14:solidFill>
              <w14:schemeClr w14:val="tx1"/>
            </w14:solidFill>
          </w14:textFill>
        </w:rPr>
        <w:t>一</w:t>
      </w:r>
      <w:r>
        <w:rPr>
          <w:rFonts w:hint="eastAsia" w:asciiTheme="minorEastAsia" w:hAnsiTheme="minorEastAsia" w:eastAsiaTheme="minorEastAsia" w:cstheme="minorEastAsia"/>
          <w:b/>
          <w:bCs/>
          <w:color w:val="000000" w:themeColor="text1"/>
          <w:szCs w:val="22"/>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工程的技术要求</w:t>
      </w:r>
      <w:bookmarkEnd w:id="413"/>
      <w:bookmarkEnd w:id="414"/>
      <w:bookmarkEnd w:id="415"/>
      <w:bookmarkEnd w:id="416"/>
      <w:bookmarkEnd w:id="417"/>
      <w:bookmarkEnd w:id="418"/>
      <w:bookmarkEnd w:id="419"/>
      <w:bookmarkEnd w:id="420"/>
      <w:bookmarkEnd w:id="421"/>
      <w:bookmarkEnd w:id="422"/>
      <w:bookmarkEnd w:id="423"/>
    </w:p>
    <w:p>
      <w:pPr>
        <w:pStyle w:val="4"/>
        <w:pageBreakBefore w:val="0"/>
        <w:kinsoku/>
        <w:wordWrap w:val="0"/>
        <w:overflowPunct/>
        <w:autoSpaceDE/>
        <w:autoSpaceDN/>
        <w:bidi w:val="0"/>
        <w:snapToGrid w:val="0"/>
        <w:spacing w:line="440" w:lineRule="exact"/>
        <w:ind w:firstLine="480"/>
        <w:jc w:val="both"/>
        <w:rPr>
          <w:rFonts w:hint="eastAsia" w:ascii="宋体" w:hAnsi="宋体" w:eastAsia="宋体" w:cs="宋体"/>
          <w:b/>
          <w:color w:val="000000" w:themeColor="text1"/>
          <w:kern w:val="0"/>
          <w:sz w:val="24"/>
          <w:szCs w:val="24"/>
          <w:highlight w:val="none"/>
          <w14:textFill>
            <w14:solidFill>
              <w14:schemeClr w14:val="tx1"/>
            </w14:solidFill>
          </w14:textFill>
        </w:rPr>
      </w:pPr>
      <w:bookmarkStart w:id="424" w:name="_Hlt78709799"/>
      <w:bookmarkEnd w:id="424"/>
      <w:bookmarkStart w:id="425" w:name="_Hlt69358458"/>
      <w:bookmarkEnd w:id="425"/>
      <w:bookmarkStart w:id="426" w:name="_Hlt69359245"/>
      <w:bookmarkEnd w:id="426"/>
      <w:bookmarkStart w:id="427" w:name="_Hlt69635252"/>
      <w:bookmarkEnd w:id="427"/>
      <w:bookmarkStart w:id="428" w:name="_Hlt69359243"/>
      <w:bookmarkEnd w:id="428"/>
      <w:bookmarkStart w:id="429" w:name="_Hlt69116858"/>
      <w:bookmarkEnd w:id="429"/>
      <w:bookmarkStart w:id="430" w:name="_Hlt69359086"/>
      <w:bookmarkEnd w:id="430"/>
      <w:bookmarkStart w:id="431" w:name="_Toc26078"/>
      <w:bookmarkStart w:id="432" w:name="_Toc16151"/>
      <w:bookmarkStart w:id="433" w:name="_Toc23589"/>
      <w:r>
        <w:rPr>
          <w:rFonts w:hint="eastAsia" w:ascii="宋体" w:hAnsi="宋体" w:eastAsia="宋体" w:cs="宋体"/>
          <w:b/>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b/>
          <w:color w:val="000000" w:themeColor="text1"/>
          <w:kern w:val="0"/>
          <w:sz w:val="24"/>
          <w:szCs w:val="24"/>
          <w:highlight w:val="none"/>
          <w14:textFill>
            <w14:solidFill>
              <w14:schemeClr w14:val="tx1"/>
            </w14:solidFill>
          </w14:textFill>
        </w:rPr>
        <w:t>工程设计标准规范</w:t>
      </w:r>
      <w:bookmarkEnd w:id="431"/>
      <w:bookmarkEnd w:id="432"/>
      <w:bookmarkEnd w:id="433"/>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本工程设计必须达到且不限于以下规范的要求：</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）《民用建筑设计通则》（GB50352-2019）；</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（2）《城市道路工程设计规范》CJJ37-2012(2016 年版)</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《室外排水设计规范》（GB50013-2006-2016 版）；</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《污水综合排放标准》（GB8978-2015）； </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（5）《建筑与市政工程无障碍通用规范》（GB55019-2021）</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（6）《城市道路工程设计规范》CJJ37-2012(2016 年版)；</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r>
        <w:rPr>
          <w:rFonts w:hint="eastAsia" w:ascii="宋体" w:hAnsi="宋体" w:eastAsia="宋体" w:cs="宋体"/>
          <w:color w:val="000000" w:themeColor="text1"/>
          <w:sz w:val="24"/>
          <w:szCs w:val="24"/>
          <w:highlight w:val="none"/>
          <w:lang w:val="en-US" w:eastAsia="zh-CN"/>
          <w14:textFill>
            <w14:solidFill>
              <w14:schemeClr w14:val="tx1"/>
            </w14:solidFill>
          </w14:textFill>
        </w:rPr>
        <w:t>《镇(乡)村排水工程技术规程》（CJJ124-2008）</w:t>
      </w:r>
      <w:r>
        <w:rPr>
          <w:rFonts w:hint="eastAsia" w:ascii="宋体" w:hAnsi="宋体" w:eastAsia="宋体" w:cs="宋体"/>
          <w:color w:val="000000" w:themeColor="text1"/>
          <w:sz w:val="24"/>
          <w:szCs w:val="24"/>
          <w:highlight w:val="none"/>
          <w14:textFill>
            <w14:solidFill>
              <w14:schemeClr w14:val="tx1"/>
            </w14:solidFill>
          </w14:textFill>
        </w:rPr>
        <w:t>；</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《公共建筑节能设计标准》（GB 50189-2015）；</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《火灾自动报警系统设计规范》（GB50116-2013）</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《建筑给排水设计规范》（GB50015-2019）；</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国家、行业及韶关市地方先行的相关标准及规范。</w:t>
      </w:r>
    </w:p>
    <w:p>
      <w:pPr>
        <w:pageBreakBefore w:val="0"/>
        <w:kinsoku/>
        <w:wordWrap w:val="0"/>
        <w:overflowPunct/>
        <w:bidi w:val="0"/>
        <w:adjustRightInd w:val="0"/>
        <w:snapToGrid w:val="0"/>
        <w:spacing w:line="440" w:lineRule="exact"/>
        <w:ind w:left="420"/>
        <w:rPr>
          <w:rFonts w:hint="eastAsia" w:ascii="宋体" w:hAnsi="宋体" w:eastAsia="宋体" w:cs="宋体"/>
          <w:bCs/>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注：以上设计规范或规定如有更新，则以更新后的规范及规定为准</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w:t>
      </w:r>
    </w:p>
    <w:p>
      <w:pPr>
        <w:pStyle w:val="7"/>
        <w:pageBreakBefore w:val="0"/>
        <w:kinsoku/>
        <w:wordWrap w:val="0"/>
        <w:overflowPunct/>
        <w:bidi w:val="0"/>
        <w:rPr>
          <w:rFonts w:hint="eastAsia" w:ascii="宋体" w:hAnsi="宋体" w:eastAsia="宋体" w:cs="宋体"/>
          <w:color w:val="000000" w:themeColor="text1"/>
          <w:sz w:val="24"/>
          <w:szCs w:val="24"/>
          <w:highlight w:val="none"/>
          <w14:textFill>
            <w14:solidFill>
              <w14:schemeClr w14:val="tx1"/>
            </w14:solidFill>
          </w14:textFill>
        </w:rPr>
      </w:pPr>
    </w:p>
    <w:p>
      <w:pPr>
        <w:pStyle w:val="4"/>
        <w:pageBreakBefore w:val="0"/>
        <w:kinsoku/>
        <w:wordWrap w:val="0"/>
        <w:overflowPunct/>
        <w:autoSpaceDE/>
        <w:autoSpaceDN/>
        <w:bidi w:val="0"/>
        <w:snapToGrid w:val="0"/>
        <w:spacing w:line="440" w:lineRule="exact"/>
        <w:ind w:firstLine="480"/>
        <w:jc w:val="both"/>
        <w:rPr>
          <w:rFonts w:hint="eastAsia" w:ascii="宋体" w:hAnsi="宋体" w:eastAsia="宋体" w:cs="宋体"/>
          <w:b/>
          <w:bCs/>
          <w:color w:val="000000" w:themeColor="text1"/>
          <w:sz w:val="24"/>
          <w:szCs w:val="24"/>
          <w:highlight w:val="none"/>
          <w14:textFill>
            <w14:solidFill>
              <w14:schemeClr w14:val="tx1"/>
            </w14:solidFill>
          </w14:textFill>
        </w:rPr>
      </w:pPr>
      <w:bookmarkStart w:id="434" w:name="_Toc28294"/>
      <w:bookmarkStart w:id="435" w:name="_Toc25668"/>
      <w:bookmarkStart w:id="436" w:name="_Toc18473"/>
      <w:r>
        <w:rPr>
          <w:rFonts w:hint="eastAsia" w:ascii="宋体" w:hAnsi="宋体" w:eastAsia="宋体" w:cs="宋体"/>
          <w:b/>
          <w:bCs/>
          <w:color w:val="000000" w:themeColor="text1"/>
          <w:sz w:val="24"/>
          <w:szCs w:val="24"/>
          <w:highlight w:val="none"/>
          <w14:textFill>
            <w14:solidFill>
              <w14:schemeClr w14:val="tx1"/>
            </w14:solidFill>
          </w14:textFill>
        </w:rPr>
        <w:t>2.施工</w:t>
      </w:r>
      <w:r>
        <w:rPr>
          <w:rFonts w:hint="eastAsia" w:ascii="宋体" w:hAnsi="宋体" w:eastAsia="宋体" w:cs="宋体"/>
          <w:b/>
          <w:snapToGrid w:val="0"/>
          <w:color w:val="000000" w:themeColor="text1"/>
          <w:sz w:val="24"/>
          <w:szCs w:val="24"/>
          <w:highlight w:val="none"/>
          <w14:textFill>
            <w14:solidFill>
              <w14:schemeClr w14:val="tx1"/>
            </w14:solidFill>
          </w14:textFill>
        </w:rPr>
        <w:t>规范</w:t>
      </w:r>
      <w:bookmarkEnd w:id="434"/>
      <w:bookmarkEnd w:id="435"/>
      <w:bookmarkEnd w:id="436"/>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color w:val="000000" w:themeColor="text1"/>
          <w:sz w:val="24"/>
          <w:szCs w:val="24"/>
          <w:highlight w:val="none"/>
          <w14:textFill>
            <w14:solidFill>
              <w14:schemeClr w14:val="tx1"/>
            </w14:solidFill>
          </w14:textFill>
        </w:rPr>
        <w:t>．市政基础设施工程建设项目</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市政基础设施工程建设项目必须执行的现行技术规范，包括且不限于：</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（1）《公路路基施工技术规范》；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（2）《市政道路工程质量检验评定标准》；</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（3）《市政排水管渠工程质量检验评定标准》；</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（4）《给水排水管道工程施工及验收规范》；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（5）《城市道路路基工程施工及验收规范》；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（6）《水泥砼路面施工及验收规范》；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（7）《公路水泥砼路面施工技术规范》；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（8）《埋地硬聚氯乙烯排水管道工程技术规程》；</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（9）《沥青路面施工及验收规范》；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（10）《广东省市政工程施工质量技术资料统一用表》。</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（11）《城市道路照明设计标准》（CJJ45-2015）；</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（12）《低压配电设计规范》（GB50054-2011）；</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（13）《城市道路照明工程施工及验收规程》（CJJ89-2012）；</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（14）《LED道路照明工程技术规范》（DB44/T 1898-2016）；</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（15）《灯具第1部分：一般要求与试验》（GB7000.1-2015）；</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（16）《电缆工程电缆设计标准》（GB50217-2018）；</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（17）其他现行国家、广东省关于市政工程的技术及验收规范、定额、规程、标准。</w:t>
      </w:r>
    </w:p>
    <w:p>
      <w:pPr>
        <w:pStyle w:val="4"/>
        <w:pageBreakBefore w:val="0"/>
        <w:kinsoku/>
        <w:wordWrap w:val="0"/>
        <w:overflowPunct/>
        <w:autoSpaceDE/>
        <w:autoSpaceDN/>
        <w:bidi w:val="0"/>
        <w:snapToGrid w:val="0"/>
        <w:spacing w:line="440" w:lineRule="exact"/>
        <w:ind w:firstLine="480"/>
        <w:jc w:val="both"/>
        <w:rPr>
          <w:rFonts w:hint="eastAsia" w:ascii="宋体" w:hAnsi="宋体" w:eastAsia="宋体" w:cs="宋体"/>
          <w:b/>
          <w:snapToGrid w:val="0"/>
          <w:color w:val="000000" w:themeColor="text1"/>
          <w:sz w:val="24"/>
          <w:szCs w:val="24"/>
          <w:highlight w:val="none"/>
          <w14:textFill>
            <w14:solidFill>
              <w14:schemeClr w14:val="tx1"/>
            </w14:solidFill>
          </w14:textFill>
        </w:rPr>
      </w:pPr>
      <w:bookmarkStart w:id="437" w:name="_Toc5527"/>
      <w:bookmarkStart w:id="438" w:name="_Toc7299"/>
      <w:bookmarkStart w:id="439" w:name="_Toc31093"/>
      <w:bookmarkStart w:id="440" w:name="_Toc28818"/>
      <w:bookmarkStart w:id="441" w:name="_Toc2849"/>
      <w:bookmarkStart w:id="442" w:name="_Toc30285"/>
      <w:bookmarkStart w:id="443" w:name="_Toc27980"/>
      <w:r>
        <w:rPr>
          <w:rFonts w:hint="eastAsia" w:ascii="宋体" w:hAnsi="宋体" w:eastAsia="宋体" w:cs="宋体"/>
          <w:b/>
          <w:snapToGrid w:val="0"/>
          <w:color w:val="000000" w:themeColor="text1"/>
          <w:sz w:val="24"/>
          <w:szCs w:val="24"/>
          <w:highlight w:val="none"/>
          <w14:textFill>
            <w14:solidFill>
              <w14:schemeClr w14:val="tx1"/>
            </w14:solidFill>
          </w14:textFill>
        </w:rPr>
        <w:t>3</w:t>
      </w:r>
      <w:r>
        <w:rPr>
          <w:rFonts w:hint="eastAsia" w:hAnsi="宋体" w:eastAsia="宋体" w:cs="宋体"/>
          <w:b/>
          <w:snapToGrid w:val="0"/>
          <w:color w:val="000000" w:themeColor="text1"/>
          <w:sz w:val="24"/>
          <w:szCs w:val="24"/>
          <w:highlight w:val="none"/>
          <w:lang w:val="en-US" w:eastAsia="zh-CN"/>
          <w14:textFill>
            <w14:solidFill>
              <w14:schemeClr w14:val="tx1"/>
            </w14:solidFill>
          </w14:textFill>
        </w:rPr>
        <w:t>.</w:t>
      </w:r>
      <w:r>
        <w:rPr>
          <w:rFonts w:hint="eastAsia" w:ascii="宋体" w:hAnsi="宋体" w:eastAsia="宋体" w:cs="宋体"/>
          <w:b/>
          <w:snapToGrid w:val="0"/>
          <w:color w:val="000000" w:themeColor="text1"/>
          <w:sz w:val="24"/>
          <w:szCs w:val="24"/>
          <w:highlight w:val="none"/>
          <w14:textFill>
            <w14:solidFill>
              <w14:schemeClr w14:val="tx1"/>
            </w14:solidFill>
          </w14:textFill>
        </w:rPr>
        <w:t>备查要求</w:t>
      </w:r>
      <w:bookmarkEnd w:id="437"/>
      <w:bookmarkEnd w:id="438"/>
      <w:bookmarkEnd w:id="439"/>
      <w:bookmarkEnd w:id="440"/>
      <w:bookmarkEnd w:id="441"/>
      <w:bookmarkEnd w:id="442"/>
      <w:bookmarkEnd w:id="443"/>
    </w:p>
    <w:p>
      <w:pPr>
        <w:pageBreakBefore w:val="0"/>
        <w:tabs>
          <w:tab w:val="left" w:pos="0"/>
        </w:tabs>
        <w:kinsoku/>
        <w:wordWrap w:val="0"/>
        <w:overflowPunct/>
        <w:bidi w:val="0"/>
        <w:adjustRightInd w:val="0"/>
        <w:snapToGrid w:val="0"/>
        <w:ind w:firstLine="480" w:firstLineChars="200"/>
        <w:jc w:val="left"/>
        <w:rPr>
          <w:rFonts w:hint="eastAsia" w:ascii="宋体" w:hAnsi="宋体" w:eastAsia="宋体" w:cs="宋体"/>
          <w:bCs/>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承包</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人必须在施工现场准备至少一套上述规范，</w:t>
      </w:r>
      <w:r>
        <w:rPr>
          <w:rFonts w:hint="eastAsia" w:ascii="宋体" w:hAnsi="宋体" w:eastAsia="宋体" w:cs="宋体"/>
          <w:snapToGrid w:val="0"/>
          <w:color w:val="000000" w:themeColor="text1"/>
          <w:kern w:val="0"/>
          <w:sz w:val="24"/>
          <w:szCs w:val="24"/>
          <w:highlight w:val="none"/>
          <w14:textFill>
            <w14:solidFill>
              <w14:schemeClr w14:val="tx1"/>
            </w14:solidFill>
          </w14:textFill>
        </w:rPr>
        <w:t>发包</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人和监理单位可随时检查</w:t>
      </w:r>
      <w:r>
        <w:rPr>
          <w:rFonts w:hint="eastAsia" w:ascii="宋体" w:hAnsi="宋体" w:eastAsia="宋体" w:cs="宋体"/>
          <w:snapToGrid w:val="0"/>
          <w:color w:val="000000" w:themeColor="text1"/>
          <w:kern w:val="0"/>
          <w:sz w:val="24"/>
          <w:szCs w:val="24"/>
          <w:highlight w:val="none"/>
          <w14:textFill>
            <w14:solidFill>
              <w14:schemeClr w14:val="tx1"/>
            </w14:solidFill>
          </w14:textFill>
        </w:rPr>
        <w:t>承包</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人的上述规范，并监督</w:t>
      </w:r>
      <w:r>
        <w:rPr>
          <w:rFonts w:hint="eastAsia" w:ascii="宋体" w:hAnsi="宋体" w:eastAsia="宋体" w:cs="宋体"/>
          <w:snapToGrid w:val="0"/>
          <w:color w:val="000000" w:themeColor="text1"/>
          <w:kern w:val="0"/>
          <w:sz w:val="24"/>
          <w:szCs w:val="24"/>
          <w:highlight w:val="none"/>
          <w14:textFill>
            <w14:solidFill>
              <w14:schemeClr w14:val="tx1"/>
            </w14:solidFill>
          </w14:textFill>
        </w:rPr>
        <w:t>承包</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人按规范要求执行。</w:t>
      </w:r>
    </w:p>
    <w:p>
      <w:pPr>
        <w:pageBreakBefore w:val="0"/>
        <w:kinsoku/>
        <w:wordWrap w:val="0"/>
        <w:overflowPunct/>
        <w:bidi w:val="0"/>
        <w:spacing w:line="360" w:lineRule="auto"/>
        <w:outlineLvl w:val="9"/>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bookmarkStart w:id="444" w:name="_Toc466640612"/>
    </w:p>
    <w:bookmarkEnd w:id="444"/>
    <w:p>
      <w:pPr>
        <w:pStyle w:val="6"/>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bookmarkStart w:id="445" w:name="_Hlt69670335"/>
      <w:bookmarkEnd w:id="445"/>
    </w:p>
    <w:p>
      <w:pPr>
        <w:pageBreakBefore w:val="0"/>
        <w:kinsoku/>
        <w:wordWrap w:val="0"/>
        <w:overflowPunct/>
        <w:bidi w:val="0"/>
        <w:rPr>
          <w:rFonts w:hint="eastAsia"/>
          <w:color w:val="000000" w:themeColor="text1"/>
          <w:highlight w:val="none"/>
          <w14:textFill>
            <w14:solidFill>
              <w14:schemeClr w14:val="tx1"/>
            </w14:solidFill>
          </w14:textFill>
        </w:rPr>
      </w:pPr>
      <w:bookmarkStart w:id="446" w:name="_Toc6133"/>
      <w:bookmarkStart w:id="447" w:name="_Toc5639"/>
      <w:bookmarkStart w:id="448" w:name="_Toc27843"/>
      <w:bookmarkStart w:id="449" w:name="_Toc466640614"/>
      <w:bookmarkStart w:id="450" w:name="_Toc1911"/>
      <w:bookmarkStart w:id="451" w:name="_Toc12955"/>
      <w:bookmarkStart w:id="452" w:name="_Toc23899"/>
      <w:bookmarkStart w:id="453" w:name="_Toc5422"/>
      <w:bookmarkStart w:id="454" w:name="_Toc16295"/>
      <w:bookmarkStart w:id="455" w:name="_Hlt69698785"/>
    </w:p>
    <w:p>
      <w:pPr>
        <w:pageBreakBefore w:val="0"/>
        <w:kinsoku/>
        <w:wordWrap w:val="0"/>
        <w:overflowPunct/>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pPr>
        <w:pStyle w:val="2"/>
        <w:pageBreakBefore w:val="0"/>
        <w:kinsoku/>
        <w:wordWrap w:val="0"/>
        <w:overflowPunct/>
        <w:bidi w:val="0"/>
        <w:rPr>
          <w:rFonts w:hint="eastAsia"/>
          <w:color w:val="000000" w:themeColor="text1"/>
          <w:highlight w:val="none"/>
          <w14:textFill>
            <w14:solidFill>
              <w14:schemeClr w14:val="tx1"/>
            </w14:solidFill>
          </w14:textFill>
        </w:rPr>
      </w:pPr>
    </w:p>
    <w:bookmarkEnd w:id="446"/>
    <w:bookmarkEnd w:id="447"/>
    <w:bookmarkEnd w:id="448"/>
    <w:bookmarkEnd w:id="449"/>
    <w:bookmarkEnd w:id="450"/>
    <w:bookmarkEnd w:id="451"/>
    <w:bookmarkEnd w:id="452"/>
    <w:bookmarkEnd w:id="453"/>
    <w:bookmarkEnd w:id="454"/>
    <w:p>
      <w:pPr>
        <w:pStyle w:val="38"/>
        <w:keepNext/>
        <w:keepLines/>
        <w:pageBreakBefore w:val="0"/>
        <w:tabs>
          <w:tab w:val="left" w:pos="885"/>
        </w:tabs>
        <w:kinsoku/>
        <w:wordWrap w:val="0"/>
        <w:overflowPunct/>
        <w:bidi w:val="0"/>
        <w:spacing w:line="240" w:lineRule="auto"/>
        <w:jc w:val="center"/>
        <w:rPr>
          <w:rFonts w:hint="eastAsia" w:asciiTheme="minorEastAsia" w:hAnsiTheme="minorEastAsia" w:eastAsiaTheme="minorEastAsia" w:cstheme="minorEastAsia"/>
          <w:b/>
          <w:color w:val="000000" w:themeColor="text1"/>
          <w:kern w:val="44"/>
          <w:sz w:val="36"/>
          <w:szCs w:val="36"/>
          <w:highlight w:val="none"/>
          <w:lang w:eastAsia="zh-CN"/>
          <w14:textFill>
            <w14:solidFill>
              <w14:schemeClr w14:val="tx1"/>
            </w14:solidFill>
          </w14:textFill>
        </w:rPr>
      </w:pPr>
      <w:bookmarkStart w:id="456" w:name="_Toc4050"/>
      <w:r>
        <w:rPr>
          <w:rFonts w:hint="eastAsia" w:asciiTheme="minorEastAsia" w:hAnsiTheme="minorEastAsia" w:eastAsiaTheme="minorEastAsia" w:cstheme="minorEastAsia"/>
          <w:b/>
          <w:color w:val="000000" w:themeColor="text1"/>
          <w:kern w:val="44"/>
          <w:sz w:val="36"/>
          <w:szCs w:val="36"/>
          <w:highlight w:val="none"/>
          <w:lang w:val="en-US" w:eastAsia="zh-CN"/>
          <w14:textFill>
            <w14:solidFill>
              <w14:schemeClr w14:val="tx1"/>
            </w14:solidFill>
          </w14:textFill>
        </w:rPr>
        <w:t xml:space="preserve">第六章  </w:t>
      </w:r>
      <w:r>
        <w:rPr>
          <w:rFonts w:hint="eastAsia" w:asciiTheme="minorEastAsia" w:hAnsiTheme="minorEastAsia" w:eastAsiaTheme="minorEastAsia" w:cstheme="minorEastAsia"/>
          <w:b/>
          <w:color w:val="000000" w:themeColor="text1"/>
          <w:kern w:val="44"/>
          <w:sz w:val="36"/>
          <w:szCs w:val="36"/>
          <w:highlight w:val="none"/>
          <w:lang w:eastAsia="zh-CN"/>
          <w14:textFill>
            <w14:solidFill>
              <w14:schemeClr w14:val="tx1"/>
            </w14:solidFill>
          </w14:textFill>
        </w:rPr>
        <w:t>投标文件格式</w:t>
      </w:r>
      <w:bookmarkEnd w:id="456"/>
    </w:p>
    <w:p>
      <w:pPr>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455"/>
    <w:p>
      <w:pPr>
        <w:pStyle w:val="4"/>
        <w:pageBreakBefore w:val="0"/>
        <w:kinsoku/>
        <w:wordWrap w:val="0"/>
        <w:overflowPunct/>
        <w:bidi w:val="0"/>
        <w:spacing w:before="120"/>
        <w:jc w:val="left"/>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pPr>
      <w:bookmarkStart w:id="457" w:name="_附件二：工期承诺书"/>
      <w:bookmarkEnd w:id="457"/>
      <w:bookmarkStart w:id="458" w:name="_附件五：综合评审合理低价法"/>
      <w:bookmarkEnd w:id="458"/>
      <w:bookmarkStart w:id="459" w:name="_附件四：工期承诺书"/>
      <w:bookmarkEnd w:id="459"/>
      <w:bookmarkStart w:id="460" w:name="_附件一：对招标文件条款自愿接受承诺书"/>
      <w:bookmarkEnd w:id="460"/>
      <w:bookmarkStart w:id="461" w:name="_附件二：近三年度主要施工项目（竣工及在建）一览表"/>
      <w:bookmarkEnd w:id="461"/>
      <w:bookmarkStart w:id="462" w:name="_附件一：投标函"/>
      <w:bookmarkEnd w:id="462"/>
      <w:bookmarkStart w:id="463" w:name="_Toc2902"/>
      <w:bookmarkStart w:id="464" w:name="_Toc39136360"/>
      <w:bookmarkStart w:id="465" w:name="_Toc12527"/>
      <w:bookmarkStart w:id="466" w:name="_Toc29889"/>
      <w:bookmarkStart w:id="467" w:name="_Toc12406"/>
      <w:bookmarkStart w:id="468" w:name="_Toc3855"/>
      <w:bookmarkStart w:id="469" w:name="_Toc137444778"/>
      <w:bookmarkStart w:id="470" w:name="_Toc78794873"/>
      <w:bookmarkStart w:id="471" w:name="_Toc132687128"/>
      <w:bookmarkStart w:id="472" w:name="_Toc133160683"/>
      <w:bookmarkStart w:id="473" w:name="_Toc142468134"/>
      <w:bookmarkStart w:id="474" w:name="_Toc133815902"/>
      <w:r>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t>格式一 封面</w:t>
      </w:r>
      <w:bookmarkEnd w:id="463"/>
      <w:bookmarkEnd w:id="464"/>
      <w:bookmarkEnd w:id="465"/>
      <w:bookmarkEnd w:id="466"/>
      <w:bookmarkEnd w:id="467"/>
      <w:bookmarkEnd w:id="468"/>
    </w:p>
    <w:p>
      <w:pPr>
        <w:pStyle w:val="48"/>
        <w:pageBreakBefore w:val="0"/>
        <w:widowControl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jc w:val="right"/>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rPr>
          <w:rFonts w:hint="eastAsia" w:asciiTheme="minorEastAsia" w:hAnsiTheme="minorEastAsia" w:eastAsiaTheme="minorEastAsia" w:cstheme="minorEastAsia"/>
          <w:b/>
          <w:snapToGrid w:val="0"/>
          <w:color w:val="000000" w:themeColor="text1"/>
          <w:sz w:val="24"/>
          <w:highlight w:val="none"/>
          <w14:textFill>
            <w14:solidFill>
              <w14:schemeClr w14:val="tx1"/>
            </w14:solidFill>
          </w14:textFill>
        </w:rPr>
      </w:pPr>
      <w:bookmarkStart w:id="475" w:name="_Hlt68774664"/>
      <w:bookmarkEnd w:id="475"/>
      <w:bookmarkStart w:id="476" w:name="_Hlt69116778"/>
      <w:bookmarkEnd w:id="476"/>
      <w:bookmarkStart w:id="477" w:name="_附件二十四：技术标提问单"/>
      <w:bookmarkEnd w:id="477"/>
      <w:bookmarkStart w:id="478" w:name="_附件十：单项工程费汇总表"/>
      <w:bookmarkEnd w:id="478"/>
      <w:bookmarkStart w:id="479" w:name="_附件二十五：综合评审合理低价法"/>
      <w:bookmarkEnd w:id="479"/>
      <w:bookmarkStart w:id="480" w:name="_Toc39136361"/>
      <w:bookmarkStart w:id="481" w:name="_Toc15791"/>
      <w:bookmarkStart w:id="482" w:name="_Toc26795"/>
      <w:bookmarkStart w:id="483" w:name="_Toc28483"/>
      <w:bookmarkStart w:id="484" w:name="_Toc5872"/>
      <w:bookmarkStart w:id="485" w:name="_Toc466640620"/>
      <w:bookmarkStart w:id="486" w:name="_Toc106418843"/>
      <w:bookmarkStart w:id="487" w:name="_Hlt66847557"/>
      <w:bookmarkStart w:id="488" w:name="_Toc66849200"/>
      <w:bookmarkStart w:id="489" w:name="_Toc104711098"/>
    </w:p>
    <w:p>
      <w:pPr>
        <w:pStyle w:val="48"/>
        <w:pageBreakBefore w:val="0"/>
        <w:widowControl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sz w:val="24"/>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52"/>
          <w:szCs w:val="52"/>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sz w:val="52"/>
          <w:szCs w:val="52"/>
          <w:highlight w:val="none"/>
          <w:u w:val="single"/>
          <w14:textFill>
            <w14:solidFill>
              <w14:schemeClr w14:val="tx1"/>
            </w14:solidFill>
          </w14:textFill>
        </w:rPr>
        <w:t xml:space="preserve">   </w:t>
      </w:r>
      <w:r>
        <w:rPr>
          <w:rFonts w:hint="eastAsia" w:asciiTheme="minorEastAsia" w:hAnsiTheme="minorEastAsia" w:eastAsiaTheme="minorEastAsia" w:cstheme="minorEastAsia"/>
          <w:b/>
          <w:snapToGrid w:val="0"/>
          <w:color w:val="000000" w:themeColor="text1"/>
          <w:sz w:val="52"/>
          <w:szCs w:val="52"/>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snapToGrid w:val="0"/>
          <w:color w:val="000000" w:themeColor="text1"/>
          <w:sz w:val="52"/>
          <w:szCs w:val="52"/>
          <w:highlight w:val="none"/>
          <w:u w:val="single"/>
          <w14:textFill>
            <w14:solidFill>
              <w14:schemeClr w14:val="tx1"/>
            </w14:solidFill>
          </w14:textFill>
        </w:rPr>
        <w:t>（项目名称）</w:t>
      </w:r>
      <w:r>
        <w:rPr>
          <w:rFonts w:hint="eastAsia" w:asciiTheme="minorEastAsia" w:hAnsiTheme="minorEastAsia" w:eastAsiaTheme="minorEastAsia" w:cstheme="minorEastAsia"/>
          <w:b/>
          <w:snapToGrid w:val="0"/>
          <w:color w:val="000000" w:themeColor="text1"/>
          <w:sz w:val="52"/>
          <w:szCs w:val="52"/>
          <w:highlight w:val="none"/>
          <w14:textFill>
            <w14:solidFill>
              <w14:schemeClr w14:val="tx1"/>
            </w14:solidFill>
          </w14:textFill>
        </w:rPr>
        <w:t>招标</w:t>
      </w: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72"/>
          <w:szCs w:val="20"/>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sz w:val="72"/>
          <w:szCs w:val="20"/>
          <w:highlight w:val="none"/>
          <w14:textFill>
            <w14:solidFill>
              <w14:schemeClr w14:val="tx1"/>
            </w14:solidFill>
          </w14:textFill>
        </w:rPr>
        <w:t>投</w:t>
      </w:r>
      <w:r>
        <w:rPr>
          <w:rFonts w:hint="eastAsia" w:asciiTheme="minorEastAsia" w:hAnsiTheme="minorEastAsia" w:eastAsiaTheme="minorEastAsia" w:cstheme="minorEastAsia"/>
          <w:b/>
          <w:snapToGrid w:val="0"/>
          <w:color w:val="000000" w:themeColor="text1"/>
          <w:sz w:val="72"/>
          <w:szCs w:val="2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snapToGrid w:val="0"/>
          <w:color w:val="000000" w:themeColor="text1"/>
          <w:sz w:val="72"/>
          <w:szCs w:val="20"/>
          <w:highlight w:val="none"/>
          <w14:textFill>
            <w14:solidFill>
              <w14:schemeClr w14:val="tx1"/>
            </w14:solidFill>
          </w14:textFill>
        </w:rPr>
        <w:t>标</w:t>
      </w:r>
      <w:r>
        <w:rPr>
          <w:rFonts w:hint="eastAsia" w:asciiTheme="minorEastAsia" w:hAnsiTheme="minorEastAsia" w:eastAsiaTheme="minorEastAsia" w:cstheme="minorEastAsia"/>
          <w:b/>
          <w:snapToGrid w:val="0"/>
          <w:color w:val="000000" w:themeColor="text1"/>
          <w:sz w:val="72"/>
          <w:szCs w:val="2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snapToGrid w:val="0"/>
          <w:color w:val="000000" w:themeColor="text1"/>
          <w:sz w:val="72"/>
          <w:szCs w:val="20"/>
          <w:highlight w:val="none"/>
          <w14:textFill>
            <w14:solidFill>
              <w14:schemeClr w14:val="tx1"/>
            </w14:solidFill>
          </w14:textFill>
        </w:rPr>
        <w:t>文</w:t>
      </w:r>
      <w:r>
        <w:rPr>
          <w:rFonts w:hint="eastAsia" w:asciiTheme="minorEastAsia" w:hAnsiTheme="minorEastAsia" w:eastAsiaTheme="minorEastAsia" w:cstheme="minorEastAsia"/>
          <w:b/>
          <w:snapToGrid w:val="0"/>
          <w:color w:val="000000" w:themeColor="text1"/>
          <w:sz w:val="72"/>
          <w:szCs w:val="2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snapToGrid w:val="0"/>
          <w:color w:val="000000" w:themeColor="text1"/>
          <w:sz w:val="72"/>
          <w:szCs w:val="20"/>
          <w:highlight w:val="none"/>
          <w14:textFill>
            <w14:solidFill>
              <w14:schemeClr w14:val="tx1"/>
            </w14:solidFill>
          </w14:textFill>
        </w:rPr>
        <w:t>件</w:t>
      </w: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56"/>
          <w:szCs w:val="16"/>
          <w:highlight w:val="none"/>
          <w:lang w:eastAsia="zh-CN"/>
          <w14:textFill>
            <w14:solidFill>
              <w14:schemeClr w14:val="tx1"/>
            </w14:solidFill>
          </w14:textFill>
        </w:rPr>
      </w:pPr>
      <w:r>
        <w:rPr>
          <w:rFonts w:hint="eastAsia" w:asciiTheme="minorEastAsia" w:hAnsiTheme="minorEastAsia" w:eastAsiaTheme="minorEastAsia" w:cstheme="minorEastAsia"/>
          <w:b/>
          <w:snapToGrid w:val="0"/>
          <w:color w:val="000000" w:themeColor="text1"/>
          <w:sz w:val="56"/>
          <w:szCs w:val="16"/>
          <w:highlight w:val="none"/>
          <w:lang w:eastAsia="zh-CN"/>
          <w14:textFill>
            <w14:solidFill>
              <w14:schemeClr w14:val="tx1"/>
            </w14:solidFill>
          </w14:textFill>
        </w:rPr>
        <w:t>（</w:t>
      </w:r>
      <w:r>
        <w:rPr>
          <w:rFonts w:hint="eastAsia" w:asciiTheme="minorEastAsia" w:hAnsiTheme="minorEastAsia" w:eastAsiaTheme="minorEastAsia" w:cstheme="minorEastAsia"/>
          <w:b/>
          <w:snapToGrid w:val="0"/>
          <w:color w:val="000000" w:themeColor="text1"/>
          <w:sz w:val="56"/>
          <w:szCs w:val="16"/>
          <w:highlight w:val="none"/>
          <w:lang w:val="en-US" w:eastAsia="zh-CN"/>
          <w14:textFill>
            <w14:solidFill>
              <w14:schemeClr w14:val="tx1"/>
            </w14:solidFill>
          </w14:textFill>
        </w:rPr>
        <w:t>商务技术标书</w:t>
      </w:r>
      <w:r>
        <w:rPr>
          <w:rFonts w:hint="eastAsia" w:asciiTheme="minorEastAsia" w:hAnsiTheme="minorEastAsia" w:eastAsiaTheme="minorEastAsia" w:cstheme="minorEastAsia"/>
          <w:b/>
          <w:snapToGrid w:val="0"/>
          <w:color w:val="000000" w:themeColor="text1"/>
          <w:sz w:val="56"/>
          <w:szCs w:val="16"/>
          <w:highlight w:val="none"/>
          <w:lang w:eastAsia="zh-CN"/>
          <w14:textFill>
            <w14:solidFill>
              <w14:schemeClr w14:val="tx1"/>
            </w14:solidFill>
          </w14:textFill>
        </w:rPr>
        <w:t>）</w:t>
      </w: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r>
        <w:rPr>
          <w:rFonts w:hint="eastAsia" w:hAnsi="宋体" w:eastAsia="宋体" w:cs="宋体"/>
          <w:bCs/>
          <w:snapToGrid w:val="0"/>
          <w:color w:val="000000" w:themeColor="text1"/>
          <w:sz w:val="32"/>
          <w:highlight w:val="none"/>
          <w14:textFill>
            <w14:solidFill>
              <w14:schemeClr w14:val="tx1"/>
            </w14:solidFill>
          </w14:textFill>
        </w:rPr>
        <w:t>投标人：</w:t>
      </w: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（盖单位章）</w:t>
      </w: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r>
        <w:rPr>
          <w:rFonts w:hint="eastAsia" w:hAnsi="宋体" w:eastAsia="宋体" w:cs="宋体"/>
          <w:bCs/>
          <w:snapToGrid w:val="0"/>
          <w:color w:val="000000" w:themeColor="text1"/>
          <w:sz w:val="32"/>
          <w:highlight w:val="none"/>
          <w14:textFill>
            <w14:solidFill>
              <w14:schemeClr w14:val="tx1"/>
            </w14:solidFill>
          </w14:textFill>
        </w:rPr>
        <w:t>法定代表人或其委托代理人：</w:t>
      </w: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（签字或盖章）</w:t>
      </w: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u w:val="singl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
          <w:snapToGrid w:val="0"/>
          <w:color w:val="000000" w:themeColor="text1"/>
          <w:highlight w:val="none"/>
          <w14:textFill>
            <w14:solidFill>
              <w14:schemeClr w14:val="tx1"/>
            </w14:solidFill>
          </w14:textFill>
        </w:rPr>
      </w:pP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年</w:t>
      </w: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月</w:t>
      </w: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日</w:t>
      </w: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490" w:name="_Toc6530"/>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格式二 </w:t>
      </w:r>
      <w:bookmarkEnd w:id="480"/>
      <w:bookmarkEnd w:id="481"/>
      <w:bookmarkEnd w:id="482"/>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投标函</w:t>
      </w:r>
      <w:bookmarkEnd w:id="483"/>
      <w:bookmarkEnd w:id="484"/>
      <w:bookmarkEnd w:id="490"/>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bookmarkStart w:id="491" w:name="_Toc27121"/>
      <w:bookmarkStart w:id="492" w:name="_Toc18294"/>
      <w:bookmarkStart w:id="493" w:name="_Toc29375"/>
      <w:bookmarkStart w:id="494" w:name="_Toc21577"/>
      <w:bookmarkStart w:id="495" w:name="_Toc39136362"/>
      <w:bookmarkStart w:id="496" w:name="_Toc10604"/>
      <w:bookmarkStart w:id="497" w:name="_Toc28636"/>
      <w:bookmarkStart w:id="498" w:name="_Toc8657"/>
      <w:bookmarkStart w:id="499" w:name="_Toc9280"/>
    </w:p>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t>投  标  函</w:t>
      </w:r>
      <w:bookmarkEnd w:id="491"/>
      <w:bookmarkEnd w:id="492"/>
      <w:bookmarkEnd w:id="493"/>
      <w:bookmarkEnd w:id="494"/>
      <w:bookmarkEnd w:id="495"/>
      <w:bookmarkEnd w:id="496"/>
      <w:bookmarkEnd w:id="497"/>
      <w:bookmarkEnd w:id="498"/>
      <w:bookmarkEnd w:id="499"/>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（招标人名称）</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1.在研</w:t>
      </w:r>
      <w:r>
        <w:rPr>
          <w:rFonts w:hint="eastAsia" w:asciiTheme="minorEastAsia" w:hAnsiTheme="minorEastAsia" w:eastAsiaTheme="minorEastAsia" w:cstheme="minorEastAsia"/>
          <w:color w:val="000000" w:themeColor="text1"/>
          <w:szCs w:val="22"/>
          <w:highlight w:val="none"/>
          <w:u w:val="none"/>
          <w14:textFill>
            <w14:solidFill>
              <w14:schemeClr w14:val="tx1"/>
            </w14:solidFill>
          </w14:textFill>
        </w:rPr>
        <w:t>究</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（项目名称）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招标文件和其它相关文件，并对现场进行深入了解后，我方（即文末签名人），考虑了本企业的实力和特点，愿意接受招标文件的全部内容和条件，兹以人民币（大写）：</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小写：（¥</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）的投标总价竞投本项目。</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2.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如果我方中标，我方保证按照合同约定的开工日期开始本项目的</w:t>
      </w:r>
      <w:r>
        <w:rPr>
          <w:rFonts w:hint="eastAsia" w:asciiTheme="minorEastAsia" w:hAnsiTheme="minorEastAsia" w:eastAsiaTheme="minorEastAsia" w:cstheme="minorEastAsia"/>
          <w:color w:val="000000" w:themeColor="text1"/>
          <w:szCs w:val="22"/>
          <w:highlight w:val="none"/>
          <w:lang w:val="en-US" w:eastAsia="zh-CN"/>
          <w14:textFill>
            <w14:solidFill>
              <w14:schemeClr w14:val="tx1"/>
            </w14:solidFill>
          </w14:textFill>
        </w:rPr>
        <w:t>设计、施工</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，本工程</w:t>
      </w:r>
      <w:r>
        <w:rPr>
          <w:rFonts w:hint="eastAsia" w:asciiTheme="minorEastAsia" w:hAnsiTheme="minorEastAsia" w:eastAsiaTheme="minorEastAsia" w:cstheme="minorEastAsia"/>
          <w:color w:val="000000" w:themeColor="text1"/>
          <w:szCs w:val="22"/>
          <w:highlight w:val="none"/>
          <w:lang w:val="en-US" w:eastAsia="zh-CN"/>
          <w14:textFill>
            <w14:solidFill>
              <w14:schemeClr w14:val="tx1"/>
            </w14:solidFill>
          </w14:textFill>
        </w:rPr>
        <w:t>设计、施工</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工期为</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个日历天</w:t>
      </w:r>
      <w:r>
        <w:rPr>
          <w:rFonts w:hint="eastAsia" w:asciiTheme="minorEastAsia" w:hAnsiTheme="minorEastAsia" w:eastAsiaTheme="minorEastAsia" w:cstheme="minorEastAsia"/>
          <w:color w:val="000000" w:themeColor="text1"/>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其中：</w:t>
      </w:r>
      <w:r>
        <w:rPr>
          <w:rFonts w:hint="eastAsia" w:asciiTheme="minorEastAsia" w:hAnsiTheme="minorEastAsia" w:eastAsiaTheme="minorEastAsia" w:cstheme="minorEastAsia"/>
          <w:color w:val="000000" w:themeColor="text1"/>
          <w:szCs w:val="22"/>
          <w:highlight w:val="none"/>
          <w:lang w:val="en-US" w:eastAsia="zh-CN"/>
          <w14:textFill>
            <w14:solidFill>
              <w14:schemeClr w14:val="tx1"/>
            </w14:solidFill>
          </w14:textFill>
        </w:rPr>
        <w:t>设计</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工期为</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日历天，施工工期为</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日历天</w:t>
      </w:r>
      <w:r>
        <w:rPr>
          <w:rFonts w:hint="eastAsia" w:asciiTheme="minorEastAsia" w:hAnsiTheme="minorEastAsia" w:eastAsiaTheme="minorEastAsia" w:cstheme="minorEastAsia"/>
          <w:color w:val="000000" w:themeColor="text1"/>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内竣工，并确保工程质量达到</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标准和维修其中的任何缺陷</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 本投标函在你方接收我方递交的投标文件之日起、到招标文件规定的投标有效期期满前对我方具有约束力。我方随时准备接受你方发出的中标通知书。</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4．我方在此声明，我方不存在本工程招标文件所列示的“禁止投标条款”所列出的任何一种情形，并愿意承担因我方就此弄虚作假所引起的一切法律后果。</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5．我方在此承诺，所递交投标文件的全部内容均为真实、有效、准确的，并愿意承担因我方就此弄虚作假所引起的一切法律后果，同时理解和同意有可能被要求提供更多的资料。</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6. 我方理解你方不一定要接纳收到的最低投标总价或任何投标总价的投标人中标，也不要求你方解释我方是否中标的原因。</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投标人：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（盖单位章）</w:t>
      </w: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pPr>
        <w:pageBreakBefore w:val="0"/>
        <w:kinsoku/>
        <w:wordWrap w:val="0"/>
        <w:overflowPunct/>
        <w:bidi w:val="0"/>
        <w:adjustRightInd w:val="0"/>
        <w:snapToGrid w:val="0"/>
        <w:spacing w:line="440" w:lineRule="exact"/>
        <w:ind w:firstLine="4080" w:firstLineChars="1700"/>
        <w:jc w:val="lef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日</w:t>
      </w:r>
    </w:p>
    <w:p>
      <w:pPr>
        <w:pageBreakBefore w:val="0"/>
        <w:kinsoku/>
        <w:wordWrap w:val="0"/>
        <w:overflowPunct/>
        <w:bidi w:val="0"/>
        <w:jc w:val="lef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br w:type="page"/>
      </w:r>
    </w:p>
    <w:p>
      <w:pPr>
        <w:pStyle w:val="4"/>
        <w:pageBreakBefore w:val="0"/>
        <w:kinsoku/>
        <w:wordWrap w:val="0"/>
        <w:overflowPunct/>
        <w:bidi w:val="0"/>
        <w:spacing w:before="120"/>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bookmarkStart w:id="500" w:name="_Toc1350"/>
      <w:r>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格式三 工程项目总价表</w:t>
      </w:r>
      <w:bookmarkEnd w:id="500"/>
    </w:p>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pPr>
      <w:bookmarkStart w:id="501" w:name="_Toc25629"/>
      <w:bookmarkStart w:id="502" w:name="_Toc25829"/>
      <w:bookmarkStart w:id="503" w:name="_Toc453"/>
      <w:bookmarkStart w:id="504" w:name="_Toc5052"/>
      <w:bookmarkStart w:id="505" w:name="_Toc20338"/>
      <w:bookmarkStart w:id="506" w:name="_Toc7915"/>
      <w:bookmarkStart w:id="507" w:name="_Toc39136364"/>
      <w: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t>工程项目总价表</w:t>
      </w:r>
      <w:bookmarkEnd w:id="501"/>
      <w:bookmarkEnd w:id="502"/>
      <w:bookmarkEnd w:id="503"/>
      <w:bookmarkEnd w:id="504"/>
      <w:bookmarkEnd w:id="505"/>
    </w:p>
    <w:p>
      <w:pPr>
        <w:pageBreakBefore w:val="0"/>
        <w:kinsoku/>
        <w:wordWrap w:val="0"/>
        <w:overflowPunct/>
        <w:bidi w:val="0"/>
        <w:spacing w:line="360" w:lineRule="auto"/>
        <w:ind w:firstLine="480" w:firstLineChars="200"/>
        <w:rPr>
          <w:rFonts w:hint="eastAsia" w:ascii="宋体" w:hAnsi="宋体" w:eastAsia="宋体" w:cs="宋体"/>
          <w:color w:val="000000" w:themeColor="text1"/>
          <w:highlight w:val="none"/>
          <w14:textFill>
            <w14:solidFill>
              <w14:schemeClr w14:val="tx1"/>
            </w14:solidFill>
          </w14:textFill>
        </w:rPr>
      </w:pPr>
    </w:p>
    <w:tbl>
      <w:tblPr>
        <w:tblStyle w:val="22"/>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994"/>
        <w:gridCol w:w="1706"/>
        <w:gridCol w:w="2057"/>
        <w:gridCol w:w="1347"/>
        <w:gridCol w:w="2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5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序号</w:t>
            </w:r>
          </w:p>
        </w:tc>
        <w:tc>
          <w:tcPr>
            <w:tcW w:w="994"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项目名称</w:t>
            </w:r>
          </w:p>
        </w:tc>
        <w:tc>
          <w:tcPr>
            <w:tcW w:w="170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报价基数（元）</w:t>
            </w:r>
          </w:p>
        </w:tc>
        <w:tc>
          <w:tcPr>
            <w:tcW w:w="205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1"/>
                <w:sz w:val="24"/>
                <w:szCs w:val="24"/>
                <w:highlight w:val="none"/>
                <w:lang w:val="zh-CN"/>
                <w14:textFill>
                  <w14:solidFill>
                    <w14:schemeClr w14:val="tx1"/>
                  </w14:solidFill>
                </w14:textFill>
              </w:rPr>
              <w:t>投标费率</w:t>
            </w:r>
            <w:r>
              <w:rPr>
                <w:rFonts w:hint="eastAsia" w:asciiTheme="minorEastAsia" w:hAnsiTheme="minorEastAsia" w:eastAsiaTheme="minorEastAsia" w:cstheme="minorEastAsia"/>
                <w:color w:val="000000" w:themeColor="text1"/>
                <w:kern w:val="1"/>
                <w:sz w:val="24"/>
                <w:szCs w:val="24"/>
                <w:highlight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投标下浮率</w:t>
            </w:r>
          </w:p>
        </w:tc>
        <w:tc>
          <w:tcPr>
            <w:tcW w:w="134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投标报价</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（元）</w:t>
            </w:r>
          </w:p>
        </w:tc>
        <w:tc>
          <w:tcPr>
            <w:tcW w:w="263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5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1</w:t>
            </w:r>
          </w:p>
        </w:tc>
        <w:tc>
          <w:tcPr>
            <w:tcW w:w="994" w:type="dxa"/>
            <w:noWrap w:val="0"/>
            <w:vAlign w:val="center"/>
          </w:tcPr>
          <w:p>
            <w:pPr>
              <w:pageBreakBefore w:val="0"/>
              <w:widowControl/>
              <w:kinsoku/>
              <w:wordWrap w:val="0"/>
              <w:overflowPunct/>
              <w:bidi w:val="0"/>
              <w:ind w:right="-122" w:rightChars="-51"/>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设计费</w:t>
            </w:r>
          </w:p>
        </w:tc>
        <w:tc>
          <w:tcPr>
            <w:tcW w:w="170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05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1"/>
                <w:sz w:val="24"/>
                <w:szCs w:val="24"/>
                <w:highlight w:val="none"/>
                <w:lang w:val="zh-CN"/>
                <w14:textFill>
                  <w14:solidFill>
                    <w14:schemeClr w14:val="tx1"/>
                  </w14:solidFill>
                </w14:textFill>
              </w:rPr>
              <w:t>投标费率</w:t>
            </w:r>
            <w:r>
              <w:rPr>
                <w:rFonts w:hint="eastAsia" w:asciiTheme="minorEastAsia" w:hAnsiTheme="minorEastAsia" w:eastAsiaTheme="minorEastAsia" w:cstheme="minorEastAsia"/>
                <w:color w:val="000000" w:themeColor="text1"/>
                <w:kern w:val="0"/>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w:t>
            </w:r>
          </w:p>
        </w:tc>
        <w:tc>
          <w:tcPr>
            <w:tcW w:w="1347" w:type="dxa"/>
            <w:noWrap w:val="0"/>
            <w:vAlign w:val="center"/>
          </w:tcPr>
          <w:p>
            <w:pPr>
              <w:pageBreakBefore w:val="0"/>
              <w:widowControl/>
              <w:kinsoku/>
              <w:wordWrap w:val="0"/>
              <w:overflowPunct/>
              <w:bidi w:val="0"/>
              <w:jc w:val="both"/>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63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按最高投标限价</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范围内</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自行报</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总</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价及</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投标费</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率。报价基数作为暂定量，仅作为投标报价编制依据，不作为结算依据。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45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2</w:t>
            </w:r>
          </w:p>
        </w:tc>
        <w:tc>
          <w:tcPr>
            <w:tcW w:w="994"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建安工程费</w:t>
            </w:r>
          </w:p>
        </w:tc>
        <w:tc>
          <w:tcPr>
            <w:tcW w:w="170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05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投标下浮率</w:t>
            </w:r>
            <w:r>
              <w:rPr>
                <w:rFonts w:hint="eastAsia" w:asciiTheme="minorEastAsia" w:hAnsiTheme="minorEastAsia" w:eastAsiaTheme="minorEastAsia" w:cstheme="minorEastAsia"/>
                <w:color w:val="000000" w:themeColor="text1"/>
                <w:kern w:val="0"/>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w:t>
            </w:r>
          </w:p>
        </w:tc>
        <w:tc>
          <w:tcPr>
            <w:tcW w:w="134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63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本项目为限额设计，</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工程结算价</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未超过建安工程</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费中标价的</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按实结算，超过建安工程</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费中标价的</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则按建安工程</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费</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中标</w:t>
            </w:r>
            <w: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t>价</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结算。建安工程投标报价=</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报价基数</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×（1-投标下浮率）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45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3</w:t>
            </w:r>
          </w:p>
        </w:tc>
        <w:tc>
          <w:tcPr>
            <w:tcW w:w="994"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合计（1+</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w:t>
            </w:r>
          </w:p>
        </w:tc>
        <w:tc>
          <w:tcPr>
            <w:tcW w:w="170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w:t>
            </w:r>
          </w:p>
        </w:tc>
        <w:tc>
          <w:tcPr>
            <w:tcW w:w="205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w:t>
            </w:r>
          </w:p>
        </w:tc>
        <w:tc>
          <w:tcPr>
            <w:tcW w:w="1347" w:type="dxa"/>
            <w:noWrap w:val="0"/>
            <w:vAlign w:val="center"/>
          </w:tcPr>
          <w:p>
            <w:pPr>
              <w:pageBreakBefore w:val="0"/>
              <w:widowControl/>
              <w:kinsoku/>
              <w:wordWrap w:val="0"/>
              <w:overflowPunct/>
              <w:bidi w:val="0"/>
              <w:jc w:val="both"/>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636" w:type="dxa"/>
            <w:noWrap w:val="0"/>
            <w:vAlign w:val="center"/>
          </w:tcPr>
          <w:p>
            <w:pPr>
              <w:pageBreakBefore w:val="0"/>
              <w:widowControl/>
              <w:kinsoku/>
              <w:wordWrap w:val="0"/>
              <w:overflowPunct/>
              <w:bidi w:val="0"/>
              <w:jc w:val="left"/>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p>
        </w:tc>
      </w:tr>
    </w:tbl>
    <w:p>
      <w:pPr>
        <w:pStyle w:val="32"/>
        <w:pageBreakBefore w:val="0"/>
        <w:kinsoku/>
        <w:wordWrap w:val="0"/>
        <w:overflowPunct/>
        <w:bidi w:val="0"/>
        <w:rPr>
          <w:rFonts w:ascii="宋体" w:hAnsi="宋体" w:cs="宋体"/>
          <w:color w:val="000000" w:themeColor="text1"/>
          <w:sz w:val="24"/>
          <w:highlight w:val="none"/>
          <w:lang w:val="zh-CN"/>
          <w14:textFill>
            <w14:solidFill>
              <w14:schemeClr w14:val="tx1"/>
            </w14:solidFill>
          </w14:textFill>
        </w:rPr>
      </w:pPr>
    </w:p>
    <w:p>
      <w:pPr>
        <w:pStyle w:val="6"/>
        <w:pageBreakBefore w:val="0"/>
        <w:kinsoku/>
        <w:wordWrap w:val="0"/>
        <w:overflowPunct/>
        <w:bidi w:val="0"/>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注：投标报价、</w:t>
      </w:r>
      <w:r>
        <w:rPr>
          <w:rFonts w:hint="eastAsia" w:ascii="宋体" w:hAnsi="宋体" w:eastAsia="宋体" w:cs="宋体"/>
          <w:color w:val="000000" w:themeColor="text1"/>
          <w:szCs w:val="21"/>
          <w:highlight w:val="none"/>
          <w:lang w:eastAsia="zh-CN"/>
          <w14:textFill>
            <w14:solidFill>
              <w14:schemeClr w14:val="tx1"/>
            </w14:solidFill>
          </w14:textFill>
        </w:rPr>
        <w:t>投标下浮</w:t>
      </w:r>
      <w:r>
        <w:rPr>
          <w:rFonts w:hint="eastAsia" w:ascii="宋体" w:hAnsi="宋体" w:eastAsia="宋体" w:cs="宋体"/>
          <w:color w:val="000000" w:themeColor="text1"/>
          <w:szCs w:val="21"/>
          <w:highlight w:val="none"/>
          <w14:textFill>
            <w14:solidFill>
              <w14:schemeClr w14:val="tx1"/>
            </w14:solidFill>
          </w14:textFill>
        </w:rPr>
        <w:t>率均保留至小数点后两位</w:t>
      </w:r>
      <w:r>
        <w:rPr>
          <w:rFonts w:hint="eastAsia" w:ascii="宋体" w:hAnsi="宋体" w:eastAsia="宋体" w:cs="宋体"/>
          <w:color w:val="000000" w:themeColor="text1"/>
          <w:szCs w:val="21"/>
          <w:highlight w:val="none"/>
          <w:lang w:eastAsia="zh-CN"/>
          <w14:textFill>
            <w14:solidFill>
              <w14:schemeClr w14:val="tx1"/>
            </w14:solidFill>
          </w14:textFill>
        </w:rPr>
        <w:t>，投标费率保留至小数点后三位。</w:t>
      </w:r>
    </w:p>
    <w:p>
      <w:pPr>
        <w:pageBreakBefore w:val="0"/>
        <w:kinsoku/>
        <w:wordWrap w:val="0"/>
        <w:overflowPunct/>
        <w:bidi w:val="0"/>
        <w:adjustRightInd w:val="0"/>
        <w:snapToGrid w:val="0"/>
        <w:spacing w:line="276" w:lineRule="auto"/>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outlineLvl w:val="9"/>
        <w:rPr>
          <w:rFonts w:hint="eastAsia" w:asciiTheme="minorEastAsia" w:hAnsiTheme="minorEastAsia" w:eastAsiaTheme="minorEastAsia" w:cstheme="minorEastAsia"/>
          <w:color w:val="000000" w:themeColor="text1"/>
          <w:highlight w:val="none"/>
          <w14:textFill>
            <w14:solidFill>
              <w14:schemeClr w14:val="tx1"/>
            </w14:solidFill>
          </w14:textFill>
        </w:rPr>
      </w:pPr>
    </w:p>
    <w:p>
      <w:pPr>
        <w:pageBreakBefore w:val="0"/>
        <w:kinsoku/>
        <w:wordWrap w:val="0"/>
        <w:overflowPunct/>
        <w:bidi w:val="0"/>
        <w:adjustRightInd w:val="0"/>
        <w:snapToGrid w:val="0"/>
        <w:spacing w:line="276" w:lineRule="auto"/>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投标人：</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（盖单位章）</w:t>
      </w:r>
    </w:p>
    <w:p>
      <w:pPr>
        <w:pageBreakBefore w:val="0"/>
        <w:kinsoku/>
        <w:wordWrap w:val="0"/>
        <w:overflowPunct/>
        <w:bidi w:val="0"/>
        <w:adjustRightInd w:val="0"/>
        <w:snapToGrid w:val="0"/>
        <w:spacing w:line="276" w:lineRule="auto"/>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p>
    <w:p>
      <w:pPr>
        <w:pageBreakBefore w:val="0"/>
        <w:kinsoku/>
        <w:wordWrap w:val="0"/>
        <w:overflowPunct/>
        <w:bidi w:val="0"/>
        <w:adjustRightInd w:val="0"/>
        <w:snapToGrid w:val="0"/>
        <w:spacing w:line="276" w:lineRule="auto"/>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（签字或盖章）</w:t>
      </w:r>
    </w:p>
    <w:p>
      <w:pPr>
        <w:pageBreakBefore w:val="0"/>
        <w:kinsoku/>
        <w:wordWrap w:val="0"/>
        <w:overflowPunct/>
        <w:bidi w:val="0"/>
        <w:adjustRightInd w:val="0"/>
        <w:snapToGrid w:val="0"/>
        <w:spacing w:line="276" w:lineRule="auto"/>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p>
    <w:p>
      <w:pPr>
        <w:pageBreakBefore w:val="0"/>
        <w:kinsoku/>
        <w:wordWrap w:val="0"/>
        <w:overflowPunct/>
        <w:bidi w:val="0"/>
        <w:spacing w:line="276"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sectPr>
          <w:endnotePr>
            <w:numFmt w:val="decimal"/>
          </w:endnotePr>
          <w:pgSz w:w="11906" w:h="16838"/>
          <w:pgMar w:top="1701" w:right="1335" w:bottom="1417" w:left="1531" w:header="850" w:footer="992" w:gutter="0"/>
          <w:pgNumType w:fmt="decimal"/>
          <w:cols w:space="720" w:num="1"/>
          <w:docGrid w:linePitch="327" w:charSpace="0"/>
        </w:sectPr>
      </w:pP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年</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月</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日</w:t>
      </w:r>
    </w:p>
    <w:p>
      <w:pPr>
        <w:pStyle w:val="4"/>
        <w:pageBreakBefore w:val="0"/>
        <w:kinsoku/>
        <w:wordWrap w:val="0"/>
        <w:overflowPunct/>
        <w:bidi w:val="0"/>
        <w:spacing w:before="120"/>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bookmarkStart w:id="508" w:name="_Toc28529"/>
      <w:bookmarkStart w:id="509" w:name="_Toc20987"/>
      <w:bookmarkStart w:id="510" w:name="_Toc30161"/>
      <w:bookmarkStart w:id="511" w:name="_Toc919"/>
      <w:bookmarkStart w:id="512" w:name="_Toc32555"/>
      <w:bookmarkStart w:id="513" w:name="_Toc1017"/>
      <w:bookmarkStart w:id="514" w:name="_Toc21928"/>
      <w:r>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格式</w:t>
      </w:r>
      <w:r>
        <w:rPr>
          <w:rStyle w:val="60"/>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四</w:t>
      </w:r>
      <w:r>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xml:space="preserve"> 各项</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承诺</w:t>
      </w:r>
      <w:r>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一览表</w:t>
      </w:r>
      <w:bookmarkEnd w:id="506"/>
      <w:bookmarkEnd w:id="507"/>
      <w:bookmarkEnd w:id="508"/>
      <w:bookmarkEnd w:id="509"/>
      <w:bookmarkEnd w:id="510"/>
      <w:bookmarkEnd w:id="511"/>
    </w:p>
    <w:bookmarkEnd w:id="512"/>
    <w:bookmarkEnd w:id="513"/>
    <w:bookmarkEnd w:id="514"/>
    <w:p>
      <w:pPr>
        <w:pageBreakBefore w:val="0"/>
        <w:kinsoku/>
        <w:wordWrap w:val="0"/>
        <w:overflowPunct/>
        <w:bidi w:val="0"/>
        <w:spacing w:line="480" w:lineRule="auto"/>
        <w:jc w:val="cente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15" w:name="_Toc30877"/>
      <w:bookmarkStart w:id="516" w:name="_Toc20729"/>
      <w:bookmarkStart w:id="517" w:name="_Toc39136365"/>
      <w:bookmarkStart w:id="518" w:name="_Toc21521"/>
      <w:bookmarkStart w:id="519" w:name="_Toc15279"/>
      <w:bookmarkStart w:id="520" w:name="_Toc31113"/>
      <w:bookmarkStart w:id="521" w:name="_Toc18136"/>
      <w:bookmarkStart w:id="522" w:name="_Toc16438"/>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各项承诺一览表</w:t>
      </w:r>
      <w:bookmarkEnd w:id="515"/>
      <w:bookmarkEnd w:id="516"/>
      <w:bookmarkEnd w:id="517"/>
      <w:bookmarkEnd w:id="518"/>
    </w:p>
    <w:bookmarkEnd w:id="519"/>
    <w:bookmarkEnd w:id="520"/>
    <w:bookmarkEnd w:id="521"/>
    <w:bookmarkEnd w:id="522"/>
    <w:tbl>
      <w:tblPr>
        <w:tblStyle w:val="22"/>
        <w:tblW w:w="9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6"/>
        <w:gridCol w:w="1081"/>
        <w:gridCol w:w="3226"/>
        <w:gridCol w:w="47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top"/>
          </w:tcPr>
          <w:p>
            <w:pPr>
              <w:pStyle w:val="37"/>
              <w:pageBreakBefore w:val="0"/>
              <w:kinsoku/>
              <w:wordWrap w:val="0"/>
              <w:overflowPunct/>
              <w:bidi w:val="0"/>
              <w:spacing w:line="38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序号</w:t>
            </w:r>
          </w:p>
        </w:tc>
        <w:tc>
          <w:tcPr>
            <w:tcW w:w="1081" w:type="dxa"/>
            <w:noWrap w:val="0"/>
            <w:vAlign w:val="top"/>
          </w:tcPr>
          <w:p>
            <w:pPr>
              <w:pStyle w:val="37"/>
              <w:pageBreakBefore w:val="0"/>
              <w:kinsoku/>
              <w:wordWrap w:val="0"/>
              <w:overflowPunct/>
              <w:bidi w:val="0"/>
              <w:spacing w:line="38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承诺标题</w:t>
            </w:r>
          </w:p>
        </w:tc>
        <w:tc>
          <w:tcPr>
            <w:tcW w:w="3226" w:type="dxa"/>
            <w:noWrap w:val="0"/>
            <w:vAlign w:val="top"/>
          </w:tcPr>
          <w:p>
            <w:pPr>
              <w:pStyle w:val="37"/>
              <w:pageBreakBefore w:val="0"/>
              <w:kinsoku/>
              <w:wordWrap w:val="0"/>
              <w:overflowPunct/>
              <w:bidi w:val="0"/>
              <w:spacing w:line="38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承诺内容</w:t>
            </w:r>
          </w:p>
        </w:tc>
        <w:tc>
          <w:tcPr>
            <w:tcW w:w="4796" w:type="dxa"/>
            <w:tcBorders>
              <w:bottom w:val="single" w:color="auto" w:sz="4" w:space="0"/>
            </w:tcBorders>
            <w:noWrap w:val="0"/>
            <w:vAlign w:val="top"/>
          </w:tcPr>
          <w:p>
            <w:pPr>
              <w:pStyle w:val="37"/>
              <w:pageBreakBefore w:val="0"/>
              <w:kinsoku/>
              <w:wordWrap w:val="0"/>
              <w:overflowPunct/>
              <w:bidi w:val="0"/>
              <w:spacing w:line="38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违约承诺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对招标文件条款自愿接受承诺书</w:t>
            </w:r>
          </w:p>
        </w:tc>
        <w:tc>
          <w:tcPr>
            <w:tcW w:w="322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我方保证接受招标文件的所有条款，响应招标文件的所有要求，并同意招标文件为施工承包合同的组成部分</w:t>
            </w:r>
          </w:p>
        </w:tc>
        <w:tc>
          <w:tcPr>
            <w:tcW w:w="4796" w:type="dxa"/>
            <w:tcBorders>
              <w:tr2bl w:val="single" w:color="auto" w:sz="4" w:space="0"/>
            </w:tcBorders>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081" w:type="dxa"/>
            <w:noWrap w:val="0"/>
            <w:vAlign w:val="center"/>
          </w:tcPr>
          <w:p>
            <w:pPr>
              <w:pStyle w:val="62"/>
              <w:pageBreakBefore w:val="0"/>
              <w:kinsoku/>
              <w:wordWrap w:val="0"/>
              <w:overflowPunct/>
              <w:bidi w:val="0"/>
              <w:adjustRightInd w:val="0"/>
              <w:snapToGrid w:val="0"/>
              <w:spacing w:line="380" w:lineRule="exact"/>
              <w:ind w:firstLine="0" w:firstLineChars="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无禁止投标</w:t>
            </w:r>
          </w:p>
          <w:p>
            <w:pPr>
              <w:pStyle w:val="62"/>
              <w:pageBreakBefore w:val="0"/>
              <w:kinsoku/>
              <w:wordWrap w:val="0"/>
              <w:overflowPunct/>
              <w:bidi w:val="0"/>
              <w:adjustRightInd w:val="0"/>
              <w:snapToGrid w:val="0"/>
              <w:spacing w:line="380" w:lineRule="exact"/>
              <w:ind w:firstLine="0" w:firstLineChars="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情形的承诺</w:t>
            </w:r>
          </w:p>
        </w:tc>
        <w:tc>
          <w:tcPr>
            <w:tcW w:w="322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我方不存在招标文件第一章第三节第</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2.4</w:t>
            </w:r>
            <w:r>
              <w:rPr>
                <w:rFonts w:hint="eastAsia" w:ascii="宋体" w:hAnsi="宋体" w:eastAsia="宋体" w:cs="宋体"/>
                <w:snapToGrid w:val="0"/>
                <w:color w:val="000000" w:themeColor="text1"/>
                <w:kern w:val="0"/>
                <w:sz w:val="21"/>
                <w:szCs w:val="21"/>
                <w:highlight w:val="none"/>
                <w14:textFill>
                  <w14:solidFill>
                    <w14:schemeClr w14:val="tx1"/>
                  </w14:solidFill>
                </w14:textFill>
              </w:rPr>
              <w:t>条“禁止投标条款”规定的任何一种情形。</w:t>
            </w:r>
          </w:p>
        </w:tc>
        <w:tc>
          <w:tcPr>
            <w:tcW w:w="479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如果我方有招标文件第一章第三节第</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2.4</w:t>
            </w:r>
            <w:r>
              <w:rPr>
                <w:rFonts w:hint="eastAsia" w:ascii="宋体" w:hAnsi="宋体" w:eastAsia="宋体" w:cs="宋体"/>
                <w:snapToGrid w:val="0"/>
                <w:color w:val="000000" w:themeColor="text1"/>
                <w:kern w:val="0"/>
                <w:sz w:val="21"/>
                <w:szCs w:val="21"/>
                <w:highlight w:val="none"/>
                <w14:textFill>
                  <w14:solidFill>
                    <w14:schemeClr w14:val="tx1"/>
                  </w14:solidFill>
                </w14:textFill>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081" w:type="dxa"/>
            <w:noWrap w:val="0"/>
            <w:vAlign w:val="center"/>
          </w:tcPr>
          <w:p>
            <w:pPr>
              <w:pStyle w:val="62"/>
              <w:pageBreakBefore w:val="0"/>
              <w:kinsoku/>
              <w:wordWrap w:val="0"/>
              <w:overflowPunct/>
              <w:bidi w:val="0"/>
              <w:adjustRightInd w:val="0"/>
              <w:snapToGrid w:val="0"/>
              <w:spacing w:line="380" w:lineRule="exact"/>
              <w:ind w:firstLine="0" w:firstLineChars="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自觉抵制围标串标和弄虚作假行为的承诺</w:t>
            </w:r>
          </w:p>
        </w:tc>
        <w:tc>
          <w:tcPr>
            <w:tcW w:w="322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我方合法正当、诚实守信地参与投标，不组织、不参加围标串标违法行为，不通过弄虚作假行为骗取中标。</w:t>
            </w:r>
          </w:p>
        </w:tc>
        <w:tc>
          <w:tcPr>
            <w:tcW w:w="479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1081" w:type="dxa"/>
            <w:noWrap w:val="0"/>
            <w:vAlign w:val="center"/>
          </w:tcPr>
          <w:p>
            <w:pPr>
              <w:pageBreakBefore w:val="0"/>
              <w:kinsoku/>
              <w:wordWrap w:val="0"/>
              <w:overflowPunct/>
              <w:bidi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履约保证的承诺</w:t>
            </w:r>
          </w:p>
        </w:tc>
        <w:tc>
          <w:tcPr>
            <w:tcW w:w="3226" w:type="dxa"/>
            <w:noWrap w:val="0"/>
            <w:vAlign w:val="center"/>
          </w:tcPr>
          <w:p>
            <w:pPr>
              <w:pStyle w:val="62"/>
              <w:pageBreakBefore w:val="0"/>
              <w:kinsoku/>
              <w:wordWrap w:val="0"/>
              <w:overflowPunct/>
              <w:bidi w:val="0"/>
              <w:adjustRightInd w:val="0"/>
              <w:snapToGrid w:val="0"/>
              <w:spacing w:line="38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如果我方中标，我方保证在招标文件规定的时限内全额提交履约保证。</w:t>
            </w:r>
          </w:p>
        </w:tc>
        <w:tc>
          <w:tcPr>
            <w:tcW w:w="4796" w:type="dxa"/>
            <w:noWrap w:val="0"/>
            <w:vAlign w:val="center"/>
          </w:tcPr>
          <w:p>
            <w:pPr>
              <w:pStyle w:val="62"/>
              <w:pageBreakBefore w:val="0"/>
              <w:kinsoku/>
              <w:wordWrap w:val="0"/>
              <w:overflowPunct/>
              <w:bidi w:val="0"/>
              <w:adjustRightInd w:val="0"/>
              <w:snapToGrid w:val="0"/>
              <w:spacing w:line="380" w:lineRule="exact"/>
              <w:ind w:firstLine="0" w:firstLineChars="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 xml:space="preserve">    如果我方未在招标文件规定的时限内全额提交履约保证，我方接受招标人依据招标文件作出的相应处理以及有关监督部门作出的行政处罚，并承担由此引起的一切法律后果。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工期、进度承诺书</w:t>
            </w:r>
          </w:p>
        </w:tc>
        <w:tc>
          <w:tcPr>
            <w:tcW w:w="322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我方保证在</w:t>
            </w:r>
            <w:r>
              <w:rPr>
                <w:rFonts w:hint="eastAsia" w:ascii="宋体" w:hAnsi="宋体" w:eastAsia="宋体" w:cs="宋体"/>
                <w:b/>
                <w:bCs/>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b/>
                <w:bCs/>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21"/>
                <w:szCs w:val="21"/>
                <w:highlight w:val="none"/>
                <w:u w:val="single"/>
                <w14:textFill>
                  <w14:solidFill>
                    <w14:schemeClr w14:val="tx1"/>
                  </w14:solidFill>
                </w14:textFill>
              </w:rPr>
              <w:t>日历天内（</w:t>
            </w:r>
            <w:r>
              <w:rPr>
                <w:rFonts w:hint="eastAsia" w:ascii="宋体" w:hAnsi="宋体" w:eastAsia="宋体" w:cs="宋体"/>
                <w:color w:val="000000" w:themeColor="text1"/>
                <w:sz w:val="21"/>
                <w:szCs w:val="21"/>
                <w:highlight w:val="none"/>
                <w14:textFill>
                  <w14:solidFill>
                    <w14:schemeClr w14:val="tx1"/>
                  </w14:solidFill>
                </w14:textFill>
              </w:rPr>
              <w:t>其中：设计工期</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日历天；施工工期</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日历天</w:t>
            </w:r>
            <w:r>
              <w:rPr>
                <w:rFonts w:hint="eastAsia" w:ascii="宋体" w:hAnsi="宋体" w:eastAsia="宋体" w:cs="宋体"/>
                <w:b/>
                <w:bCs/>
                <w:color w:val="000000" w:themeColor="text1"/>
                <w:sz w:val="21"/>
                <w:szCs w:val="21"/>
                <w:highlight w:val="none"/>
                <w:u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完成工程</w:t>
            </w:r>
            <w:r>
              <w:rPr>
                <w:rFonts w:hint="eastAsia" w:hAnsi="宋体" w:cs="宋体"/>
                <w:color w:val="000000" w:themeColor="text1"/>
                <w:sz w:val="21"/>
                <w:szCs w:val="21"/>
                <w:highlight w:val="none"/>
                <w:lang w:eastAsia="zh-CN"/>
                <w14:textFill>
                  <w14:solidFill>
                    <w14:schemeClr w14:val="tx1"/>
                  </w14:solidFill>
                </w14:textFill>
              </w:rPr>
              <w:t>设计、施工</w:t>
            </w:r>
            <w:r>
              <w:rPr>
                <w:rFonts w:hint="eastAsia" w:ascii="宋体" w:hAnsi="宋体" w:eastAsia="宋体" w:cs="宋体"/>
                <w:color w:val="000000" w:themeColor="text1"/>
                <w:sz w:val="21"/>
                <w:szCs w:val="21"/>
                <w:highlight w:val="none"/>
                <w14:textFill>
                  <w14:solidFill>
                    <w14:schemeClr w14:val="tx1"/>
                  </w14:solidFill>
                </w14:textFill>
              </w:rPr>
              <w:t>并通过竣工验收。</w:t>
            </w:r>
          </w:p>
        </w:tc>
        <w:tc>
          <w:tcPr>
            <w:tcW w:w="479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若因我方原因，没有按期完成设计工作的，</w:t>
            </w:r>
            <w:r>
              <w:rPr>
                <w:rFonts w:hint="eastAsia" w:ascii="宋体" w:hAnsi="宋体" w:eastAsia="宋体" w:cs="宋体"/>
                <w:color w:val="000000" w:themeColor="text1"/>
                <w:sz w:val="21"/>
                <w:szCs w:val="21"/>
                <w:highlight w:val="none"/>
                <w:lang w:eastAsia="zh-CN"/>
                <w14:textFill>
                  <w14:solidFill>
                    <w14:schemeClr w14:val="tx1"/>
                  </w14:solidFill>
                </w14:textFill>
              </w:rPr>
              <w:t>我方</w:t>
            </w:r>
            <w:r>
              <w:rPr>
                <w:rFonts w:hint="eastAsia" w:ascii="宋体" w:hAnsi="宋体" w:eastAsia="宋体" w:cs="宋体"/>
                <w:color w:val="000000" w:themeColor="text1"/>
                <w:sz w:val="21"/>
                <w:szCs w:val="21"/>
                <w:highlight w:val="none"/>
                <w14:textFill>
                  <w14:solidFill>
                    <w14:schemeClr w14:val="tx1"/>
                  </w14:solidFill>
                </w14:textFill>
              </w:rPr>
              <w:t>须在逾期第壹天起每天按设计费合同价款的1‰向招标人返纳逾期违约金</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设计</w:t>
            </w:r>
            <w:r>
              <w:rPr>
                <w:rFonts w:hint="eastAsia" w:ascii="宋体" w:hAnsi="宋体" w:eastAsia="宋体" w:cs="宋体"/>
                <w:color w:val="000000" w:themeColor="text1"/>
                <w:sz w:val="21"/>
                <w:szCs w:val="21"/>
                <w:highlight w:val="none"/>
                <w:lang w:eastAsia="zh-CN"/>
                <w14:textFill>
                  <w14:solidFill>
                    <w14:schemeClr w14:val="tx1"/>
                  </w14:solidFill>
                </w14:textFill>
              </w:rPr>
              <w:t>逾期违约金的最高限额为合同</w:t>
            </w:r>
            <w:r>
              <w:rPr>
                <w:rFonts w:hint="eastAsia" w:ascii="宋体" w:hAnsi="宋体" w:eastAsia="宋体" w:cs="宋体"/>
                <w:color w:val="000000" w:themeColor="text1"/>
                <w:sz w:val="21"/>
                <w:szCs w:val="21"/>
                <w:highlight w:val="none"/>
                <w14:textFill>
                  <w14:solidFill>
                    <w14:schemeClr w14:val="tx1"/>
                  </w14:solidFill>
                </w14:textFill>
              </w:rPr>
              <w:t>设计</w:t>
            </w:r>
            <w:r>
              <w:rPr>
                <w:rFonts w:hint="eastAsia" w:ascii="宋体" w:hAnsi="宋体" w:eastAsia="宋体" w:cs="宋体"/>
                <w:color w:val="000000" w:themeColor="text1"/>
                <w:sz w:val="21"/>
                <w:szCs w:val="21"/>
                <w:highlight w:val="none"/>
                <w:lang w:eastAsia="zh-CN"/>
                <w14:textFill>
                  <w14:solidFill>
                    <w14:schemeClr w14:val="tx1"/>
                  </w14:solidFill>
                </w14:textFill>
              </w:rPr>
              <w:t>价款的</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工程没有按期竣工并通过验收时，我方在逾期第壹天起每天按合同价款的</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‰向招标人返纳逾期竣工违约金</w:t>
            </w:r>
            <w:r>
              <w:rPr>
                <w:rFonts w:hint="eastAsia" w:ascii="宋体" w:hAnsi="宋体" w:eastAsia="宋体" w:cs="宋体"/>
                <w:color w:val="000000" w:themeColor="text1"/>
                <w:sz w:val="21"/>
                <w:szCs w:val="21"/>
                <w:highlight w:val="none"/>
                <w:lang w:eastAsia="zh-CN"/>
                <w14:textFill>
                  <w14:solidFill>
                    <w14:schemeClr w14:val="tx1"/>
                  </w14:solidFill>
                </w14:textFill>
              </w:rPr>
              <w:t>，逾期竣工违约金的最高限额为合同施工价款的</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安全、文明施工承诺书</w:t>
            </w:r>
          </w:p>
        </w:tc>
        <w:tc>
          <w:tcPr>
            <w:tcW w:w="322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我方保证在施工期间严格遵守国家、省、市有关安全、文明施工规定，确保施工安全和第三者的安全，根据施工现场情况保证安全防护、文明施工措施费投入。</w:t>
            </w:r>
          </w:p>
        </w:tc>
        <w:tc>
          <w:tcPr>
            <w:tcW w:w="479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若因我方原因，在施工期间发生安全事故，造成施工人员或第三者的伤亡，我方愿意承担由此造成的一切经济损失和法律责任。</w:t>
            </w:r>
          </w:p>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若我方在施工中发生一般事故及以上等级生产安全事故，可扣除相当于所有“安全防护、文明施工措施费”的管理费。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质量承诺书</w:t>
            </w:r>
          </w:p>
        </w:tc>
        <w:tc>
          <w:tcPr>
            <w:tcW w:w="3226" w:type="dxa"/>
            <w:noWrap w:val="0"/>
            <w:vAlign w:val="center"/>
          </w:tcPr>
          <w:p>
            <w:pPr>
              <w:pStyle w:val="37"/>
              <w:pageBreakBefore w:val="0"/>
              <w:kinsoku/>
              <w:wordWrap w:val="0"/>
              <w:overflowPunct/>
              <w:bidi w:val="0"/>
              <w:spacing w:line="380" w:lineRule="exact"/>
              <w:ind w:firstLine="56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我方保证按照现行的国家和广东省的有关施工技术规范及现行标准，达到合格标准</w:t>
            </w:r>
          </w:p>
        </w:tc>
        <w:tc>
          <w:tcPr>
            <w:tcW w:w="479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因我方原因，工程在竣工验收或分部分项工程验收时没有达到合格标准，我方每次（每分部每分项次）验收检查时按合同价款的1％向招标人缴纳质量违约金。并达到合格标准为止，同时承担所有的责任及经济损失。</w:t>
            </w:r>
          </w:p>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在建设或监理单组织的质量检查中，一次一个分项工程实测或其他项、程序不合格不符合要求的，一次向建设单位交纳质量违约金¥1000元/次项，分部工程不合格的一次、一个分部向建设（委托）单位交纳违约金¥2000元/次、项；</w:t>
            </w:r>
          </w:p>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在省、市监管部门抽查、巡查、专项、随机检查中，一次一个分项工程实测或其他项、程序不合格不符合要求的，一次向建设（委托）单位交纳质量违约金¥2000元/次项，分部工程不合格的一次、一个分部向建设（委托）单位交纳违约金¥5000元/次、项；</w:t>
            </w:r>
          </w:p>
          <w:p>
            <w:pPr>
              <w:pStyle w:val="64"/>
              <w:pageBreakBefore w:val="0"/>
              <w:kinsoku/>
              <w:wordWrap w:val="0"/>
              <w:overflowPunct/>
              <w:bidi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未能在限期内完成质量安全隐患整改的，每逾期一天，向建设单位交纳罚金¥1000元；</w:t>
            </w:r>
          </w:p>
          <w:p>
            <w:pPr>
              <w:pStyle w:val="64"/>
              <w:pageBreakBefore w:val="0"/>
              <w:kinsoku/>
              <w:wordWrap w:val="0"/>
              <w:overflowPunct/>
              <w:bidi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未按规定委派专业人员参加检验批、分部分项工程验收，不及时签署验收记录的，一次向建设（委托）单位交纳违约金¥2000元/次、项；</w:t>
            </w:r>
          </w:p>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不按规定委派相关人员参加项目竣工验收的，一次向建设单位交纳违约金¥50000元/项，不签署意见的交纳违约金¥50000元。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 w:hRule="atLeast"/>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账户承诺</w:t>
            </w:r>
          </w:p>
        </w:tc>
        <w:tc>
          <w:tcPr>
            <w:tcW w:w="3226" w:type="dxa"/>
            <w:noWrap w:val="0"/>
            <w:vAlign w:val="center"/>
          </w:tcPr>
          <w:p>
            <w:pPr>
              <w:pStyle w:val="64"/>
              <w:pageBreakBefore w:val="0"/>
              <w:kinsoku/>
              <w:wordWrap w:val="0"/>
              <w:overflowPunct/>
              <w:bidi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我方保证招标人的资金随时可划入合同中规定的我方账户。</w:t>
            </w:r>
          </w:p>
        </w:tc>
        <w:tc>
          <w:tcPr>
            <w:tcW w:w="4796" w:type="dxa"/>
            <w:noWrap w:val="0"/>
            <w:vAlign w:val="center"/>
          </w:tcPr>
          <w:p>
            <w:pPr>
              <w:pStyle w:val="62"/>
              <w:pageBreakBefore w:val="0"/>
              <w:kinsoku/>
              <w:wordWrap w:val="0"/>
              <w:overflowPunct/>
              <w:bidi w:val="0"/>
              <w:spacing w:line="380" w:lineRule="exact"/>
              <w:ind w:firstLine="412"/>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若因我方原因造成招标人的资金无法划入合同中规定的我方</w:t>
            </w:r>
            <w:r>
              <w:rPr>
                <w:rFonts w:hint="eastAsia" w:ascii="宋体" w:hAnsi="宋体" w:eastAsia="宋体" w:cs="宋体"/>
                <w:color w:val="000000" w:themeColor="text1"/>
                <w:sz w:val="21"/>
                <w:szCs w:val="21"/>
                <w:highlight w:val="none"/>
                <w14:textFill>
                  <w14:solidFill>
                    <w14:schemeClr w14:val="tx1"/>
                  </w14:solidFill>
                </w14:textFill>
              </w:rPr>
              <w:t>账</w:t>
            </w:r>
            <w:r>
              <w:rPr>
                <w:rFonts w:hint="eastAsia" w:ascii="宋体" w:hAnsi="宋体" w:eastAsia="宋体" w:cs="宋体"/>
                <w:color w:val="000000" w:themeColor="text1"/>
                <w:spacing w:val="-2"/>
                <w:sz w:val="21"/>
                <w:szCs w:val="21"/>
                <w:highlight w:val="none"/>
                <w14:textFill>
                  <w14:solidFill>
                    <w14:schemeClr w14:val="tx1"/>
                  </w14:solidFill>
                </w14:textFill>
              </w:rPr>
              <w:t>户，如时间达到30日历天，招标人有权终止合同。我方承担由此造成的所有责任及经济损失。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工程的配合服务承诺</w:t>
            </w:r>
          </w:p>
        </w:tc>
        <w:tc>
          <w:tcPr>
            <w:tcW w:w="3226" w:type="dxa"/>
            <w:noWrap w:val="0"/>
            <w:vAlign w:val="center"/>
          </w:tcPr>
          <w:p>
            <w:pPr>
              <w:pStyle w:val="64"/>
              <w:pageBreakBefore w:val="0"/>
              <w:kinsoku/>
              <w:wordWrap w:val="0"/>
              <w:overflowPunct/>
              <w:bidi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我方服从业主管理，保证配合与工程承包范围内相关的其他标段（工种、分项）工程施工单位的工程施工，不提出额外增加费用的要求。</w:t>
            </w:r>
          </w:p>
        </w:tc>
        <w:tc>
          <w:tcPr>
            <w:tcW w:w="4796" w:type="dxa"/>
            <w:noWrap w:val="0"/>
            <w:vAlign w:val="center"/>
          </w:tcPr>
          <w:p>
            <w:pPr>
              <w:pStyle w:val="62"/>
              <w:pageBreakBefore w:val="0"/>
              <w:kinsoku/>
              <w:wordWrap w:val="0"/>
              <w:overflowPunct/>
              <w:bidi w:val="0"/>
              <w:spacing w:line="380" w:lineRule="exact"/>
              <w:ind w:firstLine="412"/>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若因我方未及时配合与工程承包范围内相关的其他标段（工种、分项）工程施工单位的工程施工，给招标人或其他施工单位造成损失的，我方承担所有的责任及经济损失。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p>
        </w:tc>
        <w:tc>
          <w:tcPr>
            <w:tcW w:w="1081" w:type="dxa"/>
            <w:noWrap w:val="0"/>
            <w:vAlign w:val="center"/>
          </w:tcPr>
          <w:p>
            <w:pPr>
              <w:pStyle w:val="66"/>
              <w:pageBreakBefore w:val="0"/>
              <w:kinsoku/>
              <w:wordWrap w:val="0"/>
              <w:overflowPunct/>
              <w:bidi w:val="0"/>
              <w:spacing w:line="300" w:lineRule="exact"/>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中标人员承诺</w:t>
            </w:r>
          </w:p>
        </w:tc>
        <w:tc>
          <w:tcPr>
            <w:tcW w:w="3226" w:type="dxa"/>
            <w:noWrap w:val="0"/>
            <w:vAlign w:val="center"/>
          </w:tcPr>
          <w:p>
            <w:pPr>
              <w:pStyle w:val="66"/>
              <w:pageBreakBefore w:val="0"/>
              <w:kinsoku/>
              <w:wordWrap w:val="0"/>
              <w:overflowPunct/>
              <w:bidi w:val="0"/>
              <w:spacing w:line="300" w:lineRule="exact"/>
              <w:ind w:firstLine="412" w:firstLineChars="200"/>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ind w:firstLine="412" w:firstLineChars="200"/>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ind w:firstLine="412" w:firstLineChars="200"/>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ind w:firstLine="412" w:firstLineChars="20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我方保证投标文件中所拟派的中标人员全部配合施工现场管理施工。</w:t>
            </w:r>
          </w:p>
        </w:tc>
        <w:tc>
          <w:tcPr>
            <w:tcW w:w="4796" w:type="dxa"/>
            <w:noWrap w:val="0"/>
            <w:vAlign w:val="center"/>
          </w:tcPr>
          <w:p>
            <w:pPr>
              <w:pStyle w:val="67"/>
              <w:pageBreakBefore w:val="0"/>
              <w:kinsoku/>
              <w:wordWrap w:val="0"/>
              <w:overflowPunct/>
              <w:bidi w:val="0"/>
              <w:spacing w:line="300" w:lineRule="exact"/>
              <w:ind w:left="0" w:leftChars="0" w:firstLine="420" w:firstLineChars="200"/>
              <w:rPr>
                <w:rFonts w:hint="eastAsia" w:ascii="宋体" w:hAnsi="宋体" w:eastAsia="宋体" w:cs="宋体"/>
                <w:snapToGrid w:val="0"/>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sz w:val="21"/>
                <w:szCs w:val="21"/>
                <w:highlight w:val="none"/>
                <w14:textFill>
                  <w14:solidFill>
                    <w14:schemeClr w14:val="tx1"/>
                  </w14:solidFill>
                </w14:textFill>
              </w:rPr>
              <w:t>设计单位未能在招标人通知的时间内（提前一天通知，紧急情况随时通知）参加设计交底、处理有关设计问题、参加必要部位隐蔽验收和竣工验收等工作，每人次交纳违约金</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snapToGrid w:val="0"/>
                <w:color w:val="000000" w:themeColor="text1"/>
                <w:sz w:val="21"/>
                <w:szCs w:val="21"/>
                <w:highlight w:val="none"/>
                <w14:textFill>
                  <w14:solidFill>
                    <w14:schemeClr w14:val="tx1"/>
                  </w14:solidFill>
                </w14:textFill>
              </w:rPr>
              <w:t>1000元。</w:t>
            </w:r>
          </w:p>
          <w:p>
            <w:pPr>
              <w:pStyle w:val="67"/>
              <w:pageBreakBefore w:val="0"/>
              <w:kinsoku/>
              <w:wordWrap w:val="0"/>
              <w:overflowPunct/>
              <w:bidi w:val="0"/>
              <w:spacing w:line="300" w:lineRule="exact"/>
              <w:ind w:left="0" w:leftChars="0" w:firstLine="420" w:firstLineChars="200"/>
              <w:rPr>
                <w:rFonts w:hint="eastAsia" w:ascii="宋体" w:hAnsi="宋体" w:eastAsia="宋体" w:cs="宋体"/>
                <w:snapToGrid w:val="0"/>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sz w:val="21"/>
                <w:szCs w:val="21"/>
                <w:highlight w:val="none"/>
                <w14:textFill>
                  <w14:solidFill>
                    <w14:schemeClr w14:val="tx1"/>
                  </w14:solidFill>
                </w14:textFill>
              </w:rPr>
              <w:t>设计单位驻韶办公的</w:t>
            </w:r>
            <w:r>
              <w:rPr>
                <w:rFonts w:hint="eastAsia" w:ascii="宋体" w:hAnsi="宋体" w:eastAsia="宋体" w:cs="宋体"/>
                <w:snapToGrid w:val="0"/>
                <w:color w:val="000000" w:themeColor="text1"/>
                <w:sz w:val="21"/>
                <w:szCs w:val="21"/>
                <w:highlight w:val="none"/>
                <w:lang w:eastAsia="zh-CN"/>
                <w14:textFill>
                  <w14:solidFill>
                    <w14:schemeClr w14:val="tx1"/>
                  </w14:solidFill>
                </w14:textFill>
              </w:rPr>
              <w:t>设计</w:t>
            </w:r>
            <w:r>
              <w:rPr>
                <w:rFonts w:hint="eastAsia" w:ascii="宋体" w:hAnsi="宋体" w:eastAsia="宋体" w:cs="宋体"/>
                <w:snapToGrid w:val="0"/>
                <w:color w:val="000000" w:themeColor="text1"/>
                <w:sz w:val="21"/>
                <w:szCs w:val="21"/>
                <w:highlight w:val="none"/>
                <w14:textFill>
                  <w14:solidFill>
                    <w14:schemeClr w14:val="tx1"/>
                  </w14:solidFill>
                </w14:textFill>
              </w:rPr>
              <w:t>负责人（即投标文件所拟派的</w:t>
            </w:r>
            <w:r>
              <w:rPr>
                <w:rFonts w:hint="eastAsia" w:ascii="宋体" w:hAnsi="宋体" w:eastAsia="宋体" w:cs="宋体"/>
                <w:snapToGrid w:val="0"/>
                <w:color w:val="000000" w:themeColor="text1"/>
                <w:sz w:val="21"/>
                <w:szCs w:val="21"/>
                <w:highlight w:val="none"/>
                <w:lang w:eastAsia="zh-CN"/>
                <w14:textFill>
                  <w14:solidFill>
                    <w14:schemeClr w14:val="tx1"/>
                  </w14:solidFill>
                </w14:textFill>
              </w:rPr>
              <w:t>设计</w:t>
            </w:r>
            <w:r>
              <w:rPr>
                <w:rFonts w:hint="eastAsia" w:ascii="宋体" w:hAnsi="宋体" w:eastAsia="宋体" w:cs="宋体"/>
                <w:snapToGrid w:val="0"/>
                <w:color w:val="000000" w:themeColor="text1"/>
                <w:sz w:val="21"/>
                <w:szCs w:val="21"/>
                <w:highlight w:val="none"/>
                <w14:textFill>
                  <w14:solidFill>
                    <w14:schemeClr w14:val="tx1"/>
                  </w14:solidFill>
                </w14:textFill>
              </w:rPr>
              <w:t>负责人）必须负责本项目设计全过程（包括施工图设计审查、施工图设计修编、跟踪服务、图纸会审和技术交底）。</w:t>
            </w:r>
            <w:r>
              <w:rPr>
                <w:rFonts w:hint="eastAsia" w:ascii="宋体" w:hAnsi="宋体" w:eastAsia="宋体" w:cs="宋体"/>
                <w:snapToGrid w:val="0"/>
                <w:color w:val="000000" w:themeColor="text1"/>
                <w:sz w:val="21"/>
                <w:szCs w:val="21"/>
                <w:highlight w:val="none"/>
                <w:lang w:eastAsia="zh-CN"/>
                <w14:textFill>
                  <w14:solidFill>
                    <w14:schemeClr w14:val="tx1"/>
                  </w14:solidFill>
                </w14:textFill>
              </w:rPr>
              <w:t>设计</w:t>
            </w:r>
            <w:r>
              <w:rPr>
                <w:rFonts w:hint="eastAsia" w:ascii="宋体" w:hAnsi="宋体" w:eastAsia="宋体" w:cs="宋体"/>
                <w:snapToGrid w:val="0"/>
                <w:color w:val="000000" w:themeColor="text1"/>
                <w:sz w:val="21"/>
                <w:szCs w:val="21"/>
                <w:highlight w:val="none"/>
                <w14:textFill>
                  <w14:solidFill>
                    <w14:schemeClr w14:val="tx1"/>
                  </w14:solidFill>
                </w14:textFill>
              </w:rPr>
              <w:t>负责人未准时参加上述环节工作的，每缺席一次交纳违约金</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snapToGrid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snapToGrid w:val="0"/>
                <w:color w:val="000000" w:themeColor="text1"/>
                <w:sz w:val="21"/>
                <w:szCs w:val="21"/>
                <w:highlight w:val="none"/>
                <w14:textFill>
                  <w14:solidFill>
                    <w14:schemeClr w14:val="tx1"/>
                  </w14:solidFill>
                </w14:textFill>
              </w:rPr>
              <w:t>000元（以招标人发出的违约通知为准）。</w:t>
            </w:r>
          </w:p>
          <w:p>
            <w:pPr>
              <w:pStyle w:val="67"/>
              <w:pageBreakBefore w:val="0"/>
              <w:kinsoku/>
              <w:wordWrap w:val="0"/>
              <w:overflowPunct/>
              <w:bidi w:val="0"/>
              <w:spacing w:line="300" w:lineRule="exact"/>
              <w:ind w:left="0" w:leftChars="0"/>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snapToGrid w:val="0"/>
                <w:color w:val="000000" w:themeColor="text1"/>
                <w:sz w:val="21"/>
                <w:szCs w:val="21"/>
                <w:highlight w:val="none"/>
                <w14:textFill>
                  <w14:solidFill>
                    <w14:schemeClr w14:val="tx1"/>
                  </w14:solidFill>
                </w14:textFill>
              </w:rPr>
              <w:t>设计单位应委派1名参与并熟悉本项目设计任务，有现场处理经验的设计代表常驻项目现场。中标人应为派驻现场的设计工作人员提供工作、生活及交通等方面的便利条件及准备必要的劳动保护装备。在正常施工阶段，每月应保证最少20天在现场。未经招标人书面许可，缺少1天向建设单位每人每天支付违约金¥2000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项目管理班子人员承诺</w:t>
            </w:r>
          </w:p>
        </w:tc>
        <w:tc>
          <w:tcPr>
            <w:tcW w:w="3226" w:type="dxa"/>
            <w:noWrap w:val="0"/>
            <w:vAlign w:val="center"/>
          </w:tcPr>
          <w:p>
            <w:pPr>
              <w:pStyle w:val="64"/>
              <w:pageBreakBefore w:val="0"/>
              <w:kinsoku/>
              <w:wordWrap w:val="0"/>
              <w:overflowPunct/>
              <w:bidi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我方保证投标文件中所拟派的项目经理、技术负责人、施工员、质量员、安全员等工程管理人员全部在施工现场管理施工</w:t>
            </w:r>
          </w:p>
        </w:tc>
        <w:tc>
          <w:tcPr>
            <w:tcW w:w="4796" w:type="dxa"/>
            <w:noWrap w:val="0"/>
            <w:vAlign w:val="center"/>
          </w:tcPr>
          <w:p>
            <w:pPr>
              <w:pStyle w:val="62"/>
              <w:pageBreakBefore w:val="0"/>
              <w:kinsoku/>
              <w:wordWrap w:val="0"/>
              <w:overflowPunct/>
              <w:bidi w:val="0"/>
              <w:spacing w:line="380" w:lineRule="exact"/>
              <w:ind w:firstLine="412"/>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承诺施工期间如左所叙施工现场管理人员按要求每日办理签到手续，如未经招标人同意未办理签到，向建设单位每人每天支付违约金</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pacing w:val="-2"/>
                <w:sz w:val="21"/>
                <w:szCs w:val="21"/>
                <w:highlight w:val="none"/>
                <w14:textFill>
                  <w14:solidFill>
                    <w14:schemeClr w14:val="tx1"/>
                  </w14:solidFill>
                </w14:textFill>
              </w:rPr>
              <w:t>00元（项目经理未签到每天支付违约金</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pacing w:val="-2"/>
                <w:sz w:val="21"/>
                <w:szCs w:val="21"/>
                <w:highlight w:val="none"/>
                <w14:textFill>
                  <w14:solidFill>
                    <w14:schemeClr w14:val="tx1"/>
                  </w14:solidFill>
                </w14:textFill>
              </w:rPr>
              <w:t>000元）；</w:t>
            </w:r>
          </w:p>
          <w:p>
            <w:pPr>
              <w:pStyle w:val="62"/>
              <w:pageBreakBefore w:val="0"/>
              <w:kinsoku/>
              <w:wordWrap w:val="0"/>
              <w:overflowPunct/>
              <w:bidi w:val="0"/>
              <w:spacing w:line="380" w:lineRule="exact"/>
              <w:ind w:firstLine="412"/>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若我方的投标文件中所拟派的如左所述任何一个管理人员未经招标人或招标人同意擅自离岗，在一个月内达到10次/人，或项目经理、技术负责人在施工过程中每月驻场少于2</w:t>
            </w:r>
            <w:r>
              <w:rPr>
                <w:rFonts w:hint="eastAsia" w:ascii="宋体" w:hAnsi="宋体" w:eastAsia="宋体" w:cs="宋体"/>
                <w:color w:val="000000" w:themeColor="text1"/>
                <w:spacing w:val="-2"/>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pacing w:val="-2"/>
                <w:sz w:val="21"/>
                <w:szCs w:val="21"/>
                <w:highlight w:val="none"/>
                <w14:textFill>
                  <w14:solidFill>
                    <w14:schemeClr w14:val="tx1"/>
                  </w14:solidFill>
                </w14:textFill>
              </w:rPr>
              <w:t>天的，招标人有权终止合同。我方承担由此造成的所有责任及经济损失。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3" w:hRule="atLeast"/>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对支付农民工工资的承诺</w:t>
            </w:r>
          </w:p>
        </w:tc>
        <w:tc>
          <w:tcPr>
            <w:tcW w:w="3226" w:type="dxa"/>
            <w:noWrap w:val="0"/>
            <w:vAlign w:val="center"/>
          </w:tcPr>
          <w:p>
            <w:pPr>
              <w:pStyle w:val="62"/>
              <w:pageBreakBefore w:val="0"/>
              <w:kinsoku/>
              <w:wordWrap w:val="0"/>
              <w:overflowPunct/>
              <w:bidi w:val="0"/>
              <w:spacing w:line="380" w:lineRule="exact"/>
              <w:ind w:firstLine="206" w:firstLineChars="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如我方中标，我方无条件同意按照用工合同支付</w:t>
            </w:r>
            <w:r>
              <w:rPr>
                <w:rFonts w:hint="eastAsia" w:ascii="宋体" w:hAnsi="宋体" w:eastAsia="宋体" w:cs="宋体"/>
                <w:color w:val="000000" w:themeColor="text1"/>
                <w:sz w:val="21"/>
                <w:szCs w:val="21"/>
                <w:highlight w:val="none"/>
                <w14:textFill>
                  <w14:solidFill>
                    <w14:schemeClr w14:val="tx1"/>
                  </w14:solidFill>
                </w14:textFill>
              </w:rPr>
              <w:t>农民工工资。</w:t>
            </w:r>
          </w:p>
        </w:tc>
        <w:tc>
          <w:tcPr>
            <w:tcW w:w="4796" w:type="dxa"/>
            <w:noWrap w:val="0"/>
            <w:vAlign w:val="center"/>
          </w:tcPr>
          <w:p>
            <w:pPr>
              <w:pStyle w:val="62"/>
              <w:pageBreakBefore w:val="0"/>
              <w:kinsoku/>
              <w:wordWrap w:val="0"/>
              <w:overflowPunct/>
              <w:bidi w:val="0"/>
              <w:spacing w:line="380" w:lineRule="exact"/>
              <w:ind w:firstLine="41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如我方中标，我方无条件同意按照用工合同支付</w:t>
            </w:r>
            <w:r>
              <w:rPr>
                <w:rFonts w:hint="eastAsia" w:ascii="宋体" w:hAnsi="宋体" w:eastAsia="宋体" w:cs="宋体"/>
                <w:color w:val="000000" w:themeColor="text1"/>
                <w:sz w:val="21"/>
                <w:szCs w:val="21"/>
                <w:highlight w:val="none"/>
                <w14:textFill>
                  <w14:solidFill>
                    <w14:schemeClr w14:val="tx1"/>
                  </w14:solidFill>
                </w14:textFill>
              </w:rPr>
              <w:t>农民工工资。否则，招标人有权终止合同，扣除履约保证金，并由招标人先行垫付农民工被拖欠的工资，数额以未结清的工程数为限。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施工组织设计承诺</w:t>
            </w:r>
          </w:p>
        </w:tc>
        <w:tc>
          <w:tcPr>
            <w:tcW w:w="3226" w:type="dxa"/>
            <w:noWrap w:val="0"/>
            <w:vAlign w:val="center"/>
          </w:tcPr>
          <w:p>
            <w:pPr>
              <w:pStyle w:val="62"/>
              <w:pageBreakBefore w:val="0"/>
              <w:kinsoku/>
              <w:wordWrap w:val="0"/>
              <w:overflowPunct/>
              <w:bidi w:val="0"/>
              <w:spacing w:line="380" w:lineRule="exact"/>
              <w:ind w:firstLine="210" w:firstLineChars="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我方保证施工组织设计按照国家省市有关规定进行编写。</w:t>
            </w:r>
          </w:p>
        </w:tc>
        <w:tc>
          <w:tcPr>
            <w:tcW w:w="4796" w:type="dxa"/>
            <w:noWrap w:val="0"/>
            <w:vAlign w:val="center"/>
          </w:tcPr>
          <w:p>
            <w:pPr>
              <w:pStyle w:val="62"/>
              <w:pageBreakBefore w:val="0"/>
              <w:kinsoku/>
              <w:wordWrap w:val="0"/>
              <w:overflowPunct/>
              <w:bidi w:val="0"/>
              <w:spacing w:line="380" w:lineRule="exact"/>
              <w:ind w:firstLine="210" w:firstLineChars="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如我方的施工组织设计未根据招标项目情况按照国家省市有关规定进行编写的，扣除全部履约保证金。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6" w:type="dxa"/>
            <w:noWrap w:val="0"/>
            <w:vAlign w:val="center"/>
          </w:tcPr>
          <w:p>
            <w:pPr>
              <w:pStyle w:val="68"/>
              <w:pageBreakBefore w:val="0"/>
              <w:kinsoku/>
              <w:wordWrap w:val="0"/>
              <w:overflowPunct/>
              <w:bidi w:val="0"/>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w:t>
            </w:r>
          </w:p>
        </w:tc>
        <w:tc>
          <w:tcPr>
            <w:tcW w:w="1081" w:type="dxa"/>
            <w:noWrap w:val="0"/>
            <w:vAlign w:val="center"/>
          </w:tcPr>
          <w:p>
            <w:pPr>
              <w:pStyle w:val="68"/>
              <w:pageBreakBefore w:val="0"/>
              <w:kinsoku/>
              <w:wordWrap w:val="0"/>
              <w:overflowPunct/>
              <w:bidi w:val="0"/>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设计承诺</w:t>
            </w:r>
          </w:p>
        </w:tc>
        <w:tc>
          <w:tcPr>
            <w:tcW w:w="3226" w:type="dxa"/>
            <w:noWrap w:val="0"/>
            <w:vAlign w:val="center"/>
          </w:tcPr>
          <w:p>
            <w:pPr>
              <w:pStyle w:val="69"/>
              <w:pageBreakBefore w:val="0"/>
              <w:kinsoku/>
              <w:wordWrap w:val="0"/>
              <w:overflowPunct/>
              <w:bidi w:val="0"/>
              <w:spacing w:line="300" w:lineRule="exact"/>
              <w:ind w:left="0" w:leftChars="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如我方中标，我方保证按设计规范及有关法律法规进行设计，并准时提供相应设计文件经审图机构审查通过。</w:t>
            </w:r>
          </w:p>
        </w:tc>
        <w:tc>
          <w:tcPr>
            <w:tcW w:w="4796" w:type="dxa"/>
            <w:noWrap w:val="0"/>
            <w:vAlign w:val="center"/>
          </w:tcPr>
          <w:p>
            <w:pPr>
              <w:pStyle w:val="69"/>
              <w:pageBreakBefore w:val="0"/>
              <w:kinsoku/>
              <w:wordWrap w:val="0"/>
              <w:overflowPunct/>
              <w:bidi w:val="0"/>
              <w:spacing w:line="300" w:lineRule="exact"/>
              <w:ind w:left="0" w:leftChars="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中标，未能按招标文件要求提供设计文件，招标人有权终止合同，扣除设计费的10%作为违约罚款，并由招标人另行委托相应资质的单位进行设计，其费用由中标人支付，施工工期不予顺延且不另外计取赶工措施费。</w:t>
            </w:r>
          </w:p>
          <w:p>
            <w:pPr>
              <w:pStyle w:val="69"/>
              <w:pageBreakBefore w:val="0"/>
              <w:kinsoku/>
              <w:wordWrap w:val="0"/>
              <w:overflowPunct/>
              <w:bidi w:val="0"/>
              <w:spacing w:line="300" w:lineRule="exact"/>
              <w:ind w:left="0" w:leftChars="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由于设计人设计工作错误造成工程设计质量事故，根据责任情况，负责赔偿工程损失费，但最高不超过该项目应收设计费总额，负责采取补救措施。</w:t>
            </w:r>
          </w:p>
          <w:p>
            <w:pPr>
              <w:pStyle w:val="69"/>
              <w:pageBreakBefore w:val="0"/>
              <w:kinsoku/>
              <w:wordWrap w:val="0"/>
              <w:overflowPunct/>
              <w:bidi w:val="0"/>
              <w:spacing w:line="300" w:lineRule="exact"/>
              <w:ind w:left="0" w:leftChars="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施工期间除发包人要求或特殊地质原因外，因设计质量和深度不够的原因引起的工程返工或需要设计变更引起工程造价增加的，每次扣减设计合同价款中设计费的2％，扣完为止。</w:t>
            </w:r>
          </w:p>
          <w:p>
            <w:pPr>
              <w:pStyle w:val="69"/>
              <w:pageBreakBefore w:val="0"/>
              <w:kinsoku/>
              <w:wordWrap w:val="0"/>
              <w:overflowPunct/>
              <w:bidi w:val="0"/>
              <w:spacing w:line="300" w:lineRule="exact"/>
              <w:ind w:left="0" w:leftChars="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因设计单位自身原因造成工程结算超施工招标中标价的，扣除应付设计合同价款中的余款。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3" w:hRule="atLeast"/>
          <w:jc w:val="center"/>
        </w:trPr>
        <w:tc>
          <w:tcPr>
            <w:tcW w:w="656" w:type="dxa"/>
            <w:shd w:val="clear" w:color="auto" w:fill="auto"/>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15</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综合服务能力承诺</w:t>
            </w:r>
          </w:p>
        </w:tc>
        <w:tc>
          <w:tcPr>
            <w:tcW w:w="322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我方保证中标后，自行解决施工中遇到的各种外部问题，协调周边企业、村民关系，并承担由此产生的所以责任及损失。</w:t>
            </w:r>
          </w:p>
        </w:tc>
        <w:tc>
          <w:tcPr>
            <w:tcW w:w="4796" w:type="dxa"/>
            <w:noWrap w:val="0"/>
            <w:vAlign w:val="center"/>
          </w:tcPr>
          <w:p>
            <w:pPr>
              <w:pStyle w:val="62"/>
              <w:pageBreakBefore w:val="0"/>
              <w:kinsoku/>
              <w:wordWrap w:val="0"/>
              <w:overflowPunct/>
              <w:bidi w:val="0"/>
              <w:spacing w:line="380" w:lineRule="exact"/>
              <w:ind w:firstLine="42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若我方未能按招标文件所承诺的各项承诺完成时，我方同意按比例扣除相应履约保证金，并承担由此引起的所有责任。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64" w:hRule="atLeast"/>
          <w:jc w:val="center"/>
        </w:trPr>
        <w:tc>
          <w:tcPr>
            <w:tcW w:w="656" w:type="dxa"/>
            <w:shd w:val="clear" w:color="auto" w:fill="auto"/>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16</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廉政承诺</w:t>
            </w:r>
          </w:p>
        </w:tc>
        <w:tc>
          <w:tcPr>
            <w:tcW w:w="322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如我方中标，我方将严格执行国家、广东省、韶关市有关工程建设廉政的有关法律法规及双方签订的廉政合同。</w:t>
            </w:r>
          </w:p>
        </w:tc>
        <w:tc>
          <w:tcPr>
            <w:tcW w:w="4796" w:type="dxa"/>
            <w:noWrap w:val="0"/>
            <w:vAlign w:val="center"/>
          </w:tcPr>
          <w:p>
            <w:pPr>
              <w:pStyle w:val="62"/>
              <w:pageBreakBefore w:val="0"/>
              <w:kinsoku/>
              <w:wordWrap w:val="0"/>
              <w:overflowPunct/>
              <w:bidi w:val="0"/>
              <w:spacing w:line="380" w:lineRule="exact"/>
              <w:ind w:firstLine="42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违反国家、广东省、韶关市有关工程建设廉政的有关法律法规及双方签订的廉政合同，受到相关主管部门的通报或查处，招标人可按规定对我方进行处罚，情节严重时招标人可终止合同，我方承担由此造成的所有责任和经济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7" w:hRule="atLeast"/>
          <w:jc w:val="center"/>
        </w:trPr>
        <w:tc>
          <w:tcPr>
            <w:tcW w:w="656" w:type="dxa"/>
            <w:shd w:val="clear" w:color="auto" w:fill="auto"/>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17</w:t>
            </w:r>
          </w:p>
        </w:tc>
        <w:tc>
          <w:tcPr>
            <w:tcW w:w="1081" w:type="dxa"/>
            <w:noWrap w:val="0"/>
            <w:vAlign w:val="center"/>
          </w:tcPr>
          <w:p>
            <w:pPr>
              <w:pageBreakBefore w:val="0"/>
              <w:kinsoku/>
              <w:wordWrap w:val="0"/>
              <w:overflowPunct/>
              <w:bidi w:val="0"/>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对外协调关系承诺</w:t>
            </w:r>
          </w:p>
        </w:tc>
        <w:tc>
          <w:tcPr>
            <w:tcW w:w="3226" w:type="dxa"/>
            <w:noWrap w:val="0"/>
            <w:vAlign w:val="center"/>
          </w:tcPr>
          <w:p>
            <w:pPr>
              <w:pStyle w:val="9"/>
              <w:pageBreakBefore w:val="0"/>
              <w:kinsoku/>
              <w:wordWrap w:val="0"/>
              <w:overflowPunct/>
              <w:bidi w:val="0"/>
              <w:spacing w:line="3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我方保证中标后，自行解决施工中遇到的各种外部问题，协调周边企业、村民关系，并承担由此产生的所有责任及损失。</w:t>
            </w:r>
          </w:p>
        </w:tc>
        <w:tc>
          <w:tcPr>
            <w:tcW w:w="4796" w:type="dxa"/>
            <w:noWrap w:val="0"/>
            <w:vAlign w:val="center"/>
          </w:tcPr>
          <w:p>
            <w:pPr>
              <w:pStyle w:val="9"/>
              <w:pageBreakBefore w:val="0"/>
              <w:kinsoku/>
              <w:wordWrap w:val="0"/>
              <w:overflowPunct/>
              <w:bidi w:val="0"/>
              <w:spacing w:line="3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若我方未能按招标文件所承诺的各项承诺完成时，我方同意按比例扣除相应履约保证金，并承担由此引起的所有责任。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24" w:hRule="atLeast"/>
          <w:jc w:val="center"/>
        </w:trPr>
        <w:tc>
          <w:tcPr>
            <w:tcW w:w="656" w:type="dxa"/>
            <w:shd w:val="clear" w:color="auto" w:fill="auto"/>
            <w:noWrap w:val="0"/>
            <w:vAlign w:val="center"/>
          </w:tcPr>
          <w:p>
            <w:pPr>
              <w:pStyle w:val="37"/>
              <w:pageBreakBefore w:val="0"/>
              <w:kinsoku/>
              <w:wordWrap w:val="0"/>
              <w:overflowPunct/>
              <w:bidi w:val="0"/>
              <w:spacing w:line="24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18</w:t>
            </w:r>
          </w:p>
        </w:tc>
        <w:tc>
          <w:tcPr>
            <w:tcW w:w="1081" w:type="dxa"/>
            <w:noWrap w:val="0"/>
            <w:vAlign w:val="center"/>
          </w:tcPr>
          <w:p>
            <w:pPr>
              <w:pStyle w:val="62"/>
              <w:pageBreakBefore w:val="0"/>
              <w:kinsoku/>
              <w:wordWrap w:val="0"/>
              <w:overflowPunct/>
              <w:bidi w:val="0"/>
              <w:adjustRightInd w:val="0"/>
              <w:snapToGrid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投标文件信息公开承诺</w:t>
            </w:r>
          </w:p>
        </w:tc>
        <w:tc>
          <w:tcPr>
            <w:tcW w:w="322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我方提供完整的电子文件。如</w:t>
            </w:r>
            <w:r>
              <w:rPr>
                <w:rFonts w:hint="eastAsia" w:ascii="宋体" w:hAnsi="宋体" w:eastAsia="宋体" w:cs="宋体"/>
                <w:color w:val="000000" w:themeColor="text1"/>
                <w:sz w:val="21"/>
                <w:szCs w:val="21"/>
                <w:highlight w:val="none"/>
                <w:lang w:eastAsia="zh-CN"/>
                <w14:textFill>
                  <w14:solidFill>
                    <w14:schemeClr w14:val="tx1"/>
                  </w14:solidFill>
                </w14:textFill>
              </w:rPr>
              <w:t>果</w:t>
            </w:r>
            <w:r>
              <w:rPr>
                <w:rFonts w:hint="eastAsia" w:ascii="宋体" w:hAnsi="宋体" w:eastAsia="宋体" w:cs="宋体"/>
                <w:color w:val="000000" w:themeColor="text1"/>
                <w:sz w:val="21"/>
                <w:szCs w:val="21"/>
                <w:highlight w:val="none"/>
                <w14:textFill>
                  <w14:solidFill>
                    <w14:schemeClr w14:val="tx1"/>
                  </w14:solidFill>
                </w14:textFill>
              </w:rPr>
              <w:t>我方成为本项目中标候选人，我方同意并授权招标人</w:t>
            </w:r>
            <w:r>
              <w:rPr>
                <w:rFonts w:hint="eastAsia" w:ascii="宋体" w:hAnsi="宋体" w:eastAsia="宋体" w:cs="宋体"/>
                <w:color w:val="000000" w:themeColor="text1"/>
                <w:sz w:val="21"/>
                <w:szCs w:val="21"/>
                <w:highlight w:val="none"/>
                <w:lang w:eastAsia="zh-CN"/>
                <w14:textFill>
                  <w14:solidFill>
                    <w14:schemeClr w14:val="tx1"/>
                  </w14:solidFill>
                </w14:textFill>
              </w:rPr>
              <w:t>在评标结果公示期内公开</w:t>
            </w:r>
            <w:r>
              <w:rPr>
                <w:rFonts w:hint="eastAsia" w:ascii="宋体" w:hAnsi="宋体" w:eastAsia="宋体" w:cs="宋体"/>
                <w:color w:val="000000" w:themeColor="text1"/>
                <w:sz w:val="21"/>
                <w:szCs w:val="21"/>
                <w:highlight w:val="none"/>
                <w14:textFill>
                  <w14:solidFill>
                    <w14:schemeClr w14:val="tx1"/>
                  </w14:solidFill>
                </w14:textFill>
              </w:rPr>
              <w:t>我方商务部分的</w:t>
            </w:r>
            <w:r>
              <w:rPr>
                <w:rFonts w:hint="eastAsia" w:ascii="宋体" w:hAnsi="宋体" w:eastAsia="宋体" w:cs="宋体"/>
                <w:color w:val="000000" w:themeColor="text1"/>
                <w:sz w:val="21"/>
                <w:szCs w:val="21"/>
                <w:highlight w:val="none"/>
                <w:lang w:eastAsia="zh-CN"/>
                <w14:textFill>
                  <w14:solidFill>
                    <w14:schemeClr w14:val="tx1"/>
                  </w14:solidFill>
                </w14:textFill>
              </w:rPr>
              <w:t>全部</w:t>
            </w:r>
            <w:r>
              <w:rPr>
                <w:rFonts w:hint="eastAsia" w:ascii="宋体" w:hAnsi="宋体" w:eastAsia="宋体" w:cs="宋体"/>
                <w:color w:val="000000" w:themeColor="text1"/>
                <w:sz w:val="21"/>
                <w:szCs w:val="21"/>
                <w:highlight w:val="none"/>
                <w14:textFill>
                  <w14:solidFill>
                    <w14:schemeClr w14:val="tx1"/>
                  </w14:solidFill>
                </w14:textFill>
              </w:rPr>
              <w:t>内容。</w:t>
            </w:r>
          </w:p>
        </w:tc>
        <w:tc>
          <w:tcPr>
            <w:tcW w:w="4796" w:type="dxa"/>
            <w:tcBorders>
              <w:tr2bl w:val="single" w:color="auto" w:sz="4" w:space="0"/>
            </w:tcBorders>
            <w:noWrap w:val="0"/>
            <w:vAlign w:val="center"/>
          </w:tcPr>
          <w:p>
            <w:pPr>
              <w:pStyle w:val="62"/>
              <w:pageBreakBefore w:val="0"/>
              <w:kinsoku/>
              <w:wordWrap w:val="0"/>
              <w:overflowPunct/>
              <w:bidi w:val="0"/>
              <w:adjustRightInd w:val="0"/>
              <w:snapToGrid w:val="0"/>
              <w:spacing w:line="380" w:lineRule="exact"/>
              <w:ind w:firstLine="0" w:firstLineChars="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0" w:hRule="atLeast"/>
          <w:jc w:val="center"/>
        </w:trPr>
        <w:tc>
          <w:tcPr>
            <w:tcW w:w="656" w:type="dxa"/>
            <w:shd w:val="clear" w:color="auto" w:fill="auto"/>
            <w:noWrap w:val="0"/>
            <w:vAlign w:val="center"/>
          </w:tcPr>
          <w:p>
            <w:pPr>
              <w:pStyle w:val="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19</w:t>
            </w:r>
          </w:p>
        </w:tc>
        <w:tc>
          <w:tcPr>
            <w:tcW w:w="1081" w:type="dxa"/>
            <w:noWrap w:val="0"/>
            <w:vAlign w:val="center"/>
          </w:tcPr>
          <w:p>
            <w:pPr>
              <w:pageBreakBefore w:val="0"/>
              <w:kinsoku/>
              <w:wordWrap w:val="0"/>
              <w:overflowPunct/>
              <w:bidi w:val="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按时签订合同的承诺</w:t>
            </w:r>
          </w:p>
        </w:tc>
        <w:tc>
          <w:tcPr>
            <w:tcW w:w="322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如果我方中标，我方保证在招标文件规定的时限内与招标人签订合同，不提出违背或超出招标文件、中标文件的要求。</w:t>
            </w:r>
          </w:p>
        </w:tc>
        <w:tc>
          <w:tcPr>
            <w:tcW w:w="479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7" w:hRule="atLeast"/>
          <w:jc w:val="center"/>
        </w:trPr>
        <w:tc>
          <w:tcPr>
            <w:tcW w:w="656" w:type="dxa"/>
            <w:shd w:val="clear" w:color="auto" w:fill="auto"/>
            <w:noWrap w:val="0"/>
            <w:vAlign w:val="center"/>
          </w:tcPr>
          <w:p>
            <w:pPr>
              <w:pStyle w:val="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20</w:t>
            </w:r>
          </w:p>
        </w:tc>
        <w:tc>
          <w:tcPr>
            <w:tcW w:w="1081" w:type="dxa"/>
            <w:noWrap w:val="0"/>
            <w:vAlign w:val="center"/>
          </w:tcPr>
          <w:p>
            <w:pPr>
              <w:pStyle w:val="62"/>
              <w:pageBreakBefore w:val="0"/>
              <w:kinsoku/>
              <w:wordWrap w:val="0"/>
              <w:overflowPunct/>
              <w:bidi w:val="0"/>
              <w:snapToGrid w:val="0"/>
              <w:spacing w:line="40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质量安全受检承诺</w:t>
            </w:r>
          </w:p>
        </w:tc>
        <w:tc>
          <w:tcPr>
            <w:tcW w:w="3226" w:type="dxa"/>
            <w:noWrap w:val="0"/>
            <w:vAlign w:val="center"/>
          </w:tcPr>
          <w:p>
            <w:pPr>
              <w:pStyle w:val="62"/>
              <w:pageBreakBefore w:val="0"/>
              <w:kinsoku/>
              <w:wordWrap w:val="0"/>
              <w:overflowPunct/>
              <w:bidi w:val="0"/>
              <w:snapToGrid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我方中标，我方承诺本项目在建设过程中，设计及施工的质量安全等相关实施内容按照业主单位、发包单位的相关管理规定和质量安全考核要求，随时接受业主单位、发包单位自行或委托的第三方的监督检查及考核，我方保证无条件配合。</w:t>
            </w:r>
          </w:p>
        </w:tc>
        <w:tc>
          <w:tcPr>
            <w:tcW w:w="4796" w:type="dxa"/>
            <w:noWrap w:val="0"/>
            <w:vAlign w:val="center"/>
          </w:tcPr>
          <w:p>
            <w:pPr>
              <w:pStyle w:val="62"/>
              <w:pageBreakBefore w:val="0"/>
              <w:kinsoku/>
              <w:wordWrap w:val="0"/>
              <w:overflowPunct/>
              <w:bidi w:val="0"/>
              <w:snapToGrid w:val="0"/>
              <w:spacing w:line="400" w:lineRule="exact"/>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如我方不配合或未通过相关的监督检查及考核，我方承诺接受业主单位、发包单位的相关管理规定和处罚，并承担相应的责任。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shd w:val="clear" w:color="auto" w:fill="auto"/>
            <w:noWrap w:val="0"/>
            <w:vAlign w:val="center"/>
          </w:tcPr>
          <w:p>
            <w:pPr>
              <w:pStyle w:val="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21</w:t>
            </w:r>
          </w:p>
        </w:tc>
        <w:tc>
          <w:tcPr>
            <w:tcW w:w="1081" w:type="dxa"/>
            <w:noWrap w:val="0"/>
            <w:vAlign w:val="center"/>
          </w:tcPr>
          <w:p>
            <w:pPr>
              <w:pStyle w:val="62"/>
              <w:pageBreakBefore w:val="0"/>
              <w:kinsoku/>
              <w:wordWrap w:val="0"/>
              <w:overflowPunct/>
              <w:bidi w:val="0"/>
              <w:snapToGrid w:val="0"/>
              <w:spacing w:line="400" w:lineRule="exact"/>
              <w:ind w:firstLine="0" w:firstLineChars="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对工程预付款的使用承诺</w:t>
            </w:r>
          </w:p>
        </w:tc>
        <w:tc>
          <w:tcPr>
            <w:tcW w:w="3226" w:type="dxa"/>
            <w:noWrap w:val="0"/>
            <w:vAlign w:val="center"/>
          </w:tcPr>
          <w:p>
            <w:pPr>
              <w:pStyle w:val="62"/>
              <w:pageBreakBefore w:val="0"/>
              <w:kinsoku/>
              <w:wordWrap w:val="0"/>
              <w:overflowPunct/>
              <w:bidi w:val="0"/>
              <w:snapToGrid w:val="0"/>
              <w:spacing w:line="400" w:lineRule="exact"/>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我方保证工程预付款用于主要建筑材料的备料及支付工人工资。</w:t>
            </w:r>
          </w:p>
        </w:tc>
        <w:tc>
          <w:tcPr>
            <w:tcW w:w="4796" w:type="dxa"/>
            <w:tcBorders>
              <w:tr2bl w:val="single" w:color="auto" w:sz="4" w:space="0"/>
            </w:tcBorders>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r>
    </w:tbl>
    <w:p>
      <w:pPr>
        <w:pStyle w:val="70"/>
        <w:pageBreakBefore w:val="0"/>
        <w:kinsoku/>
        <w:wordWrap w:val="0"/>
        <w:overflowPunct/>
        <w:bidi w:val="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pPr>
        <w:pStyle w:val="70"/>
        <w:pageBreakBefore w:val="0"/>
        <w:kinsoku/>
        <w:wordWrap w:val="0"/>
        <w:overflowPunct/>
        <w:bidi w:val="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注：所有违约金均从中标人的进度款中扣除，最终结算以扣除违约金总数后的金额为准。</w:t>
      </w:r>
    </w:p>
    <w:p>
      <w:pPr>
        <w:pStyle w:val="37"/>
        <w:pageBreakBefore w:val="0"/>
        <w:kinsoku/>
        <w:wordWrap w:val="0"/>
        <w:overflowPunct/>
        <w:bidi w:val="0"/>
        <w:spacing w:line="400" w:lineRule="exact"/>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pPr>
        <w:pStyle w:val="11"/>
        <w:pageBreakBefore w:val="0"/>
        <w:kinsoku/>
        <w:wordWrap w:val="0"/>
        <w:overflowPunct/>
        <w:bidi w:val="0"/>
        <w:adjustRightInd w:val="0"/>
        <w:snapToGrid w:val="0"/>
        <w:spacing w:line="420" w:lineRule="exact"/>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投标人：</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（盖单位章）</w:t>
      </w:r>
    </w:p>
    <w:p>
      <w:pPr>
        <w:pStyle w:val="11"/>
        <w:pageBreakBefore w:val="0"/>
        <w:kinsoku/>
        <w:wordWrap w:val="0"/>
        <w:overflowPunct/>
        <w:bidi w:val="0"/>
        <w:adjustRightInd w:val="0"/>
        <w:snapToGrid w:val="0"/>
        <w:spacing w:line="420" w:lineRule="exact"/>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p>
    <w:p>
      <w:pPr>
        <w:pStyle w:val="11"/>
        <w:pageBreakBefore w:val="0"/>
        <w:kinsoku/>
        <w:wordWrap w:val="0"/>
        <w:overflowPunct/>
        <w:bidi w:val="0"/>
        <w:adjustRightInd w:val="0"/>
        <w:snapToGrid w:val="0"/>
        <w:spacing w:line="420" w:lineRule="exact"/>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（签字或盖章）</w:t>
      </w:r>
    </w:p>
    <w:p>
      <w:pPr>
        <w:pStyle w:val="11"/>
        <w:pageBreakBefore w:val="0"/>
        <w:kinsoku/>
        <w:wordWrap w:val="0"/>
        <w:overflowPunct/>
        <w:bidi w:val="0"/>
        <w:adjustRightInd w:val="0"/>
        <w:snapToGrid w:val="0"/>
        <w:spacing w:line="420" w:lineRule="exact"/>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p>
    <w:p>
      <w:pPr>
        <w:pageBreakBefore w:val="0"/>
        <w:widowControl/>
        <w:kinsoku/>
        <w:wordWrap w:val="0"/>
        <w:overflowPunct/>
        <w:bidi w:val="0"/>
        <w:jc w:val="righ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年</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月</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日</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br w:type="page"/>
      </w: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23" w:name="_Toc6896"/>
      <w:bookmarkStart w:id="524" w:name="_Toc30463"/>
      <w:bookmarkStart w:id="525" w:name="_Toc30764"/>
      <w:bookmarkStart w:id="526" w:name="_Toc726"/>
      <w:bookmarkStart w:id="527" w:name="_Toc10981"/>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五</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授权委托书</w:t>
      </w:r>
      <w:bookmarkEnd w:id="523"/>
      <w:bookmarkEnd w:id="524"/>
      <w:bookmarkEnd w:id="525"/>
      <w:bookmarkEnd w:id="526"/>
      <w:bookmarkEnd w:id="527"/>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before="260" w:after="260" w:line="44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授权委托书</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本人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（姓名）系</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（投标人名称）的法定代表人，现委托</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（姓名）为我方代理人。代理人根据授权，以我方名义签署、澄清、说明、补正、递交、撤回、修改</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（项目名称）投标文件、签订合同和处理有关事宜，其法律后果由我方承担。</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委托期限：至</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年   月   日</w:t>
      </w:r>
      <w:r>
        <w:rPr>
          <w:rFonts w:hint="eastAsia" w:asciiTheme="minorEastAsia" w:hAnsiTheme="minorEastAsia" w:eastAsiaTheme="minorEastAsia" w:cstheme="minorEastAsia"/>
          <w:i/>
          <w:iCs/>
          <w:snapToGrid w:val="0"/>
          <w:color w:val="000000" w:themeColor="text1"/>
          <w:kern w:val="0"/>
          <w:szCs w:val="24"/>
          <w:highlight w:val="none"/>
          <w:u w:val="single"/>
          <w14:textFill>
            <w14:solidFill>
              <w14:schemeClr w14:val="tx1"/>
            </w14:solidFill>
          </w14:textFill>
        </w:rPr>
        <w:t>（不得短于招标文件规定的投标有效期）</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代理人无转委托权。</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  标  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（盖单位章）</w:t>
      </w: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法定代表人：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委托代理人：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日</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ind w:firstLine="5520" w:firstLineChars="23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10" name="流程图: 可选过程 10"/>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int="default"/>
                                <w:szCs w:val="21"/>
                              </w:rPr>
                            </w:pPr>
                          </w:p>
                          <w:p>
                            <w:pPr>
                              <w:jc w:val="center"/>
                              <w:rPr>
                                <w:rFonts w:hint="default"/>
                                <w:szCs w:val="21"/>
                              </w:rPr>
                            </w:pPr>
                          </w:p>
                          <w:p>
                            <w:pPr>
                              <w:jc w:val="center"/>
                              <w:rPr>
                                <w:rFonts w:hint="default"/>
                                <w:szCs w:val="21"/>
                              </w:rPr>
                            </w:pPr>
                          </w:p>
                          <w:p>
                            <w:pPr>
                              <w:jc w:val="center"/>
                              <w:rPr>
                                <w:rFonts w:hint="eastAsia" w:ascii="宋体" w:hAnsi="宋体" w:eastAsia="宋体" w:cs="宋体"/>
                                <w:szCs w:val="21"/>
                              </w:rPr>
                            </w:pPr>
                            <w:r>
                              <w:rPr>
                                <w:rFonts w:hint="eastAsia" w:ascii="宋体" w:hAnsi="宋体" w:eastAsia="宋体" w:cs="宋体"/>
                                <w:szCs w:val="21"/>
                              </w:rPr>
                              <w:t>委托代理人身份证彩色扫描件正、反面</w:t>
                            </w:r>
                          </w:p>
                        </w:txbxContent>
                      </wps:txbx>
                      <wps:bodyPr wrap="square" upright="1"/>
                    </wps:wsp>
                  </a:graphicData>
                </a:graphic>
              </wp:anchor>
            </w:drawing>
          </mc:Choice>
          <mc:Fallback>
            <w:pict>
              <v:shape id="_x0000_s1026" o:spid="_x0000_s1026" o:spt="176" type="#_x0000_t176" style="position:absolute;left:0pt;margin-left:115.5pt;margin-top:2.6pt;height:124.75pt;width:251.25pt;z-index:251663360;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rJ9Os2AAAAAkBAAAPAAAAAAAAAAEAIAAAACIAAABkcnMvZG93&#10;bnJldi54bWxQSwECFAAUAAAACACHTuJAsfZZWzkCAABuBAAADgAAAAAAAAABACAAAAAnAQAAZHJz&#10;L2Uyb0RvYy54bWxQSwUGAAAAAAYABgBZAQAA0gUAAAAA&#10;">
                <v:fill on="t" focussize="0,0"/>
                <v:stroke color="#000000" joinstyle="miter"/>
                <v:imagedata o:title=""/>
                <o:lock v:ext="edit" aspectratio="f"/>
                <v:textbox>
                  <w:txbxContent>
                    <w:p>
                      <w:pPr>
                        <w:jc w:val="center"/>
                        <w:rPr>
                          <w:rFonts w:hint="default"/>
                          <w:szCs w:val="21"/>
                        </w:rPr>
                      </w:pPr>
                    </w:p>
                    <w:p>
                      <w:pPr>
                        <w:jc w:val="center"/>
                        <w:rPr>
                          <w:rFonts w:hint="default"/>
                          <w:szCs w:val="21"/>
                        </w:rPr>
                      </w:pPr>
                    </w:p>
                    <w:p>
                      <w:pPr>
                        <w:jc w:val="center"/>
                        <w:rPr>
                          <w:rFonts w:hint="default"/>
                          <w:szCs w:val="21"/>
                        </w:rPr>
                      </w:pPr>
                    </w:p>
                    <w:p>
                      <w:pPr>
                        <w:jc w:val="center"/>
                        <w:rPr>
                          <w:rFonts w:hint="eastAsia" w:ascii="宋体" w:hAnsi="宋体" w:eastAsia="宋体" w:cs="宋体"/>
                          <w:szCs w:val="21"/>
                        </w:rPr>
                      </w:pPr>
                      <w:r>
                        <w:rPr>
                          <w:rFonts w:hint="eastAsia" w:ascii="宋体" w:hAnsi="宋体" w:eastAsia="宋体" w:cs="宋体"/>
                          <w:szCs w:val="21"/>
                        </w:rPr>
                        <w:t>委托代理人身份证彩色扫描件正、反面</w:t>
                      </w:r>
                    </w:p>
                  </w:txbxContent>
                </v:textbox>
              </v:shape>
            </w:pict>
          </mc:Fallback>
        </mc:AlternateContent>
      </w:r>
    </w:p>
    <w:p>
      <w:pPr>
        <w:pStyle w:val="8"/>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pPr>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sectPr>
          <w:headerReference r:id="rId6" w:type="default"/>
          <w:footerReference r:id="rId7" w:type="default"/>
          <w:endnotePr>
            <w:numFmt w:val="decimal"/>
          </w:endnotePr>
          <w:pgSz w:w="11906" w:h="16838"/>
          <w:pgMar w:top="1701" w:right="1531" w:bottom="1417" w:left="1531" w:header="850" w:footer="737" w:gutter="0"/>
          <w:pgNumType w:fmt="decimal"/>
          <w:cols w:space="720" w:num="1"/>
          <w:docGrid w:linePitch="327" w:charSpace="0"/>
        </w:sect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28" w:name="_Toc4422"/>
      <w:bookmarkStart w:id="529" w:name="_Toc12031"/>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六</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法定代表人身份证明</w:t>
      </w:r>
      <w:bookmarkEnd w:id="528"/>
      <w:bookmarkEnd w:id="529"/>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before="260" w:after="260" w:line="44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法定代表人身份证明</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投标人名称：</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姓名：</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性别：</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年龄：</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职务：</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系</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（投标人名称）的法定代表人。</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特此证明。</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（盖单位章）</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法定代表人：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日       </w:t>
      </w:r>
    </w:p>
    <w:p>
      <w:pPr>
        <w:pageBreakBefore w:val="0"/>
        <w:kinsoku/>
        <w:wordWrap w:val="0"/>
        <w:overflowPunct/>
        <w:bidi w:val="0"/>
        <w:adjustRightInd w:val="0"/>
        <w:snapToGrid w:val="0"/>
        <w:spacing w:line="440" w:lineRule="exact"/>
        <w:ind w:firstLine="720" w:firstLineChars="300"/>
        <w:rPr>
          <w:rFonts w:hint="eastAsia" w:asciiTheme="minorEastAsia" w:hAnsiTheme="minorEastAsia" w:eastAsiaTheme="minorEastAsia" w:cstheme="minorEastAsia"/>
          <w:i/>
          <w:iCs/>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720" w:firstLineChars="300"/>
        <w:rPr>
          <w:rFonts w:hint="eastAsia" w:asciiTheme="minorEastAsia" w:hAnsiTheme="minorEastAsia" w:eastAsiaTheme="minorEastAsia" w:cstheme="minorEastAsia"/>
          <w:i/>
          <w:iCs/>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1619250</wp:posOffset>
                </wp:positionH>
                <wp:positionV relativeFrom="paragraph">
                  <wp:posOffset>20320</wp:posOffset>
                </wp:positionV>
                <wp:extent cx="2825115" cy="1584325"/>
                <wp:effectExtent l="4445" t="4445" r="8890" b="11430"/>
                <wp:wrapNone/>
                <wp:docPr id="9" name="流程图: 可选过程 9"/>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int="default"/>
                                <w:szCs w:val="21"/>
                              </w:rPr>
                            </w:pPr>
                          </w:p>
                          <w:p>
                            <w:pPr>
                              <w:jc w:val="center"/>
                              <w:rPr>
                                <w:rFonts w:hint="default"/>
                                <w:szCs w:val="21"/>
                              </w:rPr>
                            </w:pPr>
                          </w:p>
                          <w:p>
                            <w:pPr>
                              <w:jc w:val="center"/>
                              <w:rPr>
                                <w:rFonts w:hint="default"/>
                                <w:szCs w:val="21"/>
                              </w:rPr>
                            </w:pPr>
                          </w:p>
                          <w:p>
                            <w:pPr>
                              <w:jc w:val="center"/>
                              <w:rPr>
                                <w:rFonts w:hint="eastAsia" w:ascii="宋体" w:hAnsi="宋体" w:eastAsia="宋体" w:cs="宋体"/>
                                <w:szCs w:val="21"/>
                              </w:rPr>
                            </w:pPr>
                            <w:r>
                              <w:rPr>
                                <w:rFonts w:hint="eastAsia" w:ascii="宋体" w:hAnsi="宋体" w:eastAsia="宋体" w:cs="宋体"/>
                                <w:szCs w:val="21"/>
                              </w:rPr>
                              <w:t>法定代表人身份证彩色扫描件正、反面</w:t>
                            </w:r>
                          </w:p>
                        </w:txbxContent>
                      </wps:txbx>
                      <wps:bodyPr wrap="square" upright="1"/>
                    </wps:wsp>
                  </a:graphicData>
                </a:graphic>
              </wp:anchor>
            </w:drawing>
          </mc:Choice>
          <mc:Fallback>
            <w:pict>
              <v:shape id="_x0000_s1026" o:spid="_x0000_s1026" o:spt="176" type="#_x0000_t176" style="position:absolute;left:0pt;margin-left:127.5pt;margin-top:1.6pt;height:124.75pt;width:222.45pt;z-index:251662336;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HhXUptgAAAAJAQAADwAAAAAAAAABACAAAAAiAAAAZHJzL2Rvd25y&#10;ZXYueG1sUEsBAhQAFAAAAAgAh07iQEz7asY3AgAAbAQAAA4AAAAAAAAAAQAgAAAAJwEAAGRycy9l&#10;Mm9Eb2MueG1sUEsFBgAAAAAGAAYAWQEAANAFAAAAAA==&#10;">
                <v:fill on="t" focussize="0,0"/>
                <v:stroke color="#000000" joinstyle="miter"/>
                <v:imagedata o:title=""/>
                <o:lock v:ext="edit" aspectratio="f"/>
                <v:textbox>
                  <w:txbxContent>
                    <w:p>
                      <w:pPr>
                        <w:jc w:val="center"/>
                        <w:rPr>
                          <w:rFonts w:hint="default"/>
                          <w:szCs w:val="21"/>
                        </w:rPr>
                      </w:pPr>
                    </w:p>
                    <w:p>
                      <w:pPr>
                        <w:jc w:val="center"/>
                        <w:rPr>
                          <w:rFonts w:hint="default"/>
                          <w:szCs w:val="21"/>
                        </w:rPr>
                      </w:pPr>
                    </w:p>
                    <w:p>
                      <w:pPr>
                        <w:jc w:val="center"/>
                        <w:rPr>
                          <w:rFonts w:hint="default"/>
                          <w:szCs w:val="21"/>
                        </w:rPr>
                      </w:pPr>
                    </w:p>
                    <w:p>
                      <w:pPr>
                        <w:jc w:val="center"/>
                        <w:rPr>
                          <w:rFonts w:hint="eastAsia" w:ascii="宋体" w:hAnsi="宋体" w:eastAsia="宋体" w:cs="宋体"/>
                          <w:szCs w:val="21"/>
                        </w:rPr>
                      </w:pPr>
                      <w:r>
                        <w:rPr>
                          <w:rFonts w:hint="eastAsia" w:ascii="宋体" w:hAnsi="宋体" w:eastAsia="宋体" w:cs="宋体"/>
                          <w:szCs w:val="21"/>
                        </w:rPr>
                        <w:t>法定代表人身份证彩色扫描件正、反面</w:t>
                      </w:r>
                    </w:p>
                  </w:txbxContent>
                </v:textbox>
              </v:shape>
            </w:pict>
          </mc:Fallback>
        </mc:AlternateContent>
      </w:r>
    </w:p>
    <w:p>
      <w:pPr>
        <w:pageBreakBefore w:val="0"/>
        <w:tabs>
          <w:tab w:val="left" w:pos="654"/>
          <w:tab w:val="left" w:pos="1734"/>
          <w:tab w:val="left" w:pos="2814"/>
          <w:tab w:val="left" w:pos="3894"/>
          <w:tab w:val="left" w:pos="5334"/>
          <w:tab w:val="left" w:pos="6414"/>
          <w:tab w:val="left" w:pos="7254"/>
          <w:tab w:val="left" w:pos="8574"/>
          <w:tab w:val="left" w:pos="9654"/>
        </w:tabs>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8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8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8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30" w:name="_Toc16430"/>
      <w:bookmarkStart w:id="531" w:name="_Toc4393"/>
      <w:bookmarkStart w:id="532" w:name="_Toc26875"/>
      <w:bookmarkStart w:id="533" w:name="_Toc26395"/>
      <w:bookmarkStart w:id="534" w:name="_Toc30665"/>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七</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联合体协议书</w:t>
      </w:r>
      <w:bookmarkEnd w:id="530"/>
      <w:bookmarkEnd w:id="531"/>
      <w:bookmarkEnd w:id="532"/>
      <w:bookmarkEnd w:id="533"/>
      <w:bookmarkEnd w:id="534"/>
    </w:p>
    <w:p>
      <w:pPr>
        <w:pStyle w:val="48"/>
        <w:pageBreakBefore w:val="0"/>
        <w:widowControl w:val="0"/>
        <w:kinsoku/>
        <w:wordWrap w:val="0"/>
        <w:overflowPunct/>
        <w:bidi w:val="0"/>
        <w:adjustRightInd w:val="0"/>
        <w:snapToGrid w:val="0"/>
        <w:spacing w:before="240" w:after="240" w:line="440" w:lineRule="exact"/>
        <w:ind w:firstLine="0"/>
        <w:jc w:val="cente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t>联合体协议书</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牵头人名称：</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法定代表人：</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法定住所：</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成员二名称：</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法定代表人：</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法定住所：</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上述各成员单位经过友好协商，自愿组成联合体，共同参加</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（项目名称）（以下简称“本项目”）的投标并争取赢得本项目EPC总承包合同（以下简称合同）。现就联合体投标事宜订立如下协议：</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1．</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（某成员单位名称）为联合体牵头人。</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相关责任。</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4．联合体各成员单位内部的职责分工如下：</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5．投标工作和联合体在中标后工程实施过程中的有关费用按各自承担的工作量分摊。</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6．联合体中标后，本联合体协议是合同的附件，对联合体各成员单位有合同约束力。</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7．本协议书自签署之日起生效，联合体未中标或者中标时合同履行完毕后自动失效。</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8．本协议书一式</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份，联合体成员和招标人各执一份。</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牵头人名称：</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（盖单位章）</w:t>
      </w: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w:t>
      </w: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（签字或盖章）</w:t>
      </w:r>
    </w:p>
    <w:p>
      <w:pPr>
        <w:pStyle w:val="48"/>
        <w:pageBreakBefore w:val="0"/>
        <w:widowControl w:val="0"/>
        <w:kinsoku/>
        <w:wordWrap w:val="0"/>
        <w:overflowPunct/>
        <w:bidi w:val="0"/>
        <w:adjustRightInd w:val="0"/>
        <w:snapToGrid w:val="0"/>
        <w:spacing w:line="440" w:lineRule="exact"/>
        <w:ind w:firstLine="0"/>
        <w:jc w:val="both"/>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成员二名称：</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（盖单位章）</w:t>
      </w:r>
    </w:p>
    <w:p>
      <w:pPr>
        <w:pStyle w:val="48"/>
        <w:pageBreakBefore w:val="0"/>
        <w:widowControl w:val="0"/>
        <w:kinsoku/>
        <w:wordWrap w:val="0"/>
        <w:overflowPunct/>
        <w:bidi w:val="0"/>
        <w:adjustRightInd w:val="0"/>
        <w:snapToGrid w:val="0"/>
        <w:spacing w:line="440" w:lineRule="exact"/>
        <w:ind w:firstLine="0"/>
        <w:jc w:val="both"/>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（签字或盖章）</w:t>
      </w: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ind w:firstLine="3840" w:firstLineChars="160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u w:val="single"/>
          <w:lang w:eastAsia="zh-CN"/>
          <w14:textFill>
            <w14:solidFill>
              <w14:schemeClr w14:val="tx1"/>
            </w14:solidFill>
          </w14:textFill>
        </w:rPr>
        <w:t>日</w:t>
      </w:r>
    </w:p>
    <w:p>
      <w:pPr>
        <w:pStyle w:val="48"/>
        <w:pageBreakBefore w:val="0"/>
        <w:widowControl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说明：《联合体协议书》由委托代理人签字或盖章的，应附法定代表人签字或盖章的授权委托书。</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35" w:name="_Toc27865"/>
      <w:bookmarkStart w:id="536" w:name="_Toc31264"/>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八</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投标人基本情况表</w:t>
      </w:r>
      <w:bookmarkEnd w:id="535"/>
      <w:bookmarkEnd w:id="536"/>
    </w:p>
    <w:p>
      <w:pPr>
        <w:pStyle w:val="48"/>
        <w:pageBreakBefore w:val="0"/>
        <w:widowControl w:val="0"/>
        <w:kinsoku/>
        <w:wordWrap w:val="0"/>
        <w:overflowPunct/>
        <w:bidi w:val="0"/>
        <w:adjustRightInd w:val="0"/>
        <w:snapToGrid w:val="0"/>
        <w:spacing w:before="260" w:after="260" w:line="400" w:lineRule="exact"/>
        <w:ind w:firstLine="0"/>
        <w:jc w:val="cente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t>投标人基本情况表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6"/>
        <w:gridCol w:w="1537"/>
        <w:gridCol w:w="1137"/>
        <w:gridCol w:w="832"/>
        <w:gridCol w:w="458"/>
        <w:gridCol w:w="831"/>
        <w:gridCol w:w="267"/>
        <w:gridCol w:w="733"/>
        <w:gridCol w:w="1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投标人名称</w:t>
            </w:r>
          </w:p>
        </w:tc>
        <w:tc>
          <w:tcPr>
            <w:tcW w:w="7263" w:type="dxa"/>
            <w:gridSpan w:val="8"/>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注册地址</w:t>
            </w:r>
          </w:p>
        </w:tc>
        <w:tc>
          <w:tcPr>
            <w:tcW w:w="3506"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89"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邮政编码</w:t>
            </w:r>
          </w:p>
        </w:tc>
        <w:tc>
          <w:tcPr>
            <w:tcW w:w="2468"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exact"/>
          <w:jc w:val="center"/>
        </w:trPr>
        <w:tc>
          <w:tcPr>
            <w:tcW w:w="1536" w:type="dxa"/>
            <w:vMerge w:val="restart"/>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联系方式</w:t>
            </w:r>
          </w:p>
        </w:tc>
        <w:tc>
          <w:tcPr>
            <w:tcW w:w="1537"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联系人</w:t>
            </w:r>
          </w:p>
        </w:tc>
        <w:tc>
          <w:tcPr>
            <w:tcW w:w="1969"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89"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电  话</w:t>
            </w:r>
          </w:p>
        </w:tc>
        <w:tc>
          <w:tcPr>
            <w:tcW w:w="2468"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exact"/>
          <w:jc w:val="center"/>
        </w:trPr>
        <w:tc>
          <w:tcPr>
            <w:tcW w:w="1536" w:type="dxa"/>
            <w:vMerge w:val="continue"/>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537"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传  真</w:t>
            </w:r>
          </w:p>
        </w:tc>
        <w:tc>
          <w:tcPr>
            <w:tcW w:w="1969"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89"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电子邮箱</w:t>
            </w:r>
          </w:p>
        </w:tc>
        <w:tc>
          <w:tcPr>
            <w:tcW w:w="2468"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单位性质</w:t>
            </w:r>
          </w:p>
        </w:tc>
        <w:tc>
          <w:tcPr>
            <w:tcW w:w="7263" w:type="dxa"/>
            <w:gridSpan w:val="8"/>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法定代表人</w:t>
            </w:r>
          </w:p>
        </w:tc>
        <w:tc>
          <w:tcPr>
            <w:tcW w:w="1537"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姓名</w:t>
            </w:r>
          </w:p>
        </w:tc>
        <w:tc>
          <w:tcPr>
            <w:tcW w:w="1137"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技术职称</w:t>
            </w:r>
          </w:p>
        </w:tc>
        <w:tc>
          <w:tcPr>
            <w:tcW w:w="1098"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733"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电话</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成立时间</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4589" w:type="dxa"/>
            <w:gridSpan w:val="6"/>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员工总人数（个）：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企业资质</w:t>
            </w:r>
          </w:p>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类型和等级</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vMerge w:val="restart"/>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其中</w:t>
            </w:r>
          </w:p>
        </w:tc>
        <w:tc>
          <w:tcPr>
            <w:tcW w:w="1831"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项目经理</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营业执照号</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vMerge w:val="continue"/>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831"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高级职称人员</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注册资金</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vMerge w:val="continue"/>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831"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中级职称人员</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基本账户</w:t>
            </w:r>
          </w:p>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开户银行</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vMerge w:val="continue"/>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831"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初级职称人员</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基本账户</w:t>
            </w:r>
          </w:p>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银行账号</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vMerge w:val="continue"/>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831"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技术员</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经营范围</w:t>
            </w:r>
          </w:p>
        </w:tc>
        <w:tc>
          <w:tcPr>
            <w:tcW w:w="7263" w:type="dxa"/>
            <w:gridSpan w:val="8"/>
            <w:noWrap/>
            <w:vAlign w:val="center"/>
          </w:tcPr>
          <w:p>
            <w:pPr>
              <w:pStyle w:val="44"/>
              <w:pageBreakBefore w:val="0"/>
              <w:kinsoku/>
              <w:wordWrap w:val="0"/>
              <w:overflowPunct/>
              <w:bidi w:val="0"/>
              <w:adjustRightInd w:val="0"/>
              <w:snapToGrid w:val="0"/>
              <w:jc w:val="left"/>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关联企业情况</w:t>
            </w:r>
          </w:p>
        </w:tc>
        <w:tc>
          <w:tcPr>
            <w:tcW w:w="7263" w:type="dxa"/>
            <w:gridSpan w:val="8"/>
            <w:noWrap/>
            <w:vAlign w:val="center"/>
          </w:tcPr>
          <w:p>
            <w:pPr>
              <w:pStyle w:val="44"/>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包括但不限于与投标人存在以下关系的不同单位：</w:t>
            </w:r>
          </w:p>
          <w:p>
            <w:pPr>
              <w:pStyle w:val="44"/>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1．法定代表人为同一人的。</w:t>
            </w:r>
          </w:p>
          <w:p>
            <w:pPr>
              <w:pStyle w:val="44"/>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2．存在控股、管理关系的。</w:t>
            </w:r>
          </w:p>
          <w:p>
            <w:pPr>
              <w:pStyle w:val="44"/>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3．主要人员相互任职的。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备注</w:t>
            </w:r>
          </w:p>
        </w:tc>
        <w:tc>
          <w:tcPr>
            <w:tcW w:w="7263" w:type="dxa"/>
            <w:gridSpan w:val="8"/>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bl>
    <w:p>
      <w:pPr>
        <w:pStyle w:val="44"/>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说明：</w:t>
      </w:r>
    </w:p>
    <w:bookmarkEnd w:id="485"/>
    <w:bookmarkEnd w:id="486"/>
    <w:bookmarkEnd w:id="487"/>
    <w:bookmarkEnd w:id="488"/>
    <w:bookmarkEnd w:id="489"/>
    <w:p>
      <w:pPr>
        <w:pStyle w:val="48"/>
        <w:pageBreakBefore w:val="0"/>
        <w:widowControl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pPr>
      <w:bookmarkStart w:id="537" w:name="_Toc1659"/>
      <w:bookmarkStart w:id="538" w:name="_Toc118541763"/>
      <w:bookmarkStart w:id="539" w:name="_Toc534641863"/>
      <w:bookmarkStart w:id="540" w:name="_Toc48547015"/>
      <w:bookmarkStart w:id="541" w:name="_Toc210101349"/>
      <w:bookmarkStart w:id="542" w:name="_Toc535300004"/>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1．《投标人基本情况表》后应附以下资料：</w:t>
      </w:r>
    </w:p>
    <w:p>
      <w:pPr>
        <w:pStyle w:val="48"/>
        <w:keepNext w:val="0"/>
        <w:keepLines w:val="0"/>
        <w:pageBreakBefore w:val="0"/>
        <w:widowControl w:val="0"/>
        <w:kinsoku/>
        <w:wordWrap w:val="0"/>
        <w:overflowPunct/>
        <w:topLinePunct w:val="0"/>
        <w:autoSpaceDE/>
        <w:autoSpaceDN/>
        <w:bidi w:val="0"/>
        <w:adjustRightInd w:val="0"/>
        <w:snapToGrid w:val="0"/>
        <w:spacing w:line="360" w:lineRule="exact"/>
        <w:ind w:firstLine="420"/>
        <w:textAlignment w:val="auto"/>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（1）企业营业执照、资质证书、安全生产许可证</w:t>
      </w:r>
      <w:r>
        <w:rPr>
          <w:rFonts w:hint="eastAsia" w:asciiTheme="minorEastAsia" w:hAnsiTheme="minorEastAsia" w:eastAsiaTheme="minorEastAsia" w:cstheme="minorEastAsia"/>
          <w:snapToGrid w:val="0"/>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sz w:val="21"/>
          <w:szCs w:val="21"/>
          <w:highlight w:val="none"/>
          <w:lang w:val="en-US" w:eastAsia="zh-CN"/>
          <w14:textFill>
            <w14:solidFill>
              <w14:schemeClr w14:val="tx1"/>
            </w14:solidFill>
          </w14:textFill>
        </w:rPr>
        <w:t>施工企业提供</w:t>
      </w:r>
      <w:r>
        <w:rPr>
          <w:rFonts w:hint="eastAsia" w:asciiTheme="minorEastAsia" w:hAnsiTheme="minorEastAsia" w:eastAsiaTheme="minorEastAsia" w:cstheme="minorEastAsia"/>
          <w:snapToGrid w:val="0"/>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snapToGrid w:val="0"/>
          <w:color w:val="000000" w:themeColor="text1"/>
          <w:sz w:val="21"/>
          <w:szCs w:val="21"/>
          <w:highlight w:val="none"/>
          <w:lang w:val="en-US" w:eastAsia="zh-CN"/>
          <w14:textFill>
            <w14:solidFill>
              <w14:schemeClr w14:val="tx1"/>
            </w14:solidFill>
          </w14:textFill>
        </w:rPr>
        <w:t>扫描</w:t>
      </w: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件</w:t>
      </w:r>
      <w:r>
        <w:rPr>
          <w:rFonts w:hint="eastAsia" w:asciiTheme="minorEastAsia" w:hAnsiTheme="minorEastAsia" w:eastAsiaTheme="minorEastAsia" w:cstheme="minorEastAsia"/>
          <w:b w:val="0"/>
          <w:bCs w:val="0"/>
          <w:snapToGrid w:val="0"/>
          <w:color w:val="000000" w:themeColor="text1"/>
          <w:sz w:val="21"/>
          <w:szCs w:val="21"/>
          <w:highlight w:val="none"/>
          <w14:textFill>
            <w14:solidFill>
              <w14:schemeClr w14:val="tx1"/>
            </w14:solidFill>
          </w14:textFill>
        </w:rPr>
        <w:t>（因推行电子证照，企业的营业执照、资质证书等可以提供电子证照。为实时掌握项目</w:t>
      </w:r>
      <w:r>
        <w:rPr>
          <w:rFonts w:hint="eastAsia" w:asciiTheme="minorEastAsia" w:hAnsiTheme="minorEastAsia" w:eastAsiaTheme="minorEastAsia" w:cstheme="minorEastAsia"/>
          <w:b/>
          <w:bCs/>
          <w:snapToGrid w:val="0"/>
          <w:color w:val="000000" w:themeColor="text1"/>
          <w:sz w:val="21"/>
          <w:szCs w:val="21"/>
          <w:highlight w:val="none"/>
          <w14:textFill>
            <w14:solidFill>
              <w14:schemeClr w14:val="tx1"/>
            </w14:solidFill>
          </w14:textFill>
        </w:rPr>
        <w:t>投标单位的是否具备企业安全生产条件，企业的安全生产许可证需提供企业实时网页查询页，实时查询页的打印时间应在项目招标公告发布之日起至开标前。如中标后，投标单位安全生产许可证发生被暂扣情形，需双方另行协商）；</w:t>
      </w:r>
    </w:p>
    <w:p>
      <w:pPr>
        <w:pStyle w:val="48"/>
        <w:pageBreakBefore w:val="0"/>
        <w:widowControl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（2）外省建筑企业须提供“进粤企业和人员诚信信息登记平台”企业信息情况打印页或网页截图。</w:t>
      </w:r>
    </w:p>
    <w:p>
      <w:pPr>
        <w:pStyle w:val="48"/>
        <w:pageBreakBefore w:val="0"/>
        <w:widowControl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2．联合体投标的，联合体成员单位均应填写《投标人基本情况表》并提供以上所需资料。</w:t>
      </w:r>
    </w:p>
    <w:p>
      <w:pPr>
        <w:pStyle w:val="48"/>
        <w:pageBreakBefore w:val="0"/>
        <w:widowControl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sectPr>
          <w:endnotePr>
            <w:numFmt w:val="decimal"/>
          </w:endnotePr>
          <w:pgSz w:w="11906" w:h="16838"/>
          <w:pgMar w:top="1221" w:right="1531" w:bottom="1417" w:left="1531" w:header="850" w:footer="992" w:gutter="0"/>
          <w:pgNumType w:fmt="decimal"/>
          <w:cols w:space="720" w:num="1"/>
          <w:docGrid w:linePitch="327" w:charSpace="0"/>
        </w:sectPr>
      </w:pP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3.《法人和非法人组织公共信用信息报告》打印件（在“信用中国”网站企业查询界面中下载）。</w:t>
      </w: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43" w:name="_Toc28913"/>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九</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项目经理简历表</w:t>
      </w:r>
      <w:bookmarkEnd w:id="537"/>
      <w:bookmarkEnd w:id="543"/>
    </w:p>
    <w:p>
      <w:pPr>
        <w:pageBreakBefore w:val="0"/>
        <w:kinsoku/>
        <w:wordWrap w:val="0"/>
        <w:overflowPunct/>
        <w:bidi w:val="0"/>
        <w:adjustRightInd w:val="0"/>
        <w:snapToGrid w:val="0"/>
        <w:spacing w:line="440" w:lineRule="exact"/>
        <w:jc w:val="lef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p>
    <w:tbl>
      <w:tblPr>
        <w:tblStyle w:val="22"/>
        <w:tblpPr w:leftFromText="180" w:rightFromText="180" w:vertAnchor="text" w:horzAnchor="page" w:tblpX="1490" w:tblpY="692"/>
        <w:tblOverlap w:val="never"/>
        <w:tblW w:w="919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9"/>
        <w:gridCol w:w="955"/>
        <w:gridCol w:w="580"/>
        <w:gridCol w:w="642"/>
        <w:gridCol w:w="1284"/>
        <w:gridCol w:w="1931"/>
        <w:gridCol w:w="27"/>
        <w:gridCol w:w="1692"/>
        <w:gridCol w:w="131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1724"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   名</w:t>
            </w:r>
          </w:p>
        </w:tc>
        <w:tc>
          <w:tcPr>
            <w:tcW w:w="122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8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  别</w:t>
            </w:r>
          </w:p>
        </w:tc>
        <w:tc>
          <w:tcPr>
            <w:tcW w:w="193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19"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   龄</w:t>
            </w: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1724"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务</w:t>
            </w:r>
          </w:p>
        </w:tc>
        <w:tc>
          <w:tcPr>
            <w:tcW w:w="122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8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称</w:t>
            </w:r>
          </w:p>
        </w:tc>
        <w:tc>
          <w:tcPr>
            <w:tcW w:w="193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19"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学   历</w:t>
            </w: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1724"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参加工作时间</w:t>
            </w:r>
          </w:p>
        </w:tc>
        <w:tc>
          <w:tcPr>
            <w:tcW w:w="2506"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3650"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从事工程建设项目管理工作年限</w:t>
            </w: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9196" w:type="dxa"/>
            <w:gridSpan w:val="9"/>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以项目经理身份参与过的主要业绩（已完工项目）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769"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序号</w:t>
            </w:r>
          </w:p>
        </w:tc>
        <w:tc>
          <w:tcPr>
            <w:tcW w:w="1535"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w:t>
            </w:r>
          </w:p>
        </w:tc>
        <w:tc>
          <w:tcPr>
            <w:tcW w:w="1926"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建设单位</w:t>
            </w:r>
          </w:p>
        </w:tc>
        <w:tc>
          <w:tcPr>
            <w:tcW w:w="195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建设内容和规模</w:t>
            </w:r>
          </w:p>
        </w:tc>
        <w:tc>
          <w:tcPr>
            <w:tcW w:w="169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开、竣工日期</w:t>
            </w: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质量等级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769"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1535"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26"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5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69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769"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1535"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26"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5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69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769"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w:t>
            </w:r>
          </w:p>
        </w:tc>
        <w:tc>
          <w:tcPr>
            <w:tcW w:w="1535"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26"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5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69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8" w:hRule="exact"/>
        </w:trPr>
        <w:tc>
          <w:tcPr>
            <w:tcW w:w="769"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tc>
        <w:tc>
          <w:tcPr>
            <w:tcW w:w="1535"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26"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5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69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bl>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项目经理简历表</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项目经理：</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（签字）</w:t>
      </w: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ageBreakBefore w:val="0"/>
        <w:kinsoku/>
        <w:wordWrap w:val="0"/>
        <w:overflowPunct/>
        <w:bidi w:val="0"/>
        <w:adjustRightInd w:val="0"/>
        <w:snapToGrid w:val="0"/>
        <w:spacing w:line="400" w:lineRule="exact"/>
        <w:ind w:firstLine="57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w:t>
      </w:r>
    </w:p>
    <w:p>
      <w:pPr>
        <w:pageBreakBefore w:val="0"/>
        <w:kinsoku/>
        <w:wordWrap w:val="0"/>
        <w:overflowPunct/>
        <w:bidi w:val="0"/>
        <w:outlineLvl w:val="9"/>
        <w:rPr>
          <w:rFonts w:hint="eastAsia"/>
          <w:color w:val="000000" w:themeColor="text1"/>
          <w:highlight w:val="none"/>
          <w14:textFill>
            <w14:solidFill>
              <w14:schemeClr w14:val="tx1"/>
            </w14:solidFill>
          </w14:textFill>
        </w:rPr>
      </w:pP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说明：《项目经理简历表》后应附拟派项目经理以下资料：</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1．身份证彩色扫描件；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2．建造师电子注册证书（在使用有效期内的有效电子证书）彩色扫描件；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3．B类安全生产考核合格证书彩色扫描件或广东省建筑施工企业管理人员安全生产考核系统考核合格信息彩色扫描件；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4．在本单位缴纳社保的证明（</w:t>
      </w: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近一个月，其中必须有2026年8月</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）彩色扫描件；拟派项目经理为退休返聘人员无法提供社保证明的，提供退休证和劳动合同彩色扫描件。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“进粤企业和人员诚信信息登记平台”个人信息情况打印页或网页截图。（适用于省外建筑企业）</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44" w:name="_Toc25510"/>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十</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项目经理任职声明</w:t>
      </w:r>
      <w:bookmarkEnd w:id="544"/>
    </w:p>
    <w:p>
      <w:pPr>
        <w:pageBreakBefore w:val="0"/>
        <w:kinsoku/>
        <w:wordWrap w:val="0"/>
        <w:overflowPunct/>
        <w:bidi w:val="0"/>
        <w:adjustRightInd w:val="0"/>
        <w:snapToGrid w:val="0"/>
        <w:spacing w:line="440" w:lineRule="exact"/>
        <w:jc w:val="left"/>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before="260" w:after="260" w:line="440" w:lineRule="exact"/>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项目经理任职声明</w:t>
      </w:r>
    </w:p>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545" w:name="_Toc21599"/>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（招标人名称）：</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我方在此声明，我方拟派往</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（项目名称）的项目经理</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（项目经理姓名）现阶段没有担任任何在施（包括已中标未开工、已开工未竣工）建设工程项目的项目经理。</w:t>
      </w:r>
    </w:p>
    <w:p>
      <w:pPr>
        <w:pageBreakBefore w:val="0"/>
        <w:kinsoku/>
        <w:wordWrap w:val="0"/>
        <w:overflowPunct/>
        <w:bidi w:val="0"/>
        <w:adjustRightInd w:val="0"/>
        <w:snapToGrid w:val="0"/>
        <w:spacing w:line="440" w:lineRule="exact"/>
        <w:ind w:firstLine="48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我方保证上述信息的真实和准确，并愿意承担因我方就此弄虚作假所引起的一切法律后果。</w:t>
      </w:r>
    </w:p>
    <w:p>
      <w:pPr>
        <w:pageBreakBefore w:val="0"/>
        <w:kinsoku/>
        <w:wordWrap w:val="0"/>
        <w:overflowPunct/>
        <w:bidi w:val="0"/>
        <w:adjustRightInd w:val="0"/>
        <w:snapToGrid w:val="0"/>
        <w:spacing w:line="440" w:lineRule="exact"/>
        <w:ind w:firstLine="48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特此承诺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（盖单位章）</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日</w:t>
      </w: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46" w:name="_Toc319"/>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格式十</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一</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项目技术负责人简历表</w:t>
      </w:r>
      <w:bookmarkEnd w:id="545"/>
      <w:bookmarkEnd w:id="546"/>
    </w:p>
    <w:p>
      <w:pPr>
        <w:pageBreakBefore w:val="0"/>
        <w:kinsoku/>
        <w:wordWrap w:val="0"/>
        <w:overflowPunct/>
        <w:bidi w:val="0"/>
        <w:adjustRightInd w:val="0"/>
        <w:snapToGrid w:val="0"/>
        <w:spacing w:line="440" w:lineRule="exact"/>
        <w:jc w:val="lef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p>
    <w:tbl>
      <w:tblPr>
        <w:tblStyle w:val="22"/>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以项目技术负责人身份参与过的主要业绩（已完工项目）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质量等级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bl>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项目技术负责人简历表</w:t>
      </w:r>
    </w:p>
    <w:p>
      <w:pPr>
        <w:pStyle w:val="49"/>
        <w:pageBreakBefore w:val="0"/>
        <w:kinsoku/>
        <w:wordWrap w:val="0"/>
        <w:overflowPunct/>
        <w:bidi w:val="0"/>
        <w:adjustRightInd w:val="0"/>
        <w:snapToGrid w:val="0"/>
        <w:spacing w:line="440" w:lineRule="exact"/>
        <w:jc w:val="both"/>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项目技术负责人：</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（签字）</w:t>
      </w: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w:t>
      </w:r>
    </w:p>
    <w:p>
      <w:pPr>
        <w:pageBreakBefore w:val="0"/>
        <w:kinsoku/>
        <w:wordWrap w:val="0"/>
        <w:overflowPunct/>
        <w:bidi w:val="0"/>
        <w:adjustRightInd w:val="0"/>
        <w:snapToGrid w:val="0"/>
        <w:spacing w:line="40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说明：《项目技术负责人简历表》后应附拟派项目技术负责人以下资料：</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1．身份证彩色扫描件；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2．职称证彩色扫描件；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3．在本单位缴纳社保的证明（</w:t>
      </w: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近一个月，其中必须有2026年8月</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）彩色扫描件；拟派技术负责人为退休返聘人员无法提供社保证明的，提供退休证和劳动合同彩色扫描件。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szCs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“进粤企业和人员诚信信息登记平台”个人信息情况打印页或网页截图。（适用于省外建筑企业）</w:t>
      </w: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47" w:name="_Toc31518"/>
      <w:bookmarkStart w:id="548" w:name="_Toc12087"/>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格式十</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二</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项目设计负责人简历表</w:t>
      </w:r>
      <w:bookmarkEnd w:id="547"/>
      <w:bookmarkEnd w:id="548"/>
    </w:p>
    <w:p>
      <w:pPr>
        <w:pageBreakBefore w:val="0"/>
        <w:kinsoku/>
        <w:wordWrap w:val="0"/>
        <w:overflowPunct/>
        <w:bidi w:val="0"/>
        <w:adjustRightInd w:val="0"/>
        <w:snapToGrid w:val="0"/>
        <w:spacing w:line="440" w:lineRule="exact"/>
        <w:jc w:val="lef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p>
    <w:tbl>
      <w:tblPr>
        <w:tblStyle w:val="22"/>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以项目设计负责人身份参与过的主要业绩（已完工项目）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质量等级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bl>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项目设计负责人简历表</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设计</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负责人：</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（签字）</w:t>
      </w: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w:t>
      </w:r>
    </w:p>
    <w:p>
      <w:pPr>
        <w:pageBreakBefore w:val="0"/>
        <w:kinsoku/>
        <w:wordWrap w:val="0"/>
        <w:overflowPunct/>
        <w:bidi w:val="0"/>
        <w:adjustRightInd w:val="0"/>
        <w:snapToGrid w:val="0"/>
        <w:spacing w:line="40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0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说明：《项目设计负责人简历表》后应附拟派项目设计负责人以下资料：</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1．身份证彩色扫描件；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2．</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注册</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证彩色扫描件；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3．在本单位缴纳社保的证明（</w:t>
      </w: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近一个月，其中必须有2026年8月</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）彩色扫描件；拟派设计负责人为退休返聘人员无法提供社保证明的，提供退休证和劳动合同彩色扫描件。</w:t>
      </w:r>
      <w:bookmarkEnd w:id="538"/>
      <w:bookmarkEnd w:id="539"/>
      <w:bookmarkEnd w:id="540"/>
      <w:bookmarkEnd w:id="541"/>
      <w:bookmarkEnd w:id="542"/>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4．“进粤企业和人员诚信信息登记平台”个人信息情况打印页或网页截图。（适用于省外建筑企业）。</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br w:type="page"/>
      </w:r>
      <w:bookmarkStart w:id="549" w:name="_Toc10080"/>
      <w:bookmarkStart w:id="550" w:name="_Toc8264"/>
    </w:p>
    <w:p>
      <w:pPr>
        <w:pStyle w:val="4"/>
        <w:pageBreakBefore w:val="0"/>
        <w:kinsoku/>
        <w:wordWrap w:val="0"/>
        <w:overflowPunct/>
        <w:bidi w:val="0"/>
        <w:spacing w:before="120"/>
        <w:rPr>
          <w:rFonts w:hint="eastAsia" w:asciiTheme="minorEastAsia" w:hAnsiTheme="minorEastAsia" w:eastAsiaTheme="minorEastAsia" w:cstheme="minorEastAsia"/>
          <w:bCs/>
          <w:snapToGrid w:val="0"/>
          <w:color w:val="000000" w:themeColor="text1"/>
          <w:szCs w:val="24"/>
          <w:highlight w:val="none"/>
          <w14:textFill>
            <w14:solidFill>
              <w14:schemeClr w14:val="tx1"/>
            </w14:solidFill>
          </w14:textFill>
        </w:rPr>
      </w:pPr>
      <w:bookmarkStart w:id="551" w:name="_Toc6450"/>
      <w:r>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t>格式十</w:t>
      </w:r>
      <w:r>
        <w:rPr>
          <w:rFonts w:hint="eastAsia" w:asciiTheme="minorEastAsia" w:hAnsiTheme="minorEastAsia" w:eastAsiaTheme="minorEastAsia" w:cstheme="minorEastAsia"/>
          <w:b/>
          <w:snapToGrid w:val="0"/>
          <w:color w:val="000000" w:themeColor="text1"/>
          <w:szCs w:val="24"/>
          <w:highlight w:val="none"/>
          <w:lang w:val="en-US" w:eastAsia="zh-CN"/>
          <w14:textFill>
            <w14:solidFill>
              <w14:schemeClr w14:val="tx1"/>
            </w14:solidFill>
          </w14:textFill>
        </w:rPr>
        <w:t>三</w:t>
      </w:r>
      <w:r>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t xml:space="preserve"> 项目管理机构组成表</w:t>
      </w:r>
      <w:bookmarkEnd w:id="549"/>
      <w:bookmarkEnd w:id="551"/>
    </w:p>
    <w:p>
      <w:pPr>
        <w:pageBreakBefore w:val="0"/>
        <w:kinsoku/>
        <w:wordWrap w:val="0"/>
        <w:overflowPunct/>
        <w:bidi w:val="0"/>
        <w:adjustRightInd w:val="0"/>
        <w:snapToGrid w:val="0"/>
        <w:spacing w:before="260" w:after="260" w:line="44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项目管理机构组成表</w:t>
      </w:r>
    </w:p>
    <w:tbl>
      <w:tblPr>
        <w:tblStyle w:val="22"/>
        <w:tblW w:w="895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44"/>
        <w:gridCol w:w="1424"/>
        <w:gridCol w:w="1358"/>
        <w:gridCol w:w="902"/>
        <w:gridCol w:w="819"/>
        <w:gridCol w:w="1541"/>
        <w:gridCol w:w="216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0" w:hRule="atLeast"/>
        </w:trPr>
        <w:tc>
          <w:tcPr>
            <w:tcW w:w="74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序号</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职务</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姓名</w:t>
            </w: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性别</w:t>
            </w: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年龄</w:t>
            </w: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职称</w:t>
            </w: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2" w:hRule="exact"/>
        </w:trPr>
        <w:tc>
          <w:tcPr>
            <w:tcW w:w="74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142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项目经理</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73" w:hRule="exact"/>
        </w:trPr>
        <w:tc>
          <w:tcPr>
            <w:tcW w:w="74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142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项目技术</w:t>
            </w:r>
          </w:p>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负责人</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73" w:hRule="exact"/>
        </w:trPr>
        <w:tc>
          <w:tcPr>
            <w:tcW w:w="74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w:t>
            </w:r>
          </w:p>
        </w:tc>
        <w:tc>
          <w:tcPr>
            <w:tcW w:w="142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项目设计</w:t>
            </w:r>
          </w:p>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负责人</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13" w:hRule="exact"/>
        </w:trPr>
        <w:tc>
          <w:tcPr>
            <w:tcW w:w="744" w:type="dxa"/>
            <w:tcBorders>
              <w:top w:val="single" w:color="auto" w:sz="6" w:space="0"/>
              <w:left w:val="single" w:color="auto" w:sz="6" w:space="0"/>
              <w:right w:val="single" w:color="auto" w:sz="6" w:space="0"/>
            </w:tcBorders>
            <w:shd w:val="clear" w:color="auto" w:fill="auto"/>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专职安全员</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施工员</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6</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质量员</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7</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材料员</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8</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资料员</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26" w:hRule="exact"/>
        </w:trPr>
        <w:tc>
          <w:tcPr>
            <w:tcW w:w="74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bookmarkEnd w:id="550"/>
    </w:tbl>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552" w:name="_Toc36804690"/>
      <w:bookmarkStart w:id="553" w:name="_Toc8648"/>
      <w:bookmarkStart w:id="554" w:name="_Toc25577"/>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说明：</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1．《项目管理机构组成表》后应附表中拟派人员（项目经理、项目技术负责人、项目设计负责人除外）以下资料：</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（1）身份证证彩色扫描件；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（2）职称证或岗位证或培训证</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或执业证书</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（3）专职安全员须提供C类安全生产考核合格证书证彩色扫描件或“广东省建筑施工企业管理人员安全生产考核系统”考核合格信息打印页；</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（4）在本单位缴纳社保的证明（</w:t>
      </w: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近一个月，其中必须有2026年8月</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）彩色扫描件；拟派人员为退休返聘人员无法提供社保证明的，提供退休证和劳动合同彩色扫描件；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（5）“进粤企业和人员诚信信息登记平台”个人信息情况打印页或网页截图。（适用于省外建筑企业）。</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2．联合体投标的，《项目管理机构组成表》应包括联合体成员单位参与项目管理机构的人员，并提供以上所需资料。。</w:t>
      </w:r>
    </w:p>
    <w:p>
      <w:pPr>
        <w:pageBreakBefore w:val="0"/>
        <w:kinsoku/>
        <w:wordWrap w:val="0"/>
        <w:overflowPunct/>
        <w:bidi w:val="0"/>
        <w:spacing w:before="136"/>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36"/>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bookmarkEnd w:id="552"/>
    <w:bookmarkEnd w:id="553"/>
    <w:bookmarkEnd w:id="554"/>
    <w:p>
      <w:pP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pPr>
      <w:bookmarkStart w:id="555" w:name="_Toc26638"/>
      <w:bookmarkStart w:id="556" w:name="_Toc23446"/>
      <w:bookmarkStart w:id="557" w:name="_Toc22541"/>
      <w:bookmarkStart w:id="558" w:name="_Toc6918"/>
      <w:bookmarkStart w:id="559" w:name="_Toc26622"/>
      <w:bookmarkStart w:id="560" w:name="_Toc8121"/>
      <w:bookmarkStart w:id="561" w:name="_Toc9816"/>
      <w:bookmarkStart w:id="562" w:name="_Toc8821"/>
      <w: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br w:type="page"/>
      </w:r>
    </w:p>
    <w:p>
      <w:pPr>
        <w:pStyle w:val="4"/>
        <w:pageBreakBefore w:val="0"/>
        <w:kinsoku/>
        <w:wordWrap w:val="0"/>
        <w:overflowPunct/>
        <w:bidi w:val="0"/>
        <w:spacing w:before="120"/>
        <w:rPr>
          <w:rFonts w:hint="eastAsia" w:asciiTheme="minorEastAsia" w:hAnsiTheme="minorEastAsia" w:eastAsiaTheme="minorEastAsia" w:cstheme="minorEastAsia"/>
          <w:b/>
          <w:snapToGrid w:val="0"/>
          <w:color w:val="000000" w:themeColor="text1"/>
          <w:szCs w:val="24"/>
          <w:highlight w:val="none"/>
          <w:lang w:val="en-US" w:eastAsia="zh-CN"/>
          <w14:textFill>
            <w14:solidFill>
              <w14:schemeClr w14:val="tx1"/>
            </w14:solidFill>
          </w14:textFill>
        </w:rPr>
      </w:pPr>
      <w:bookmarkStart w:id="563" w:name="_Toc30092"/>
      <w:bookmarkStart w:id="564" w:name="_Toc26911"/>
      <w:bookmarkStart w:id="565" w:name="_Toc9992"/>
      <w:bookmarkStart w:id="566" w:name="_Toc9141"/>
      <w:bookmarkStart w:id="567" w:name="_Toc4456"/>
      <w:r>
        <w:rPr>
          <w:rFonts w:hint="eastAsia" w:asciiTheme="minorEastAsia" w:hAnsiTheme="minorEastAsia" w:eastAsiaTheme="minorEastAsia" w:cstheme="minorEastAsia"/>
          <w:b/>
          <w:snapToGrid w:val="0"/>
          <w:color w:val="000000" w:themeColor="text1"/>
          <w:szCs w:val="24"/>
          <w:highlight w:val="none"/>
          <w:lang w:val="en-US" w:eastAsia="zh-CN"/>
          <w14:textFill>
            <w14:solidFill>
              <w14:schemeClr w14:val="tx1"/>
            </w14:solidFill>
          </w14:textFill>
        </w:rPr>
        <w:t>格式十四 定标文件封面</w:t>
      </w:r>
      <w:bookmarkEnd w:id="563"/>
      <w:bookmarkEnd w:id="564"/>
      <w:bookmarkEnd w:id="565"/>
    </w:p>
    <w:bookmarkEnd w:id="566"/>
    <w:bookmarkEnd w:id="567"/>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ind w:firstLine="0"/>
        <w:jc w:val="center"/>
        <w:rPr>
          <w:rStyle w:val="52"/>
          <w:rFonts w:hint="eastAsia" w:ascii="宋体" w:hAnsi="宋体" w:eastAsia="宋体" w:cs="宋体"/>
          <w:b/>
          <w:bCs/>
          <w:color w:val="auto"/>
          <w:sz w:val="52"/>
          <w:szCs w:val="52"/>
          <w:highlight w:val="none"/>
        </w:rPr>
      </w:pPr>
      <w:r>
        <w:rPr>
          <w:rStyle w:val="52"/>
          <w:rFonts w:hint="eastAsia" w:ascii="宋体" w:hAnsi="宋体" w:eastAsia="宋体" w:cs="宋体"/>
          <w:color w:val="auto"/>
          <w:sz w:val="52"/>
          <w:szCs w:val="52"/>
          <w:highlight w:val="none"/>
          <w:u w:val="single"/>
        </w:rPr>
        <w:t xml:space="preserve">       </w:t>
      </w:r>
      <w:r>
        <w:rPr>
          <w:rStyle w:val="52"/>
          <w:rFonts w:hint="eastAsia" w:ascii="宋体" w:hAnsi="宋体" w:eastAsia="宋体" w:cs="宋体"/>
          <w:b/>
          <w:bCs/>
          <w:color w:val="auto"/>
          <w:sz w:val="52"/>
          <w:szCs w:val="52"/>
          <w:highlight w:val="none"/>
          <w:u w:val="single"/>
        </w:rPr>
        <w:t>（</w:t>
      </w:r>
      <w:r>
        <w:rPr>
          <w:rStyle w:val="52"/>
          <w:rFonts w:hint="eastAsia" w:hAnsi="宋体" w:cs="宋体"/>
          <w:b/>
          <w:bCs/>
          <w:color w:val="auto"/>
          <w:sz w:val="52"/>
          <w:szCs w:val="52"/>
          <w:highlight w:val="none"/>
          <w:u w:val="single"/>
        </w:rPr>
        <w:t>项目名称</w:t>
      </w:r>
      <w:r>
        <w:rPr>
          <w:rStyle w:val="52"/>
          <w:rFonts w:hint="eastAsia" w:ascii="宋体" w:hAnsi="宋体" w:eastAsia="宋体" w:cs="宋体"/>
          <w:b/>
          <w:bCs/>
          <w:color w:val="auto"/>
          <w:sz w:val="52"/>
          <w:szCs w:val="52"/>
          <w:highlight w:val="none"/>
          <w:u w:val="single"/>
        </w:rPr>
        <w:t>）</w:t>
      </w:r>
      <w:r>
        <w:rPr>
          <w:rStyle w:val="52"/>
          <w:rFonts w:hint="eastAsia" w:ascii="宋体" w:hAnsi="宋体" w:eastAsia="宋体" w:cs="宋体"/>
          <w:b/>
          <w:bCs/>
          <w:color w:val="auto"/>
          <w:sz w:val="52"/>
          <w:szCs w:val="52"/>
          <w:highlight w:val="none"/>
        </w:rPr>
        <w:t xml:space="preserve">招标 </w:t>
      </w:r>
    </w:p>
    <w:p>
      <w:pPr>
        <w:pStyle w:val="84"/>
        <w:snapToGrid w:val="0"/>
        <w:spacing w:line="240" w:lineRule="auto"/>
        <w:ind w:firstLine="0"/>
        <w:jc w:val="center"/>
        <w:rPr>
          <w:rStyle w:val="52"/>
          <w:rFonts w:hint="eastAsia" w:ascii="宋体" w:hAnsi="宋体" w:eastAsia="宋体" w:cs="宋体"/>
          <w:b/>
          <w:bCs/>
          <w:color w:val="auto"/>
          <w:sz w:val="32"/>
          <w:szCs w:val="32"/>
          <w:highlight w:val="none"/>
        </w:rPr>
      </w:pPr>
    </w:p>
    <w:p>
      <w:pPr>
        <w:pStyle w:val="84"/>
        <w:snapToGrid w:val="0"/>
        <w:spacing w:line="240" w:lineRule="auto"/>
        <w:ind w:firstLine="0"/>
        <w:jc w:val="center"/>
        <w:rPr>
          <w:rStyle w:val="52"/>
          <w:rFonts w:hint="eastAsia" w:ascii="宋体" w:hAnsi="宋体" w:eastAsia="宋体" w:cs="宋体"/>
          <w:b/>
          <w:bCs/>
          <w:color w:val="auto"/>
          <w:sz w:val="72"/>
          <w:szCs w:val="72"/>
          <w:highlight w:val="none"/>
        </w:rPr>
      </w:pPr>
      <w:r>
        <w:rPr>
          <w:rStyle w:val="52"/>
          <w:rFonts w:hint="eastAsia" w:hAnsi="宋体" w:cs="宋体"/>
          <w:b/>
          <w:bCs/>
          <w:color w:val="auto"/>
          <w:sz w:val="72"/>
          <w:szCs w:val="72"/>
          <w:highlight w:val="none"/>
          <w:lang w:val="en-US" w:eastAsia="zh-CN"/>
        </w:rPr>
        <w:t>定</w:t>
      </w:r>
      <w:r>
        <w:rPr>
          <w:rStyle w:val="52"/>
          <w:rFonts w:hint="eastAsia" w:ascii="宋体" w:hAnsi="宋体" w:eastAsia="宋体" w:cs="宋体"/>
          <w:b/>
          <w:bCs/>
          <w:color w:val="auto"/>
          <w:sz w:val="72"/>
          <w:szCs w:val="72"/>
          <w:highlight w:val="none"/>
        </w:rPr>
        <w:t xml:space="preserve">  标  文  件</w:t>
      </w:r>
    </w:p>
    <w:p>
      <w:pPr>
        <w:pStyle w:val="84"/>
        <w:snapToGrid w:val="0"/>
        <w:spacing w:line="240" w:lineRule="auto"/>
        <w:ind w:firstLine="0"/>
        <w:jc w:val="center"/>
        <w:rPr>
          <w:rStyle w:val="52"/>
          <w:rFonts w:hint="eastAsia" w:ascii="宋体" w:hAnsi="宋体" w:eastAsia="宋体" w:cs="宋体"/>
          <w:b/>
          <w:bCs/>
          <w:color w:val="auto"/>
          <w:sz w:val="32"/>
          <w:szCs w:val="32"/>
          <w:highlight w:val="none"/>
        </w:rPr>
      </w:pPr>
    </w:p>
    <w:p>
      <w:pPr>
        <w:pStyle w:val="84"/>
        <w:snapToGrid w:val="0"/>
        <w:spacing w:line="240" w:lineRule="auto"/>
        <w:ind w:firstLine="0"/>
        <w:jc w:val="center"/>
        <w:rPr>
          <w:rStyle w:val="52"/>
          <w:rFonts w:hint="eastAsia" w:ascii="宋体" w:hAnsi="宋体" w:eastAsia="宋体" w:cs="宋体"/>
          <w:b/>
          <w:bCs/>
          <w:color w:val="auto"/>
          <w:sz w:val="40"/>
          <w:szCs w:val="40"/>
          <w:highlight w:val="none"/>
        </w:rPr>
      </w:pPr>
    </w:p>
    <w:p>
      <w:pPr>
        <w:pStyle w:val="84"/>
        <w:snapToGrid w:val="0"/>
        <w:spacing w:line="240" w:lineRule="auto"/>
        <w:rPr>
          <w:rStyle w:val="52"/>
          <w:rFonts w:hint="eastAsia" w:ascii="宋体" w:hAnsi="宋体" w:eastAsia="宋体" w:cs="宋体"/>
          <w:b/>
          <w:bCs/>
          <w:color w:val="auto"/>
          <w:highlight w:val="none"/>
        </w:rPr>
      </w:pPr>
    </w:p>
    <w:p>
      <w:pPr>
        <w:pStyle w:val="84"/>
        <w:snapToGrid w:val="0"/>
        <w:spacing w:line="240" w:lineRule="auto"/>
        <w:rPr>
          <w:rStyle w:val="52"/>
          <w:rFonts w:hint="eastAsia" w:ascii="宋体" w:hAnsi="宋体" w:eastAsia="宋体" w:cs="宋体"/>
          <w:b/>
          <w:bCs/>
          <w:color w:val="auto"/>
          <w:sz w:val="32"/>
          <w:szCs w:val="32"/>
          <w:highlight w:val="none"/>
        </w:rPr>
      </w:pPr>
    </w:p>
    <w:p>
      <w:pPr>
        <w:pStyle w:val="84"/>
        <w:snapToGrid w:val="0"/>
        <w:spacing w:line="240" w:lineRule="auto"/>
        <w:rPr>
          <w:rStyle w:val="52"/>
          <w:rFonts w:hint="eastAsia" w:ascii="宋体" w:hAnsi="宋体" w:eastAsia="宋体" w:cs="宋体"/>
          <w:b/>
          <w:bCs/>
          <w:color w:val="auto"/>
          <w:sz w:val="32"/>
          <w:szCs w:val="32"/>
          <w:highlight w:val="none"/>
        </w:rPr>
      </w:pPr>
    </w:p>
    <w:p>
      <w:pPr>
        <w:pStyle w:val="84"/>
        <w:snapToGrid w:val="0"/>
        <w:spacing w:line="240" w:lineRule="auto"/>
        <w:rPr>
          <w:rStyle w:val="52"/>
          <w:rFonts w:hint="eastAsia" w:ascii="宋体" w:hAnsi="宋体" w:eastAsia="宋体" w:cs="宋体"/>
          <w:b/>
          <w:bCs/>
          <w:color w:val="auto"/>
          <w:sz w:val="32"/>
          <w:szCs w:val="32"/>
          <w:highlight w:val="none"/>
        </w:rPr>
      </w:pPr>
    </w:p>
    <w:p>
      <w:pPr>
        <w:pStyle w:val="84"/>
        <w:snapToGrid w:val="0"/>
        <w:spacing w:line="240" w:lineRule="auto"/>
        <w:rPr>
          <w:rStyle w:val="52"/>
          <w:rFonts w:hint="eastAsia" w:ascii="宋体" w:hAnsi="宋体" w:eastAsia="宋体" w:cs="宋体"/>
          <w:b/>
          <w:bCs/>
          <w:color w:val="auto"/>
          <w:sz w:val="32"/>
          <w:szCs w:val="32"/>
          <w:highlight w:val="none"/>
        </w:rPr>
      </w:pPr>
    </w:p>
    <w:p>
      <w:pPr>
        <w:pStyle w:val="84"/>
        <w:snapToGrid w:val="0"/>
        <w:spacing w:line="240" w:lineRule="auto"/>
        <w:rPr>
          <w:rStyle w:val="52"/>
          <w:rFonts w:hint="eastAsia" w:ascii="宋体" w:hAnsi="宋体" w:eastAsia="宋体" w:cs="宋体"/>
          <w:b/>
          <w:bCs/>
          <w:color w:val="auto"/>
          <w:sz w:val="32"/>
          <w:szCs w:val="32"/>
          <w:highlight w:val="none"/>
        </w:rPr>
      </w:pPr>
    </w:p>
    <w:p>
      <w:pPr>
        <w:pStyle w:val="84"/>
        <w:snapToGrid w:val="0"/>
        <w:spacing w:line="240" w:lineRule="auto"/>
        <w:rPr>
          <w:rStyle w:val="52"/>
          <w:rFonts w:hint="eastAsia" w:ascii="宋体" w:hAnsi="宋体" w:eastAsia="宋体" w:cs="宋体"/>
          <w:b/>
          <w:bCs/>
          <w:color w:val="auto"/>
          <w:sz w:val="32"/>
          <w:szCs w:val="32"/>
          <w:highlight w:val="none"/>
        </w:rPr>
      </w:pPr>
    </w:p>
    <w:p>
      <w:pPr>
        <w:pStyle w:val="84"/>
        <w:snapToGrid w:val="0"/>
        <w:spacing w:line="240" w:lineRule="auto"/>
        <w:ind w:firstLine="0"/>
        <w:jc w:val="center"/>
        <w:rPr>
          <w:rStyle w:val="52"/>
          <w:rFonts w:hint="eastAsia" w:ascii="宋体" w:hAnsi="宋体" w:eastAsia="宋体" w:cs="宋体"/>
          <w:color w:val="auto"/>
          <w:sz w:val="32"/>
          <w:szCs w:val="32"/>
          <w:highlight w:val="none"/>
        </w:rPr>
      </w:pPr>
      <w:r>
        <w:rPr>
          <w:rStyle w:val="52"/>
          <w:rFonts w:hint="eastAsia" w:ascii="宋体" w:hAnsi="宋体" w:eastAsia="宋体" w:cs="宋体"/>
          <w:color w:val="auto"/>
          <w:sz w:val="32"/>
          <w:szCs w:val="32"/>
          <w:highlight w:val="none"/>
        </w:rPr>
        <w:t>投标人：</w:t>
      </w:r>
      <w:r>
        <w:rPr>
          <w:rStyle w:val="52"/>
          <w:rFonts w:hint="eastAsia" w:ascii="宋体" w:hAnsi="宋体" w:eastAsia="宋体" w:cs="宋体"/>
          <w:color w:val="auto"/>
          <w:sz w:val="32"/>
          <w:szCs w:val="32"/>
          <w:highlight w:val="none"/>
          <w:u w:val="single"/>
        </w:rPr>
        <w:t xml:space="preserve">                                   </w:t>
      </w:r>
      <w:r>
        <w:rPr>
          <w:rStyle w:val="52"/>
          <w:rFonts w:hint="eastAsia" w:ascii="宋体" w:hAnsi="宋体" w:eastAsia="宋体" w:cs="宋体"/>
          <w:color w:val="auto"/>
          <w:sz w:val="32"/>
          <w:szCs w:val="32"/>
          <w:highlight w:val="none"/>
        </w:rPr>
        <w:t>（盖单位章）</w:t>
      </w:r>
    </w:p>
    <w:p>
      <w:pPr>
        <w:pStyle w:val="84"/>
        <w:snapToGrid w:val="0"/>
        <w:spacing w:line="240" w:lineRule="auto"/>
        <w:ind w:firstLine="0"/>
        <w:jc w:val="center"/>
        <w:rPr>
          <w:rStyle w:val="52"/>
          <w:rFonts w:hint="eastAsia" w:ascii="宋体" w:hAnsi="宋体" w:eastAsia="宋体" w:cs="宋体"/>
          <w:color w:val="auto"/>
          <w:sz w:val="32"/>
          <w:szCs w:val="32"/>
          <w:highlight w:val="none"/>
        </w:rPr>
      </w:pPr>
    </w:p>
    <w:p>
      <w:pPr>
        <w:pStyle w:val="84"/>
        <w:snapToGrid w:val="0"/>
        <w:spacing w:line="240" w:lineRule="auto"/>
        <w:ind w:firstLine="0"/>
        <w:jc w:val="center"/>
        <w:rPr>
          <w:rStyle w:val="52"/>
          <w:rFonts w:hint="eastAsia" w:ascii="宋体" w:hAnsi="宋体" w:eastAsia="宋体" w:cs="宋体"/>
          <w:color w:val="auto"/>
          <w:sz w:val="32"/>
          <w:szCs w:val="32"/>
          <w:highlight w:val="none"/>
        </w:rPr>
      </w:pPr>
    </w:p>
    <w:p>
      <w:pPr>
        <w:pStyle w:val="84"/>
        <w:snapToGrid w:val="0"/>
        <w:spacing w:line="240" w:lineRule="auto"/>
        <w:ind w:firstLine="0"/>
        <w:jc w:val="center"/>
        <w:rPr>
          <w:rStyle w:val="52"/>
          <w:rFonts w:hint="eastAsia" w:ascii="宋体" w:hAnsi="宋体" w:eastAsia="宋体" w:cs="宋体"/>
          <w:color w:val="auto"/>
          <w:sz w:val="32"/>
          <w:szCs w:val="32"/>
          <w:highlight w:val="none"/>
        </w:rPr>
      </w:pPr>
    </w:p>
    <w:p>
      <w:pPr>
        <w:pStyle w:val="84"/>
        <w:snapToGrid w:val="0"/>
        <w:spacing w:line="240" w:lineRule="auto"/>
        <w:ind w:firstLine="0"/>
        <w:jc w:val="center"/>
        <w:rPr>
          <w:rStyle w:val="52"/>
          <w:rFonts w:hint="eastAsia" w:ascii="宋体" w:hAnsi="宋体" w:eastAsia="宋体" w:cs="宋体"/>
          <w:color w:val="auto"/>
          <w:sz w:val="32"/>
          <w:szCs w:val="32"/>
          <w:highlight w:val="none"/>
        </w:rPr>
      </w:pPr>
      <w:r>
        <w:rPr>
          <w:rStyle w:val="52"/>
          <w:rFonts w:hint="eastAsia" w:ascii="宋体" w:hAnsi="宋体" w:eastAsia="宋体" w:cs="宋体"/>
          <w:color w:val="auto"/>
          <w:sz w:val="32"/>
          <w:szCs w:val="32"/>
          <w:highlight w:val="none"/>
        </w:rPr>
        <w:t>法定代表人或其委托代理人：</w:t>
      </w:r>
      <w:r>
        <w:rPr>
          <w:rStyle w:val="52"/>
          <w:rFonts w:hint="eastAsia" w:ascii="宋体" w:hAnsi="宋体" w:eastAsia="宋体" w:cs="宋体"/>
          <w:color w:val="auto"/>
          <w:sz w:val="32"/>
          <w:szCs w:val="32"/>
          <w:highlight w:val="none"/>
          <w:u w:val="single"/>
        </w:rPr>
        <w:t xml:space="preserve">               </w:t>
      </w:r>
      <w:r>
        <w:rPr>
          <w:rStyle w:val="52"/>
          <w:rFonts w:hint="eastAsia" w:ascii="宋体" w:hAnsi="宋体" w:eastAsia="宋体" w:cs="宋体"/>
          <w:color w:val="auto"/>
          <w:sz w:val="32"/>
          <w:szCs w:val="32"/>
          <w:highlight w:val="none"/>
        </w:rPr>
        <w:t>（签字或盖章）</w:t>
      </w:r>
    </w:p>
    <w:p>
      <w:pPr>
        <w:pStyle w:val="84"/>
        <w:snapToGrid w:val="0"/>
        <w:spacing w:line="240" w:lineRule="auto"/>
        <w:ind w:firstLine="0"/>
        <w:jc w:val="center"/>
        <w:rPr>
          <w:rStyle w:val="52"/>
          <w:rFonts w:hint="eastAsia" w:ascii="宋体" w:hAnsi="宋体" w:eastAsia="宋体" w:cs="宋体"/>
          <w:color w:val="auto"/>
          <w:sz w:val="32"/>
          <w:szCs w:val="32"/>
          <w:highlight w:val="none"/>
        </w:rPr>
      </w:pPr>
    </w:p>
    <w:p>
      <w:pPr>
        <w:pStyle w:val="84"/>
        <w:snapToGrid w:val="0"/>
        <w:spacing w:line="240" w:lineRule="auto"/>
        <w:ind w:firstLine="0"/>
        <w:jc w:val="center"/>
        <w:rPr>
          <w:rStyle w:val="52"/>
          <w:rFonts w:hint="eastAsia" w:ascii="宋体" w:hAnsi="宋体" w:eastAsia="宋体" w:cs="宋体"/>
          <w:color w:val="auto"/>
          <w:sz w:val="32"/>
          <w:szCs w:val="32"/>
          <w:highlight w:val="none"/>
          <w:u w:val="single"/>
        </w:rPr>
      </w:pPr>
    </w:p>
    <w:p>
      <w:pPr>
        <w:pStyle w:val="84"/>
        <w:snapToGrid w:val="0"/>
        <w:spacing w:line="240" w:lineRule="auto"/>
        <w:ind w:firstLine="0"/>
        <w:jc w:val="center"/>
        <w:rPr>
          <w:rStyle w:val="52"/>
          <w:rFonts w:hint="eastAsia" w:ascii="宋体" w:hAnsi="宋体" w:eastAsia="宋体" w:cs="宋体"/>
          <w:b/>
          <w:bCs/>
          <w:color w:val="auto"/>
          <w:highlight w:val="none"/>
        </w:rPr>
      </w:pPr>
      <w:r>
        <w:rPr>
          <w:rStyle w:val="52"/>
          <w:rFonts w:hint="eastAsia" w:ascii="宋体" w:hAnsi="宋体" w:eastAsia="宋体" w:cs="宋体"/>
          <w:color w:val="auto"/>
          <w:sz w:val="32"/>
          <w:szCs w:val="32"/>
          <w:highlight w:val="none"/>
          <w:u w:val="single"/>
        </w:rPr>
        <w:t xml:space="preserve">         </w:t>
      </w:r>
      <w:r>
        <w:rPr>
          <w:rStyle w:val="52"/>
          <w:rFonts w:hint="eastAsia" w:ascii="宋体" w:hAnsi="宋体" w:eastAsia="宋体" w:cs="宋体"/>
          <w:color w:val="auto"/>
          <w:sz w:val="32"/>
          <w:szCs w:val="32"/>
          <w:highlight w:val="none"/>
        </w:rPr>
        <w:t>年</w:t>
      </w:r>
      <w:r>
        <w:rPr>
          <w:rStyle w:val="52"/>
          <w:rFonts w:hint="eastAsia" w:ascii="宋体" w:hAnsi="宋体" w:eastAsia="宋体" w:cs="宋体"/>
          <w:color w:val="auto"/>
          <w:sz w:val="32"/>
          <w:szCs w:val="32"/>
          <w:highlight w:val="none"/>
          <w:u w:val="single"/>
        </w:rPr>
        <w:t xml:space="preserve">      </w:t>
      </w:r>
      <w:r>
        <w:rPr>
          <w:rStyle w:val="52"/>
          <w:rFonts w:hint="eastAsia" w:ascii="宋体" w:hAnsi="宋体" w:eastAsia="宋体" w:cs="宋体"/>
          <w:color w:val="auto"/>
          <w:sz w:val="32"/>
          <w:szCs w:val="32"/>
          <w:highlight w:val="none"/>
        </w:rPr>
        <w:t>月</w:t>
      </w:r>
      <w:r>
        <w:rPr>
          <w:rStyle w:val="52"/>
          <w:rFonts w:hint="eastAsia" w:ascii="宋体" w:hAnsi="宋体" w:eastAsia="宋体" w:cs="宋体"/>
          <w:color w:val="auto"/>
          <w:sz w:val="32"/>
          <w:szCs w:val="32"/>
          <w:highlight w:val="none"/>
          <w:u w:val="single"/>
        </w:rPr>
        <w:t xml:space="preserve">      </w:t>
      </w:r>
      <w:r>
        <w:rPr>
          <w:rStyle w:val="52"/>
          <w:rFonts w:hint="eastAsia" w:ascii="宋体" w:hAnsi="宋体" w:eastAsia="宋体" w:cs="宋体"/>
          <w:color w:val="auto"/>
          <w:sz w:val="32"/>
          <w:szCs w:val="32"/>
          <w:highlight w:val="none"/>
        </w:rPr>
        <w:t>日</w:t>
      </w:r>
    </w:p>
    <w:p>
      <w:pP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br w:type="page"/>
      </w:r>
    </w:p>
    <w:p>
      <w:pPr>
        <w:pStyle w:val="4"/>
        <w:pageBreakBefore w:val="0"/>
        <w:kinsoku/>
        <w:wordWrap w:val="0"/>
        <w:overflowPunct/>
        <w:bidi w:val="0"/>
        <w:spacing w:before="120"/>
        <w:rPr>
          <w:rFonts w:hint="eastAsia" w:asciiTheme="minorEastAsia" w:hAnsiTheme="minorEastAsia" w:eastAsiaTheme="minorEastAsia" w:cstheme="minorEastAsia"/>
          <w:b/>
          <w:snapToGrid w:val="0"/>
          <w:color w:val="000000" w:themeColor="text1"/>
          <w:szCs w:val="24"/>
          <w:highlight w:val="none"/>
          <w:lang w:val="en-US" w:eastAsia="zh-CN"/>
          <w14:textFill>
            <w14:solidFill>
              <w14:schemeClr w14:val="tx1"/>
            </w14:solidFill>
          </w14:textFill>
        </w:rPr>
      </w:pPr>
      <w:bookmarkStart w:id="568" w:name="_Toc25571"/>
      <w:bookmarkStart w:id="569" w:name="_Toc6621"/>
      <w:bookmarkStart w:id="570" w:name="_Toc22084"/>
      <w:r>
        <w:rPr>
          <w:rFonts w:hint="eastAsia" w:asciiTheme="minorEastAsia" w:hAnsiTheme="minorEastAsia" w:eastAsiaTheme="minorEastAsia" w:cstheme="minorEastAsia"/>
          <w:b/>
          <w:snapToGrid w:val="0"/>
          <w:color w:val="000000" w:themeColor="text1"/>
          <w:szCs w:val="24"/>
          <w:highlight w:val="none"/>
          <w:lang w:val="en-US" w:eastAsia="zh-CN"/>
          <w14:textFill>
            <w14:solidFill>
              <w14:schemeClr w14:val="tx1"/>
            </w14:solidFill>
          </w14:textFill>
        </w:rPr>
        <w:t>格式十五 定标因素评审资料</w:t>
      </w:r>
      <w:bookmarkEnd w:id="568"/>
    </w:p>
    <w:bookmarkEnd w:id="569"/>
    <w:bookmarkEnd w:id="570"/>
    <w:p>
      <w:pPr>
        <w:jc w:val="left"/>
        <w:rPr>
          <w:rFonts w:hint="eastAsia" w:ascii="宋体" w:hAnsi="宋体" w:eastAsia="宋体" w:cs="宋体"/>
          <w:color w:val="auto"/>
          <w:sz w:val="24"/>
          <w:highlight w:val="no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Style w:val="52"/>
          <w:rFonts w:hint="eastAsia" w:ascii="宋体" w:hAnsi="宋体" w:eastAsia="宋体" w:cs="宋体"/>
          <w:b/>
          <w:bCs/>
          <w:color w:val="auto"/>
          <w:sz w:val="24"/>
          <w:szCs w:val="24"/>
          <w:highlight w:val="none"/>
        </w:rPr>
      </w:pPr>
      <w:r>
        <w:rPr>
          <w:rFonts w:hint="eastAsia" w:ascii="宋体" w:hAnsi="宋体" w:eastAsia="宋体" w:cs="宋体"/>
          <w:b w:val="0"/>
          <w:bCs w:val="0"/>
          <w:color w:val="auto"/>
          <w:sz w:val="21"/>
          <w:szCs w:val="21"/>
          <w:highlight w:val="none"/>
          <w:lang w:val="en-US" w:eastAsia="zh-CN"/>
        </w:rPr>
        <w:t>投标人根据“</w:t>
      </w:r>
      <w:r>
        <w:rPr>
          <w:rFonts w:hint="eastAsia" w:ascii="宋体" w:hAnsi="宋体" w:eastAsia="宋体" w:cs="宋体"/>
          <w:b w:val="0"/>
          <w:bCs w:val="0"/>
          <w:color w:val="auto"/>
          <w:sz w:val="21"/>
          <w:szCs w:val="21"/>
          <w:highlight w:val="none"/>
        </w:rPr>
        <w:t>第</w:t>
      </w:r>
      <w:r>
        <w:rPr>
          <w:rFonts w:hint="eastAsia" w:ascii="宋体" w:hAnsi="宋体" w:eastAsia="宋体" w:cs="宋体"/>
          <w:b w:val="0"/>
          <w:bCs w:val="0"/>
          <w:color w:val="auto"/>
          <w:sz w:val="21"/>
          <w:szCs w:val="21"/>
          <w:highlight w:val="none"/>
          <w:lang w:val="en-US" w:eastAsia="zh-CN"/>
        </w:rPr>
        <w:t>一</w:t>
      </w:r>
      <w:r>
        <w:rPr>
          <w:rFonts w:hint="eastAsia" w:ascii="宋体" w:hAnsi="宋体" w:eastAsia="宋体" w:cs="宋体"/>
          <w:b w:val="0"/>
          <w:bCs w:val="0"/>
          <w:color w:val="auto"/>
          <w:sz w:val="21"/>
          <w:szCs w:val="21"/>
          <w:highlight w:val="none"/>
        </w:rPr>
        <w:t>章 第</w:t>
      </w:r>
      <w:r>
        <w:rPr>
          <w:rFonts w:hint="eastAsia" w:hAnsi="宋体" w:eastAsia="宋体" w:cs="宋体"/>
          <w:b w:val="0"/>
          <w:bCs w:val="0"/>
          <w:color w:val="auto"/>
          <w:sz w:val="21"/>
          <w:szCs w:val="21"/>
          <w:highlight w:val="none"/>
          <w:lang w:val="en-US" w:eastAsia="zh-CN"/>
        </w:rPr>
        <w:t>16、</w:t>
      </w:r>
      <w:r>
        <w:rPr>
          <w:rFonts w:hint="eastAsia" w:ascii="宋体" w:hAnsi="宋体" w:eastAsia="宋体" w:cs="宋体"/>
          <w:b w:val="0"/>
          <w:bCs w:val="0"/>
          <w:color w:val="auto"/>
          <w:sz w:val="21"/>
          <w:szCs w:val="21"/>
          <w:highlight w:val="none"/>
        </w:rPr>
        <w:t>定标</w:t>
      </w:r>
      <w:r>
        <w:rPr>
          <w:rFonts w:hint="eastAsia" w:ascii="宋体" w:hAnsi="宋体" w:eastAsia="宋体" w:cs="宋体"/>
          <w:b w:val="0"/>
          <w:bCs w:val="0"/>
          <w:color w:val="auto"/>
          <w:sz w:val="21"/>
          <w:szCs w:val="21"/>
          <w:highlight w:val="none"/>
          <w:lang w:val="en-US" w:eastAsia="zh-CN"/>
        </w:rPr>
        <w:t>”载明的</w:t>
      </w:r>
      <w:r>
        <w:rPr>
          <w:rFonts w:hint="eastAsia" w:ascii="宋体" w:hAnsi="宋体" w:eastAsia="宋体" w:cs="宋体"/>
          <w:b w:val="0"/>
          <w:bCs w:val="0"/>
          <w:color w:val="auto"/>
          <w:sz w:val="21"/>
          <w:szCs w:val="21"/>
          <w:highlight w:val="none"/>
          <w:lang w:eastAsia="zh-CN"/>
        </w:rPr>
        <w:t>定标因素，</w:t>
      </w:r>
      <w:r>
        <w:rPr>
          <w:rFonts w:hint="eastAsia" w:ascii="宋体" w:hAnsi="宋体" w:eastAsia="宋体" w:cs="宋体"/>
          <w:b w:val="0"/>
          <w:bCs w:val="0"/>
          <w:color w:val="auto"/>
          <w:sz w:val="21"/>
          <w:szCs w:val="21"/>
          <w:highlight w:val="none"/>
          <w:lang w:val="en-US" w:eastAsia="zh-CN"/>
        </w:rPr>
        <w:t>提交</w:t>
      </w:r>
      <w:r>
        <w:rPr>
          <w:rFonts w:hint="eastAsia" w:ascii="宋体" w:hAnsi="宋体" w:eastAsia="宋体" w:cs="宋体"/>
          <w:b w:val="0"/>
          <w:bCs w:val="0"/>
          <w:color w:val="auto"/>
          <w:sz w:val="21"/>
          <w:szCs w:val="21"/>
          <w:highlight w:val="none"/>
          <w:lang w:eastAsia="zh-CN"/>
        </w:rPr>
        <w:t>评审资料。</w:t>
      </w:r>
    </w:p>
    <w:p>
      <w:pP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br w:type="page"/>
      </w:r>
    </w:p>
    <w:bookmarkEnd w:id="469"/>
    <w:bookmarkEnd w:id="470"/>
    <w:bookmarkEnd w:id="471"/>
    <w:bookmarkEnd w:id="472"/>
    <w:bookmarkEnd w:id="473"/>
    <w:bookmarkEnd w:id="474"/>
    <w:bookmarkEnd w:id="555"/>
    <w:bookmarkEnd w:id="556"/>
    <w:bookmarkEnd w:id="557"/>
    <w:bookmarkEnd w:id="558"/>
    <w:bookmarkEnd w:id="559"/>
    <w:bookmarkEnd w:id="560"/>
    <w:bookmarkEnd w:id="561"/>
    <w:bookmarkEnd w:id="562"/>
    <w:p>
      <w:pPr>
        <w:pStyle w:val="3"/>
        <w:pageBreakBefore w:val="0"/>
        <w:kinsoku/>
        <w:wordWrap w:val="0"/>
        <w:overflowPunct/>
        <w:bidi w:val="0"/>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bookmarkStart w:id="571" w:name="_Toc466640622"/>
      <w:bookmarkStart w:id="572" w:name="_Toc420"/>
      <w:bookmarkStart w:id="573" w:name="_Toc1879"/>
      <w:bookmarkStart w:id="574" w:name="_Toc26594"/>
      <w:bookmarkStart w:id="575" w:name="_Toc13641"/>
      <w:bookmarkStart w:id="576" w:name="_Toc9802"/>
      <w:bookmarkStart w:id="577" w:name="_Toc3894"/>
      <w:bookmarkStart w:id="578" w:name="_Toc19434"/>
      <w:bookmarkStart w:id="579" w:name="_Toc23853"/>
      <w:bookmarkStart w:id="580" w:name="_Toc3242"/>
      <w:bookmarkStart w:id="581" w:name="_Toc25056"/>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w:t>
      </w:r>
      <w:r>
        <w:rPr>
          <w:rFonts w:hint="eastAsia" w:asciiTheme="minorEastAsia" w:hAnsiTheme="minorEastAsia" w:eastAsiaTheme="minorEastAsia" w:cstheme="minorEastAsia"/>
          <w:b/>
          <w:color w:val="000000" w:themeColor="text1"/>
          <w:kern w:val="44"/>
          <w:sz w:val="36"/>
          <w:szCs w:val="36"/>
          <w:highlight w:val="none"/>
          <w:lang w:val="en-US" w:eastAsia="zh-CN"/>
          <w14:textFill>
            <w14:solidFill>
              <w14:schemeClr w14:val="tx1"/>
            </w14:solidFill>
          </w14:textFill>
        </w:rPr>
        <w:t>七</w:t>
      </w:r>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 xml:space="preserve">章  </w:t>
      </w:r>
      <w:bookmarkEnd w:id="571"/>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建设工程合同</w:t>
      </w:r>
      <w:bookmarkEnd w:id="572"/>
      <w:bookmarkEnd w:id="573"/>
      <w:bookmarkEnd w:id="574"/>
      <w:bookmarkEnd w:id="575"/>
      <w:bookmarkEnd w:id="576"/>
      <w:bookmarkEnd w:id="577"/>
      <w:bookmarkEnd w:id="578"/>
      <w:bookmarkEnd w:id="579"/>
      <w:bookmarkEnd w:id="580"/>
      <w:bookmarkEnd w:id="581"/>
    </w:p>
    <w:p>
      <w:pPr>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略。总承包合同参照住房城乡建设部、国家工商行政管理总局制定的《建设项目工程总承包合同（示范文本）》GF-2020-0216。</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p>
    <w:p>
      <w:pPr>
        <w:pStyle w:val="5"/>
        <w:pageBreakBefore w:val="0"/>
        <w:kinsoku/>
        <w:wordWrap w:val="0"/>
        <w:overflowPunct/>
        <w:bidi w:val="0"/>
        <w:ind w:left="4511" w:leftChars="174" w:hanging="4093" w:hangingChars="1274"/>
        <w:jc w:val="center"/>
        <w:rPr>
          <w:rFonts w:hint="eastAsia" w:asciiTheme="minorEastAsia" w:hAnsiTheme="minorEastAsia" w:eastAsiaTheme="minorEastAsia" w:cstheme="minorEastAsia"/>
          <w:bCs/>
          <w:color w:val="000000" w:themeColor="text1"/>
          <w:sz w:val="32"/>
          <w:szCs w:val="32"/>
          <w:highlight w:val="none"/>
          <w:lang w:val="en-US" w:eastAsia="zh-CN"/>
          <w14:textFill>
            <w14:solidFill>
              <w14:schemeClr w14:val="tx1"/>
            </w14:solidFill>
          </w14:textFill>
        </w:rPr>
      </w:pPr>
      <w:bookmarkStart w:id="582" w:name="_Toc16029"/>
      <w:bookmarkStart w:id="583" w:name="_Toc29713"/>
      <w:bookmarkStart w:id="584" w:name="_Toc10603"/>
      <w:bookmarkStart w:id="585" w:name="_Toc10193"/>
      <w:bookmarkStart w:id="586" w:name="_Toc32046"/>
      <w:bookmarkStart w:id="587" w:name="_Toc5845"/>
      <w:bookmarkStart w:id="588" w:name="_Toc20232"/>
      <w:bookmarkStart w:id="589" w:name="_Toc2994"/>
      <w:bookmarkStart w:id="590" w:name="_Toc2735"/>
      <w:bookmarkStart w:id="591" w:name="_Toc30503"/>
      <w:bookmarkStart w:id="592" w:name="_Toc5870"/>
      <w:bookmarkStart w:id="593" w:name="_Toc30955"/>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廉政合同</w:t>
      </w:r>
      <w:bookmarkEnd w:id="582"/>
      <w:bookmarkEnd w:id="583"/>
      <w:bookmarkEnd w:id="584"/>
      <w:bookmarkEnd w:id="585"/>
      <w:bookmarkEnd w:id="586"/>
      <w:bookmarkEnd w:id="587"/>
      <w:bookmarkEnd w:id="588"/>
      <w:bookmarkEnd w:id="589"/>
      <w:bookmarkEnd w:id="590"/>
      <w:bookmarkEnd w:id="591"/>
      <w:bookmarkEnd w:id="592"/>
      <w:r>
        <w:rPr>
          <w:rFonts w:hint="eastAsia" w:asciiTheme="minorEastAsia" w:hAnsiTheme="minorEastAsia" w:eastAsiaTheme="minorEastAsia" w:cstheme="minorEastAsia"/>
          <w:bCs/>
          <w:color w:val="000000" w:themeColor="text1"/>
          <w:sz w:val="32"/>
          <w:szCs w:val="32"/>
          <w:highlight w:val="none"/>
          <w:lang w:val="en-US" w:eastAsia="zh-CN"/>
          <w14:textFill>
            <w14:solidFill>
              <w14:schemeClr w14:val="tx1"/>
            </w14:solidFill>
          </w14:textFill>
        </w:rPr>
        <w:t>格式</w:t>
      </w:r>
      <w:bookmarkEnd w:id="593"/>
    </w:p>
    <w:p>
      <w:pPr>
        <w:pageBreakBefore w:val="0"/>
        <w:tabs>
          <w:tab w:val="left" w:pos="9100"/>
        </w:tabs>
        <w:kinsoku/>
        <w:wordWrap w:val="0"/>
        <w:overflowPunct/>
        <w:autoSpaceDE w:val="0"/>
        <w:autoSpaceDN w:val="0"/>
        <w:bidi w:val="0"/>
        <w:adjustRightInd w:val="0"/>
        <w:spacing w:line="460" w:lineRule="atLeast"/>
        <w:ind w:left="101" w:right="101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招标人：（全称）</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ab/>
      </w:r>
    </w:p>
    <w:p>
      <w:pPr>
        <w:pageBreakBefore w:val="0"/>
        <w:tabs>
          <w:tab w:val="left" w:pos="9100"/>
        </w:tabs>
        <w:kinsoku/>
        <w:wordWrap w:val="0"/>
        <w:overflowPunct/>
        <w:autoSpaceDE w:val="0"/>
        <w:autoSpaceDN w:val="0"/>
        <w:bidi w:val="0"/>
        <w:adjustRightInd w:val="0"/>
        <w:spacing w:line="460" w:lineRule="atLeast"/>
        <w:ind w:left="101" w:right="101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中标人：（全称）</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ab/>
      </w:r>
    </w:p>
    <w:p>
      <w:pPr>
        <w:pageBreakBefore w:val="0"/>
        <w:kinsoku/>
        <w:wordWrap w:val="0"/>
        <w:overflowPunct/>
        <w:autoSpaceDE w:val="0"/>
        <w:autoSpaceDN w:val="0"/>
        <w:bidi w:val="0"/>
        <w:adjustRightInd w:val="0"/>
        <w:spacing w:before="6" w:line="150" w:lineRule="exact"/>
        <w:jc w:val="left"/>
        <w:rPr>
          <w:rFonts w:hint="eastAsia" w:asciiTheme="minorEastAsia" w:hAnsiTheme="minorEastAsia" w:eastAsiaTheme="minorEastAsia" w:cstheme="minorEastAsia"/>
          <w:color w:val="000000" w:themeColor="text1"/>
          <w:kern w:val="0"/>
          <w:szCs w:val="15"/>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position w:val="-3"/>
          <w:highlight w:val="none"/>
          <w14:textFill>
            <w14:solidFill>
              <w14:schemeClr w14:val="tx1"/>
            </w14:solidFill>
          </w14:textFill>
        </w:rPr>
        <w:t>根据国家、省有关廉政建设的规定，为做好合同工程的廉政建设，保证工程质量与施工安</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全，提高建设资金的有效使用和投资效益，合同双方当事人就加强合同工程的廉政建设，订立本合同。</w:t>
      </w:r>
    </w:p>
    <w:p>
      <w:pPr>
        <w:pageBreakBefore w:val="0"/>
        <w:kinsoku/>
        <w:wordWrap w:val="0"/>
        <w:overflowPunct/>
        <w:autoSpaceDE w:val="0"/>
        <w:autoSpaceDN w:val="0"/>
        <w:bidi w:val="0"/>
        <w:adjustRightInd w:val="0"/>
        <w:spacing w:line="360" w:lineRule="auto"/>
        <w:ind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1</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双方权利和义务</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1.1</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严格遵守国家、省有关法律法规的规定。</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1.2</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严格执行合同工程一切合同文件，自觉按合同办事。</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1.3</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合同双方当事人的业务活动应坚持公平</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公开</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公正和诚信的原</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则</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（法律认定的商业 秘密和合同文件另有规定除外</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，不得损害国家和集体利益，不得违反工程建设管理规章制度。</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1.4</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建立健全廉政制度</w:t>
      </w:r>
      <w:r>
        <w:rPr>
          <w:rFonts w:hint="eastAsia" w:asciiTheme="minorEastAsia" w:hAnsiTheme="minorEastAsia" w:eastAsiaTheme="minorEastAsia" w:cstheme="minorEastAsia"/>
          <w:color w:val="000000" w:themeColor="text1"/>
          <w:spacing w:val="-1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开展廉政教育</w:t>
      </w:r>
      <w:r>
        <w:rPr>
          <w:rFonts w:hint="eastAsia" w:asciiTheme="minorEastAsia" w:hAnsiTheme="minorEastAsia" w:eastAsiaTheme="minorEastAsia" w:cstheme="minorEastAsia"/>
          <w:color w:val="000000" w:themeColor="text1"/>
          <w:spacing w:val="-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设立廉政告示牌</w:t>
      </w:r>
      <w:r>
        <w:rPr>
          <w:rFonts w:hint="eastAsia" w:asciiTheme="minorEastAsia" w:hAnsiTheme="minorEastAsia" w:eastAsiaTheme="minorEastAsia" w:cstheme="minorEastAsia"/>
          <w:color w:val="000000" w:themeColor="text1"/>
          <w:spacing w:val="-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公布举报电话</w:t>
      </w:r>
      <w:r>
        <w:rPr>
          <w:rFonts w:hint="eastAsia" w:asciiTheme="minorEastAsia" w:hAnsiTheme="minorEastAsia" w:eastAsiaTheme="minorEastAsia" w:cstheme="minorEastAsia"/>
          <w:color w:val="000000" w:themeColor="text1"/>
          <w:spacing w:val="-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监督并认真查 处违法违纪行为。</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1.5</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发现对方在业务活动中有违反廉政建设规定的行为，应及时给予提醒和纠正。</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1.6</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发现对方严重违反合同的行为</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有向其上级部门举报</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建议给予处理并要求告知处理 结果的权利。没有上级部门的，可按本合同第二部分《通用条款》第87 条规定处理。</w:t>
      </w:r>
    </w:p>
    <w:p>
      <w:pPr>
        <w:pageBreakBefore w:val="0"/>
        <w:kinsoku/>
        <w:wordWrap w:val="0"/>
        <w:overflowPunct/>
        <w:autoSpaceDE w:val="0"/>
        <w:autoSpaceDN w:val="0"/>
        <w:bidi w:val="0"/>
        <w:adjustRightInd w:val="0"/>
        <w:spacing w:line="360" w:lineRule="auto"/>
        <w:ind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2</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招标人义务</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2.1</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招标人及其工作人员不得索取或接受中标人的礼金</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有价证券和贵重物品</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不得在承 包人报销任何应由招标人或其工作人员个人支付的费用。</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2.2</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招标人及其工作人员不得参加中标人安排的宴</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请</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（工作餐除外</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和娱乐活动</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不得接受中标人提供的通讯、交通工具和高档办公用品等物品。</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2.3</w:t>
      </w: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招标人及其工作人员不得要求或者接受中标人为其住房装修</w:t>
      </w:r>
      <w:r>
        <w:rPr>
          <w:rFonts w:hint="eastAsia" w:asciiTheme="minorEastAsia" w:hAnsiTheme="minorEastAsia" w:eastAsiaTheme="minorEastAsia" w:cstheme="minorEastAsia"/>
          <w:color w:val="000000" w:themeColor="text1"/>
          <w:spacing w:val="-18"/>
          <w:kern w:val="0"/>
          <w:position w:val="-2"/>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婚丧嫁娶活动</w:t>
      </w:r>
      <w:r>
        <w:rPr>
          <w:rFonts w:hint="eastAsia" w:asciiTheme="minorEastAsia" w:hAnsiTheme="minorEastAsia" w:eastAsiaTheme="minorEastAsia" w:cstheme="minorEastAsia"/>
          <w:color w:val="000000" w:themeColor="text1"/>
          <w:spacing w:val="-18"/>
          <w:kern w:val="0"/>
          <w:position w:val="-2"/>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配偶子</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女工作安排以及出国出境、旅游等提供方便。</w:t>
      </w:r>
    </w:p>
    <w:p>
      <w:pPr>
        <w:pageBreakBefore w:val="0"/>
        <w:kinsoku/>
        <w:wordWrap w:val="0"/>
        <w:overflowPunct/>
        <w:autoSpaceDE w:val="0"/>
        <w:autoSpaceDN w:val="0"/>
        <w:bidi w:val="0"/>
        <w:adjustRightInd w:val="0"/>
        <w:spacing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2.4 </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招标人及其工作人员不得以任何理由向中标人推荐</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分</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 xml:space="preserve">包人、推销材料和工程设备，不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得要求中标人购买合同以外的材料和工程设备。</w:t>
      </w:r>
    </w:p>
    <w:p>
      <w:pPr>
        <w:pageBreakBefore w:val="0"/>
        <w:kinsoku/>
        <w:wordWrap w:val="0"/>
        <w:overflowPunct/>
        <w:autoSpaceDE w:val="0"/>
        <w:autoSpaceDN w:val="0"/>
        <w:bidi w:val="0"/>
        <w:adjustRightInd w:val="0"/>
        <w:spacing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2.5</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招标人及其工作人员要秉公办事</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不准营私舞弊</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不准利用职权私自为合同工程安排 施工队伍，也不得从事与合同工程有关的各种有偿中介活动。</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2.6 </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招标人及其工作人员（含其配偶、子女）不得从事</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与</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 xml:space="preserve">合同工程有关的材料和工程设备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供应、工程分包、劳务等经济活动。</w:t>
      </w:r>
    </w:p>
    <w:p>
      <w:pPr>
        <w:pageBreakBefore w:val="0"/>
        <w:kinsoku/>
        <w:wordWrap w:val="0"/>
        <w:overflowPunct/>
        <w:autoSpaceDE w:val="0"/>
        <w:autoSpaceDN w:val="0"/>
        <w:bidi w:val="0"/>
        <w:adjustRightInd w:val="0"/>
        <w:spacing w:before="72" w:line="360" w:lineRule="auto"/>
        <w:ind w:right="185"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3</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中标人义务</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3.1</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中标人不得以任何理由向招标人及其工作人员行贿或馈赠礼金</w:t>
      </w:r>
      <w:r>
        <w:rPr>
          <w:rFonts w:hint="eastAsia" w:asciiTheme="minorEastAsia" w:hAnsiTheme="minorEastAsia" w:eastAsiaTheme="minorEastAsia" w:cstheme="minorEastAsia"/>
          <w:color w:val="000000" w:themeColor="text1"/>
          <w:spacing w:val="-7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有价证券</w:t>
      </w:r>
      <w:r>
        <w:rPr>
          <w:rFonts w:hint="eastAsia" w:asciiTheme="minorEastAsia" w:hAnsiTheme="minorEastAsia" w:eastAsiaTheme="minorEastAsia" w:cstheme="minorEastAsia"/>
          <w:color w:val="000000" w:themeColor="text1"/>
          <w:spacing w:val="-7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贵重礼品。</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3.2</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spacing w:val="5"/>
          <w:kern w:val="0"/>
          <w:highlight w:val="none"/>
          <w14:textFill>
            <w14:solidFill>
              <w14:schemeClr w14:val="tx1"/>
            </w14:solidFill>
          </w14:textFill>
        </w:rPr>
        <w:t>中标人不得以任何名义为招标人及其</w:t>
      </w:r>
      <w:r>
        <w:rPr>
          <w:rFonts w:hint="eastAsia" w:asciiTheme="minorEastAsia" w:hAnsiTheme="minorEastAsia" w:eastAsiaTheme="minorEastAsia" w:cstheme="minorEastAsia"/>
          <w:color w:val="000000" w:themeColor="text1"/>
          <w:spacing w:val="4"/>
          <w:kern w:val="0"/>
          <w:highlight w:val="none"/>
          <w14:textFill>
            <w14:solidFill>
              <w14:schemeClr w14:val="tx1"/>
            </w14:solidFill>
          </w14:textFill>
        </w:rPr>
        <w:t>工</w:t>
      </w:r>
      <w:r>
        <w:rPr>
          <w:rFonts w:hint="eastAsia" w:asciiTheme="minorEastAsia" w:hAnsiTheme="minorEastAsia" w:eastAsiaTheme="minorEastAsia" w:cstheme="minorEastAsia"/>
          <w:color w:val="000000" w:themeColor="text1"/>
          <w:spacing w:val="6"/>
          <w:kern w:val="0"/>
          <w:highlight w:val="none"/>
          <w14:textFill>
            <w14:solidFill>
              <w14:schemeClr w14:val="tx1"/>
            </w14:solidFill>
          </w14:textFill>
        </w:rPr>
        <w:t xml:space="preserve">作人员报销应由招标人或其工作人员个人支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付的任何费用。</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3.3</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中标人不得以任何理由安排招标人及其工作人员参加宴</w:t>
      </w:r>
      <w:r>
        <w:rPr>
          <w:rFonts w:hint="eastAsia" w:asciiTheme="minorEastAsia" w:hAnsiTheme="minorEastAsia" w:eastAsiaTheme="minorEastAsia" w:cstheme="minorEastAsia"/>
          <w:color w:val="000000" w:themeColor="text1"/>
          <w:spacing w:val="-78"/>
          <w:kern w:val="0"/>
          <w:highlight w:val="none"/>
          <w14:textFill>
            <w14:solidFill>
              <w14:schemeClr w14:val="tx1"/>
            </w14:solidFill>
          </w14:textFill>
        </w:rPr>
        <w:t>请</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（工作餐除外</w:t>
      </w:r>
      <w:r>
        <w:rPr>
          <w:rFonts w:hint="eastAsia" w:asciiTheme="minorEastAsia" w:hAnsiTheme="minorEastAsia" w:eastAsiaTheme="minorEastAsia" w:cstheme="minorEastAsia"/>
          <w:color w:val="000000" w:themeColor="text1"/>
          <w:spacing w:val="-7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及娱乐活动。</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3.4</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中标人不得为招标人和个人购置或提供通讯、交通工具和高档办公用品等物品。</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3.5</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中标人不得为招标人及其工作人员的住房装修</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婚丧嫁娶活动</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配偶子女工作安排以 及出国出境、旅游等提供方便。</w:t>
      </w:r>
    </w:p>
    <w:p>
      <w:pPr>
        <w:pageBreakBefore w:val="0"/>
        <w:kinsoku/>
        <w:wordWrap w:val="0"/>
        <w:overflowPunct/>
        <w:autoSpaceDE w:val="0"/>
        <w:autoSpaceDN w:val="0"/>
        <w:bidi w:val="0"/>
        <w:adjustRightInd w:val="0"/>
        <w:spacing w:before="72" w:line="360" w:lineRule="auto"/>
        <w:ind w:right="185"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4</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违约责任</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4.1</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招标人及其工作人员违反本合同第1 条和第2 条规定</w:t>
      </w:r>
      <w:r>
        <w:rPr>
          <w:rFonts w:hint="eastAsia" w:asciiTheme="minorEastAsia" w:hAnsiTheme="minorEastAsia" w:eastAsiaTheme="minorEastAsia" w:cstheme="minorEastAsia"/>
          <w:color w:val="000000" w:themeColor="text1"/>
          <w:spacing w:val="-36"/>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应按照廉政建设的有关规定给 予处分；涉嫌犯罪的，移交司法机关追究刑事责任；给中标人造成损失的，应予赔偿。</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4.2</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中标人及其工作人员违反本合同第1 条和第3 条规定</w:t>
      </w:r>
      <w:r>
        <w:rPr>
          <w:rFonts w:hint="eastAsia" w:asciiTheme="minorEastAsia" w:hAnsiTheme="minorEastAsia" w:eastAsiaTheme="minorEastAsia" w:cstheme="minorEastAsia"/>
          <w:color w:val="000000" w:themeColor="text1"/>
          <w:spacing w:val="-36"/>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应按照廉政建设的有关规定给 予处分</w:t>
      </w:r>
      <w:r>
        <w:rPr>
          <w:rFonts w:hint="eastAsia" w:asciiTheme="minorEastAsia" w:hAnsiTheme="minorEastAsia" w:eastAsiaTheme="minorEastAsia" w:cstheme="minorEastAsia"/>
          <w:color w:val="000000" w:themeColor="text1"/>
          <w:spacing w:val="-24"/>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情节严重的</w:t>
      </w:r>
      <w:r>
        <w:rPr>
          <w:rFonts w:hint="eastAsia" w:asciiTheme="minorEastAsia" w:hAnsiTheme="minorEastAsia" w:eastAsiaTheme="minorEastAsia" w:cstheme="minorEastAsia"/>
          <w:color w:val="000000" w:themeColor="text1"/>
          <w:spacing w:val="-24"/>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给予中标人1～3 年内不得进入工程建设市场的处罚</w:t>
      </w:r>
      <w:r>
        <w:rPr>
          <w:rFonts w:hint="eastAsia" w:asciiTheme="minorEastAsia" w:hAnsiTheme="minorEastAsia" w:eastAsiaTheme="minorEastAsia" w:cstheme="minorEastAsia"/>
          <w:color w:val="000000" w:themeColor="text1"/>
          <w:spacing w:val="-24"/>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涉嫌犯罪的</w:t>
      </w:r>
      <w:r>
        <w:rPr>
          <w:rFonts w:hint="eastAsia" w:asciiTheme="minorEastAsia" w:hAnsiTheme="minorEastAsia" w:eastAsiaTheme="minorEastAsia" w:cstheme="minorEastAsia"/>
          <w:color w:val="000000" w:themeColor="text1"/>
          <w:spacing w:val="-24"/>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移交 司法机关追究刑事责任；给招标人造成损失的，应予赔偿；</w:t>
      </w:r>
    </w:p>
    <w:p>
      <w:pPr>
        <w:pageBreakBefore w:val="0"/>
        <w:kinsoku/>
        <w:wordWrap w:val="0"/>
        <w:overflowPunct/>
        <w:autoSpaceDE w:val="0"/>
        <w:autoSpaceDN w:val="0"/>
        <w:bidi w:val="0"/>
        <w:adjustRightInd w:val="0"/>
        <w:spacing w:before="16" w:line="360" w:lineRule="auto"/>
        <w:jc w:val="left"/>
        <w:rPr>
          <w:rFonts w:hint="eastAsia" w:asciiTheme="minorEastAsia" w:hAnsiTheme="minorEastAsia" w:eastAsiaTheme="minorEastAsia" w:cstheme="minorEastAsia"/>
          <w:color w:val="000000" w:themeColor="text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 xml:space="preserve">    5</w:t>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双方约定</w:t>
      </w:r>
    </w:p>
    <w:p>
      <w:pPr>
        <w:pageBreakBefore w:val="0"/>
        <w:kinsoku/>
        <w:wordWrap w:val="0"/>
        <w:overflowPunct/>
        <w:autoSpaceDE w:val="0"/>
        <w:autoSpaceDN w:val="0"/>
        <w:bidi w:val="0"/>
        <w:adjustRightInd w:val="0"/>
        <w:spacing w:line="360" w:lineRule="auto"/>
        <w:ind w:right="184" w:firstLine="484"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本合同由合同双方当事人或其上</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级</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部门负责监督执行，并由合</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同</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 xml:space="preserve">双方当事人或其上级部门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相互约请对本合同执行情况进行检查。</w:t>
      </w:r>
    </w:p>
    <w:p>
      <w:pPr>
        <w:pageBreakBefore w:val="0"/>
        <w:kinsoku/>
        <w:wordWrap w:val="0"/>
        <w:overflowPunct/>
        <w:autoSpaceDE w:val="0"/>
        <w:autoSpaceDN w:val="0"/>
        <w:bidi w:val="0"/>
        <w:adjustRightInd w:val="0"/>
        <w:spacing w:line="360" w:lineRule="auto"/>
        <w:ind w:right="184" w:firstLine="482" w:firstLineChars="200"/>
        <w:jc w:val="left"/>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6</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 xml:space="preserve"> 合同法律效力</w:t>
      </w:r>
    </w:p>
    <w:p>
      <w:pPr>
        <w:pageBreakBefore w:val="0"/>
        <w:kinsoku/>
        <w:wordWrap w:val="0"/>
        <w:overflowPunct/>
        <w:autoSpaceDE w:val="0"/>
        <w:autoSpaceDN w:val="0"/>
        <w:bidi w:val="0"/>
        <w:adjustRightInd w:val="0"/>
        <w:spacing w:line="360" w:lineRule="auto"/>
        <w:ind w:right="184"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本合同作为</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Cs w:val="28"/>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lang w:eastAsia="zh-CN"/>
          <w14:textFill>
            <w14:solidFill>
              <w14:schemeClr w14:val="tx1"/>
            </w14:solidFill>
          </w14:textFill>
        </w:rPr>
        <w:t>项目名称</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工程施工合同的附件，与施工合同具有同等的法律效力。</w:t>
      </w:r>
    </w:p>
    <w:p>
      <w:pPr>
        <w:pageBreakBefore w:val="0"/>
        <w:kinsoku/>
        <w:wordWrap w:val="0"/>
        <w:overflowPunct/>
        <w:autoSpaceDE w:val="0"/>
        <w:autoSpaceDN w:val="0"/>
        <w:bidi w:val="0"/>
        <w:adjustRightInd w:val="0"/>
        <w:spacing w:line="360" w:lineRule="auto"/>
        <w:ind w:right="184" w:firstLine="482" w:firstLineChars="200"/>
        <w:jc w:val="left"/>
        <w:rPr>
          <w:rFonts w:hint="eastAsia" w:asciiTheme="minorEastAsia" w:hAnsiTheme="minorEastAsia" w:eastAsiaTheme="minorEastAsia" w:cstheme="minorEastAsia"/>
          <w:color w:val="000000" w:themeColor="text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7</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合同生效</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本合同自合同双方当事人签署之日起生效，至合同工程竣工验收合格之日后失效。</w:t>
      </w:r>
    </w:p>
    <w:p>
      <w:pPr>
        <w:pageBreakBefore w:val="0"/>
        <w:kinsoku/>
        <w:wordWrap w:val="0"/>
        <w:overflowPunct/>
        <w:autoSpaceDE w:val="0"/>
        <w:autoSpaceDN w:val="0"/>
        <w:bidi w:val="0"/>
        <w:adjustRightInd w:val="0"/>
        <w:spacing w:line="360" w:lineRule="auto"/>
        <w:ind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8</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合同份数</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本合同一</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式</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份，合同双方当事人各</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执</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份。有上级部门的，合同双方当事人应各送</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交其上级部门一份。</w:t>
      </w:r>
    </w:p>
    <w:p>
      <w:pPr>
        <w:pageBreakBefore w:val="0"/>
        <w:kinsoku/>
        <w:wordWrap w:val="0"/>
        <w:overflowPunct/>
        <w:autoSpaceDE w:val="0"/>
        <w:autoSpaceDN w:val="0"/>
        <w:bidi w:val="0"/>
        <w:adjustRightInd w:val="0"/>
        <w:spacing w:before="3" w:line="130" w:lineRule="exact"/>
        <w:jc w:val="left"/>
        <w:rPr>
          <w:rFonts w:hint="eastAsia" w:asciiTheme="minorEastAsia" w:hAnsiTheme="minorEastAsia" w:eastAsiaTheme="minorEastAsia" w:cstheme="minorEastAsia"/>
          <w:color w:val="000000" w:themeColor="text1"/>
          <w:kern w:val="0"/>
          <w:szCs w:val="13"/>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发 包 人</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（公章）</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承 包 人 </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（公章） </w:t>
      </w: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法定代表人</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（签字）</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法定代表人</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（签字） </w:t>
      </w: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联系电话：</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联系电话：</w:t>
      </w: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上级部门：（公章）            </w:t>
      </w: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上级部门：（公章）</w:t>
      </w: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年   月    日                                年   月   日</w:t>
      </w:r>
    </w:p>
    <w:p>
      <w:pPr>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sectPr>
      <w:headerReference r:id="rId8" w:type="default"/>
      <w:footerReference r:id="rId9" w:type="default"/>
      <w:endnotePr>
        <w:numFmt w:val="decimal"/>
      </w:endnotePr>
      <w:pgSz w:w="11907" w:h="16840"/>
      <w:pgMar w:top="1134" w:right="1134" w:bottom="1021" w:left="1418" w:header="567" w:footer="510" w:gutter="0"/>
      <w:pgNumType w:fmt="decimal"/>
      <w:cols w:space="720" w:num="1"/>
      <w:docGrid w:type="lines"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font>
  <w:font w:name="Bodoni MT">
    <w:altName w:val="Segoe Print"/>
    <w:panose1 w:val="02070603080606020203"/>
    <w:charset w:val="00"/>
    <w:family w:val="roman"/>
    <w:pitch w:val="default"/>
    <w:sig w:usb0="00000000" w:usb1="00000000" w:usb2="00000000" w:usb3="00000000" w:csb0="20000001" w:csb1="00000000"/>
  </w:font>
  <w:font w:name="华文新魏">
    <w:altName w:val="宋体"/>
    <w:panose1 w:val="0201080004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tabs>
        <w:tab w:val="left" w:pos="4803"/>
        <w:tab w:val="clear" w:pos="4153"/>
      </w:tabs>
    </w:pPr>
    <w:r>
      <w:rPr>
        <w:rFonts w:hint="eastAsia"/>
      </w:rPr>
      <w:tab/>
    </w:r>
  </w:p>
  <w:p>
    <w:pPr>
      <w:pStyle w:val="7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tabs>
        <w:tab w:val="left" w:pos="4803"/>
        <w:tab w:val="clear" w:pos="4153"/>
      </w:tabs>
    </w:pPr>
    <w:r>
      <w:rPr>
        <w:rFonts w:hint="eastAsia"/>
      </w:rPr>
      <w:tab/>
    </w:r>
  </w:p>
  <w:p>
    <w:pPr>
      <w:pStyle w:val="7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tabs>
        <w:tab w:val="left" w:pos="4803"/>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pfMzMkBAACZ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yl8zMyQEAAJkDAAAOAAAAAAAAAAEAIAAAAB4BAABkcnMvZTJvRG9j&#10;LnhtbFBLBQYAAAAABgAGAFkBAABZBQAAAAA=&#10;">
              <v:fill on="f" focussize="0,0"/>
              <v:stroke on="f"/>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p>
    <w:pPr>
      <w:pStyle w:val="7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tabs>
        <w:tab w:val="left" w:pos="4803"/>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pPr>
                          <w:r>
                            <w:fldChar w:fldCharType="begin"/>
                          </w:r>
                          <w:r>
                            <w:instrText xml:space="preserve"> PAGE  \* MERGEFORMAT </w:instrText>
                          </w:r>
                          <w:r>
                            <w:fldChar w:fldCharType="separate"/>
                          </w:r>
                          <w:r>
                            <w:t>105</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F7+8kBAACZ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C8Xv7yQEAAJkDAAAOAAAAAAAAAAEAIAAAAB4BAABkcnMvZTJvRG9j&#10;LnhtbFBLBQYAAAAABgAGAFkBAABZBQAAAAA=&#10;">
              <v:fill on="f" focussize="0,0"/>
              <v:stroke on="f"/>
              <v:imagedata o:title=""/>
              <o:lock v:ext="edit" aspectratio="f"/>
              <v:textbox inset="0mm,0mm,0mm,0mm" style="mso-fit-shape-to-text:t;">
                <w:txbxContent>
                  <w:p>
                    <w:pPr>
                      <w:pStyle w:val="13"/>
                    </w:pPr>
                    <w:r>
                      <w:fldChar w:fldCharType="begin"/>
                    </w:r>
                    <w:r>
                      <w:instrText xml:space="preserve"> PAGE  \* MERGEFORMAT </w:instrText>
                    </w:r>
                    <w:r>
                      <w:fldChar w:fldCharType="separate"/>
                    </w:r>
                    <w:r>
                      <w:t>105</w:t>
                    </w:r>
                    <w:r>
                      <w:fldChar w:fldCharType="end"/>
                    </w:r>
                  </w:p>
                </w:txbxContent>
              </v:textbox>
            </v:shape>
          </w:pict>
        </mc:Fallback>
      </mc:AlternateContent>
    </w:r>
    <w:r>
      <w:rPr>
        <w:rFonts w:hint="eastAsia"/>
      </w:rPr>
      <w:tab/>
    </w:r>
  </w:p>
  <w:p>
    <w:pPr>
      <w:pStyle w:val="7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default"/>
        <w:szCs w:val="24"/>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pPr>
                          <w:r>
                            <w:fldChar w:fldCharType="begin"/>
                          </w:r>
                          <w:r>
                            <w:instrText xml:space="preserve"> PAGE  \* MERGEFORMAT </w:instrText>
                          </w:r>
                          <w:r>
                            <w:fldChar w:fldCharType="separate"/>
                          </w:r>
                          <w:r>
                            <w:t>117</w:t>
                          </w:r>
                          <w: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tUyEMkBAACZAwAADgAAAGRycy9lMm9Eb2MueG1srVPNjtMwEL4j8Q6W&#10;79TZC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X1L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W1TIQyQEAAJkDAAAOAAAAAAAAAAEAIAAAAB4BAABkcnMvZTJvRG9j&#10;LnhtbFBLBQYAAAAABgAGAFkBAABZBQAAAAA=&#10;">
              <v:fill on="f" focussize="0,0"/>
              <v:stroke on="f"/>
              <v:imagedata o:title=""/>
              <o:lock v:ext="edit" aspectratio="f"/>
              <v:textbox inset="0mm,0mm,0mm,0mm" style="mso-fit-shape-to-text:t;">
                <w:txbxContent>
                  <w:p>
                    <w:pPr>
                      <w:pStyle w:val="13"/>
                    </w:pPr>
                    <w:r>
                      <w:fldChar w:fldCharType="begin"/>
                    </w:r>
                    <w:r>
                      <w:instrText xml:space="preserve"> PAGE  \* MERGEFORMAT </w:instrText>
                    </w:r>
                    <w:r>
                      <w:fldChar w:fldCharType="separate"/>
                    </w:r>
                    <w:r>
                      <w:t>117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hint="default"/>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2DEF9"/>
    <w:multiLevelType w:val="singleLevel"/>
    <w:tmpl w:val="8152DEF9"/>
    <w:lvl w:ilvl="0" w:tentative="0">
      <w:start w:val="1"/>
      <w:numFmt w:val="decimal"/>
      <w:suff w:val="nothing"/>
      <w:lvlText w:val="（%1）"/>
      <w:lvlJc w:val="left"/>
    </w:lvl>
  </w:abstractNum>
  <w:abstractNum w:abstractNumId="1">
    <w:nsid w:val="C099E3A4"/>
    <w:multiLevelType w:val="singleLevel"/>
    <w:tmpl w:val="C099E3A4"/>
    <w:lvl w:ilvl="0" w:tentative="0">
      <w:start w:val="1"/>
      <w:numFmt w:val="chineseCounting"/>
      <w:suff w:val="nothing"/>
      <w:lvlText w:val="第%1、"/>
      <w:lvlJc w:val="left"/>
      <w:rPr>
        <w:rFonts w:hint="eastAsia"/>
      </w:rPr>
    </w:lvl>
  </w:abstractNum>
  <w:abstractNum w:abstractNumId="2">
    <w:nsid w:val="CFABDD9F"/>
    <w:multiLevelType w:val="singleLevel"/>
    <w:tmpl w:val="CFABDD9F"/>
    <w:lvl w:ilvl="0" w:tentative="0">
      <w:start w:val="1"/>
      <w:numFmt w:val="decimal"/>
      <w:suff w:val="nothing"/>
      <w:lvlText w:val="（%1）"/>
      <w:lvlJc w:val="left"/>
    </w:lvl>
  </w:abstractNum>
  <w:abstractNum w:abstractNumId="3">
    <w:nsid w:val="00000009"/>
    <w:multiLevelType w:val="multilevel"/>
    <w:tmpl w:val="00000009"/>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lZjFiZmI5NjQxYzVjYjAzNWI4ODRjMWFkMTZhYWQifQ=="/>
    <w:docVar w:name="KSO_WPS_MARK_KEY" w:val="2b56eff9-4bef-4219-8874-9567fb1cde91"/>
  </w:docVars>
  <w:rsids>
    <w:rsidRoot w:val="4C5944B1"/>
    <w:rsid w:val="000B7698"/>
    <w:rsid w:val="000F7646"/>
    <w:rsid w:val="0011760F"/>
    <w:rsid w:val="001E0850"/>
    <w:rsid w:val="00281ECB"/>
    <w:rsid w:val="002F176F"/>
    <w:rsid w:val="003A1942"/>
    <w:rsid w:val="003B643A"/>
    <w:rsid w:val="003E2709"/>
    <w:rsid w:val="004218C1"/>
    <w:rsid w:val="004B2B21"/>
    <w:rsid w:val="004F7FD5"/>
    <w:rsid w:val="0055689E"/>
    <w:rsid w:val="005E6BB8"/>
    <w:rsid w:val="0064163D"/>
    <w:rsid w:val="007C3F91"/>
    <w:rsid w:val="008C4168"/>
    <w:rsid w:val="00901845"/>
    <w:rsid w:val="00936991"/>
    <w:rsid w:val="00943625"/>
    <w:rsid w:val="00954357"/>
    <w:rsid w:val="00954A54"/>
    <w:rsid w:val="009E5347"/>
    <w:rsid w:val="00A322B9"/>
    <w:rsid w:val="00A80EA7"/>
    <w:rsid w:val="00AF685C"/>
    <w:rsid w:val="00B16179"/>
    <w:rsid w:val="00B37196"/>
    <w:rsid w:val="00C04E0C"/>
    <w:rsid w:val="00C83B8A"/>
    <w:rsid w:val="00CB07F4"/>
    <w:rsid w:val="00CB4007"/>
    <w:rsid w:val="00CD4D5B"/>
    <w:rsid w:val="00D561CD"/>
    <w:rsid w:val="00DA5A23"/>
    <w:rsid w:val="00DF3269"/>
    <w:rsid w:val="00E76514"/>
    <w:rsid w:val="00ED4B12"/>
    <w:rsid w:val="00EF5BA2"/>
    <w:rsid w:val="00F95669"/>
    <w:rsid w:val="010F7FF3"/>
    <w:rsid w:val="01284AF4"/>
    <w:rsid w:val="012C10F1"/>
    <w:rsid w:val="012F41F1"/>
    <w:rsid w:val="01437D90"/>
    <w:rsid w:val="016A5229"/>
    <w:rsid w:val="01A93FA3"/>
    <w:rsid w:val="01C53654"/>
    <w:rsid w:val="01E704A0"/>
    <w:rsid w:val="01E84C2F"/>
    <w:rsid w:val="01F123E4"/>
    <w:rsid w:val="021653B1"/>
    <w:rsid w:val="02251150"/>
    <w:rsid w:val="025D633B"/>
    <w:rsid w:val="02665093"/>
    <w:rsid w:val="02673FAD"/>
    <w:rsid w:val="027F7030"/>
    <w:rsid w:val="028E13EB"/>
    <w:rsid w:val="029933CC"/>
    <w:rsid w:val="029B4FCF"/>
    <w:rsid w:val="02AE7397"/>
    <w:rsid w:val="02D70973"/>
    <w:rsid w:val="02D84414"/>
    <w:rsid w:val="02E1151B"/>
    <w:rsid w:val="02F74EC0"/>
    <w:rsid w:val="032C3B6B"/>
    <w:rsid w:val="033923C2"/>
    <w:rsid w:val="0348159A"/>
    <w:rsid w:val="03724869"/>
    <w:rsid w:val="0385459C"/>
    <w:rsid w:val="0385634A"/>
    <w:rsid w:val="038A7E04"/>
    <w:rsid w:val="038C5CCB"/>
    <w:rsid w:val="03B44328"/>
    <w:rsid w:val="03C50E3C"/>
    <w:rsid w:val="03D319EF"/>
    <w:rsid w:val="03D35307"/>
    <w:rsid w:val="03F46BE4"/>
    <w:rsid w:val="041A1188"/>
    <w:rsid w:val="042E69E2"/>
    <w:rsid w:val="04360B53"/>
    <w:rsid w:val="0472779E"/>
    <w:rsid w:val="049727D9"/>
    <w:rsid w:val="04C72908"/>
    <w:rsid w:val="04EA57F9"/>
    <w:rsid w:val="05934B2F"/>
    <w:rsid w:val="06204F50"/>
    <w:rsid w:val="064E3EFE"/>
    <w:rsid w:val="06656ADB"/>
    <w:rsid w:val="06826B71"/>
    <w:rsid w:val="068308FE"/>
    <w:rsid w:val="068A58D2"/>
    <w:rsid w:val="0694486B"/>
    <w:rsid w:val="06F07F7E"/>
    <w:rsid w:val="06F37A6F"/>
    <w:rsid w:val="06FF1426"/>
    <w:rsid w:val="07283BBC"/>
    <w:rsid w:val="07312D1A"/>
    <w:rsid w:val="07351E35"/>
    <w:rsid w:val="0741366C"/>
    <w:rsid w:val="074A1D85"/>
    <w:rsid w:val="0757624F"/>
    <w:rsid w:val="075E313A"/>
    <w:rsid w:val="077C17D7"/>
    <w:rsid w:val="07A10088"/>
    <w:rsid w:val="07A76DE7"/>
    <w:rsid w:val="07C21547"/>
    <w:rsid w:val="07C40809"/>
    <w:rsid w:val="07E13D6B"/>
    <w:rsid w:val="07E8334B"/>
    <w:rsid w:val="081E0766"/>
    <w:rsid w:val="082D0D5E"/>
    <w:rsid w:val="082D559A"/>
    <w:rsid w:val="083E11BD"/>
    <w:rsid w:val="087C2900"/>
    <w:rsid w:val="08915791"/>
    <w:rsid w:val="08AA23AF"/>
    <w:rsid w:val="08C47915"/>
    <w:rsid w:val="08E27D9B"/>
    <w:rsid w:val="08E51639"/>
    <w:rsid w:val="08F54BC3"/>
    <w:rsid w:val="092752BD"/>
    <w:rsid w:val="09B554AF"/>
    <w:rsid w:val="09C86F91"/>
    <w:rsid w:val="09EB1836"/>
    <w:rsid w:val="0A006D29"/>
    <w:rsid w:val="0A0159BF"/>
    <w:rsid w:val="0A1421D6"/>
    <w:rsid w:val="0A3D0CAE"/>
    <w:rsid w:val="0A560A40"/>
    <w:rsid w:val="0A5C2888"/>
    <w:rsid w:val="0A6F38B0"/>
    <w:rsid w:val="0A873975"/>
    <w:rsid w:val="0A9E2D09"/>
    <w:rsid w:val="0AB358B7"/>
    <w:rsid w:val="0AB36DB1"/>
    <w:rsid w:val="0AB80DB3"/>
    <w:rsid w:val="0AD7112E"/>
    <w:rsid w:val="0AFD4502"/>
    <w:rsid w:val="0B633415"/>
    <w:rsid w:val="0B6D7317"/>
    <w:rsid w:val="0B877EBE"/>
    <w:rsid w:val="0B8D2240"/>
    <w:rsid w:val="0BDA37C7"/>
    <w:rsid w:val="0C183B2E"/>
    <w:rsid w:val="0C3C08C2"/>
    <w:rsid w:val="0C5C7E64"/>
    <w:rsid w:val="0C7358DA"/>
    <w:rsid w:val="0C7D5BCC"/>
    <w:rsid w:val="0C8B1D7C"/>
    <w:rsid w:val="0C8F023A"/>
    <w:rsid w:val="0CBC40CB"/>
    <w:rsid w:val="0CC53C5B"/>
    <w:rsid w:val="0CDD0FA5"/>
    <w:rsid w:val="0CE869F8"/>
    <w:rsid w:val="0D1B00F8"/>
    <w:rsid w:val="0D2B56E9"/>
    <w:rsid w:val="0D5374B9"/>
    <w:rsid w:val="0D724D63"/>
    <w:rsid w:val="0D7C6A10"/>
    <w:rsid w:val="0D8D045B"/>
    <w:rsid w:val="0D9642F0"/>
    <w:rsid w:val="0DA63A8D"/>
    <w:rsid w:val="0DB937C0"/>
    <w:rsid w:val="0DBB25A8"/>
    <w:rsid w:val="0DC53787"/>
    <w:rsid w:val="0DDA28D6"/>
    <w:rsid w:val="0DE6650F"/>
    <w:rsid w:val="0DEF37FE"/>
    <w:rsid w:val="0DF73507"/>
    <w:rsid w:val="0DFA207C"/>
    <w:rsid w:val="0E554708"/>
    <w:rsid w:val="0E554C7C"/>
    <w:rsid w:val="0E625C06"/>
    <w:rsid w:val="0E86165D"/>
    <w:rsid w:val="0EAD0264"/>
    <w:rsid w:val="0EB3119A"/>
    <w:rsid w:val="0F0A0D37"/>
    <w:rsid w:val="0F4E10F7"/>
    <w:rsid w:val="0F640D2F"/>
    <w:rsid w:val="0F670CCA"/>
    <w:rsid w:val="0F930041"/>
    <w:rsid w:val="0FB14F6D"/>
    <w:rsid w:val="0FB24E29"/>
    <w:rsid w:val="0FE90846"/>
    <w:rsid w:val="101C0036"/>
    <w:rsid w:val="10264A11"/>
    <w:rsid w:val="102D3FF1"/>
    <w:rsid w:val="10667503"/>
    <w:rsid w:val="10725EA8"/>
    <w:rsid w:val="10855BDB"/>
    <w:rsid w:val="10AA7A66"/>
    <w:rsid w:val="10BD6F35"/>
    <w:rsid w:val="10CD6B01"/>
    <w:rsid w:val="10E3454C"/>
    <w:rsid w:val="11584D75"/>
    <w:rsid w:val="1180428A"/>
    <w:rsid w:val="11845E93"/>
    <w:rsid w:val="11D83F48"/>
    <w:rsid w:val="11DB4B38"/>
    <w:rsid w:val="11F8418B"/>
    <w:rsid w:val="121511E1"/>
    <w:rsid w:val="123E21E9"/>
    <w:rsid w:val="13156E63"/>
    <w:rsid w:val="131F5532"/>
    <w:rsid w:val="13426006"/>
    <w:rsid w:val="13451652"/>
    <w:rsid w:val="13491142"/>
    <w:rsid w:val="134F44BE"/>
    <w:rsid w:val="136E0B00"/>
    <w:rsid w:val="13734957"/>
    <w:rsid w:val="13BD0DD3"/>
    <w:rsid w:val="13D859A8"/>
    <w:rsid w:val="13E66B49"/>
    <w:rsid w:val="13F37300"/>
    <w:rsid w:val="143B213D"/>
    <w:rsid w:val="143C0CA7"/>
    <w:rsid w:val="14430A9C"/>
    <w:rsid w:val="144E2788"/>
    <w:rsid w:val="148F7029"/>
    <w:rsid w:val="149763D6"/>
    <w:rsid w:val="14BB4DC8"/>
    <w:rsid w:val="14C3348E"/>
    <w:rsid w:val="14D53AC2"/>
    <w:rsid w:val="14E1675A"/>
    <w:rsid w:val="14E32ED1"/>
    <w:rsid w:val="14EC447B"/>
    <w:rsid w:val="14ED31B9"/>
    <w:rsid w:val="150A49B0"/>
    <w:rsid w:val="1525173B"/>
    <w:rsid w:val="15292570"/>
    <w:rsid w:val="159063FD"/>
    <w:rsid w:val="15B7490E"/>
    <w:rsid w:val="15BC4477"/>
    <w:rsid w:val="15C72DBA"/>
    <w:rsid w:val="160E6248"/>
    <w:rsid w:val="161F586A"/>
    <w:rsid w:val="16201F02"/>
    <w:rsid w:val="164E4741"/>
    <w:rsid w:val="168B3820"/>
    <w:rsid w:val="16E178E4"/>
    <w:rsid w:val="16E66CA8"/>
    <w:rsid w:val="17014C02"/>
    <w:rsid w:val="175E7186"/>
    <w:rsid w:val="17A60298"/>
    <w:rsid w:val="17AF3CDA"/>
    <w:rsid w:val="17B73663"/>
    <w:rsid w:val="17C90AA4"/>
    <w:rsid w:val="17CF1E32"/>
    <w:rsid w:val="17FF3E14"/>
    <w:rsid w:val="181A6914"/>
    <w:rsid w:val="182A7068"/>
    <w:rsid w:val="18426433"/>
    <w:rsid w:val="18770500"/>
    <w:rsid w:val="18AE7C99"/>
    <w:rsid w:val="18DC49E3"/>
    <w:rsid w:val="18E25825"/>
    <w:rsid w:val="18F546F2"/>
    <w:rsid w:val="19212219"/>
    <w:rsid w:val="19363AFA"/>
    <w:rsid w:val="196547FC"/>
    <w:rsid w:val="19866520"/>
    <w:rsid w:val="19A370D2"/>
    <w:rsid w:val="19B600B0"/>
    <w:rsid w:val="19B72B7E"/>
    <w:rsid w:val="19CB261C"/>
    <w:rsid w:val="19CB4621"/>
    <w:rsid w:val="19F37903"/>
    <w:rsid w:val="1A04743A"/>
    <w:rsid w:val="1A241393"/>
    <w:rsid w:val="1A3B37AF"/>
    <w:rsid w:val="1A495ECC"/>
    <w:rsid w:val="1A602AAD"/>
    <w:rsid w:val="1A772A39"/>
    <w:rsid w:val="1A8506D5"/>
    <w:rsid w:val="1A937147"/>
    <w:rsid w:val="1AA41354"/>
    <w:rsid w:val="1AA650CC"/>
    <w:rsid w:val="1AC63078"/>
    <w:rsid w:val="1ACF42A1"/>
    <w:rsid w:val="1AE479A2"/>
    <w:rsid w:val="1B1742F2"/>
    <w:rsid w:val="1B2E4C6C"/>
    <w:rsid w:val="1B5003E0"/>
    <w:rsid w:val="1B5F6903"/>
    <w:rsid w:val="1B6034CD"/>
    <w:rsid w:val="1B690B70"/>
    <w:rsid w:val="1B6D5BEA"/>
    <w:rsid w:val="1B754A9E"/>
    <w:rsid w:val="1B8076CB"/>
    <w:rsid w:val="1B8A59D6"/>
    <w:rsid w:val="1B8D3829"/>
    <w:rsid w:val="1B99253B"/>
    <w:rsid w:val="1BAF4AA0"/>
    <w:rsid w:val="1BC03F6C"/>
    <w:rsid w:val="1BC05D1A"/>
    <w:rsid w:val="1BC11A92"/>
    <w:rsid w:val="1BC62A56"/>
    <w:rsid w:val="1BF80445"/>
    <w:rsid w:val="1C01417E"/>
    <w:rsid w:val="1C4C1CA3"/>
    <w:rsid w:val="1C6061C5"/>
    <w:rsid w:val="1C7865F4"/>
    <w:rsid w:val="1C8F1025"/>
    <w:rsid w:val="1C9A1142"/>
    <w:rsid w:val="1C9F0025"/>
    <w:rsid w:val="1CDD25B2"/>
    <w:rsid w:val="1CDD28FB"/>
    <w:rsid w:val="1CDE71ED"/>
    <w:rsid w:val="1D326551"/>
    <w:rsid w:val="1D53167C"/>
    <w:rsid w:val="1D750002"/>
    <w:rsid w:val="1D7B63DC"/>
    <w:rsid w:val="1D882867"/>
    <w:rsid w:val="1DB4365C"/>
    <w:rsid w:val="1DB7314C"/>
    <w:rsid w:val="1DC615E1"/>
    <w:rsid w:val="1DC85359"/>
    <w:rsid w:val="1DE504BC"/>
    <w:rsid w:val="1DEB51E9"/>
    <w:rsid w:val="1DF36C85"/>
    <w:rsid w:val="1E480248"/>
    <w:rsid w:val="1E5310C7"/>
    <w:rsid w:val="1E787E3F"/>
    <w:rsid w:val="1E896032"/>
    <w:rsid w:val="1E937715"/>
    <w:rsid w:val="1EBA1146"/>
    <w:rsid w:val="1ED02718"/>
    <w:rsid w:val="1EE712A6"/>
    <w:rsid w:val="1EFB606E"/>
    <w:rsid w:val="1EFD7044"/>
    <w:rsid w:val="1F0B09EA"/>
    <w:rsid w:val="1F150595"/>
    <w:rsid w:val="1F1F3C4D"/>
    <w:rsid w:val="1F26208B"/>
    <w:rsid w:val="1F27633C"/>
    <w:rsid w:val="1F4549D5"/>
    <w:rsid w:val="1F505606"/>
    <w:rsid w:val="1F657EE2"/>
    <w:rsid w:val="1F7D13AE"/>
    <w:rsid w:val="1F7F413E"/>
    <w:rsid w:val="1F8B7F24"/>
    <w:rsid w:val="1F9951FF"/>
    <w:rsid w:val="1FBD45F2"/>
    <w:rsid w:val="1FCA53B9"/>
    <w:rsid w:val="1FD44704"/>
    <w:rsid w:val="1FD81A51"/>
    <w:rsid w:val="1FE65F6B"/>
    <w:rsid w:val="20012DA5"/>
    <w:rsid w:val="201E74B3"/>
    <w:rsid w:val="20315438"/>
    <w:rsid w:val="206C46C2"/>
    <w:rsid w:val="206C6470"/>
    <w:rsid w:val="20941E5C"/>
    <w:rsid w:val="20B144DF"/>
    <w:rsid w:val="20CB32E8"/>
    <w:rsid w:val="20EF49EE"/>
    <w:rsid w:val="211046C7"/>
    <w:rsid w:val="211D59BC"/>
    <w:rsid w:val="214C62A1"/>
    <w:rsid w:val="21933ED0"/>
    <w:rsid w:val="21DA0780"/>
    <w:rsid w:val="222D1BEC"/>
    <w:rsid w:val="22453D2B"/>
    <w:rsid w:val="2252621C"/>
    <w:rsid w:val="225278E7"/>
    <w:rsid w:val="225615B4"/>
    <w:rsid w:val="225A40A6"/>
    <w:rsid w:val="22765C1A"/>
    <w:rsid w:val="22835CF3"/>
    <w:rsid w:val="229B05C6"/>
    <w:rsid w:val="22A26860"/>
    <w:rsid w:val="22D10014"/>
    <w:rsid w:val="22DC6741"/>
    <w:rsid w:val="22E42C35"/>
    <w:rsid w:val="23007343"/>
    <w:rsid w:val="2305495A"/>
    <w:rsid w:val="230C5CE8"/>
    <w:rsid w:val="235F6EB5"/>
    <w:rsid w:val="23A2739A"/>
    <w:rsid w:val="23A76437"/>
    <w:rsid w:val="23BE3486"/>
    <w:rsid w:val="23DF51AB"/>
    <w:rsid w:val="23F207FF"/>
    <w:rsid w:val="23F23130"/>
    <w:rsid w:val="242F6132"/>
    <w:rsid w:val="24491954"/>
    <w:rsid w:val="24704055"/>
    <w:rsid w:val="24B2486E"/>
    <w:rsid w:val="24C3687B"/>
    <w:rsid w:val="24EE1B49"/>
    <w:rsid w:val="25153BB3"/>
    <w:rsid w:val="253B5A69"/>
    <w:rsid w:val="25651834"/>
    <w:rsid w:val="2578303A"/>
    <w:rsid w:val="257D5076"/>
    <w:rsid w:val="25972C96"/>
    <w:rsid w:val="259D70CC"/>
    <w:rsid w:val="25A01B67"/>
    <w:rsid w:val="25BF256F"/>
    <w:rsid w:val="25C1100C"/>
    <w:rsid w:val="25C340B6"/>
    <w:rsid w:val="25D36F91"/>
    <w:rsid w:val="25DF2B3E"/>
    <w:rsid w:val="25E8104B"/>
    <w:rsid w:val="266F2816"/>
    <w:rsid w:val="268F110A"/>
    <w:rsid w:val="26A34BB6"/>
    <w:rsid w:val="26C0203C"/>
    <w:rsid w:val="271D6716"/>
    <w:rsid w:val="27277595"/>
    <w:rsid w:val="272F01F7"/>
    <w:rsid w:val="274572A5"/>
    <w:rsid w:val="27462BA9"/>
    <w:rsid w:val="274E2D58"/>
    <w:rsid w:val="275131CB"/>
    <w:rsid w:val="275D6250"/>
    <w:rsid w:val="276445C9"/>
    <w:rsid w:val="278C73F8"/>
    <w:rsid w:val="27AC35F6"/>
    <w:rsid w:val="27BE012C"/>
    <w:rsid w:val="27D668C5"/>
    <w:rsid w:val="27EB411E"/>
    <w:rsid w:val="27EE5228"/>
    <w:rsid w:val="280671AA"/>
    <w:rsid w:val="28310773"/>
    <w:rsid w:val="28335AC5"/>
    <w:rsid w:val="283B4DC5"/>
    <w:rsid w:val="28461C9C"/>
    <w:rsid w:val="284D4DD9"/>
    <w:rsid w:val="285717B4"/>
    <w:rsid w:val="286B079C"/>
    <w:rsid w:val="2893029D"/>
    <w:rsid w:val="28C411E9"/>
    <w:rsid w:val="28E55692"/>
    <w:rsid w:val="28FD4CC9"/>
    <w:rsid w:val="292F2731"/>
    <w:rsid w:val="294C5091"/>
    <w:rsid w:val="296A3769"/>
    <w:rsid w:val="297D16EE"/>
    <w:rsid w:val="298F4F7D"/>
    <w:rsid w:val="29B24674"/>
    <w:rsid w:val="2A187669"/>
    <w:rsid w:val="2A475858"/>
    <w:rsid w:val="2A6B3832"/>
    <w:rsid w:val="2A793900"/>
    <w:rsid w:val="2A7F1496"/>
    <w:rsid w:val="2A881CEC"/>
    <w:rsid w:val="2A994305"/>
    <w:rsid w:val="2AA85E3B"/>
    <w:rsid w:val="2AAA4765"/>
    <w:rsid w:val="2AB32EED"/>
    <w:rsid w:val="2AB80DCB"/>
    <w:rsid w:val="2AB90504"/>
    <w:rsid w:val="2AD90BA6"/>
    <w:rsid w:val="2AEA4B61"/>
    <w:rsid w:val="2B141BDE"/>
    <w:rsid w:val="2B4C6B5C"/>
    <w:rsid w:val="2B7613E8"/>
    <w:rsid w:val="2B8C7C7C"/>
    <w:rsid w:val="2BA456FE"/>
    <w:rsid w:val="2BD113C6"/>
    <w:rsid w:val="2BEF49DC"/>
    <w:rsid w:val="2C1B0D4A"/>
    <w:rsid w:val="2C302A48"/>
    <w:rsid w:val="2C5D5807"/>
    <w:rsid w:val="2C6E3570"/>
    <w:rsid w:val="2C733DC5"/>
    <w:rsid w:val="2C7F577D"/>
    <w:rsid w:val="2C856399"/>
    <w:rsid w:val="2C861EB2"/>
    <w:rsid w:val="2C9638AE"/>
    <w:rsid w:val="2CD57184"/>
    <w:rsid w:val="2CE466AC"/>
    <w:rsid w:val="2CE53DF2"/>
    <w:rsid w:val="2D145EC5"/>
    <w:rsid w:val="2D2B0789"/>
    <w:rsid w:val="2D5C6602"/>
    <w:rsid w:val="2D652012"/>
    <w:rsid w:val="2D6A1F89"/>
    <w:rsid w:val="2DCD0072"/>
    <w:rsid w:val="2DFA155F"/>
    <w:rsid w:val="2E026666"/>
    <w:rsid w:val="2E100D83"/>
    <w:rsid w:val="2E162111"/>
    <w:rsid w:val="2E222864"/>
    <w:rsid w:val="2E312AA7"/>
    <w:rsid w:val="2E5A3DAC"/>
    <w:rsid w:val="2E6C637A"/>
    <w:rsid w:val="2E823302"/>
    <w:rsid w:val="2F0C7FE5"/>
    <w:rsid w:val="2F34284F"/>
    <w:rsid w:val="2F594063"/>
    <w:rsid w:val="2F77098D"/>
    <w:rsid w:val="2F7E7F6E"/>
    <w:rsid w:val="2F7F0633"/>
    <w:rsid w:val="2F8530AA"/>
    <w:rsid w:val="2FC35981"/>
    <w:rsid w:val="2FC608DA"/>
    <w:rsid w:val="2FC90D1F"/>
    <w:rsid w:val="2FEC3129"/>
    <w:rsid w:val="300170E9"/>
    <w:rsid w:val="303625F7"/>
    <w:rsid w:val="30890978"/>
    <w:rsid w:val="30AB6B41"/>
    <w:rsid w:val="30AC28B9"/>
    <w:rsid w:val="310B75DF"/>
    <w:rsid w:val="31204209"/>
    <w:rsid w:val="31336B36"/>
    <w:rsid w:val="313C1E8F"/>
    <w:rsid w:val="31491327"/>
    <w:rsid w:val="3150593A"/>
    <w:rsid w:val="315947EF"/>
    <w:rsid w:val="317B7E20"/>
    <w:rsid w:val="31B45EC9"/>
    <w:rsid w:val="31BD2FCF"/>
    <w:rsid w:val="31C91C1F"/>
    <w:rsid w:val="31FB42D0"/>
    <w:rsid w:val="320A7220"/>
    <w:rsid w:val="32696CB3"/>
    <w:rsid w:val="326B7E18"/>
    <w:rsid w:val="326E7E26"/>
    <w:rsid w:val="32830F54"/>
    <w:rsid w:val="3286265A"/>
    <w:rsid w:val="32891103"/>
    <w:rsid w:val="329A44C1"/>
    <w:rsid w:val="32B653FC"/>
    <w:rsid w:val="32DE4292"/>
    <w:rsid w:val="32E12CEE"/>
    <w:rsid w:val="32E53E60"/>
    <w:rsid w:val="32EB37B8"/>
    <w:rsid w:val="33070ED6"/>
    <w:rsid w:val="3337290D"/>
    <w:rsid w:val="335B7731"/>
    <w:rsid w:val="33784CD4"/>
    <w:rsid w:val="33B71CA0"/>
    <w:rsid w:val="33C406F9"/>
    <w:rsid w:val="33CD3272"/>
    <w:rsid w:val="33E800AC"/>
    <w:rsid w:val="33EC5935"/>
    <w:rsid w:val="33F40B92"/>
    <w:rsid w:val="33F87B2A"/>
    <w:rsid w:val="33FB1B8D"/>
    <w:rsid w:val="343C4C08"/>
    <w:rsid w:val="34441BD5"/>
    <w:rsid w:val="344A2216"/>
    <w:rsid w:val="346317C9"/>
    <w:rsid w:val="346534AA"/>
    <w:rsid w:val="34A55F9D"/>
    <w:rsid w:val="34A5706F"/>
    <w:rsid w:val="34AB28E5"/>
    <w:rsid w:val="34B14EA3"/>
    <w:rsid w:val="34C33404"/>
    <w:rsid w:val="34FA62E8"/>
    <w:rsid w:val="35156C7E"/>
    <w:rsid w:val="35213875"/>
    <w:rsid w:val="35325511"/>
    <w:rsid w:val="355F7EFA"/>
    <w:rsid w:val="357C24B3"/>
    <w:rsid w:val="358362DE"/>
    <w:rsid w:val="35843E04"/>
    <w:rsid w:val="35A65B28"/>
    <w:rsid w:val="35C12962"/>
    <w:rsid w:val="35C4206C"/>
    <w:rsid w:val="360F7B72"/>
    <w:rsid w:val="365437D6"/>
    <w:rsid w:val="365F0C97"/>
    <w:rsid w:val="3670318E"/>
    <w:rsid w:val="36BD5820"/>
    <w:rsid w:val="36BF209F"/>
    <w:rsid w:val="36D13957"/>
    <w:rsid w:val="36D466C5"/>
    <w:rsid w:val="36F11025"/>
    <w:rsid w:val="36FA44D9"/>
    <w:rsid w:val="37133ED5"/>
    <w:rsid w:val="3728071C"/>
    <w:rsid w:val="374C7633"/>
    <w:rsid w:val="37691503"/>
    <w:rsid w:val="376E08C8"/>
    <w:rsid w:val="377C4D93"/>
    <w:rsid w:val="37AF33BA"/>
    <w:rsid w:val="37B248FD"/>
    <w:rsid w:val="37C37093"/>
    <w:rsid w:val="37D70CAE"/>
    <w:rsid w:val="37DD0002"/>
    <w:rsid w:val="37DF5322"/>
    <w:rsid w:val="37ED2BA2"/>
    <w:rsid w:val="37EF7C5B"/>
    <w:rsid w:val="37FC5ED4"/>
    <w:rsid w:val="381E5756"/>
    <w:rsid w:val="384358B1"/>
    <w:rsid w:val="386859FD"/>
    <w:rsid w:val="388A7983"/>
    <w:rsid w:val="38A10829"/>
    <w:rsid w:val="38B44A00"/>
    <w:rsid w:val="38D03858"/>
    <w:rsid w:val="38D6784A"/>
    <w:rsid w:val="390E5CB1"/>
    <w:rsid w:val="39177E14"/>
    <w:rsid w:val="391A6E08"/>
    <w:rsid w:val="39495F16"/>
    <w:rsid w:val="39657AA9"/>
    <w:rsid w:val="397321C6"/>
    <w:rsid w:val="397D273B"/>
    <w:rsid w:val="39F8091D"/>
    <w:rsid w:val="3A0A0D7C"/>
    <w:rsid w:val="3A21319F"/>
    <w:rsid w:val="3A223F8F"/>
    <w:rsid w:val="3A350062"/>
    <w:rsid w:val="3A55125A"/>
    <w:rsid w:val="3AAF722D"/>
    <w:rsid w:val="3AB510A7"/>
    <w:rsid w:val="3AC24493"/>
    <w:rsid w:val="3ACF398B"/>
    <w:rsid w:val="3AD6600A"/>
    <w:rsid w:val="3AD959D6"/>
    <w:rsid w:val="3AFF5C22"/>
    <w:rsid w:val="3B20637D"/>
    <w:rsid w:val="3B2154F6"/>
    <w:rsid w:val="3B286FE0"/>
    <w:rsid w:val="3B3E2DB3"/>
    <w:rsid w:val="3B602C1D"/>
    <w:rsid w:val="3BB54E46"/>
    <w:rsid w:val="3BCF3541"/>
    <w:rsid w:val="3BEB24E7"/>
    <w:rsid w:val="3C090BBF"/>
    <w:rsid w:val="3C1E33AE"/>
    <w:rsid w:val="3C3001B4"/>
    <w:rsid w:val="3C335C3C"/>
    <w:rsid w:val="3C340332"/>
    <w:rsid w:val="3C421D7A"/>
    <w:rsid w:val="3C836701"/>
    <w:rsid w:val="3CA52FDE"/>
    <w:rsid w:val="3CC22946"/>
    <w:rsid w:val="3CD01F3B"/>
    <w:rsid w:val="3CD7328C"/>
    <w:rsid w:val="3CE753A4"/>
    <w:rsid w:val="3CF33342"/>
    <w:rsid w:val="3CF96E86"/>
    <w:rsid w:val="3D204801"/>
    <w:rsid w:val="3D287F80"/>
    <w:rsid w:val="3D361E88"/>
    <w:rsid w:val="3D3A3C3D"/>
    <w:rsid w:val="3D4C4431"/>
    <w:rsid w:val="3D5B18EE"/>
    <w:rsid w:val="3D697A37"/>
    <w:rsid w:val="3D7D7AB7"/>
    <w:rsid w:val="3D87623F"/>
    <w:rsid w:val="3D9646D4"/>
    <w:rsid w:val="3D995F73"/>
    <w:rsid w:val="3DC95243"/>
    <w:rsid w:val="3DE07FF0"/>
    <w:rsid w:val="3DF21BF1"/>
    <w:rsid w:val="3DFB1EF6"/>
    <w:rsid w:val="3E047890"/>
    <w:rsid w:val="3E06185A"/>
    <w:rsid w:val="3E0D42F0"/>
    <w:rsid w:val="3E2449C7"/>
    <w:rsid w:val="3E2C6DE7"/>
    <w:rsid w:val="3E3363C7"/>
    <w:rsid w:val="3E976956"/>
    <w:rsid w:val="3F0538C0"/>
    <w:rsid w:val="3F073ADC"/>
    <w:rsid w:val="3F2008F3"/>
    <w:rsid w:val="3F2F6B8F"/>
    <w:rsid w:val="3F390778"/>
    <w:rsid w:val="3F3D6161"/>
    <w:rsid w:val="3F5F71E0"/>
    <w:rsid w:val="3F9966FE"/>
    <w:rsid w:val="3FB5786C"/>
    <w:rsid w:val="3FB672B0"/>
    <w:rsid w:val="3FE306FB"/>
    <w:rsid w:val="3FEA0D08"/>
    <w:rsid w:val="3FEB51AC"/>
    <w:rsid w:val="400242A3"/>
    <w:rsid w:val="400358C7"/>
    <w:rsid w:val="4004001B"/>
    <w:rsid w:val="400B3176"/>
    <w:rsid w:val="401122A5"/>
    <w:rsid w:val="40112738"/>
    <w:rsid w:val="40582115"/>
    <w:rsid w:val="407F6327"/>
    <w:rsid w:val="408E0651"/>
    <w:rsid w:val="408F11E5"/>
    <w:rsid w:val="4099576A"/>
    <w:rsid w:val="40DC29CF"/>
    <w:rsid w:val="410B1343"/>
    <w:rsid w:val="411C1395"/>
    <w:rsid w:val="414E5376"/>
    <w:rsid w:val="41626E05"/>
    <w:rsid w:val="418952B9"/>
    <w:rsid w:val="418C2076"/>
    <w:rsid w:val="4196079D"/>
    <w:rsid w:val="419D0246"/>
    <w:rsid w:val="41C31810"/>
    <w:rsid w:val="41D0313B"/>
    <w:rsid w:val="41DD28D2"/>
    <w:rsid w:val="41E33C60"/>
    <w:rsid w:val="41E41548"/>
    <w:rsid w:val="42114C71"/>
    <w:rsid w:val="42150157"/>
    <w:rsid w:val="421C10AE"/>
    <w:rsid w:val="422E1516"/>
    <w:rsid w:val="425D3A13"/>
    <w:rsid w:val="42912938"/>
    <w:rsid w:val="429E3AD6"/>
    <w:rsid w:val="42B44D10"/>
    <w:rsid w:val="42BA41B0"/>
    <w:rsid w:val="42C13FA2"/>
    <w:rsid w:val="42C910A8"/>
    <w:rsid w:val="42DB3C12"/>
    <w:rsid w:val="42DE1E2E"/>
    <w:rsid w:val="42ED0CF9"/>
    <w:rsid w:val="430C15CB"/>
    <w:rsid w:val="430C699F"/>
    <w:rsid w:val="433F4523"/>
    <w:rsid w:val="435D2698"/>
    <w:rsid w:val="437943F5"/>
    <w:rsid w:val="439E2535"/>
    <w:rsid w:val="43A80694"/>
    <w:rsid w:val="43B6162D"/>
    <w:rsid w:val="43C13F0D"/>
    <w:rsid w:val="43DF5FA7"/>
    <w:rsid w:val="43F403A7"/>
    <w:rsid w:val="44220A07"/>
    <w:rsid w:val="442C5D93"/>
    <w:rsid w:val="442C7B41"/>
    <w:rsid w:val="445F5FF9"/>
    <w:rsid w:val="44A578BE"/>
    <w:rsid w:val="44AD5AB7"/>
    <w:rsid w:val="44AD6ED3"/>
    <w:rsid w:val="44BA339E"/>
    <w:rsid w:val="44F93EC7"/>
    <w:rsid w:val="44FA73AF"/>
    <w:rsid w:val="45045C1E"/>
    <w:rsid w:val="45280308"/>
    <w:rsid w:val="452E517F"/>
    <w:rsid w:val="45322F35"/>
    <w:rsid w:val="453E7B2C"/>
    <w:rsid w:val="455235D7"/>
    <w:rsid w:val="45967968"/>
    <w:rsid w:val="459D6B25"/>
    <w:rsid w:val="45AC718B"/>
    <w:rsid w:val="45AD39D7"/>
    <w:rsid w:val="45BC08E0"/>
    <w:rsid w:val="46100AF5"/>
    <w:rsid w:val="46144D30"/>
    <w:rsid w:val="466C06C8"/>
    <w:rsid w:val="46717A8D"/>
    <w:rsid w:val="46893028"/>
    <w:rsid w:val="46A02C50"/>
    <w:rsid w:val="46A674BD"/>
    <w:rsid w:val="46B458C0"/>
    <w:rsid w:val="46C40504"/>
    <w:rsid w:val="46CB0A3C"/>
    <w:rsid w:val="46E77832"/>
    <w:rsid w:val="46EA736D"/>
    <w:rsid w:val="47134122"/>
    <w:rsid w:val="47213261"/>
    <w:rsid w:val="472879B0"/>
    <w:rsid w:val="474D3AEE"/>
    <w:rsid w:val="474E0CD4"/>
    <w:rsid w:val="47615D53"/>
    <w:rsid w:val="47617388"/>
    <w:rsid w:val="47623A9A"/>
    <w:rsid w:val="47694C08"/>
    <w:rsid w:val="479559FD"/>
    <w:rsid w:val="4796702E"/>
    <w:rsid w:val="47A31000"/>
    <w:rsid w:val="47C1468F"/>
    <w:rsid w:val="47CD33E9"/>
    <w:rsid w:val="481608EC"/>
    <w:rsid w:val="48270292"/>
    <w:rsid w:val="484418FD"/>
    <w:rsid w:val="485D29BF"/>
    <w:rsid w:val="487429ED"/>
    <w:rsid w:val="487E3BD5"/>
    <w:rsid w:val="48BB1493"/>
    <w:rsid w:val="48C37705"/>
    <w:rsid w:val="48D11064"/>
    <w:rsid w:val="48D577B9"/>
    <w:rsid w:val="48D6451F"/>
    <w:rsid w:val="48FA020D"/>
    <w:rsid w:val="490620D6"/>
    <w:rsid w:val="49105C83"/>
    <w:rsid w:val="49350787"/>
    <w:rsid w:val="493E5947"/>
    <w:rsid w:val="495723CC"/>
    <w:rsid w:val="49697141"/>
    <w:rsid w:val="497004D0"/>
    <w:rsid w:val="49A53A73"/>
    <w:rsid w:val="49B36F80"/>
    <w:rsid w:val="49BA59AE"/>
    <w:rsid w:val="49BE748D"/>
    <w:rsid w:val="49C460CC"/>
    <w:rsid w:val="49D97E23"/>
    <w:rsid w:val="4A080708"/>
    <w:rsid w:val="4A17094B"/>
    <w:rsid w:val="4A1B043B"/>
    <w:rsid w:val="4A4C4A99"/>
    <w:rsid w:val="4A91694F"/>
    <w:rsid w:val="4ABD14F2"/>
    <w:rsid w:val="4B3D2633"/>
    <w:rsid w:val="4B524331"/>
    <w:rsid w:val="4B5E0F27"/>
    <w:rsid w:val="4B9366F7"/>
    <w:rsid w:val="4BC55F37"/>
    <w:rsid w:val="4C03562B"/>
    <w:rsid w:val="4C1454C5"/>
    <w:rsid w:val="4C1E4213"/>
    <w:rsid w:val="4C35155C"/>
    <w:rsid w:val="4C3C03DF"/>
    <w:rsid w:val="4C4719BC"/>
    <w:rsid w:val="4C51283A"/>
    <w:rsid w:val="4C5944B1"/>
    <w:rsid w:val="4C6F3A23"/>
    <w:rsid w:val="4C8F5C62"/>
    <w:rsid w:val="4CA26BF2"/>
    <w:rsid w:val="4CA77A88"/>
    <w:rsid w:val="4CEC60BF"/>
    <w:rsid w:val="4D0168EA"/>
    <w:rsid w:val="4D027EED"/>
    <w:rsid w:val="4D355CB8"/>
    <w:rsid w:val="4D4001B9"/>
    <w:rsid w:val="4D4B557E"/>
    <w:rsid w:val="4D4F2E7D"/>
    <w:rsid w:val="4D5D520F"/>
    <w:rsid w:val="4D6E32E7"/>
    <w:rsid w:val="4DA370C6"/>
    <w:rsid w:val="4DB320D6"/>
    <w:rsid w:val="4DB62C9A"/>
    <w:rsid w:val="4DD67651"/>
    <w:rsid w:val="4DD75848"/>
    <w:rsid w:val="4DD958BA"/>
    <w:rsid w:val="4DEB3918"/>
    <w:rsid w:val="4DEF4911"/>
    <w:rsid w:val="4E192EE4"/>
    <w:rsid w:val="4E1C4782"/>
    <w:rsid w:val="4E267A1C"/>
    <w:rsid w:val="4E3221F7"/>
    <w:rsid w:val="4E74636C"/>
    <w:rsid w:val="4EA9414C"/>
    <w:rsid w:val="4EC779CB"/>
    <w:rsid w:val="4EE87ACC"/>
    <w:rsid w:val="4EEF1E97"/>
    <w:rsid w:val="4EFE47D1"/>
    <w:rsid w:val="4F122A8C"/>
    <w:rsid w:val="4F244236"/>
    <w:rsid w:val="4F802EB1"/>
    <w:rsid w:val="4FC7696F"/>
    <w:rsid w:val="4FE00907"/>
    <w:rsid w:val="4FE97FF4"/>
    <w:rsid w:val="4FF05EC6"/>
    <w:rsid w:val="4FF63749"/>
    <w:rsid w:val="50102AE1"/>
    <w:rsid w:val="50605398"/>
    <w:rsid w:val="507408A5"/>
    <w:rsid w:val="50832EE6"/>
    <w:rsid w:val="508A67B9"/>
    <w:rsid w:val="509E39F8"/>
    <w:rsid w:val="509E3AE8"/>
    <w:rsid w:val="50DE6894"/>
    <w:rsid w:val="510150F1"/>
    <w:rsid w:val="51124B24"/>
    <w:rsid w:val="512322CB"/>
    <w:rsid w:val="512A23E5"/>
    <w:rsid w:val="51417EDC"/>
    <w:rsid w:val="51654692"/>
    <w:rsid w:val="51B03B5F"/>
    <w:rsid w:val="51C13FBE"/>
    <w:rsid w:val="51D14ACF"/>
    <w:rsid w:val="51E073BF"/>
    <w:rsid w:val="51FA638D"/>
    <w:rsid w:val="5200056D"/>
    <w:rsid w:val="52181704"/>
    <w:rsid w:val="52291B63"/>
    <w:rsid w:val="523429E2"/>
    <w:rsid w:val="5237602E"/>
    <w:rsid w:val="52392F23"/>
    <w:rsid w:val="525A17EE"/>
    <w:rsid w:val="525A3919"/>
    <w:rsid w:val="52741030"/>
    <w:rsid w:val="527E5A0B"/>
    <w:rsid w:val="527F1783"/>
    <w:rsid w:val="52923265"/>
    <w:rsid w:val="529951F6"/>
    <w:rsid w:val="52A42F98"/>
    <w:rsid w:val="52B11F76"/>
    <w:rsid w:val="52B551A5"/>
    <w:rsid w:val="52C37BA3"/>
    <w:rsid w:val="52D3458B"/>
    <w:rsid w:val="52ED43B9"/>
    <w:rsid w:val="53014291"/>
    <w:rsid w:val="53043E75"/>
    <w:rsid w:val="53084363"/>
    <w:rsid w:val="533D4D64"/>
    <w:rsid w:val="53414391"/>
    <w:rsid w:val="535B3F9E"/>
    <w:rsid w:val="537C0DFA"/>
    <w:rsid w:val="53BF452D"/>
    <w:rsid w:val="53F944C5"/>
    <w:rsid w:val="543A0058"/>
    <w:rsid w:val="545A24A8"/>
    <w:rsid w:val="547509DC"/>
    <w:rsid w:val="54A454D1"/>
    <w:rsid w:val="54A82930"/>
    <w:rsid w:val="54DE6C35"/>
    <w:rsid w:val="5521008A"/>
    <w:rsid w:val="553E1687"/>
    <w:rsid w:val="55564A1D"/>
    <w:rsid w:val="555C3AC6"/>
    <w:rsid w:val="556402C9"/>
    <w:rsid w:val="55750DBC"/>
    <w:rsid w:val="558772CD"/>
    <w:rsid w:val="55985036"/>
    <w:rsid w:val="55A44331"/>
    <w:rsid w:val="55C20305"/>
    <w:rsid w:val="55E1008E"/>
    <w:rsid w:val="55E97640"/>
    <w:rsid w:val="55F07786"/>
    <w:rsid w:val="55FE3948"/>
    <w:rsid w:val="56186177"/>
    <w:rsid w:val="561D6585"/>
    <w:rsid w:val="5624780D"/>
    <w:rsid w:val="56290384"/>
    <w:rsid w:val="565A6D84"/>
    <w:rsid w:val="565F5B54"/>
    <w:rsid w:val="567206DB"/>
    <w:rsid w:val="56862083"/>
    <w:rsid w:val="569F509D"/>
    <w:rsid w:val="56B20706"/>
    <w:rsid w:val="56E83D9B"/>
    <w:rsid w:val="56F73FDE"/>
    <w:rsid w:val="56F774F1"/>
    <w:rsid w:val="570F1E19"/>
    <w:rsid w:val="571738AF"/>
    <w:rsid w:val="571E5A0F"/>
    <w:rsid w:val="57454278"/>
    <w:rsid w:val="574A6804"/>
    <w:rsid w:val="577C3646"/>
    <w:rsid w:val="57827F81"/>
    <w:rsid w:val="57961A49"/>
    <w:rsid w:val="579730CB"/>
    <w:rsid w:val="57CF7F7D"/>
    <w:rsid w:val="57D91936"/>
    <w:rsid w:val="57DF13E7"/>
    <w:rsid w:val="57E304CE"/>
    <w:rsid w:val="58117322"/>
    <w:rsid w:val="58160494"/>
    <w:rsid w:val="582B5282"/>
    <w:rsid w:val="5835523D"/>
    <w:rsid w:val="583D3C73"/>
    <w:rsid w:val="585A4825"/>
    <w:rsid w:val="587B0C5A"/>
    <w:rsid w:val="587D7E5A"/>
    <w:rsid w:val="58874E91"/>
    <w:rsid w:val="5889335C"/>
    <w:rsid w:val="58B8109E"/>
    <w:rsid w:val="58D00F8B"/>
    <w:rsid w:val="58D04CC8"/>
    <w:rsid w:val="58D357E0"/>
    <w:rsid w:val="58D77C23"/>
    <w:rsid w:val="58EF1411"/>
    <w:rsid w:val="58F419FA"/>
    <w:rsid w:val="590B1FC3"/>
    <w:rsid w:val="591E1CF6"/>
    <w:rsid w:val="594340A3"/>
    <w:rsid w:val="596021C9"/>
    <w:rsid w:val="59725B9E"/>
    <w:rsid w:val="59835FFD"/>
    <w:rsid w:val="59975605"/>
    <w:rsid w:val="59B166C6"/>
    <w:rsid w:val="59DD570D"/>
    <w:rsid w:val="5A250E62"/>
    <w:rsid w:val="5A627366"/>
    <w:rsid w:val="5A78276B"/>
    <w:rsid w:val="5AA9356E"/>
    <w:rsid w:val="5AC5796A"/>
    <w:rsid w:val="5AE34FA5"/>
    <w:rsid w:val="5AE66844"/>
    <w:rsid w:val="5AF820D3"/>
    <w:rsid w:val="5B1D63D9"/>
    <w:rsid w:val="5B2E3D47"/>
    <w:rsid w:val="5B3B494B"/>
    <w:rsid w:val="5BA1276A"/>
    <w:rsid w:val="5BA142A2"/>
    <w:rsid w:val="5BA32F4B"/>
    <w:rsid w:val="5BC22E0D"/>
    <w:rsid w:val="5BC40C35"/>
    <w:rsid w:val="5BDC19F5"/>
    <w:rsid w:val="5BDD7C46"/>
    <w:rsid w:val="5C0A0310"/>
    <w:rsid w:val="5C0C052C"/>
    <w:rsid w:val="5C0E3D80"/>
    <w:rsid w:val="5C2A09B2"/>
    <w:rsid w:val="5C3754AC"/>
    <w:rsid w:val="5C6A0DAE"/>
    <w:rsid w:val="5C6C38DE"/>
    <w:rsid w:val="5C9658DF"/>
    <w:rsid w:val="5C9B365E"/>
    <w:rsid w:val="5CA5200E"/>
    <w:rsid w:val="5CE943C9"/>
    <w:rsid w:val="5CEA18F9"/>
    <w:rsid w:val="5D5A7075"/>
    <w:rsid w:val="5D641CA2"/>
    <w:rsid w:val="5D661A26"/>
    <w:rsid w:val="5D6F2B20"/>
    <w:rsid w:val="5D8D288B"/>
    <w:rsid w:val="5DE80ECD"/>
    <w:rsid w:val="5DE828D3"/>
    <w:rsid w:val="5E062D59"/>
    <w:rsid w:val="5E190CDE"/>
    <w:rsid w:val="5E2D1110"/>
    <w:rsid w:val="5E6006BB"/>
    <w:rsid w:val="5E677C9B"/>
    <w:rsid w:val="5E6A778C"/>
    <w:rsid w:val="5EA70098"/>
    <w:rsid w:val="5EAA7148"/>
    <w:rsid w:val="5ED25E09"/>
    <w:rsid w:val="5F217E4A"/>
    <w:rsid w:val="5F257D99"/>
    <w:rsid w:val="5FA35AB4"/>
    <w:rsid w:val="5FB02275"/>
    <w:rsid w:val="5FB4382E"/>
    <w:rsid w:val="600D2A18"/>
    <w:rsid w:val="600F05EB"/>
    <w:rsid w:val="60152BED"/>
    <w:rsid w:val="601C6864"/>
    <w:rsid w:val="605635E0"/>
    <w:rsid w:val="60885E2E"/>
    <w:rsid w:val="60A03B80"/>
    <w:rsid w:val="60C03693"/>
    <w:rsid w:val="60C77753"/>
    <w:rsid w:val="613A1697"/>
    <w:rsid w:val="613B0F6B"/>
    <w:rsid w:val="615C359C"/>
    <w:rsid w:val="615D7326"/>
    <w:rsid w:val="61A415D4"/>
    <w:rsid w:val="61B72CE8"/>
    <w:rsid w:val="61E0223F"/>
    <w:rsid w:val="62065A1D"/>
    <w:rsid w:val="620A016C"/>
    <w:rsid w:val="6219424F"/>
    <w:rsid w:val="622163B3"/>
    <w:rsid w:val="6256605D"/>
    <w:rsid w:val="62774225"/>
    <w:rsid w:val="62813D56"/>
    <w:rsid w:val="628A3F58"/>
    <w:rsid w:val="62AD76C0"/>
    <w:rsid w:val="62B66AFB"/>
    <w:rsid w:val="62C507C9"/>
    <w:rsid w:val="62D11B87"/>
    <w:rsid w:val="62DA698E"/>
    <w:rsid w:val="62DB40E8"/>
    <w:rsid w:val="630D7CD1"/>
    <w:rsid w:val="63272A98"/>
    <w:rsid w:val="63411071"/>
    <w:rsid w:val="63422A85"/>
    <w:rsid w:val="634405AB"/>
    <w:rsid w:val="638906B4"/>
    <w:rsid w:val="6390559E"/>
    <w:rsid w:val="63A24B7C"/>
    <w:rsid w:val="63B30F2E"/>
    <w:rsid w:val="63B53257"/>
    <w:rsid w:val="640161A2"/>
    <w:rsid w:val="640C1C55"/>
    <w:rsid w:val="643B7C00"/>
    <w:rsid w:val="644B5969"/>
    <w:rsid w:val="64557053"/>
    <w:rsid w:val="645A795A"/>
    <w:rsid w:val="646B1B68"/>
    <w:rsid w:val="64754DD6"/>
    <w:rsid w:val="647E0D38"/>
    <w:rsid w:val="64986EFA"/>
    <w:rsid w:val="64A60857"/>
    <w:rsid w:val="64AB2B3B"/>
    <w:rsid w:val="64ED0C9E"/>
    <w:rsid w:val="64F102BF"/>
    <w:rsid w:val="65041398"/>
    <w:rsid w:val="650A75D2"/>
    <w:rsid w:val="65285AD1"/>
    <w:rsid w:val="65313BDA"/>
    <w:rsid w:val="65433F0C"/>
    <w:rsid w:val="65532B79"/>
    <w:rsid w:val="65885901"/>
    <w:rsid w:val="65A63177"/>
    <w:rsid w:val="65B25CA0"/>
    <w:rsid w:val="65D5198E"/>
    <w:rsid w:val="65DE028D"/>
    <w:rsid w:val="660D2ED6"/>
    <w:rsid w:val="662C2107"/>
    <w:rsid w:val="666920D7"/>
    <w:rsid w:val="6683763C"/>
    <w:rsid w:val="66A93C9E"/>
    <w:rsid w:val="66BE6020"/>
    <w:rsid w:val="66E77BCB"/>
    <w:rsid w:val="66F525EC"/>
    <w:rsid w:val="66F66060"/>
    <w:rsid w:val="66F93129"/>
    <w:rsid w:val="674E6C15"/>
    <w:rsid w:val="675114E9"/>
    <w:rsid w:val="6760004A"/>
    <w:rsid w:val="67867202"/>
    <w:rsid w:val="679D40EC"/>
    <w:rsid w:val="67A96C2F"/>
    <w:rsid w:val="67AC671F"/>
    <w:rsid w:val="67AE2497"/>
    <w:rsid w:val="67AF7FBD"/>
    <w:rsid w:val="67C617E9"/>
    <w:rsid w:val="67C63C85"/>
    <w:rsid w:val="67E450CE"/>
    <w:rsid w:val="67EC2CD6"/>
    <w:rsid w:val="67F52622"/>
    <w:rsid w:val="68051B05"/>
    <w:rsid w:val="68282249"/>
    <w:rsid w:val="68300192"/>
    <w:rsid w:val="685D37E3"/>
    <w:rsid w:val="68641653"/>
    <w:rsid w:val="68645737"/>
    <w:rsid w:val="687F09E7"/>
    <w:rsid w:val="688356D2"/>
    <w:rsid w:val="688A4CB2"/>
    <w:rsid w:val="688F59BE"/>
    <w:rsid w:val="68CF0D4C"/>
    <w:rsid w:val="68DE4FFE"/>
    <w:rsid w:val="68E32614"/>
    <w:rsid w:val="68F13666"/>
    <w:rsid w:val="692718FA"/>
    <w:rsid w:val="692D1AE1"/>
    <w:rsid w:val="693410C2"/>
    <w:rsid w:val="693B7312"/>
    <w:rsid w:val="694035C3"/>
    <w:rsid w:val="694401A7"/>
    <w:rsid w:val="6949691B"/>
    <w:rsid w:val="697274F4"/>
    <w:rsid w:val="69787200"/>
    <w:rsid w:val="697F233D"/>
    <w:rsid w:val="69B2159C"/>
    <w:rsid w:val="69BE7BAE"/>
    <w:rsid w:val="69C90AA3"/>
    <w:rsid w:val="69D106BF"/>
    <w:rsid w:val="69D87C9F"/>
    <w:rsid w:val="69EF3163"/>
    <w:rsid w:val="6A060AF0"/>
    <w:rsid w:val="6A387B61"/>
    <w:rsid w:val="6A540158"/>
    <w:rsid w:val="6A542DAB"/>
    <w:rsid w:val="6A616103"/>
    <w:rsid w:val="6A9736B6"/>
    <w:rsid w:val="6ABA1153"/>
    <w:rsid w:val="6ABE0C43"/>
    <w:rsid w:val="6AD13784"/>
    <w:rsid w:val="6AE663EC"/>
    <w:rsid w:val="6AF24D91"/>
    <w:rsid w:val="6B3158B9"/>
    <w:rsid w:val="6B37171D"/>
    <w:rsid w:val="6B3A2BB1"/>
    <w:rsid w:val="6B493A4E"/>
    <w:rsid w:val="6B601CFA"/>
    <w:rsid w:val="6B881251"/>
    <w:rsid w:val="6BD75E7E"/>
    <w:rsid w:val="6BE566A3"/>
    <w:rsid w:val="6C0C1E82"/>
    <w:rsid w:val="6C3F4006"/>
    <w:rsid w:val="6C4F72C1"/>
    <w:rsid w:val="6C7A503E"/>
    <w:rsid w:val="6C946959"/>
    <w:rsid w:val="6CB9494B"/>
    <w:rsid w:val="6CEB1A97"/>
    <w:rsid w:val="6CF84455"/>
    <w:rsid w:val="6D08089B"/>
    <w:rsid w:val="6D162FB8"/>
    <w:rsid w:val="6D1B2659"/>
    <w:rsid w:val="6D390A55"/>
    <w:rsid w:val="6D4A2C62"/>
    <w:rsid w:val="6D561607"/>
    <w:rsid w:val="6D5D0BE7"/>
    <w:rsid w:val="6D744821"/>
    <w:rsid w:val="6D8F5206"/>
    <w:rsid w:val="6D91263F"/>
    <w:rsid w:val="6DAF51BB"/>
    <w:rsid w:val="6DD5080B"/>
    <w:rsid w:val="6DEE254B"/>
    <w:rsid w:val="6DF2723B"/>
    <w:rsid w:val="6DFD5F26"/>
    <w:rsid w:val="6E100C6D"/>
    <w:rsid w:val="6E105C5A"/>
    <w:rsid w:val="6E290AC9"/>
    <w:rsid w:val="6E4006B2"/>
    <w:rsid w:val="6E427DDD"/>
    <w:rsid w:val="6E4C65BD"/>
    <w:rsid w:val="6E5B5D88"/>
    <w:rsid w:val="6E62222D"/>
    <w:rsid w:val="6E8B3532"/>
    <w:rsid w:val="6E8F4FD4"/>
    <w:rsid w:val="6E9D4ECA"/>
    <w:rsid w:val="6EF83998"/>
    <w:rsid w:val="6F1060F6"/>
    <w:rsid w:val="6F541B76"/>
    <w:rsid w:val="6F5953DE"/>
    <w:rsid w:val="6F7E1B58"/>
    <w:rsid w:val="6F8B7B20"/>
    <w:rsid w:val="6FA64AAB"/>
    <w:rsid w:val="6FE0165C"/>
    <w:rsid w:val="6FE74798"/>
    <w:rsid w:val="70593DDE"/>
    <w:rsid w:val="70633D9B"/>
    <w:rsid w:val="706A0C87"/>
    <w:rsid w:val="7072466B"/>
    <w:rsid w:val="708741CD"/>
    <w:rsid w:val="709A7A5C"/>
    <w:rsid w:val="70B30B1E"/>
    <w:rsid w:val="70B76860"/>
    <w:rsid w:val="70C66AA3"/>
    <w:rsid w:val="70CE7706"/>
    <w:rsid w:val="70E76A1A"/>
    <w:rsid w:val="70F16E84"/>
    <w:rsid w:val="70F9549B"/>
    <w:rsid w:val="70FA04FB"/>
    <w:rsid w:val="70FF3D63"/>
    <w:rsid w:val="71092E34"/>
    <w:rsid w:val="710E3FA6"/>
    <w:rsid w:val="71127F06"/>
    <w:rsid w:val="713C6D66"/>
    <w:rsid w:val="71445C1A"/>
    <w:rsid w:val="71765B16"/>
    <w:rsid w:val="71A208FD"/>
    <w:rsid w:val="71B11502"/>
    <w:rsid w:val="71C07997"/>
    <w:rsid w:val="71D074AE"/>
    <w:rsid w:val="71F80EDE"/>
    <w:rsid w:val="72203F91"/>
    <w:rsid w:val="724203AC"/>
    <w:rsid w:val="725026E2"/>
    <w:rsid w:val="725325B9"/>
    <w:rsid w:val="725351DA"/>
    <w:rsid w:val="727A15DA"/>
    <w:rsid w:val="72987FCC"/>
    <w:rsid w:val="72CC5EC7"/>
    <w:rsid w:val="72D54D7C"/>
    <w:rsid w:val="72E41463"/>
    <w:rsid w:val="72EA7879"/>
    <w:rsid w:val="730F43F8"/>
    <w:rsid w:val="73104006"/>
    <w:rsid w:val="733A1083"/>
    <w:rsid w:val="7343262D"/>
    <w:rsid w:val="7346093C"/>
    <w:rsid w:val="73490DFC"/>
    <w:rsid w:val="736F3422"/>
    <w:rsid w:val="73734595"/>
    <w:rsid w:val="73B9469D"/>
    <w:rsid w:val="73DD1399"/>
    <w:rsid w:val="73EE0CA0"/>
    <w:rsid w:val="7420296E"/>
    <w:rsid w:val="74356371"/>
    <w:rsid w:val="74485A21"/>
    <w:rsid w:val="744F0B5E"/>
    <w:rsid w:val="74885923"/>
    <w:rsid w:val="749E6B82"/>
    <w:rsid w:val="74D66009"/>
    <w:rsid w:val="752244C4"/>
    <w:rsid w:val="754461E9"/>
    <w:rsid w:val="755E34DB"/>
    <w:rsid w:val="75623F7A"/>
    <w:rsid w:val="757203DB"/>
    <w:rsid w:val="75750A98"/>
    <w:rsid w:val="757D05AD"/>
    <w:rsid w:val="75862CA5"/>
    <w:rsid w:val="75C010BA"/>
    <w:rsid w:val="76092CCA"/>
    <w:rsid w:val="76257DC8"/>
    <w:rsid w:val="763837E6"/>
    <w:rsid w:val="76426A32"/>
    <w:rsid w:val="766C59F7"/>
    <w:rsid w:val="766E5C13"/>
    <w:rsid w:val="767C11D2"/>
    <w:rsid w:val="768A40CF"/>
    <w:rsid w:val="76AF7FDA"/>
    <w:rsid w:val="76B71FA1"/>
    <w:rsid w:val="76DA5057"/>
    <w:rsid w:val="76EA0007"/>
    <w:rsid w:val="76FD0D45"/>
    <w:rsid w:val="77130569"/>
    <w:rsid w:val="7714093C"/>
    <w:rsid w:val="771A5453"/>
    <w:rsid w:val="771D5238"/>
    <w:rsid w:val="77242776"/>
    <w:rsid w:val="77764653"/>
    <w:rsid w:val="77784870"/>
    <w:rsid w:val="77B238DE"/>
    <w:rsid w:val="77B358A8"/>
    <w:rsid w:val="77B876AC"/>
    <w:rsid w:val="77C41863"/>
    <w:rsid w:val="77C43611"/>
    <w:rsid w:val="77C80DE4"/>
    <w:rsid w:val="77C83101"/>
    <w:rsid w:val="77E13BA0"/>
    <w:rsid w:val="77FC724F"/>
    <w:rsid w:val="783B1B25"/>
    <w:rsid w:val="786646C8"/>
    <w:rsid w:val="7871571C"/>
    <w:rsid w:val="78B33397"/>
    <w:rsid w:val="78B54414"/>
    <w:rsid w:val="78BF0CEF"/>
    <w:rsid w:val="78EA76EE"/>
    <w:rsid w:val="78FE2050"/>
    <w:rsid w:val="7955517B"/>
    <w:rsid w:val="79586707"/>
    <w:rsid w:val="79664F44"/>
    <w:rsid w:val="79DF579A"/>
    <w:rsid w:val="79F77CCE"/>
    <w:rsid w:val="79FA5A10"/>
    <w:rsid w:val="7A067F11"/>
    <w:rsid w:val="7A1A0F94"/>
    <w:rsid w:val="7A1B1294"/>
    <w:rsid w:val="7A1B74E4"/>
    <w:rsid w:val="7A1C7878"/>
    <w:rsid w:val="7A2111EE"/>
    <w:rsid w:val="7A2544C3"/>
    <w:rsid w:val="7A37631C"/>
    <w:rsid w:val="7A401675"/>
    <w:rsid w:val="7A603412"/>
    <w:rsid w:val="7A910FA6"/>
    <w:rsid w:val="7A925C48"/>
    <w:rsid w:val="7A955AA3"/>
    <w:rsid w:val="7AB17498"/>
    <w:rsid w:val="7AB20E73"/>
    <w:rsid w:val="7AEB57A3"/>
    <w:rsid w:val="7AF70927"/>
    <w:rsid w:val="7B3B008E"/>
    <w:rsid w:val="7B4231CA"/>
    <w:rsid w:val="7B424F78"/>
    <w:rsid w:val="7B4B7865"/>
    <w:rsid w:val="7B62481E"/>
    <w:rsid w:val="7B902188"/>
    <w:rsid w:val="7B971942"/>
    <w:rsid w:val="7B9E3DFA"/>
    <w:rsid w:val="7BB63A0E"/>
    <w:rsid w:val="7BD210AC"/>
    <w:rsid w:val="7C137C33"/>
    <w:rsid w:val="7C1C1C6D"/>
    <w:rsid w:val="7C1F2ED6"/>
    <w:rsid w:val="7C501917"/>
    <w:rsid w:val="7C5E5EE7"/>
    <w:rsid w:val="7C7C270C"/>
    <w:rsid w:val="7C857813"/>
    <w:rsid w:val="7CBE4AD3"/>
    <w:rsid w:val="7CC9189C"/>
    <w:rsid w:val="7CD40EEA"/>
    <w:rsid w:val="7CDC31AB"/>
    <w:rsid w:val="7CF60710"/>
    <w:rsid w:val="7D003100"/>
    <w:rsid w:val="7D2C47B0"/>
    <w:rsid w:val="7D40373A"/>
    <w:rsid w:val="7D7F551F"/>
    <w:rsid w:val="7D9B4867"/>
    <w:rsid w:val="7DC3365B"/>
    <w:rsid w:val="7E203C95"/>
    <w:rsid w:val="7E2F3AA9"/>
    <w:rsid w:val="7E494870"/>
    <w:rsid w:val="7E4F2B52"/>
    <w:rsid w:val="7E68119A"/>
    <w:rsid w:val="7E6E5448"/>
    <w:rsid w:val="7E955D07"/>
    <w:rsid w:val="7EC14203"/>
    <w:rsid w:val="7EC16AFC"/>
    <w:rsid w:val="7EDE145C"/>
    <w:rsid w:val="7EEA1BAF"/>
    <w:rsid w:val="7F053548"/>
    <w:rsid w:val="7F1B620C"/>
    <w:rsid w:val="7F231565"/>
    <w:rsid w:val="7F403D11"/>
    <w:rsid w:val="7F572FBC"/>
    <w:rsid w:val="7F631961"/>
    <w:rsid w:val="7F932247"/>
    <w:rsid w:val="7F9E2999"/>
    <w:rsid w:val="7FCA5830"/>
    <w:rsid w:val="7FDD1714"/>
    <w:rsid w:val="7FE11CDD"/>
    <w:rsid w:val="7FE42AA2"/>
    <w:rsid w:val="7FF274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eastAsia" w:ascii="宋体" w:hAnsi="等线" w:eastAsia="等线" w:cs="Times New Roman"/>
      <w:kern w:val="2"/>
      <w:sz w:val="24"/>
      <w:lang w:val="en-US" w:eastAsia="zh-CN" w:bidi="ar-SA"/>
    </w:rPr>
  </w:style>
  <w:style w:type="paragraph" w:styleId="3">
    <w:name w:val="heading 1"/>
    <w:basedOn w:val="1"/>
    <w:next w:val="1"/>
    <w:qFormat/>
    <w:uiPriority w:val="0"/>
    <w:pPr>
      <w:autoSpaceDE w:val="0"/>
      <w:autoSpaceDN w:val="0"/>
      <w:adjustRightInd w:val="0"/>
      <w:jc w:val="left"/>
      <w:outlineLvl w:val="0"/>
    </w:pPr>
    <w:rPr>
      <w:kern w:val="0"/>
      <w:sz w:val="30"/>
    </w:rPr>
  </w:style>
  <w:style w:type="paragraph" w:styleId="4">
    <w:name w:val="heading 2"/>
    <w:basedOn w:val="1"/>
    <w:next w:val="1"/>
    <w:link w:val="83"/>
    <w:qFormat/>
    <w:uiPriority w:val="0"/>
    <w:pPr>
      <w:autoSpaceDE w:val="0"/>
      <w:autoSpaceDN w:val="0"/>
      <w:adjustRightInd w:val="0"/>
      <w:jc w:val="left"/>
      <w:outlineLvl w:val="1"/>
    </w:pPr>
    <w:rPr>
      <w:kern w:val="0"/>
    </w:rPr>
  </w:style>
  <w:style w:type="paragraph" w:styleId="5">
    <w:name w:val="heading 3"/>
    <w:basedOn w:val="1"/>
    <w:next w:val="1"/>
    <w:link w:val="51"/>
    <w:qFormat/>
    <w:uiPriority w:val="0"/>
    <w:pPr>
      <w:keepNext/>
      <w:keepLines/>
      <w:outlineLvl w:val="2"/>
    </w:pPr>
    <w:rPr>
      <w:rFonts w:hint="default" w:ascii="Times New Roman" w:hAnsi="Times New Roman" w:eastAsia="宋体"/>
      <w:b/>
    </w:rPr>
  </w:style>
  <w:style w:type="paragraph" w:styleId="2">
    <w:name w:val="heading 4"/>
    <w:basedOn w:val="1"/>
    <w:next w:val="1"/>
    <w:qFormat/>
    <w:uiPriority w:val="0"/>
    <w:pPr>
      <w:keepNext/>
      <w:keepLines/>
      <w:spacing w:line="372" w:lineRule="auto"/>
      <w:outlineLvl w:val="3"/>
    </w:pPr>
    <w:rPr>
      <w:rFonts w:ascii="Arial" w:hAnsi="Arial" w:eastAsia="黑体"/>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widowControl/>
      <w:ind w:firstLine="420"/>
      <w:jc w:val="left"/>
    </w:pPr>
    <w:rPr>
      <w:kern w:val="0"/>
      <w:sz w:val="20"/>
    </w:rPr>
  </w:style>
  <w:style w:type="paragraph" w:styleId="7">
    <w:name w:val="annotation text"/>
    <w:basedOn w:val="1"/>
    <w:next w:val="1"/>
    <w:qFormat/>
    <w:uiPriority w:val="0"/>
    <w:pPr>
      <w:jc w:val="left"/>
    </w:pPr>
    <w:rPr>
      <w:rFonts w:hint="default" w:ascii="Times New Roman" w:hAnsi="Times New Roman" w:eastAsia="宋体"/>
      <w:sz w:val="21"/>
    </w:rPr>
  </w:style>
  <w:style w:type="paragraph" w:styleId="8">
    <w:name w:val="Body Text"/>
    <w:basedOn w:val="1"/>
    <w:qFormat/>
    <w:uiPriority w:val="0"/>
  </w:style>
  <w:style w:type="paragraph" w:styleId="9">
    <w:name w:val="Body Text Indent"/>
    <w:basedOn w:val="1"/>
    <w:qFormat/>
    <w:uiPriority w:val="0"/>
    <w:pPr>
      <w:ind w:firstLine="560" w:firstLineChars="200"/>
    </w:pPr>
  </w:style>
  <w:style w:type="paragraph" w:styleId="10">
    <w:name w:val="toc 3"/>
    <w:basedOn w:val="1"/>
    <w:next w:val="1"/>
    <w:qFormat/>
    <w:uiPriority w:val="39"/>
    <w:pPr>
      <w:ind w:left="840" w:leftChars="400"/>
    </w:pPr>
  </w:style>
  <w:style w:type="paragraph" w:styleId="11">
    <w:name w:val="Body Text Indent 2"/>
    <w:basedOn w:val="1"/>
    <w:qFormat/>
    <w:uiPriority w:val="0"/>
    <w:pPr>
      <w:spacing w:line="480" w:lineRule="auto"/>
      <w:ind w:firstLine="561"/>
    </w:pPr>
  </w:style>
  <w:style w:type="paragraph" w:styleId="12">
    <w:name w:val="Balloon Text"/>
    <w:basedOn w:val="1"/>
    <w:link w:val="72"/>
    <w:qFormat/>
    <w:uiPriority w:val="0"/>
    <w:rPr>
      <w:sz w:val="18"/>
      <w:szCs w:val="18"/>
    </w:rPr>
  </w:style>
  <w:style w:type="paragraph" w:styleId="13">
    <w:name w:val="footer"/>
    <w:basedOn w:val="1"/>
    <w:next w:val="1"/>
    <w:qFormat/>
    <w:uiPriority w:val="0"/>
    <w:pPr>
      <w:tabs>
        <w:tab w:val="center" w:pos="4153"/>
        <w:tab w:val="right" w:pos="8306"/>
      </w:tabs>
      <w:snapToGrid w:val="0"/>
      <w:jc w:val="left"/>
    </w:pPr>
    <w:rPr>
      <w:sz w:val="18"/>
    </w:rPr>
  </w:style>
  <w:style w:type="paragraph" w:styleId="14">
    <w:name w:val="header"/>
    <w:basedOn w:val="1"/>
    <w:next w:val="1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15">
    <w:name w:val="toc 1"/>
    <w:basedOn w:val="16"/>
    <w:next w:val="1"/>
    <w:qFormat/>
    <w:uiPriority w:val="39"/>
  </w:style>
  <w:style w:type="paragraph" w:styleId="16">
    <w:name w:val="index 1"/>
    <w:basedOn w:val="1"/>
    <w:next w:val="1"/>
    <w:unhideWhenUsed/>
    <w:qFormat/>
    <w:uiPriority w:val="0"/>
  </w:style>
  <w:style w:type="paragraph" w:styleId="17">
    <w:name w:val="toc 4"/>
    <w:basedOn w:val="1"/>
    <w:next w:val="1"/>
    <w:qFormat/>
    <w:uiPriority w:val="0"/>
    <w:pPr>
      <w:ind w:left="1260" w:leftChars="600"/>
    </w:pPr>
  </w:style>
  <w:style w:type="paragraph" w:styleId="18">
    <w:name w:val="toc 2"/>
    <w:basedOn w:val="1"/>
    <w:next w:val="1"/>
    <w:qFormat/>
    <w:uiPriority w:val="39"/>
    <w:pPr>
      <w:ind w:left="420" w:leftChars="200"/>
    </w:pPr>
  </w:style>
  <w:style w:type="paragraph" w:styleId="19">
    <w:name w:val="Body Text 2"/>
    <w:basedOn w:val="1"/>
    <w:next w:val="8"/>
    <w:qFormat/>
    <w:uiPriority w:val="0"/>
    <w:pPr>
      <w:spacing w:line="500" w:lineRule="exact"/>
    </w:pPr>
  </w:style>
  <w:style w:type="paragraph" w:styleId="20">
    <w:name w:val="Normal (Web)"/>
    <w:basedOn w:val="1"/>
    <w:qFormat/>
    <w:uiPriority w:val="0"/>
    <w:pPr>
      <w:widowControl/>
      <w:spacing w:beforeAutospacing="1" w:afterAutospacing="1"/>
      <w:jc w:val="left"/>
    </w:pPr>
    <w:rPr>
      <w:rFonts w:hAnsi="宋体" w:cs="宋体"/>
      <w:color w:val="000000"/>
      <w:kern w:val="0"/>
      <w:szCs w:val="24"/>
    </w:rPr>
  </w:style>
  <w:style w:type="paragraph" w:styleId="21">
    <w:name w:val="Body Text First Indent"/>
    <w:basedOn w:val="8"/>
    <w:qFormat/>
    <w:uiPriority w:val="99"/>
    <w:pPr>
      <w:spacing w:line="240" w:lineRule="auto"/>
      <w:ind w:firstLine="420" w:firstLineChars="100"/>
    </w:pPr>
    <w:rPr>
      <w:rFonts w:ascii="Times New Roman" w:cs="Times New Roman"/>
      <w:sz w:val="20"/>
      <w:szCs w:val="20"/>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FollowedHyperlink"/>
    <w:basedOn w:val="24"/>
    <w:qFormat/>
    <w:uiPriority w:val="0"/>
    <w:rPr>
      <w:color w:val="333333"/>
      <w:u w:val="none"/>
    </w:rPr>
  </w:style>
  <w:style w:type="character" w:styleId="27">
    <w:name w:val="Emphasis"/>
    <w:basedOn w:val="24"/>
    <w:qFormat/>
    <w:uiPriority w:val="0"/>
    <w:rPr>
      <w:i/>
    </w:rPr>
  </w:style>
  <w:style w:type="character" w:styleId="28">
    <w:name w:val="HTML Variable"/>
    <w:basedOn w:val="24"/>
    <w:qFormat/>
    <w:uiPriority w:val="0"/>
    <w:rPr>
      <w:i/>
    </w:rPr>
  </w:style>
  <w:style w:type="character" w:styleId="29">
    <w:name w:val="Hyperlink"/>
    <w:basedOn w:val="24"/>
    <w:qFormat/>
    <w:uiPriority w:val="0"/>
    <w:rPr>
      <w:color w:val="333333"/>
      <w:u w:val="none"/>
    </w:rPr>
  </w:style>
  <w:style w:type="character" w:styleId="30">
    <w:name w:val="HTML Code"/>
    <w:basedOn w:val="24"/>
    <w:qFormat/>
    <w:uiPriority w:val="0"/>
    <w:rPr>
      <w:rFonts w:ascii="Courier New" w:hAnsi="Courier New"/>
      <w:sz w:val="20"/>
    </w:rPr>
  </w:style>
  <w:style w:type="character" w:styleId="31">
    <w:name w:val="HTML Cite"/>
    <w:basedOn w:val="24"/>
    <w:qFormat/>
    <w:uiPriority w:val="0"/>
    <w:rPr>
      <w:i/>
    </w:rPr>
  </w:style>
  <w:style w:type="paragraph" w:customStyle="1" w:styleId="32">
    <w:name w:val="样式 宋体 行距: 1.5 倍行距"/>
    <w:basedOn w:val="33"/>
    <w:next w:val="1"/>
    <w:qFormat/>
    <w:uiPriority w:val="0"/>
    <w:pPr>
      <w:jc w:val="center"/>
    </w:pPr>
    <w:rPr>
      <w:rFonts w:ascii="Times New Roman" w:hAnsi="Times New Roman" w:cs="Times New Roman"/>
      <w:b/>
    </w:rPr>
  </w:style>
  <w:style w:type="paragraph" w:customStyle="1" w:styleId="3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2"/>
    <w:qFormat/>
    <w:uiPriority w:val="0"/>
    <w:pPr>
      <w:widowControl w:val="0"/>
      <w:jc w:val="both"/>
    </w:pPr>
    <w:rPr>
      <w:rFonts w:ascii="Calibri" w:hAnsi="Calibri" w:eastAsia="宋体" w:cs="黑体"/>
      <w:kern w:val="2"/>
      <w:sz w:val="21"/>
      <w:szCs w:val="24"/>
      <w:lang w:val="en-US" w:eastAsia="zh-CN" w:bidi="ar-SA"/>
    </w:rPr>
  </w:style>
  <w:style w:type="paragraph" w:customStyle="1" w:styleId="34">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32"/>
    <w:qFormat/>
    <w:uiPriority w:val="0"/>
    <w:pPr>
      <w:widowControl w:val="0"/>
      <w:jc w:val="both"/>
    </w:pPr>
    <w:rPr>
      <w:rFonts w:ascii="Calibri" w:hAnsi="Calibri" w:eastAsia="宋体" w:cs="黑体"/>
      <w:kern w:val="2"/>
      <w:sz w:val="21"/>
      <w:szCs w:val="24"/>
      <w:lang w:val="en-US" w:eastAsia="zh-CN" w:bidi="ar-SA"/>
    </w:rPr>
  </w:style>
  <w:style w:type="paragraph" w:customStyle="1" w:styleId="35">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6">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37">
    <w:name w:val="正文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38">
    <w:name w:val="标题 1 New"/>
    <w:basedOn w:val="37"/>
    <w:next w:val="37"/>
    <w:qFormat/>
    <w:uiPriority w:val="0"/>
    <w:pPr>
      <w:autoSpaceDE w:val="0"/>
      <w:autoSpaceDN w:val="0"/>
      <w:adjustRightInd w:val="0"/>
      <w:jc w:val="left"/>
      <w:outlineLvl w:val="0"/>
    </w:pPr>
    <w:rPr>
      <w:kern w:val="0"/>
      <w:sz w:val="30"/>
    </w:rPr>
  </w:style>
  <w:style w:type="paragraph" w:customStyle="1" w:styleId="39">
    <w:name w:val="标题 2 New New"/>
    <w:basedOn w:val="37"/>
    <w:next w:val="37"/>
    <w:qFormat/>
    <w:uiPriority w:val="0"/>
    <w:pPr>
      <w:autoSpaceDE w:val="0"/>
      <w:autoSpaceDN w:val="0"/>
      <w:adjustRightInd w:val="0"/>
      <w:jc w:val="left"/>
      <w:outlineLvl w:val="1"/>
    </w:pPr>
    <w:rPr>
      <w:kern w:val="0"/>
    </w:rPr>
  </w:style>
  <w:style w:type="paragraph" w:customStyle="1" w:styleId="4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Normal Indent1"/>
    <w:basedOn w:val="1"/>
    <w:qFormat/>
    <w:uiPriority w:val="0"/>
    <w:pPr>
      <w:widowControl/>
      <w:spacing w:line="360" w:lineRule="auto"/>
      <w:ind w:firstLine="420"/>
      <w:jc w:val="left"/>
    </w:pPr>
    <w:rPr>
      <w:rFonts w:hAnsi="Times New Roman"/>
      <w:kern w:val="0"/>
      <w:sz w:val="20"/>
    </w:rPr>
  </w:style>
  <w:style w:type="paragraph" w:customStyle="1" w:styleId="42">
    <w:name w:val="正文缩进1"/>
    <w:basedOn w:val="1"/>
    <w:qFormat/>
    <w:uiPriority w:val="0"/>
    <w:pPr>
      <w:widowControl/>
      <w:spacing w:line="360" w:lineRule="auto"/>
      <w:ind w:firstLine="420"/>
      <w:jc w:val="left"/>
    </w:pPr>
    <w:rPr>
      <w:rFonts w:hAnsi="Times New Roman"/>
      <w:kern w:val="0"/>
      <w:sz w:val="20"/>
    </w:rPr>
  </w:style>
  <w:style w:type="paragraph" w:customStyle="1" w:styleId="43">
    <w:name w:val="正文 New New New New New New New New New New New New New New New New New New New New New New New New New New New New New New New New New New New New New New New New New New New New New New New New New New New New New New New New New New New New New New Ne1"/>
    <w:next w:val="32"/>
    <w:qFormat/>
    <w:uiPriority w:val="0"/>
    <w:pPr>
      <w:widowControl w:val="0"/>
      <w:jc w:val="both"/>
    </w:pPr>
    <w:rPr>
      <w:rFonts w:ascii="Calibri" w:hAnsi="Calibri" w:eastAsia="宋体" w:cs="黑体"/>
      <w:kern w:val="2"/>
      <w:sz w:val="21"/>
      <w:szCs w:val="24"/>
      <w:lang w:val="en-US" w:eastAsia="zh-CN" w:bidi="ar-SA"/>
    </w:rPr>
  </w:style>
  <w:style w:type="paragraph" w:customStyle="1" w:styleId="44">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Bodoni MT" w:hAnsi="Bodoni MT" w:eastAsia="宋体" w:cs="Bodoni MT"/>
      <w:kern w:val="2"/>
      <w:sz w:val="21"/>
      <w:szCs w:val="24"/>
      <w:lang w:val="en-US" w:eastAsia="zh-CN" w:bidi="ar-SA"/>
    </w:rPr>
  </w:style>
  <w:style w:type="paragraph" w:customStyle="1" w:styleId="45">
    <w:name w:val="正文文本缩进 New New"/>
    <w:basedOn w:val="37"/>
    <w:qFormat/>
    <w:uiPriority w:val="0"/>
    <w:pPr>
      <w:ind w:firstLine="560" w:firstLineChars="200"/>
    </w:pPr>
  </w:style>
  <w:style w:type="paragraph" w:customStyle="1" w:styleId="46">
    <w:name w:val="正文文本缩进 3 New"/>
    <w:basedOn w:val="37"/>
    <w:qFormat/>
    <w:uiPriority w:val="0"/>
    <w:pPr>
      <w:ind w:firstLine="560"/>
    </w:pPr>
    <w:rPr>
      <w:color w:val="FF0000"/>
    </w:rPr>
  </w:style>
  <w:style w:type="paragraph" w:customStyle="1" w:styleId="47">
    <w:name w:val="标题 3 New New New"/>
    <w:basedOn w:val="48"/>
    <w:next w:val="48"/>
    <w:qFormat/>
    <w:uiPriority w:val="0"/>
    <w:pPr>
      <w:keepNext/>
      <w:keepLines/>
      <w:jc w:val="center"/>
      <w:outlineLvl w:val="2"/>
    </w:pPr>
    <w:rPr>
      <w:sz w:val="24"/>
    </w:rPr>
  </w:style>
  <w:style w:type="paragraph" w:customStyle="1" w:styleId="48">
    <w:name w:val="正文缩进 New"/>
    <w:basedOn w:val="49"/>
    <w:qFormat/>
    <w:uiPriority w:val="0"/>
    <w:pPr>
      <w:widowControl/>
      <w:ind w:firstLine="420"/>
      <w:jc w:val="left"/>
    </w:pPr>
    <w:rPr>
      <w:kern w:val="0"/>
      <w:sz w:val="20"/>
    </w:rPr>
  </w:style>
  <w:style w:type="paragraph" w:customStyle="1" w:styleId="49">
    <w:name w:val="正文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0">
    <w:name w:val="正文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51">
    <w:name w:val="标题 3 Char"/>
    <w:link w:val="5"/>
    <w:qFormat/>
    <w:uiPriority w:val="0"/>
    <w:rPr>
      <w:rFonts w:hint="default" w:ascii="Times New Roman" w:hAnsi="Times New Roman" w:eastAsia="宋体"/>
      <w:b/>
    </w:rPr>
  </w:style>
  <w:style w:type="character" w:customStyle="1" w:styleId="52">
    <w:name w:val="NormalCharacter"/>
    <w:semiHidden/>
    <w:qFormat/>
    <w:uiPriority w:val="0"/>
    <w:rPr>
      <w:rFonts w:ascii="宋体"/>
      <w:kern w:val="2"/>
      <w:sz w:val="24"/>
      <w:lang w:val="en-US" w:eastAsia="zh-CN" w:bidi="ar-SA"/>
    </w:rPr>
  </w:style>
  <w:style w:type="paragraph" w:customStyle="1" w:styleId="53">
    <w:name w:val="标题 2 New New New"/>
    <w:basedOn w:val="54"/>
    <w:next w:val="54"/>
    <w:qFormat/>
    <w:uiPriority w:val="0"/>
    <w:pPr>
      <w:autoSpaceDE w:val="0"/>
      <w:autoSpaceDN w:val="0"/>
      <w:adjustRightInd w:val="0"/>
      <w:jc w:val="left"/>
      <w:outlineLvl w:val="1"/>
    </w:pPr>
  </w:style>
  <w:style w:type="paragraph" w:customStyle="1" w:styleId="54">
    <w:name w:val="正文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5">
    <w:name w:val="普通(网站) New"/>
    <w:basedOn w:val="56"/>
    <w:qFormat/>
    <w:uiPriority w:val="0"/>
    <w:rPr>
      <w:sz w:val="24"/>
    </w:rPr>
  </w:style>
  <w:style w:type="paragraph" w:customStyle="1" w:styleId="56">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7">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58">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5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0">
    <w:name w:val="YJ22 Char"/>
    <w:link w:val="61"/>
    <w:qFormat/>
    <w:uiPriority w:val="0"/>
    <w:rPr>
      <w:rFonts w:ascii="Times New Roman" w:hAnsi="宋体"/>
      <w:b/>
      <w:kern w:val="0"/>
      <w:sz w:val="20"/>
    </w:rPr>
  </w:style>
  <w:style w:type="paragraph" w:customStyle="1" w:styleId="61">
    <w:name w:val="YJ22"/>
    <w:basedOn w:val="37"/>
    <w:next w:val="37"/>
    <w:link w:val="60"/>
    <w:qFormat/>
    <w:uiPriority w:val="0"/>
    <w:pPr>
      <w:autoSpaceDE w:val="0"/>
      <w:autoSpaceDN w:val="0"/>
      <w:adjustRightInd w:val="0"/>
      <w:jc w:val="left"/>
      <w:outlineLvl w:val="1"/>
    </w:pPr>
    <w:rPr>
      <w:rFonts w:ascii="Times New Roman" w:hAnsi="宋体"/>
      <w:b/>
      <w:kern w:val="0"/>
      <w:sz w:val="20"/>
    </w:rPr>
  </w:style>
  <w:style w:type="paragraph" w:customStyle="1" w:styleId="62">
    <w:name w:val="正文文本缩进 New"/>
    <w:basedOn w:val="63"/>
    <w:qFormat/>
    <w:uiPriority w:val="0"/>
    <w:pPr>
      <w:ind w:firstLine="560" w:firstLineChars="200"/>
    </w:pPr>
  </w:style>
  <w:style w:type="paragraph" w:customStyle="1" w:styleId="63">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4">
    <w:name w:val="正文文本缩进 New New New New"/>
    <w:basedOn w:val="65"/>
    <w:qFormat/>
    <w:uiPriority w:val="0"/>
    <w:pPr>
      <w:ind w:firstLine="560" w:firstLineChars="200"/>
    </w:pPr>
    <w:rPr>
      <w:szCs w:val="28"/>
    </w:rPr>
  </w:style>
  <w:style w:type="paragraph" w:customStyle="1" w:styleId="65">
    <w:name w:val="正文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6">
    <w:name w:val="正文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7">
    <w:name w:val="正文文本缩进 New New New New New New New"/>
    <w:basedOn w:val="66"/>
    <w:qFormat/>
    <w:uiPriority w:val="0"/>
    <w:pPr>
      <w:ind w:left="420" w:leftChars="200"/>
    </w:pPr>
    <w:rPr>
      <w:szCs w:val="24"/>
    </w:rPr>
  </w:style>
  <w:style w:type="paragraph" w:customStyle="1" w:styleId="68">
    <w:name w:val="正文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9">
    <w:name w:val="正文文本缩进 New New New New New New New New"/>
    <w:basedOn w:val="68"/>
    <w:qFormat/>
    <w:uiPriority w:val="0"/>
    <w:pPr>
      <w:ind w:left="420" w:leftChars="200"/>
    </w:pPr>
    <w:rPr>
      <w:szCs w:val="24"/>
    </w:rPr>
  </w:style>
  <w:style w:type="paragraph" w:customStyle="1" w:styleId="70">
    <w:name w:val="正文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1">
    <w:name w:val="页脚 New"/>
    <w:basedOn w:val="37"/>
    <w:qFormat/>
    <w:uiPriority w:val="0"/>
    <w:pPr>
      <w:widowControl/>
      <w:tabs>
        <w:tab w:val="center" w:pos="4153"/>
        <w:tab w:val="right" w:pos="8306"/>
      </w:tabs>
      <w:snapToGrid w:val="0"/>
      <w:jc w:val="left"/>
    </w:pPr>
    <w:rPr>
      <w:kern w:val="0"/>
      <w:sz w:val="18"/>
    </w:rPr>
  </w:style>
  <w:style w:type="character" w:customStyle="1" w:styleId="72">
    <w:name w:val="批注框文本 Char"/>
    <w:basedOn w:val="24"/>
    <w:link w:val="12"/>
    <w:qFormat/>
    <w:uiPriority w:val="0"/>
    <w:rPr>
      <w:rFonts w:ascii="宋体" w:hAnsi="等线" w:eastAsia="等线" w:cs="Times New Roman"/>
      <w:kern w:val="2"/>
      <w:sz w:val="18"/>
      <w:szCs w:val="18"/>
    </w:rPr>
  </w:style>
  <w:style w:type="character" w:customStyle="1" w:styleId="73">
    <w:name w:val="hover21"/>
    <w:basedOn w:val="24"/>
    <w:qFormat/>
    <w:uiPriority w:val="0"/>
    <w:rPr>
      <w:color w:val="5FB878"/>
    </w:rPr>
  </w:style>
  <w:style w:type="character" w:customStyle="1" w:styleId="74">
    <w:name w:val="hover22"/>
    <w:basedOn w:val="24"/>
    <w:qFormat/>
    <w:uiPriority w:val="0"/>
    <w:rPr>
      <w:color w:val="5FB878"/>
    </w:rPr>
  </w:style>
  <w:style w:type="character" w:customStyle="1" w:styleId="75">
    <w:name w:val="hover23"/>
    <w:basedOn w:val="24"/>
    <w:qFormat/>
    <w:uiPriority w:val="0"/>
    <w:rPr>
      <w:color w:val="FFFFFF"/>
    </w:rPr>
  </w:style>
  <w:style w:type="paragraph" w:customStyle="1" w:styleId="76">
    <w:name w:val="正文1"/>
    <w:qFormat/>
    <w:uiPriority w:val="0"/>
    <w:pPr>
      <w:widowControl w:val="0"/>
      <w:spacing w:line="360" w:lineRule="auto"/>
      <w:jc w:val="both"/>
    </w:pPr>
    <w:rPr>
      <w:rFonts w:hint="eastAsia" w:ascii="宋体" w:hAnsi="Calibri" w:eastAsia="宋体" w:cs="Times New Roman"/>
      <w:kern w:val="2"/>
      <w:sz w:val="24"/>
      <w:lang w:val="en-US" w:eastAsia="zh-CN" w:bidi="ar-SA"/>
    </w:rPr>
  </w:style>
  <w:style w:type="paragraph" w:customStyle="1" w:styleId="77">
    <w:name w:val="Default"/>
    <w:basedOn w:val="78"/>
    <w:qFormat/>
    <w:uiPriority w:val="0"/>
    <w:pPr>
      <w:widowControl w:val="0"/>
      <w:autoSpaceDE w:val="0"/>
      <w:autoSpaceDN w:val="0"/>
      <w:adjustRightInd w:val="0"/>
    </w:pPr>
    <w:rPr>
      <w:rFonts w:ascii="华文新魏" w:hAnsi="华文新魏" w:eastAsia="宋体" w:cs="华文新魏"/>
      <w:color w:val="000000"/>
      <w:sz w:val="24"/>
      <w:szCs w:val="24"/>
      <w:lang w:val="en-US" w:eastAsia="zh-CN" w:bidi="ar-SA"/>
    </w:rPr>
  </w:style>
  <w:style w:type="paragraph" w:customStyle="1" w:styleId="78">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79">
    <w:name w:val="Table Text"/>
    <w:basedOn w:val="1"/>
    <w:semiHidden/>
    <w:qFormat/>
    <w:uiPriority w:val="0"/>
    <w:rPr>
      <w:rFonts w:ascii="宋体" w:hAnsi="宋体" w:eastAsia="宋体" w:cs="宋体"/>
      <w:sz w:val="18"/>
      <w:szCs w:val="18"/>
      <w:lang w:val="en-US" w:eastAsia="en-US" w:bidi="ar-SA"/>
    </w:rPr>
  </w:style>
  <w:style w:type="table" w:customStyle="1" w:styleId="80">
    <w:name w:val="Table Normal"/>
    <w:semiHidden/>
    <w:unhideWhenUsed/>
    <w:qFormat/>
    <w:uiPriority w:val="0"/>
    <w:tblPr>
      <w:tblCellMar>
        <w:top w:w="0" w:type="dxa"/>
        <w:left w:w="0" w:type="dxa"/>
        <w:bottom w:w="0" w:type="dxa"/>
        <w:right w:w="0" w:type="dxa"/>
      </w:tblCellMar>
    </w:tblPr>
  </w:style>
  <w:style w:type="paragraph" w:customStyle="1" w:styleId="81">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82">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character" w:customStyle="1" w:styleId="83">
    <w:name w:val="标题 2 Char"/>
    <w:link w:val="4"/>
    <w:qFormat/>
    <w:uiPriority w:val="0"/>
    <w:rPr>
      <w:kern w:val="0"/>
    </w:rPr>
  </w:style>
  <w:style w:type="paragraph" w:customStyle="1" w:styleId="84">
    <w:name w:val="UserStyle_76"/>
    <w:basedOn w:val="85"/>
    <w:qFormat/>
    <w:uiPriority w:val="99"/>
    <w:pPr>
      <w:ind w:firstLine="420"/>
      <w:jc w:val="left"/>
    </w:pPr>
    <w:rPr>
      <w:kern w:val="0"/>
      <w:sz w:val="20"/>
      <w:szCs w:val="20"/>
    </w:rPr>
  </w:style>
  <w:style w:type="paragraph" w:customStyle="1" w:styleId="85">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111</Pages>
  <Words>71846</Words>
  <Characters>75518</Characters>
  <Lines>731</Lines>
  <Paragraphs>205</Paragraphs>
  <TotalTime>14</TotalTime>
  <ScaleCrop>false</ScaleCrop>
  <LinksUpToDate>false</LinksUpToDate>
  <CharactersWithSpaces>78442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2023-11-10T02:36:00Z</dcterms:created>
  <dc:creator>Chen~小璇</dc:creator>
  <cp:lastModifiedBy>Macho</cp:lastModifiedBy>
  <cp:lastPrinted>2026-09-10T11:43:00Z</cp:lastPrinted>
  <dcterms:modified xsi:type="dcterms:W3CDTF">2026-09-21T03:32:10Z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1B806E38D727462CAFB4745D023DFC03_13</vt:lpwstr>
  </property>
  <property fmtid="{D5CDD505-2E9C-101B-9397-08002B2CF9AE}" pid="4" name="KSOTemplateDocerSaveRecord">
    <vt:lpwstr>eyJoZGlkIjoiNjQ5NDVjMDgxNThlZmFmMGYzMDNkMjJmYjkzNmU2ZDYiLCJ1c2VySWQiOiIyMDY3NjIxMDMifQ==</vt:lpwstr>
  </property>
</Properties>
</file>